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Strasbourg, 6.2.2024</w:t>
      </w:r>
      <w:r>
        <w:br/>
      </w:r>
      <w:r>
        <w:t xml:space="preserve">SWD(2024) 63 final</w:t>
      </w:r>
      <w:r>
        <w:t xml:space="preserve"> </w:t>
      </w:r>
      <w:r>
        <w:t xml:space="preserve">PART 2/5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Part 2</w:t>
      </w:r>
      <w:r>
        <w:t xml:space="preserve"> </w:t>
      </w:r>
      <w:r>
        <w:t xml:space="preserve">Accompanying the document</w:t>
      </w:r>
      <w:r>
        <w:t xml:space="preserve"> </w:t>
      </w:r>
      <w:r>
        <w:t xml:space="preserve">COMMUNICATION FROM THE COMMISSION TO THE EUROPEAN</w:t>
      </w:r>
      <w:r>
        <w:t xml:space="preserve"> </w:t>
      </w:r>
      <w:r>
        <w:t xml:space="preserve">PARLIAMENT, THE COUNCIL, THE EUROPEAN ECONOMIC AND SOCIAL</w:t>
      </w:r>
      <w:r>
        <w:t xml:space="preserve"> </w:t>
      </w:r>
      <w:r>
        <w:t xml:space="preserve">COMMITTEE AND THE COMMITTEE OF THE REGIONS</w:t>
      </w:r>
      <w:r>
        <w:t xml:space="preserve"> </w:t>
      </w:r>
      <w:r>
        <w:t xml:space="preserve">Securing our future</w:t>
      </w:r>
      <w:r>
        <w:br/>
      </w:r>
      <w:r>
        <w:t xml:space="preserve">Europe’s 2040 climate target and path to climate neutrality by 2050 building a</w:t>
      </w:r>
      <w:r>
        <w:t xml:space="preserve"> </w:t>
      </w:r>
      <w:r>
        <w:t xml:space="preserve">sustainable, just and prosperous society</w:t>
      </w:r>
      <w:r>
        <w:t xml:space="preserve"> </w:t>
      </w:r>
      <w:r>
        <w:t xml:space="preserve">{COM(2024) 63 final} - {SEC(2024) 64 final} - {SWD(2024) 64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ANNEX 6: ANALYTICAL METHODS …………………………………………………………………………………………………….. 3</w:t>
      </w:r>
      <w:r>
        <w:t xml:space="preserve"> </w:t>
      </w:r>
      <w:r>
        <w:t xml:space="preserve">1</w:t>
      </w:r>
      <w:r>
        <w:t xml:space="preserve"> </w:t>
      </w:r>
      <w:r>
        <w:t xml:space="preserve">COST OF CLIMATE CHANGE ……………………………………………………………………………………………………… 3</w:t>
      </w:r>
      <w:r>
        <w:t xml:space="preserve"> </w:t>
      </w:r>
      <w:r>
        <w:t xml:space="preserve">1.1</w:t>
      </w:r>
      <w:r>
        <w:t xml:space="preserve"> </w:t>
      </w:r>
      <w:r>
        <w:t xml:space="preserve">LITERATURE REVIEW ……………………………………………………………………………………………………………………… 3</w:t>
      </w:r>
      <w:r>
        <w:t xml:space="preserve"> </w:t>
      </w:r>
      <w:r>
        <w:t xml:space="preserve">1.2</w:t>
      </w:r>
      <w:r>
        <w:t xml:space="preserve"> </w:t>
      </w:r>
      <w:r>
        <w:t xml:space="preserve">TOOLS FOR COMPLEMENTARY ANALYSIS ………………………………………………………………………………………………. 4</w:t>
      </w:r>
      <w:r>
        <w:t xml:space="preserve"> </w:t>
      </w:r>
      <w:r>
        <w:t xml:space="preserve">1.2.1 Economic analysis ………………………………………………………………………………………………………………… 4</w:t>
      </w:r>
      <w:r>
        <w:t xml:space="preserve"> </w:t>
      </w:r>
      <w:r>
        <w:t xml:space="preserve">1.2.2 Analysing land and forestry. ………………………………………………………………………………………………….. 4</w:t>
      </w:r>
      <w:r>
        <w:t xml:space="preserve"> </w:t>
      </w:r>
      <w:r>
        <w:t xml:space="preserve">2</w:t>
      </w:r>
      <w:r>
        <w:t xml:space="preserve"> </w:t>
      </w:r>
      <w:r>
        <w:t xml:space="preserve">ANALYSIS OF FUTURE GHG EMISSIONS ……………………………………………………………………………………… 5</w:t>
      </w:r>
      <w:r>
        <w:t xml:space="preserve"> </w:t>
      </w:r>
      <w:r>
        <w:t xml:space="preserve">2.1</w:t>
      </w:r>
      <w:r>
        <w:t xml:space="preserve"> </w:t>
      </w:r>
      <w:r>
        <w:t xml:space="preserve">MODELS () ………………………………………………………………………………………………………………………………… 5</w:t>
      </w:r>
      <w:r>
        <w:t xml:space="preserve"> </w:t>
      </w:r>
      <w:r>
        <w:t xml:space="preserve">2.1.1</w:t>
      </w:r>
      <w:r>
        <w:t xml:space="preserve"> </w:t>
      </w:r>
      <w:r>
        <w:t xml:space="preserve">Main modelling suite for GHG emissions ……………………………………………………………………………. 5</w:t>
      </w:r>
      <w:r>
        <w:t xml:space="preserve"> </w:t>
      </w:r>
      <w:r>
        <w:t xml:space="preserve">2.1.2</w:t>
      </w:r>
      <w:r>
        <w:t xml:space="preserve"> </w:t>
      </w:r>
      <w:r>
        <w:t xml:space="preserve">Complementary tools on energy and industry CO2 emissions ……………………………………………….. 8</w:t>
      </w:r>
      <w:r>
        <w:t xml:space="preserve"> </w:t>
      </w:r>
      <w:r>
        <w:t xml:space="preserve">2.2</w:t>
      </w:r>
      <w:r>
        <w:t xml:space="preserve"> </w:t>
      </w:r>
      <w:r>
        <w:t xml:space="preserve">LITERATURE REVIEW ……………………………………………………………………………………………………………………. 12</w:t>
      </w:r>
      <w:r>
        <w:t xml:space="preserve"> </w:t>
      </w:r>
      <w:r>
        <w:t xml:space="preserve">2.3</w:t>
      </w:r>
      <w:r>
        <w:t xml:space="preserve"> </w:t>
      </w:r>
      <w:r>
        <w:t xml:space="preserve">HISTORICAL DATA ………………………………………………………………………………………………………………………. 12</w:t>
      </w:r>
      <w:r>
        <w:t xml:space="preserve"> </w:t>
      </w:r>
      <w:r>
        <w:t xml:space="preserve">2.3.1</w:t>
      </w:r>
      <w:r>
        <w:t xml:space="preserve"> </w:t>
      </w:r>
      <w:r>
        <w:t xml:space="preserve">Energy system in PRIMES ……………………………………………………………………………………………….. 12</w:t>
      </w:r>
      <w:r>
        <w:t xml:space="preserve"> </w:t>
      </w:r>
      <w:r>
        <w:t xml:space="preserve">2.3.2</w:t>
      </w:r>
      <w:r>
        <w:t xml:space="preserve"> </w:t>
      </w:r>
      <w:r>
        <w:t xml:space="preserve">Non-CO2 emissions in GAINS …………………………………………………………………………………………… 12</w:t>
      </w:r>
      <w:r>
        <w:t xml:space="preserve"> </w:t>
      </w:r>
      <w:r>
        <w:t xml:space="preserve">2.3.3</w:t>
      </w:r>
      <w:r>
        <w:t xml:space="preserve"> </w:t>
      </w:r>
      <w:r>
        <w:t xml:space="preserve">LULUCF in GLOBIOM ………………………………………………………………………………………………………. 12</w:t>
      </w:r>
      <w:r>
        <w:t xml:space="preserve"> </w:t>
      </w:r>
      <w:r>
        <w:t xml:space="preserve">2.4</w:t>
      </w:r>
      <w:r>
        <w:t xml:space="preserve"> </w:t>
      </w:r>
      <w:r>
        <w:t xml:space="preserve">KEY ASSUMPTIONS ……………………………………………………………………………………………………………………… 12</w:t>
      </w:r>
      <w:r>
        <w:t xml:space="preserve"> </w:t>
      </w:r>
      <w:r>
        <w:t xml:space="preserve">2.4.1</w:t>
      </w:r>
      <w:r>
        <w:t xml:space="preserve"> </w:t>
      </w:r>
      <w:r>
        <w:t xml:space="preserve">Population and GDP ………………………………………………………………………………………………………. 12</w:t>
      </w:r>
      <w:r>
        <w:t xml:space="preserve"> </w:t>
      </w:r>
      <w:r>
        <w:t xml:space="preserve">2.4.2</w:t>
      </w:r>
      <w:r>
        <w:t xml:space="preserve"> </w:t>
      </w:r>
      <w:r>
        <w:t xml:space="preserve">Sectoral economic activity ………………………………………………………………………………………………. 14</w:t>
      </w:r>
      <w:r>
        <w:t xml:space="preserve"> </w:t>
      </w:r>
      <w:r>
        <w:t xml:space="preserve">2.4.3</w:t>
      </w:r>
      <w:r>
        <w:t xml:space="preserve"> </w:t>
      </w:r>
      <w:r>
        <w:t xml:space="preserve">Energy Prices Trajectory between 2020 and 2050 ……………………………………………………………… 15</w:t>
      </w:r>
      <w:r>
        <w:t xml:space="preserve"> </w:t>
      </w:r>
      <w:r>
        <w:t xml:space="preserve">2.4.4</w:t>
      </w:r>
      <w:r>
        <w:t xml:space="preserve"> </w:t>
      </w:r>
      <w:r>
        <w:t xml:space="preserve">Technologies …………………………………………………………………………………………………………………. 16</w:t>
      </w:r>
      <w:r>
        <w:t xml:space="preserve"> </w:t>
      </w:r>
      <w:r>
        <w:t xml:space="preserve">2.4.5</w:t>
      </w:r>
      <w:r>
        <w:t xml:space="preserve"> </w:t>
      </w:r>
      <w:r>
        <w:t xml:space="preserve">Bioenergy potential ……………………………………………………………………………………………………….. 20</w:t>
      </w:r>
      <w:r>
        <w:t xml:space="preserve"> </w:t>
      </w:r>
      <w:r>
        <w:t xml:space="preserve">2.5</w:t>
      </w:r>
      <w:r>
        <w:t xml:space="preserve"> </w:t>
      </w:r>
      <w:r>
        <w:t xml:space="preserve">POLICIES …………………………………………………………………………………………………………………………………. 21</w:t>
      </w:r>
      <w:r>
        <w:t xml:space="preserve"> </w:t>
      </w:r>
      <w:r>
        <w:t xml:space="preserve">2.5.1</w:t>
      </w:r>
      <w:r>
        <w:t xml:space="preserve"> </w:t>
      </w:r>
      <w:r>
        <w:t xml:space="preserve">EU policies ……………………………………………………………………………………………………………………. 21</w:t>
      </w:r>
      <w:r>
        <w:t xml:space="preserve"> </w:t>
      </w:r>
      <w:r>
        <w:t xml:space="preserve">2.5.2</w:t>
      </w:r>
      <w:r>
        <w:t xml:space="preserve"> </w:t>
      </w:r>
      <w:r>
        <w:t xml:space="preserve">National Developments ………………………………………………………………………………………………….. 28</w:t>
      </w:r>
      <w:r>
        <w:t xml:space="preserve"> </w:t>
      </w:r>
      <w:r>
        <w:t xml:space="preserve">3</w:t>
      </w:r>
      <w:r>
        <w:t xml:space="preserve"> </w:t>
      </w:r>
      <w:r>
        <w:t xml:space="preserve">SCENARIOS () ………………………………………………………………………………………………………………………. 31</w:t>
      </w:r>
      <w:r>
        <w:t xml:space="preserve"> </w:t>
      </w:r>
      <w:r>
        <w:t xml:space="preserve">3.1</w:t>
      </w:r>
      <w:r>
        <w:t xml:space="preserve"> </w:t>
      </w:r>
      <w:r>
        <w:t xml:space="preserve">SCENARIOS ………………………………………………………………………………………………………………………………. 31</w:t>
      </w:r>
      <w:r>
        <w:t xml:space="preserve"> </w:t>
      </w:r>
      <w:r>
        <w:t xml:space="preserve">3.1.1</w:t>
      </w:r>
      <w:r>
        <w:t xml:space="preserve"> </w:t>
      </w:r>
      <w:r>
        <w:t xml:space="preserve">Common policy elements ……………………………………………………………………………………………….. 31</w:t>
      </w:r>
      <w:r>
        <w:t xml:space="preserve"> </w:t>
      </w:r>
      <w:r>
        <w:t xml:space="preserve">3.1.2</w:t>
      </w:r>
      <w:r>
        <w:t xml:space="preserve"> </w:t>
      </w:r>
      <w:r>
        <w:t xml:space="preserve">S1 ………………………………………………………………………………………………………………………………… 35</w:t>
      </w:r>
      <w:r>
        <w:t xml:space="preserve"> </w:t>
      </w:r>
      <w:r>
        <w:t xml:space="preserve">3.1.3</w:t>
      </w:r>
      <w:r>
        <w:t xml:space="preserve"> </w:t>
      </w:r>
      <w:r>
        <w:t xml:space="preserve">S2 ………………………………………………………………………………………………………………………………… 36</w:t>
      </w:r>
      <w:r>
        <w:t xml:space="preserve"> </w:t>
      </w:r>
      <w:r>
        <w:t xml:space="preserve">3.1.4</w:t>
      </w:r>
      <w:r>
        <w:t xml:space="preserve"> </w:t>
      </w:r>
      <w:r>
        <w:t xml:space="preserve">S3 ………………………………………………………………………………………………………………………………… 37</w:t>
      </w:r>
      <w:r>
        <w:t xml:space="preserve"> </w:t>
      </w:r>
      <w:r>
        <w:t xml:space="preserve">3.1.5</w:t>
      </w:r>
      <w:r>
        <w:t xml:space="preserve"> </w:t>
      </w:r>
      <w:r>
        <w:t xml:space="preserve">LIFE ……………………………………………………………………………………………………………………………… 38</w:t>
      </w:r>
      <w:r>
        <w:t xml:space="preserve"> </w:t>
      </w:r>
      <w:r>
        <w:t xml:space="preserve">3.2</w:t>
      </w:r>
      <w:r>
        <w:t xml:space="preserve"> </w:t>
      </w:r>
      <w:r>
        <w:t xml:space="preserve">MODELLING DRIVERS …………………………………………………………………………………………………………………… 42</w:t>
      </w:r>
      <w:r>
        <w:t xml:space="preserve"> </w:t>
      </w:r>
      <w:r>
        <w:t xml:space="preserve">3.3</w:t>
      </w:r>
      <w:r>
        <w:t xml:space="preserve"> </w:t>
      </w:r>
      <w:r>
        <w:t xml:space="preserve">COMPLEMENTARY ANALYSIS ………………………………………………………………………………………………………….. 44</w:t>
      </w:r>
      <w:r>
        <w:t xml:space="preserve"> </w:t>
      </w:r>
      <w:r>
        <w:t xml:space="preserve">3.3.1</w:t>
      </w:r>
      <w:r>
        <w:t xml:space="preserve"> </w:t>
      </w:r>
      <w:r>
        <w:t xml:space="preserve">Energy system modelling ………………………………………………………………………………………………… 44</w:t>
      </w:r>
      <w:r>
        <w:t xml:space="preserve"> </w:t>
      </w:r>
      <w:r>
        <w:t xml:space="preserve">3.3.2</w:t>
      </w:r>
      <w:r>
        <w:t xml:space="preserve"> </w:t>
      </w:r>
      <w:r>
        <w:t xml:space="preserve">Industry ……………………………………………………………………………………………………………………….. 44</w:t>
      </w:r>
      <w:r>
        <w:t xml:space="preserve"> </w:t>
      </w:r>
      <w:r>
        <w:t xml:space="preserve">4</w:t>
      </w:r>
      <w:r>
        <w:t xml:space="preserve"> </w:t>
      </w:r>
      <w:r>
        <w:t xml:space="preserve">SOCIO-ECONOMIC ANALYSIS ………………………………………………………………………………………………….. 46</w:t>
      </w:r>
      <w:r>
        <w:t xml:space="preserve"> </w:t>
      </w:r>
      <w:r>
        <w:t xml:space="preserve">4.1</w:t>
      </w:r>
      <w:r>
        <w:t xml:space="preserve"> </w:t>
      </w:r>
      <w:r>
        <w:t xml:space="preserve">MODELS () ………………………………………………………………………………………………………………………………. 46</w:t>
      </w:r>
      <w:r>
        <w:t xml:space="preserve"> </w:t>
      </w:r>
      <w:r>
        <w:t xml:space="preserve">4.1.1</w:t>
      </w:r>
      <w:r>
        <w:t xml:space="preserve"> </w:t>
      </w:r>
      <w:r>
        <w:t xml:space="preserve">GEM-E3 ………………………………………………………………………………………………………………………… 46</w:t>
      </w:r>
      <w:r>
        <w:t xml:space="preserve"> </w:t>
      </w:r>
      <w:r>
        <w:t xml:space="preserve">4.1.2</w:t>
      </w:r>
      <w:r>
        <w:t xml:space="preserve"> </w:t>
      </w:r>
      <w:r>
        <w:t xml:space="preserve">E3ME …………………………………………………………………………………………………………………………… 47</w:t>
      </w:r>
      <w:r>
        <w:t xml:space="preserve"> </w:t>
      </w:r>
      <w:r>
        <w:t xml:space="preserve">4.1.3</w:t>
      </w:r>
      <w:r>
        <w:t xml:space="preserve"> </w:t>
      </w:r>
      <w:r>
        <w:t xml:space="preserve">E-QUEST ……………………………………………………………………………………………………………………….. 47</w:t>
      </w:r>
      <w:r>
        <w:t xml:space="preserve"> </w:t>
      </w:r>
      <w:r>
        <w:t xml:space="preserve">4.2</w:t>
      </w:r>
      <w:r>
        <w:t xml:space="preserve"> </w:t>
      </w:r>
      <w:r>
        <w:t xml:space="preserve">COMPLEMENTARY INPUTS …………………………………………………………………………………………………………….. 48</w:t>
      </w:r>
      <w:r>
        <w:t xml:space="preserve"> </w:t>
      </w:r>
      <w:r>
        <w:t xml:space="preserve">ANNEX 7: COST OF CLIMATE CHANGE ……………………………………………………………………………………………… 49</w:t>
      </w:r>
      <w:r>
        <w:t xml:space="preserve"> </w:t>
      </w:r>
      <w:r>
        <w:t xml:space="preserve">1</w:t>
      </w:r>
      <w:r>
        <w:t xml:space="preserve"> </w:t>
      </w:r>
      <w:r>
        <w:t xml:space="preserve">GLOBAL WARMING ………………………………………………………………………………………………………………. 49</w:t>
      </w:r>
      <w:r>
        <w:t xml:space="preserve"> </w:t>
      </w:r>
      <w:r>
        <w:t xml:space="preserve">2</w:t>
      </w:r>
      <w:r>
        <w:t xml:space="preserve"> </w:t>
      </w:r>
      <w:r>
        <w:t xml:space="preserve">IMPACTS OF CLIMATE CHANGE ………………………………………………………………………………………………. 52</w:t>
      </w:r>
      <w:r>
        <w:t xml:space="preserve"> </w:t>
      </w:r>
      <w:r>
        <w:t xml:space="preserve">2.1</w:t>
      </w:r>
      <w:r>
        <w:t xml:space="preserve"> </w:t>
      </w:r>
      <w:r>
        <w:t xml:space="preserve">GLOBAL IMPACTS OF CLIMATE CHANGE AND RISKS OF CLIMATE TIPPING POINTS ……………………………………………….. 52</w:t>
      </w:r>
      <w:r>
        <w:t xml:space="preserve"> </w:t>
      </w:r>
      <w:r>
        <w:t xml:space="preserve">2.1.1</w:t>
      </w:r>
      <w:r>
        <w:t xml:space="preserve"> </w:t>
      </w:r>
      <w:r>
        <w:t xml:space="preserve">A very wide range of impacts ………………………………………………………………………………………….. 52</w:t>
      </w:r>
      <w:r>
        <w:t xml:space="preserve"> </w:t>
      </w:r>
      <w:r>
        <w:t xml:space="preserve">2.1.2</w:t>
      </w:r>
      <w:r>
        <w:t xml:space="preserve"> </w:t>
      </w:r>
      <w:r>
        <w:t xml:space="preserve">Climate tipping points ……………………………………………………………………………………………………. 53</w:t>
      </w:r>
      <w:r>
        <w:t xml:space="preserve"> </w:t>
      </w:r>
      <w:r>
        <w:t xml:space="preserve">2.1.3</w:t>
      </w:r>
      <w:r>
        <w:t xml:space="preserve"> </w:t>
      </w:r>
      <w:r>
        <w:t xml:space="preserve">Impacts on ecosystems and biodiversity …………………………………………………………………………… 56</w:t>
      </w:r>
      <w:r>
        <w:t xml:space="preserve"> </w:t>
      </w:r>
      <w:r>
        <w:t xml:space="preserve">2.2</w:t>
      </w:r>
      <w:r>
        <w:t xml:space="preserve"> </w:t>
      </w:r>
      <w:r>
        <w:t xml:space="preserve">IMPACTS ON SELECTED MOST VULNERABLE REGIONS ………………………………………………………………………………. 62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2.2.1</w:t>
      </w:r>
      <w:r>
        <w:t xml:space="preserve"> </w:t>
      </w:r>
      <w:r>
        <w:t xml:space="preserve">Africa …………………………………………………………………………………………………………………………… 63</w:t>
      </w:r>
      <w:r>
        <w:t xml:space="preserve"> </w:t>
      </w:r>
      <w:r>
        <w:t xml:space="preserve">2.2.2</w:t>
      </w:r>
      <w:r>
        <w:t xml:space="preserve"> </w:t>
      </w:r>
      <w:r>
        <w:t xml:space="preserve">Small Islands …………………………………………………………………………………………………………………. 65</w:t>
      </w:r>
      <w:r>
        <w:t xml:space="preserve"> </w:t>
      </w:r>
      <w:r>
        <w:t xml:space="preserve">2.2.3</w:t>
      </w:r>
      <w:r>
        <w:t xml:space="preserve"> </w:t>
      </w:r>
      <w:r>
        <w:t xml:space="preserve">Asia ……………………………………………………………………………………………………………………………… 67</w:t>
      </w:r>
      <w:r>
        <w:t xml:space="preserve"> </w:t>
      </w:r>
      <w:r>
        <w:t xml:space="preserve">2.3</w:t>
      </w:r>
      <w:r>
        <w:t xml:space="preserve"> </w:t>
      </w:r>
      <w:r>
        <w:t xml:space="preserve">IMPACTS IN THE EU …………………………………………………………………………………………………………………….. 69</w:t>
      </w:r>
      <w:r>
        <w:t xml:space="preserve"> </w:t>
      </w:r>
      <w:r>
        <w:t xml:space="preserve">2.3.1</w:t>
      </w:r>
      <w:r>
        <w:t xml:space="preserve"> </w:t>
      </w:r>
      <w:r>
        <w:t xml:space="preserve">Health ………………………………………………………………………………………………………………………….. 73</w:t>
      </w:r>
      <w:r>
        <w:t xml:space="preserve"> </w:t>
      </w:r>
      <w:r>
        <w:t xml:space="preserve">2.3.2</w:t>
      </w:r>
      <w:r>
        <w:t xml:space="preserve"> </w:t>
      </w:r>
      <w:r>
        <w:t xml:space="preserve">Water stress and scarcity ……………………………………………………………………………………………….. 76</w:t>
      </w:r>
      <w:r>
        <w:t xml:space="preserve"> </w:t>
      </w:r>
      <w:r>
        <w:t xml:space="preserve">2.3.3</w:t>
      </w:r>
      <w:r>
        <w:t xml:space="preserve"> </w:t>
      </w:r>
      <w:r>
        <w:t xml:space="preserve">Flood risks …………………………………………………………………………………………………………………….. 78</w:t>
      </w:r>
      <w:r>
        <w:t xml:space="preserve"> </w:t>
      </w:r>
      <w:r>
        <w:t xml:space="preserve">2.3.4</w:t>
      </w:r>
      <w:r>
        <w:t xml:space="preserve"> </w:t>
      </w:r>
      <w:r>
        <w:t xml:space="preserve">Infrastructure: Impacts on energy systems, transport systems and tourism ………………………….. 79</w:t>
      </w:r>
      <w:r>
        <w:t xml:space="preserve"> </w:t>
      </w:r>
      <w:r>
        <w:t xml:space="preserve">2.3.5</w:t>
      </w:r>
      <w:r>
        <w:t xml:space="preserve"> </w:t>
      </w:r>
      <w:r>
        <w:t xml:space="preserve">Impact of Climate Change on the Land system ………………………………………………………………….. 85</w:t>
      </w:r>
      <w:r>
        <w:t xml:space="preserve"> </w:t>
      </w:r>
      <w:r>
        <w:t xml:space="preserve">3</w:t>
      </w:r>
      <w:r>
        <w:t xml:space="preserve"> </w:t>
      </w:r>
      <w:r>
        <w:t xml:space="preserve">ECONOMIC COST OF CLIMATE CHANGE …………………………………………………………………………………. 104</w:t>
      </w:r>
      <w:r>
        <w:t xml:space="preserve"> </w:t>
      </w:r>
      <w:r>
        <w:t xml:space="preserve">3.1</w:t>
      </w:r>
      <w:r>
        <w:t xml:space="preserve"> </w:t>
      </w:r>
      <w:r>
        <w:t xml:space="preserve">EVIDENCE FROM RECENT EVENTS ……………………………………………………………………………………………………. 104</w:t>
      </w:r>
      <w:r>
        <w:t xml:space="preserve"> </w:t>
      </w:r>
      <w:r>
        <w:t xml:space="preserve">3.2</w:t>
      </w:r>
      <w:r>
        <w:t xml:space="preserve"> </w:t>
      </w:r>
      <w:r>
        <w:t xml:space="preserve">ANALYSES ON GLOBAL ECONOMIC IMPACTS ……………………………………………………………………………………….. 107</w:t>
      </w:r>
      <w:r>
        <w:t xml:space="preserve"> </w:t>
      </w:r>
      <w:r>
        <w:t xml:space="preserve">3.3</w:t>
      </w:r>
      <w:r>
        <w:t xml:space="preserve"> </w:t>
      </w:r>
      <w:r>
        <w:t xml:space="preserve">SECTORAL ECONOMIC IMPACTS IN THE EU ………………………………………………………………………………………… 110</w:t>
      </w:r>
      <w:r>
        <w:t xml:space="preserve"> </w:t>
      </w:r>
      <w:r>
        <w:t xml:space="preserve">3.3.1</w:t>
      </w:r>
      <w:r>
        <w:t xml:space="preserve"> </w:t>
      </w:r>
      <w:r>
        <w:t xml:space="preserve">The PESETA study ………………………………………………………………………………………………………… 110</w:t>
      </w:r>
      <w:r>
        <w:t xml:space="preserve"> </w:t>
      </w:r>
      <w:r>
        <w:t xml:space="preserve">3.3.2</w:t>
      </w:r>
      <w:r>
        <w:t xml:space="preserve"> </w:t>
      </w:r>
      <w:r>
        <w:t xml:space="preserve">Other recent analyses …………………………………………………………………………………………………… 111</w:t>
      </w:r>
      <w:r>
        <w:t xml:space="preserve"> </w:t>
      </w:r>
      <w:r>
        <w:t xml:space="preserve">3.3.3</w:t>
      </w:r>
      <w:r>
        <w:t xml:space="preserve"> </w:t>
      </w:r>
      <w:r>
        <w:t xml:space="preserve">Bottom-up analysis with the NEMESIS model ………………………………………………………………….. 112</w:t>
      </w:r>
      <w:r>
        <w:t xml:space="preserve"> </w:t>
      </w:r>
      <w:r>
        <w:t xml:space="preserve">3.4</w:t>
      </w:r>
      <w:r>
        <w:t xml:space="preserve"> </w:t>
      </w:r>
      <w:r>
        <w:t xml:space="preserve">THE LIMITATIONS OF ECONOMIC VALUATION WITH ECONOMIC MODELS ………………………………………………………. 116</w:t>
      </w:r>
      <w:r>
        <w:t xml:space="preserve"> </w:t>
      </w:r>
      <w:r>
        <w:t xml:space="preserve">4</w:t>
      </w:r>
      <w:r>
        <w:t xml:space="preserve"> </w:t>
      </w:r>
      <w:r>
        <w:t xml:space="preserve">IMPACTS OF CLIMATE CHANGE ON BUSINESSES ……………………………………………………………………… 118</w:t>
      </w:r>
      <w:r>
        <w:t xml:space="preserve"> </w:t>
      </w:r>
      <w:r>
        <w:t xml:space="preserve">5</w:t>
      </w:r>
      <w:r>
        <w:t xml:space="preserve"> </w:t>
      </w:r>
      <w:r>
        <w:t xml:space="preserve">IMPACTS OF CLIMATE CHANGE ON SOCIETY AT LARGE …………………………………………………………….. 121</w:t>
      </w:r>
      <w:r>
        <w:t xml:space="preserve"> </w:t>
      </w:r>
      <w:r>
        <w:t xml:space="preserve">6</w:t>
      </w:r>
      <w:r>
        <w:t xml:space="preserve"> </w:t>
      </w:r>
      <w:r>
        <w:t xml:space="preserve">CONCLUSIONS ……………………………………………………………………………………………………………………. 122</w:t>
      </w:r>
      <w:r>
        <w:t xml:space="preserve"> </w:t>
      </w:r>
      <w:r>
        <w:t xml:space="preserve">TABLE OF FIGURES………………………………………………………………………………………………………………………. 124</w:t>
      </w:r>
      <w:r>
        <w:t xml:space="preserve"> </w:t>
      </w:r>
      <w:r>
        <w:t xml:space="preserve">TABLE OF TABLES ……………………………………………………………………………………………………………………….. 125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Annex 6: Analytical methods</w:t>
      </w:r>
      <w:r>
        <w:t xml:space="preserve"> </w:t>
      </w:r>
      <w:r>
        <w:t xml:space="preserve">1</w:t>
      </w:r>
      <w:r>
        <w:t xml:space="preserve"> </w:t>
      </w:r>
      <w:r>
        <w:t xml:space="preserve">COST OF CLIMATE CHANGE</w:t>
      </w:r>
      <w:r>
        <w:t xml:space="preserve"> </w:t>
      </w:r>
      <w:r>
        <w:t xml:space="preserve">1.1</w:t>
      </w:r>
      <w:r>
        <w:t xml:space="preserve"> </w:t>
      </w:r>
      <w:r>
        <w:t xml:space="preserve">Literature Review</w:t>
      </w:r>
      <w:r>
        <w:br/>
      </w:r>
      <w:r>
        <w:t xml:space="preserve">The analysis on the cost of climate change is based on a review of scientific literature,</w:t>
      </w:r>
      <w:r>
        <w:t xml:space="preserve"> </w:t>
      </w:r>
      <w:r>
        <w:t xml:space="preserve">including the reports by authoritative bodies, such as IPCC and WMO. The results from the</w:t>
      </w:r>
      <w:r>
        <w:t xml:space="preserve"> </w:t>
      </w:r>
      <w:r>
        <w:t xml:space="preserve">JRC PESETA IV study (1), investigating the effects of climate change impacts on the EU at</w:t>
      </w:r>
      <w:r>
        <w:t xml:space="preserve"> </w:t>
      </w:r>
      <w:r>
        <w:t xml:space="preserve">sectorial level, as well as how impacts can be reduced with mitigation and adaptation policies,</w:t>
      </w:r>
      <w:r>
        <w:t xml:space="preserve"> </w:t>
      </w:r>
      <w:r>
        <w:t xml:space="preserve">and from the EU Horizon 2020 COACCH (CO-designing the Assessment of Climate CHange</w:t>
      </w:r>
      <w:r>
        <w:t xml:space="preserve"> </w:t>
      </w:r>
      <w:r>
        <w:t xml:space="preserve">costs) (2) project, assessing the risks and costs of climate change in Europe, are also included.</w:t>
      </w:r>
      <w:r>
        <w:br/>
      </w:r>
      <w:r>
        <w:t xml:space="preserve">The Annex 7 summarizes the current literature on the state of the climate globally, and the</w:t>
      </w:r>
      <w:r>
        <w:t xml:space="preserve"> </w:t>
      </w:r>
      <w:r>
        <w:t xml:space="preserve">impacts and risks of climate change, including on climate tipping points and on ecosystems</w:t>
      </w:r>
      <w:r>
        <w:t xml:space="preserve"> </w:t>
      </w:r>
      <w:r>
        <w:t xml:space="preserve">and biodiversity. Impacts on selected most vulnerable regions (Africa, Small Islands and</w:t>
      </w:r>
      <w:r>
        <w:t xml:space="preserve"> </w:t>
      </w:r>
      <w:r>
        <w:t xml:space="preserve">Asia) are described. This is followed by a focus on the European Union, with a review of the</w:t>
      </w:r>
      <w:r>
        <w:t xml:space="preserve"> </w:t>
      </w:r>
      <w:r>
        <w:t xml:space="preserve">literature on the observed and projected impacts of climate change on health, water scarcity,</w:t>
      </w:r>
      <w:r>
        <w:t xml:space="preserve"> </w:t>
      </w:r>
      <w:r>
        <w:t xml:space="preserve">flood risks, infrastructure, and on the land system.</w:t>
      </w:r>
      <w:r>
        <w:br/>
      </w:r>
      <w:r>
        <w:t xml:space="preserve">Economic valuation of the cost of climate change is presented by first providing a brief</w:t>
      </w:r>
      <w:r>
        <w:t xml:space="preserve"> </w:t>
      </w:r>
      <w:r>
        <w:t xml:space="preserve">overview of the literature on the evidence of economic damages from past climate events</w:t>
      </w:r>
      <w:r>
        <w:t xml:space="preserve"> </w:t>
      </w:r>
      <w:r>
        <w:t xml:space="preserve">globally and in the EU, followed by the presentation of findings from studies estimating</w:t>
      </w:r>
      <w:r>
        <w:t xml:space="preserve"> </w:t>
      </w:r>
      <w:r>
        <w:t xml:space="preserve">damages from climate change under different warming scenarios. The limitations of economic</w:t>
      </w:r>
      <w:r>
        <w:t xml:space="preserve"> </w:t>
      </w:r>
      <w:r>
        <w:t xml:space="preserve">valuation with economic models are also explored.</w:t>
      </w:r>
      <w:r>
        <w:t xml:space="preserve"> </w:t>
      </w:r>
      <w:r>
        <w:t xml:space="preserve">Future emissions, climate change and related risks and impacts as well as adaptation and</w:t>
      </w:r>
      <w:r>
        <w:t xml:space="preserve"> </w:t>
      </w:r>
      <w:r>
        <w:t xml:space="preserve">mitigation options are explored in different modelled scenarios, which describe how the future</w:t>
      </w:r>
      <w:r>
        <w:t xml:space="preserve"> </w:t>
      </w:r>
      <w:r>
        <w:t xml:space="preserve">may develop. Those scenarios are based on a range of assumptions, including socio-economic</w:t>
      </w:r>
      <w:r>
        <w:t xml:space="preserve"> </w:t>
      </w:r>
      <w:r>
        <w:t xml:space="preserve">variables and mitigation. The Sixth Assessment Report of the Intergovernmental Panel on</w:t>
      </w:r>
      <w:r>
        <w:t xml:space="preserve"> </w:t>
      </w:r>
      <w:r>
        <w:t xml:space="preserve">Climate Change (IPCC) uses a core set of five illustrative Shared-Socio-economic Pathways</w:t>
      </w:r>
      <w:r>
        <w:t xml:space="preserve"> </w:t>
      </w:r>
      <w:r>
        <w:t xml:space="preserve">(SSP) scenarios, that span a wide range of societal and climatic futures. They correspond to</w:t>
      </w:r>
      <w:r>
        <w:t xml:space="preserve"> </w:t>
      </w:r>
      <w:r>
        <w:t xml:space="preserve">Representative Concentration Pathway (RCP) levels for radiative forcing at the year 2100 as</w:t>
      </w:r>
      <w:r>
        <w:t xml:space="preserve"> </w:t>
      </w:r>
      <w:r>
        <w:t xml:space="preserve">follows: RCP1.9, RCP2.6 (both SSP1 – ‘green growth’), RCP4.5 (SSP2 – ‘middle of the</w:t>
      </w:r>
      <w:r>
        <w:t xml:space="preserve"> </w:t>
      </w:r>
      <w:r>
        <w:t xml:space="preserve">road’), RCP7.0 (SSP3 – ‘regional rivalry’) and RCP8.5 (SSP5 ‘fossil fueled development’).</w:t>
      </w:r>
      <w:r>
        <w:t xml:space="preserve"> </w:t>
      </w:r>
      <w:r>
        <w:t xml:space="preserve">The PESETA IV study assesses sectorial climate change impacts in scenarios where</w:t>
      </w:r>
      <w:r>
        <w:t xml:space="preserve"> </w:t>
      </w:r>
      <w:r>
        <w:t xml:space="preserve">mitigation and adaptation action take place and warming is limited to 1.5oC and 2oC, and a</w:t>
      </w:r>
      <w:r>
        <w:t xml:space="preserve"> </w:t>
      </w:r>
      <w:r>
        <w:t xml:space="preserve">scenario without climate policy actions, and impacts are assessed at 3oC global warming. The</w:t>
      </w:r>
      <w:r>
        <w:t xml:space="preserve"> </w:t>
      </w:r>
      <w:r>
        <w:t xml:space="preserve">COACCH project uses nine different combinations of climate change and socio-economic</w:t>
      </w:r>
      <w:r>
        <w:t xml:space="preserve"> </w:t>
      </w:r>
      <w:r>
        <w:t xml:space="preserve">scenarios, based on four SSPs (SSP1, SSP2, SSP3 and SSP4) and four RCPs (RCP2.6,</w:t>
      </w:r>
      <w:r>
        <w:t xml:space="preserve"> </w:t>
      </w:r>
      <w:r>
        <w:t xml:space="preserve">RCP4.5, RCP6.0 and RCP8.5). The evaluation of the macro-economic costs of a range of</w:t>
      </w:r>
      <w:r>
        <w:t xml:space="preserve"> </w:t>
      </w:r>
      <w:r>
        <w:t xml:space="preserve">climate hazards, done for this impact assessment using NEMESIS, considered two damage</w:t>
      </w:r>
      <w:r>
        <w:t xml:space="preserve"> </w:t>
      </w:r>
      <w:r>
        <w:t xml:space="preserve">scenarios: IPCC’s SSP1-1.9 (RCP1.9), and a SSP3-7.0 (RCP7.0) scenario.</w:t>
      </w:r>
    </w:p>
    <w:p>
      <w:pPr>
        <w:pStyle w:val="Compact"/>
        <w:numPr>
          <w:ilvl w:val="0"/>
          <w:numId w:val="1001"/>
        </w:numPr>
      </w:pPr>
      <w:r>
        <w:t xml:space="preserve">Feyen L., Ciscar J.C., Gosling S., Ibarreta D., Soria A. (editors) (2020). Climate change impacts and</w:t>
      </w:r>
      <w:r>
        <w:t xml:space="preserve"> </w:t>
      </w:r>
      <w:r>
        <w:t xml:space="preserve">adaptation in Europe. JRC PESETA IV final report. EUR 30180EN, Publications Office of the European</w:t>
      </w:r>
      <w:r>
        <w:t xml:space="preserve"> </w:t>
      </w:r>
      <w:r>
        <w:t xml:space="preserve">Union, Luxembourg, ISBN 978-92-76-18123-1, doi:10.2760/171121, JRC119178.</w:t>
      </w:r>
    </w:p>
    <w:p>
      <w:pPr>
        <w:pStyle w:val="Compact"/>
        <w:numPr>
          <w:ilvl w:val="0"/>
          <w:numId w:val="1001"/>
        </w:numPr>
      </w:pPr>
      <w:r>
        <w:t xml:space="preserve">COACCH – CO-designing the Assessment of Climate CHange costs, accessed 20.7.2023</w:t>
      </w:r>
    </w:p>
    <w:p>
      <w:pPr>
        <w:pStyle w:val="FirstParagraph"/>
      </w:pPr>
      <w:r>
        <w:t xml:space="preserve">4</w:t>
      </w:r>
    </w:p>
    <w:p>
      <w:pPr>
        <w:pStyle w:val="BodyText"/>
      </w:pPr>
      <w:r>
        <w:t xml:space="preserve">1.2</w:t>
      </w:r>
      <w:r>
        <w:t xml:space="preserve"> </w:t>
      </w:r>
      <w:r>
        <w:t xml:space="preserve">Tools for complementary analysis</w:t>
      </w:r>
      <w:r>
        <w:t xml:space="preserve"> </w:t>
      </w:r>
      <w:r>
        <w:t xml:space="preserve">In complement to the comprehensive literature review and existing studies on climate change</w:t>
      </w:r>
      <w:r>
        <w:t xml:space="preserve"> </w:t>
      </w:r>
      <w:r>
        <w:t xml:space="preserve">impacts and costs mentioned above, the impact assessment makes use more specifically of</w:t>
      </w:r>
      <w:r>
        <w:t xml:space="preserve"> </w:t>
      </w:r>
      <w:r>
        <w:t xml:space="preserve">two models: NEMESIS for an economic analysis and GLOBIOM for impacts on the</w:t>
      </w:r>
      <w:r>
        <w:t xml:space="preserve"> </w:t>
      </w:r>
      <w:r>
        <w:t xml:space="preserve">LULUCF sector. A description of these two models is provided in the Modelling Inventory</w:t>
      </w:r>
      <w:r>
        <w:t xml:space="preserve"> </w:t>
      </w:r>
      <w:r>
        <w:t xml:space="preserve">and Knowledge Management System of the European Commission MIDAS (3).</w:t>
      </w:r>
      <w:r>
        <w:t xml:space="preserve"> </w:t>
      </w:r>
      <w:r>
        <w:t xml:space="preserve">1.2.1 Economic analysis</w:t>
      </w:r>
      <w:r>
        <w:t xml:space="preserve"> </w:t>
      </w:r>
      <w:r>
        <w:t xml:space="preserve">An evaluation of the macro-economic costs of a range of climate hazards was carried out for</w:t>
      </w:r>
      <w:r>
        <w:t xml:space="preserve"> </w:t>
      </w:r>
      <w:r>
        <w:t xml:space="preserve">this impact assessment, using the NEMESIS macro-econometric model. The NEMESIS</w:t>
      </w:r>
      <w:r>
        <w:t xml:space="preserve"> </w:t>
      </w:r>
      <w:r>
        <w:t xml:space="preserve">model (New Econometric Model of Evaluation by Sectoral Interdependency and Supply) is a</w:t>
      </w:r>
      <w:r>
        <w:t xml:space="preserve"> </w:t>
      </w:r>
      <w:r>
        <w:t xml:space="preserve">sectoral detailed macroeconomic model for the European Union devoted to study issues that</w:t>
      </w:r>
      <w:r>
        <w:t xml:space="preserve"> </w:t>
      </w:r>
      <w:r>
        <w:t xml:space="preserve">link economic development, competitiveness, employment, and public accounts to economic</w:t>
      </w:r>
      <w:r>
        <w:t xml:space="preserve"> </w:t>
      </w:r>
      <w:r>
        <w:t xml:space="preserve">policies, and notably all structural policies involving long term effects. The essential purpose</w:t>
      </w:r>
      <w:r>
        <w:t xml:space="preserve"> </w:t>
      </w:r>
      <w:r>
        <w:t xml:space="preserve">of the model is to provide a consolidated framework to realise “business as usual” (BAU)</w:t>
      </w:r>
      <w:r>
        <w:t xml:space="preserve"> </w:t>
      </w:r>
      <w:r>
        <w:t xml:space="preserve">scenarios (or other alternative scenarios), up to 30 to 40 years, and to assess the</w:t>
      </w:r>
      <w:r>
        <w:t xml:space="preserve"> </w:t>
      </w:r>
      <w:r>
        <w:t xml:space="preserve">socioeconomic impact of the implementation of all additional policies not already</w:t>
      </w:r>
      <w:r>
        <w:t xml:space="preserve"> </w:t>
      </w:r>
      <w:r>
        <w:t xml:space="preserve">implemented in the BAU.</w:t>
      </w:r>
      <w:r>
        <w:br/>
      </w:r>
      <w:r>
        <w:t xml:space="preserve">NEMESIS includes a detailed energy-environment module that allows the model to deal with</w:t>
      </w:r>
      <w:r>
        <w:t xml:space="preserve"> </w:t>
      </w:r>
      <w:r>
        <w:t xml:space="preserve">climate mitigation policies, at EU and EU-national level. In this Impact Assessment,</w:t>
      </w:r>
      <w:r>
        <w:t xml:space="preserve"> </w:t>
      </w:r>
      <w:r>
        <w:t xml:space="preserve">NEMESIS is used to assess the macro-economic impacts of climate-related weather events</w:t>
      </w:r>
      <w:r>
        <w:t xml:space="preserve"> </w:t>
      </w:r>
      <w:r>
        <w:t xml:space="preserve">and climate change in general. The analysis follows an approach similar to the one of the JRC</w:t>
      </w:r>
      <w:r>
        <w:t xml:space="preserve"> </w:t>
      </w:r>
      <w:r>
        <w:t xml:space="preserve">PESETA IV study mentioned in the literature review.</w:t>
      </w:r>
      <w:r>
        <w:t xml:space="preserve"> </w:t>
      </w:r>
      <w:r>
        <w:t xml:space="preserve">1.2.2 Analysing land and forestry.</w:t>
      </w:r>
      <w:r>
        <w:t xml:space="preserve"> </w:t>
      </w:r>
      <w:r>
        <w:t xml:space="preserve">The GLOBIOM model was used to project impacts of climate change and natural</w:t>
      </w:r>
      <w:r>
        <w:t xml:space="preserve"> </w:t>
      </w:r>
      <w:r>
        <w:t xml:space="preserve">disturbances on the LULUCF sector by different Representative Concentration Pathways</w:t>
      </w:r>
      <w:r>
        <w:t xml:space="preserve"> </w:t>
      </w:r>
      <w:r>
        <w:t xml:space="preserve">(RCP 2.6 and 7.0). CMIP6 climate data, four General Circulation Models along with</w:t>
      </w:r>
      <w:r>
        <w:t xml:space="preserve"> </w:t>
      </w:r>
      <w:r>
        <w:t xml:space="preserve">predicted changes in climate variables from RPCs were used as an input to 3PGmix for</w:t>
      </w:r>
      <w:r>
        <w:t xml:space="preserve"> </w:t>
      </w:r>
      <w:r>
        <w:t xml:space="preserve">forestry to analyse biophysical impacts on crop and forest productivities. These impacts were</w:t>
      </w:r>
      <w:r>
        <w:t xml:space="preserve"> </w:t>
      </w:r>
      <w:r>
        <w:t xml:space="preserve">then integrated into the GLOBIOM and G4M model to assess the changes in the LULUCF</w:t>
      </w:r>
      <w:r>
        <w:t xml:space="preserve"> </w:t>
      </w:r>
      <w:r>
        <w:t xml:space="preserve">sector.</w:t>
      </w:r>
      <w:r>
        <w:t xml:space="preserve"> </w:t>
      </w:r>
      <w:r>
        <w:t xml:space="preserve">The model projects regional impacts by different tree species and different types of natural</w:t>
      </w:r>
      <w:r>
        <w:t xml:space="preserve"> </w:t>
      </w:r>
      <w:r>
        <w:t xml:space="preserve">disturbances. This involves assessing the effect of climatic trends on temperature and</w:t>
      </w:r>
      <w:r>
        <w:t xml:space="preserve"> </w:t>
      </w:r>
      <w:r>
        <w:t xml:space="preserve">precipitation, using process-based models to estimate the effect of resulting temperature and</w:t>
      </w:r>
      <w:r>
        <w:t xml:space="preserve"> </w:t>
      </w:r>
      <w:r>
        <w:t xml:space="preserve">precipitation on productivity, and using equilibrium models to estimate the impacts and</w:t>
      </w:r>
      <w:r>
        <w:t xml:space="preserve"> </w:t>
      </w:r>
      <w:r>
        <w:t xml:space="preserve">adaptations on the agricultural market and the environment.</w:t>
      </w:r>
    </w:p>
    <w:p>
      <w:pPr>
        <w:pStyle w:val="Compact"/>
        <w:numPr>
          <w:ilvl w:val="0"/>
          <w:numId w:val="1002"/>
        </w:numPr>
      </w:pPr>
      <w:r>
        <w:t xml:space="preserve">MIDAS: https://web.jrc.ec.europa.eu/policy-model-inventory/</w:t>
      </w:r>
    </w:p>
    <w:p>
      <w:pPr>
        <w:pStyle w:val="FirstParagraph"/>
      </w:pPr>
      <w:r>
        <w:t xml:space="preserve">5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ANALYSIS OF FUTURE GHG EMISSIONS</w:t>
      </w:r>
      <w:r>
        <w:br/>
      </w:r>
      <w:r>
        <w:t xml:space="preserve">2.1</w:t>
      </w:r>
      <w:r>
        <w:t xml:space="preserve"> </w:t>
      </w:r>
      <w:r>
        <w:t xml:space="preserve">Models (4)</w:t>
      </w:r>
      <w:r>
        <w:t xml:space="preserve"> </w:t>
      </w:r>
      <w:r>
        <w:t xml:space="preserve">The projections for this Impact Assessment are performed with the help of state-of-the-art,</w:t>
      </w:r>
      <w:r>
        <w:t xml:space="preserve"> </w:t>
      </w:r>
      <w:r>
        <w:t xml:space="preserve">computational models for energy and GHG system analysis, which follow an approach based</w:t>
      </w:r>
      <w:r>
        <w:t xml:space="preserve"> </w:t>
      </w:r>
      <w:r>
        <w:t xml:space="preserve">on micro-economics, solve a price-driven market equilibrium, and integrate engineering and</w:t>
      </w:r>
      <w:r>
        <w:t xml:space="preserve"> </w:t>
      </w:r>
      <w:r>
        <w:t xml:space="preserve">economic representations for all sectors. The models use peer-reviewed assumptions and</w:t>
      </w:r>
      <w:r>
        <w:t xml:space="preserve"> </w:t>
      </w:r>
      <w:r>
        <w:t xml:space="preserve">detailed and up-to-date databases to produce projections per sector and per country.</w:t>
      </w:r>
      <w:r>
        <w:t xml:space="preserve"> </w:t>
      </w:r>
      <w:r>
        <w:t xml:space="preserve">Calibration ensures continuity between historical data and projections.</w:t>
      </w:r>
      <w:r>
        <w:t xml:space="preserve"> </w:t>
      </w:r>
      <w:r>
        <w:t xml:space="preserve">2.1.1 Main modelling suite for GHG emissions</w:t>
      </w:r>
      <w:r>
        <w:t xml:space="preserve"> </w:t>
      </w:r>
      <w:r>
        <w:t xml:space="preserve">The main modelling suite (Figure 1) is common to the one used for the Commission’s</w:t>
      </w:r>
      <w:r>
        <w:t xml:space="preserve"> </w:t>
      </w:r>
      <w:r>
        <w:t xml:space="preserve">proposal for Long Term Strategy (5), the 2030 Climate Target Plan (6), and the EU Reference</w:t>
      </w:r>
      <w:r>
        <w:t xml:space="preserve"> </w:t>
      </w:r>
      <w:r>
        <w:t xml:space="preserve">Scenario 2020 (7) as well as for the most recent modelling exercises supporting the Fit for</w:t>
      </w:r>
      <w:r>
        <w:t xml:space="preserve"> </w:t>
      </w:r>
      <w:r>
        <w:t xml:space="preserve">55 (8) and the REPowerEU (9) policy frameworks.</w:t>
      </w:r>
      <w:r>
        <w:br/>
      </w:r>
      <w:r>
        <w:t xml:space="preserve">Figure 1: Main modelling suite used for GHG projections.</w:t>
      </w:r>
    </w:p>
    <w:p>
      <w:pPr>
        <w:pStyle w:val="BodyText"/>
      </w:pPr>
      <w:r>
        <w:t xml:space="preserve">The modelling capacity consists of a series of interlinked models well known to the modelling</w:t>
      </w:r>
      <w:r>
        <w:t xml:space="preserve"> </w:t>
      </w:r>
      <w:r>
        <w:t xml:space="preserve">community (10). These are continuously improved with cutting edge features and are managed</w:t>
      </w:r>
    </w:p>
    <w:p>
      <w:pPr>
        <w:pStyle w:val="Compact"/>
        <w:numPr>
          <w:ilvl w:val="0"/>
          <w:numId w:val="1003"/>
        </w:numPr>
      </w:pPr>
      <w:r>
        <w:t xml:space="preserve">The model-based analysis is a technical exercise based on a number of assumptions that are shared across</w:t>
      </w:r>
      <w:r>
        <w:t xml:space="preserve"> </w:t>
      </w:r>
      <w:r>
        <w:t xml:space="preserve">scenarios. Its results do not prejudge the future design of the post-2030 policy framework.</w:t>
      </w:r>
    </w:p>
    <w:p>
      <w:pPr>
        <w:pStyle w:val="Compact"/>
        <w:numPr>
          <w:ilvl w:val="0"/>
          <w:numId w:val="1003"/>
        </w:numPr>
      </w:pPr>
      <w:r>
        <w:t xml:space="preserve">In-depth analysis in support of the commission communication COM (2018) 773</w:t>
      </w:r>
    </w:p>
    <w:p>
      <w:pPr>
        <w:pStyle w:val="Compact"/>
        <w:numPr>
          <w:ilvl w:val="0"/>
          <w:numId w:val="1003"/>
        </w:numPr>
      </w:pPr>
      <w:r>
        <w:t xml:space="preserve">SWD (2020) 176 final</w:t>
      </w:r>
    </w:p>
    <w:p>
      <w:pPr>
        <w:pStyle w:val="Compact"/>
        <w:numPr>
          <w:ilvl w:val="0"/>
          <w:numId w:val="1003"/>
        </w:numPr>
      </w:pPr>
      <w:r>
        <w:t xml:space="preserve">European Commission, EU reference scenario 2020: energy, transport and GHG emissions: trends to 2050,</w:t>
      </w:r>
      <w:r>
        <w:t xml:space="preserve"> </w:t>
      </w:r>
      <w:r>
        <w:t xml:space="preserve">Publications Office, 2021, DOI: 10.2833/3575</w:t>
      </w:r>
    </w:p>
    <w:p>
      <w:pPr>
        <w:pStyle w:val="Compact"/>
        <w:numPr>
          <w:ilvl w:val="0"/>
          <w:numId w:val="1003"/>
        </w:numPr>
      </w:pPr>
      <w:r>
        <w:t xml:space="preserve">COM (2021) 550 final</w:t>
      </w:r>
    </w:p>
    <w:p>
      <w:pPr>
        <w:pStyle w:val="Compact"/>
        <w:numPr>
          <w:ilvl w:val="0"/>
          <w:numId w:val="1003"/>
        </w:numPr>
      </w:pPr>
      <w:r>
        <w:t xml:space="preserve">SWD (2022) 230 final</w:t>
      </w:r>
    </w:p>
    <w:p>
      <w:pPr>
        <w:pStyle w:val="Compact"/>
        <w:numPr>
          <w:ilvl w:val="0"/>
          <w:numId w:val="1003"/>
        </w:numPr>
      </w:pPr>
      <w:r>
        <w:t xml:space="preserve">See for instance Ringkjøb, H. K., et al. (2018). A review of modelling tools for energy and electricity</w:t>
      </w:r>
      <w:r>
        <w:t xml:space="preserve"> </w:t>
      </w:r>
      <w:r>
        <w:t xml:space="preserve">systems with large shares of variable renewables. Renewable and Sustainable Energy Reviews, 96, 440-459</w:t>
      </w:r>
      <w:r>
        <w:t xml:space="preserve"> </w:t>
      </w:r>
      <w:r>
        <w:t xml:space="preserve">and</w:t>
      </w:r>
      <w:r>
        <w:t xml:space="preserve"> </w:t>
      </w:r>
      <w:r>
        <w:t xml:space="preserve">Angenendt,</w:t>
      </w:r>
      <w:r>
        <w:t xml:space="preserve"> </w:t>
      </w:r>
      <w:r>
        <w:t xml:space="preserve">E.,</w:t>
      </w:r>
      <w:r>
        <w:t xml:space="preserve"> </w:t>
      </w:r>
      <w:r>
        <w:t xml:space="preserve">et al. </w:t>
      </w:r>
      <w:r>
        <w:t xml:space="preserve"> </w:t>
      </w:r>
      <w:r>
        <w:t xml:space="preserve">(2018).</w:t>
      </w:r>
      <w:r>
        <w:t xml:space="preserve"> </w:t>
      </w:r>
      <w:r>
        <w:t xml:space="preserve">Modelling</w:t>
      </w:r>
      <w:r>
        <w:t xml:space="preserve"> </w:t>
      </w:r>
      <w:r>
        <w:t xml:space="preserve">and</w:t>
      </w:r>
      <w:r>
        <w:t xml:space="preserve"> </w:t>
      </w:r>
      <w:r>
        <w:t xml:space="preserve">tools</w:t>
      </w:r>
      <w:r>
        <w:t xml:space="preserve"> </w:t>
      </w:r>
      <w:r>
        <w:t xml:space="preserve">supporting</w:t>
      </w:r>
      <w:r>
        <w:t xml:space="preserve"> </w:t>
      </w:r>
      <w:r>
        <w:t xml:space="preserve">the transition</w:t>
      </w:r>
      <w:r>
        <w:t xml:space="preserve"> </w:t>
      </w:r>
      <w:r>
        <w:t xml:space="preserve">to a</w:t>
      </w:r>
      <w:r>
        <w:t xml:space="preserve"> </w:t>
      </w:r>
      <w:r>
        <w:t xml:space="preserve">bioeconomy. Bioeconomy: Shaping the Transition to a Sustainable, Biobased Economy, 289-316.</w:t>
      </w:r>
      <w:r>
        <w:t xml:space="preserve"> </w:t>
      </w:r>
      <w:r>
        <w:t xml:space="preserve">Economics</w:t>
      </w:r>
      <w:r>
        <w:t xml:space="preserve"> </w:t>
      </w:r>
      <w:r>
        <w:t xml:space="preserve">Energy</w:t>
      </w:r>
      <w:r>
        <w:t xml:space="preserve"> </w:t>
      </w:r>
      <w:r>
        <w:t xml:space="preserve">Land use &amp;</w:t>
      </w:r>
      <w:r>
        <w:t xml:space="preserve"> </w:t>
      </w:r>
      <w:r>
        <w:t xml:space="preserve">agriculture</w:t>
      </w:r>
      <w:r>
        <w:t xml:space="preserve"> </w:t>
      </w:r>
      <w:r>
        <w:t xml:space="preserve">Non-CO2 GHG</w:t>
      </w:r>
      <w:r>
        <w:t xml:space="preserve"> </w:t>
      </w:r>
      <w:r>
        <w:t xml:space="preserve">Air pollution</w:t>
      </w:r>
      <w:r>
        <w:t xml:space="preserve"> </w:t>
      </w:r>
      <w:r>
        <w:t xml:space="preserve">GEM-E3</w:t>
      </w:r>
      <w:r>
        <w:t xml:space="preserve"> </w:t>
      </w:r>
      <w:r>
        <w:t xml:space="preserve">Population &amp; GDP</w:t>
      </w:r>
      <w:r>
        <w:t xml:space="preserve"> </w:t>
      </w:r>
      <w:r>
        <w:t xml:space="preserve">PRIMES</w:t>
      </w:r>
      <w:r>
        <w:t xml:space="preserve"> </w:t>
      </w:r>
      <w:r>
        <w:t xml:space="preserve">POLES-JRC</w:t>
      </w:r>
      <w:r>
        <w:t xml:space="preserve"> </w:t>
      </w:r>
      <w:r>
        <w:t xml:space="preserve">GLOBIOM</w:t>
      </w:r>
      <w:r>
        <w:t xml:space="preserve"> </w:t>
      </w:r>
      <w:r>
        <w:t xml:space="preserve">CAPRI</w:t>
      </w:r>
      <w:r>
        <w:t xml:space="preserve"> </w:t>
      </w:r>
      <w:r>
        <w:t xml:space="preserve">GAINS</w:t>
      </w:r>
      <w:r>
        <w:t xml:space="preserve"> </w:t>
      </w:r>
      <w:r>
        <w:t xml:space="preserve">Framework conditions</w:t>
      </w:r>
      <w:r>
        <w:t xml:space="preserve"> </w:t>
      </w:r>
      <w:r>
        <w:t xml:space="preserve">Economic structure</w:t>
      </w:r>
      <w:r>
        <w:t xml:space="preserve"> </w:t>
      </w:r>
      <w:r>
        <w:t xml:space="preserve">Global system</w:t>
      </w:r>
      <w:r>
        <w:t xml:space="preserve"> </w:t>
      </w:r>
      <w:r>
        <w:t xml:space="preserve">EU energy system</w:t>
      </w:r>
      <w:r>
        <w:t xml:space="preserve"> </w:t>
      </w:r>
      <w:r>
        <w:t xml:space="preserve">EU</w:t>
      </w:r>
      <w:r>
        <w:t xml:space="preserve"> </w:t>
      </w:r>
      <w:r>
        <w:t xml:space="preserve">agriculture</w:t>
      </w:r>
      <w:r>
        <w:t xml:space="preserve"> </w:t>
      </w:r>
      <w:r>
        <w:t xml:space="preserve">Global, EU</w:t>
      </w:r>
      <w:r>
        <w:t xml:space="preserve"> </w:t>
      </w:r>
      <w:r>
        <w:t xml:space="preserve">PRIMES-TREMOVE</w:t>
      </w:r>
      <w:r>
        <w:t xml:space="preserve"> </w:t>
      </w:r>
      <w:r>
        <w:t xml:space="preserve">EU transport system</w:t>
      </w:r>
      <w:r>
        <w:t xml:space="preserve"> </w:t>
      </w:r>
      <w:r>
        <w:t xml:space="preserve">Global &amp;</w:t>
      </w:r>
      <w:r>
        <w:t xml:space="preserve"> </w:t>
      </w:r>
      <w:r>
        <w:t xml:space="preserve">EU forestry+LU</w:t>
      </w:r>
    </w:p>
    <w:p>
      <w:pPr>
        <w:pStyle w:val="FirstParagraph"/>
      </w:pPr>
      <w:r>
        <w:t xml:space="preserve">6</w:t>
      </w:r>
    </w:p>
    <w:p>
      <w:pPr>
        <w:pStyle w:val="BodyText"/>
      </w:pPr>
      <w:r>
        <w:t xml:space="preserve">from a team of highly experienced staff who have been working alongside the European</w:t>
      </w:r>
      <w:r>
        <w:t xml:space="preserve"> </w:t>
      </w:r>
      <w:r>
        <w:t xml:space="preserve">Commission for many years in policy analysis, and therefore understand the scientific,</w:t>
      </w:r>
      <w:r>
        <w:t xml:space="preserve"> </w:t>
      </w:r>
      <w:r>
        <w:t xml:space="preserve">technical and policy requirements to carry out modelling exercises. The models combine</w:t>
      </w:r>
      <w:r>
        <w:t xml:space="preserve"> </w:t>
      </w:r>
      <w:r>
        <w:t xml:space="preserve">technical and economic methodologies assessing GHG pathways and associated system cost.</w:t>
      </w:r>
      <w:r>
        <w:t xml:space="preserve"> </w:t>
      </w:r>
      <w:r>
        <w:t xml:space="preserve">It allows to project the evolution of all GHG net emissions from the EU economy up to 2050.</w:t>
      </w:r>
      <w:r>
        <w:t xml:space="preserve"> </w:t>
      </w:r>
      <w:r>
        <w:t xml:space="preserve">The GHG pathways are assessed through high-quality sectoral-specific models: the PRIMES</w:t>
      </w:r>
      <w:r>
        <w:t xml:space="preserve"> </w:t>
      </w:r>
      <w:r>
        <w:t xml:space="preserve">and PRIMES-TREMOVE models are the core elements of the modelling framework for</w:t>
      </w:r>
      <w:r>
        <w:t xml:space="preserve"> </w:t>
      </w:r>
      <w:r>
        <w:t xml:space="preserve">energy, transport, and CO2 emission projections. The PRIMES model has been assessed and</w:t>
      </w:r>
      <w:r>
        <w:t xml:space="preserve"> </w:t>
      </w:r>
      <w:r>
        <w:t xml:space="preserve">used extensively by several services in the European Commission in the past, which has led to</w:t>
      </w:r>
      <w:r>
        <w:t xml:space="preserve"> </w:t>
      </w:r>
      <w:r>
        <w:t xml:space="preserve">significant model development and refinement over time. It is also used extensively by</w:t>
      </w:r>
      <w:r>
        <w:t xml:space="preserve"> </w:t>
      </w:r>
      <w:r>
        <w:t xml:space="preserve">Member States and stakeholders and has been at the basis of numerous refereed publications</w:t>
      </w:r>
      <w:r>
        <w:t xml:space="preserve"> </w:t>
      </w:r>
      <w:r>
        <w:t xml:space="preserve">in the past decades (11).</w:t>
      </w:r>
      <w:r>
        <w:br/>
      </w:r>
      <w:r>
        <w:t xml:space="preserve">The GAINS model was used as the main modelling tool to estimate air pollutant emissions</w:t>
      </w:r>
      <w:r>
        <w:t xml:space="preserve"> </w:t>
      </w:r>
      <w:r>
        <w:t xml:space="preserve">and their impacts on human health and the environment, as well as non-CO2 GHG emissions.</w:t>
      </w:r>
      <w:r>
        <w:t xml:space="preserve"> </w:t>
      </w:r>
      <w:r>
        <w:t xml:space="preserve">The GAINS model has been assessed and used extensively by several services in the</w:t>
      </w:r>
      <w:r>
        <w:t xml:space="preserve"> </w:t>
      </w:r>
      <w:r>
        <w:t xml:space="preserve">European Commission, which has led to significant model development and fine-tuning over</w:t>
      </w:r>
      <w:r>
        <w:t xml:space="preserve"> </w:t>
      </w:r>
      <w:r>
        <w:t xml:space="preserve">time. In addition, GAINS is extensively used by Member States and stakeholders and has</w:t>
      </w:r>
      <w:r>
        <w:t xml:space="preserve"> </w:t>
      </w:r>
      <w:r>
        <w:t xml:space="preserve">been at the basis of numerous peer-reviewed publications over the last decades (12).</w:t>
      </w:r>
      <w:r>
        <w:t xml:space="preserve"> </w:t>
      </w:r>
      <w:r>
        <w:t xml:space="preserve">The GLOBIOM/G4M model-suite (called “GLOBIOM” in this impact assessment) was used</w:t>
      </w:r>
      <w:r>
        <w:t xml:space="preserve"> </w:t>
      </w:r>
      <w:r>
        <w:t xml:space="preserve">to cover all LULUCF-related GHG emissions in this impact assessment, biomass supply for</w:t>
      </w:r>
      <w:r>
        <w:t xml:space="preserve"> </w:t>
      </w:r>
      <w:r>
        <w:t xml:space="preserve">bioenergy, and aspects of biodiversity. GLOBIOM has been used extensively by the European</w:t>
      </w:r>
      <w:r>
        <w:t xml:space="preserve"> </w:t>
      </w:r>
      <w:r>
        <w:t xml:space="preserve">Commission in the past (13) and has been refined and developed over time fitting the</w:t>
      </w:r>
      <w:r>
        <w:t xml:space="preserve"> </w:t>
      </w:r>
      <w:r>
        <w:t xml:space="preserve">Commission’s needs and Member States feedback. In addition, the model-suite is being</w:t>
      </w:r>
      <w:r>
        <w:t xml:space="preserve"> </w:t>
      </w:r>
      <w:r>
        <w:t xml:space="preserve">continuously enhanced in collaboration within large research consortia, including over 30</w:t>
      </w:r>
      <w:r>
        <w:t xml:space="preserve"> </w:t>
      </w:r>
      <w:r>
        <w:t xml:space="preserve">Horizon Europe and Horizon 2020 projects (14). The models are the basis of more than 200</w:t>
      </w:r>
      <w:r>
        <w:t xml:space="preserve"> </w:t>
      </w:r>
      <w:r>
        <w:t xml:space="preserve">refereed publications (15) and have been supporting national (16) and international policy</w:t>
      </w:r>
      <w:r>
        <w:t xml:space="preserve"> </w:t>
      </w:r>
      <w:r>
        <w:t xml:space="preserve">processes (UN ICAO, IPCC, IPBES) (17). GLOBIOM has also been frequently challenged in</w:t>
      </w:r>
      <w:r>
        <w:t xml:space="preserve"> </w:t>
      </w:r>
      <w:r>
        <w:t xml:space="preserve">model intercomparisons (18).</w:t>
      </w:r>
    </w:p>
    <w:p>
      <w:pPr>
        <w:pStyle w:val="Compact"/>
        <w:numPr>
          <w:ilvl w:val="0"/>
          <w:numId w:val="1004"/>
        </w:numPr>
      </w:pPr>
      <w:r>
        <w:t xml:space="preserve">PRIMES, selected publications: https://e3modelling.com/publications/</w:t>
      </w:r>
    </w:p>
    <w:p>
      <w:pPr>
        <w:pStyle w:val="Compact"/>
        <w:numPr>
          <w:ilvl w:val="0"/>
          <w:numId w:val="1004"/>
        </w:numPr>
      </w:pPr>
      <w:r>
        <w:t xml:space="preserve">GAINS, selected publications: https://gains.iiasa.ac.at/models/gains_tech_reports.html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GLOBIOM/G4M was amongst others used in the following European Commission’s policy impact</w:t>
      </w:r>
      <w:r>
        <w:t xml:space="preserve"> </w:t>
      </w:r>
      <w:r>
        <w:t xml:space="preserve">assessments: European strategic long-term vision for a prosperous, modern, competitive and climate neutral</w:t>
      </w:r>
      <w:r>
        <w:t xml:space="preserve"> </w:t>
      </w:r>
      <w:r>
        <w:t xml:space="preserve">economy (COM (2018) 773); 2030 Climate Target Plan (SWD (2020) 176 final); proposal for a revision of</w:t>
      </w:r>
      <w:r>
        <w:t xml:space="preserve"> </w:t>
      </w:r>
      <w:r>
        <w:t xml:space="preserve">the LULLUCF Regulation under the Fit-for-55 policy package (COM (2021) 554 final); FMRL calculations</w:t>
      </w:r>
      <w:r>
        <w:t xml:space="preserve"> </w:t>
      </w:r>
      <w:r>
        <w:t xml:space="preserve">under the JRC Approach, UNFCCC (2011). Synthesis report of the technical assessments of the forest</w:t>
      </w:r>
      <w:r>
        <w:t xml:space="preserve"> </w:t>
      </w:r>
      <w:r>
        <w:t xml:space="preserve">management reference level submissions. Ad Hoc Working Group on Further Commitments for Annex I</w:t>
      </w:r>
      <w:r>
        <w:t xml:space="preserve"> </w:t>
      </w:r>
      <w:r>
        <w:t xml:space="preserve">Parties under the Kyoto Protocol Sixteenth session, part four Durban, 29 November 2011.</w:t>
      </w:r>
      <w:r>
        <w:t xml:space="preserve"> </w:t>
      </w:r>
      <w:r>
        <w:t xml:space="preserve">FCCC/KP/AWG/2011/INF.2.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e.g., https://www.lamasus.eu/; https://www.forestnavigator.eu/; https://brightspace-project.eu/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https://iiasa.github.io/GLOBIOM/publications.html#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E.g. EPA Technical Document, EPA-420-R-23-017.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ICAO: https://iiasa.ac.at/impacts/jan-2021/assessing-biofuels-for-transport; IPCC: Guivarch, C., et al. </w:t>
      </w:r>
      <w:r>
        <w:t xml:space="preserve"> </w:t>
      </w:r>
      <w:r>
        <w:t xml:space="preserve">(2022). Annex III: Scenarios and modelling methods. In: IPCC 2022: Climate Change 2022: Mitigation of</w:t>
      </w:r>
      <w:r>
        <w:t xml:space="preserve"> </w:t>
      </w:r>
      <w:r>
        <w:t xml:space="preserve">Climate Change. Contribution of Working Group III to the Sixth Assessment Report of the</w:t>
      </w:r>
      <w:r>
        <w:t xml:space="preserve"> </w:t>
      </w:r>
      <w:r>
        <w:t xml:space="preserve">Intergovernmental Panel on Climate Change. Eds. Shukla, A.R., et al., pp. 1842-1908 Cambridge University</w:t>
      </w:r>
    </w:p>
    <w:p>
      <w:pPr>
        <w:pStyle w:val="FirstParagraph"/>
      </w:pPr>
      <w:r>
        <w:t xml:space="preserve">7</w:t>
      </w:r>
    </w:p>
    <w:p>
      <w:pPr>
        <w:pStyle w:val="BodyText"/>
      </w:pPr>
      <w:r>
        <w:t xml:space="preserve">The CAPRI model was used to assess impacts from agricultural, trade and environmental</w:t>
      </w:r>
      <w:r>
        <w:t xml:space="preserve"> </w:t>
      </w:r>
      <w:r>
        <w:t xml:space="preserve">policies on agriculture as well as biodiversity aspects linked to agriculture. The CAPRI model</w:t>
      </w:r>
      <w:r>
        <w:t xml:space="preserve"> </w:t>
      </w:r>
      <w:r>
        <w:t xml:space="preserve">is constantly updated and further developed through projects for different Commission</w:t>
      </w:r>
      <w:r>
        <w:t xml:space="preserve"> </w:t>
      </w:r>
      <w:r>
        <w:t xml:space="preserve">services (19) including Horizon projects and assessments of the Common Agricultural</w:t>
      </w:r>
      <w:r>
        <w:t xml:space="preserve"> </w:t>
      </w:r>
      <w:r>
        <w:t xml:space="preserve">Policy (20). It has proven its quality to assess agricultural GHG emissions in numerous peer-</w:t>
      </w:r>
      <w:r>
        <w:t xml:space="preserve"> </w:t>
      </w:r>
      <w:r>
        <w:t xml:space="preserve">reviewed publications (21) and is used by several research teams in the field throughout</w:t>
      </w:r>
      <w:r>
        <w:t xml:space="preserve"> </w:t>
      </w:r>
      <w:r>
        <w:t xml:space="preserve">Europe (22).</w:t>
      </w:r>
      <w:r>
        <w:br/>
      </w:r>
      <w:r>
        <w:t xml:space="preserve">Three macro-economic models with distinct methodological underpinnings were used to</w:t>
      </w:r>
      <w:r>
        <w:t xml:space="preserve"> </w:t>
      </w:r>
      <w:r>
        <w:t xml:space="preserve">assess the socio-economic impact of the target options and assess the robustness of the key</w:t>
      </w:r>
      <w:r>
        <w:t xml:space="preserve"> </w:t>
      </w:r>
      <w:r>
        <w:t xml:space="preserve">findings. The JRC’s GEM-E3 was used as the core model and is a recursive dynamic</w:t>
      </w:r>
      <w:r>
        <w:t xml:space="preserve"> </w:t>
      </w:r>
      <w:r>
        <w:t xml:space="preserve">computable general equilibrium model. The model has underpinned numerous refereed</w:t>
      </w:r>
      <w:r>
        <w:t xml:space="preserve"> </w:t>
      </w:r>
      <w:r>
        <w:t xml:space="preserve">publications (23). DG ECFIN’s E-QUEST model complemented the analysis. It is a variant of</w:t>
      </w:r>
      <w:r>
        <w:t xml:space="preserve"> </w:t>
      </w:r>
      <w:r>
        <w:t xml:space="preserve">QUEST, a dynamic stochastic general equilibrium model in the New-Keynesian tradition that</w:t>
      </w:r>
      <w:r>
        <w:t xml:space="preserve"> </w:t>
      </w:r>
      <w:r>
        <w:t xml:space="preserve">has been used by the European Commission for macro-economic policy and research for</w:t>
      </w:r>
      <w:r>
        <w:t xml:space="preserve"> </w:t>
      </w:r>
      <w:r>
        <w:t xml:space="preserve">decades and has led to numerous refereed publications (24). Finally, Cambridge Econometrics’</w:t>
      </w:r>
      <w:r>
        <w:t xml:space="preserve"> </w:t>
      </w:r>
      <w:r>
        <w:t xml:space="preserve">E3ME macro-econometric model has been used as a third tool to assess the robustness of the</w:t>
      </w:r>
      <w:r>
        <w:t xml:space="preserve"> </w:t>
      </w:r>
      <w:r>
        <w:t xml:space="preserve">results. It has been used extensively by a range of stakeholders and has been the basis of many</w:t>
      </w:r>
      <w:r>
        <w:t xml:space="preserve"> </w:t>
      </w:r>
      <w:r>
        <w:t xml:space="preserve">refereed publications (25). The POLES-JRC model is used to provide the global climate and</w:t>
      </w:r>
      <w:r>
        <w:t xml:space="preserve"> </w:t>
      </w:r>
      <w:r>
        <w:t xml:space="preserve">energy policy context (26).</w:t>
      </w:r>
      <w:r>
        <w:br/>
      </w:r>
      <w:r>
        <w:t xml:space="preserve">The Modelling Inventory and Knowledge Management System of the European Commission</w:t>
      </w:r>
      <w:r>
        <w:t xml:space="preserve"> </w:t>
      </w:r>
      <w:r>
        <w:t xml:space="preserve">MIDAS contains detailed model description, together with a list of impact assessments and a</w:t>
      </w:r>
    </w:p>
    <w:p>
      <w:pPr>
        <w:pStyle w:val="BodyText"/>
      </w:pPr>
      <w:r>
        <w:t xml:space="preserve">Press. 10.1017/9781009157926.022.; IPBES (2019). Global assessment report on biodiversity and</w:t>
      </w:r>
      <w:r>
        <w:t xml:space="preserve"> </w:t>
      </w:r>
      <w:r>
        <w:t xml:space="preserve">ecosystem services of the Intergovernmental Science-Policy Platform on Biodiversity and Ecosystem</w:t>
      </w:r>
      <w:r>
        <w:t xml:space="preserve"> </w:t>
      </w:r>
      <w:r>
        <w:t xml:space="preserve">Services.</w:t>
      </w:r>
      <w:r>
        <w:t xml:space="preserve"> </w:t>
      </w:r>
      <w:r>
        <w:t xml:space="preserve">Brondizio,</w:t>
      </w:r>
      <w:r>
        <w:t xml:space="preserve"> </w:t>
      </w:r>
      <w:r>
        <w:t xml:space="preserve">et</w:t>
      </w:r>
      <w:r>
        <w:t xml:space="preserve"> </w:t>
      </w:r>
      <w:r>
        <w:t xml:space="preserve">al. </w:t>
      </w:r>
      <w:r>
        <w:t xml:space="preserve"> </w:t>
      </w:r>
      <w:r>
        <w:t xml:space="preserve">(edt’s).</w:t>
      </w:r>
      <w:r>
        <w:t xml:space="preserve"> </w:t>
      </w:r>
      <w:r>
        <w:t xml:space="preserve">IPBES</w:t>
      </w:r>
      <w:r>
        <w:t xml:space="preserve"> </w:t>
      </w:r>
      <w:r>
        <w:t xml:space="preserve">secretariat,</w:t>
      </w:r>
      <w:r>
        <w:t xml:space="preserve"> </w:t>
      </w:r>
      <w:r>
        <w:t xml:space="preserve">Bonn,</w:t>
      </w:r>
      <w:r>
        <w:t xml:space="preserve"> </w:t>
      </w:r>
      <w:r>
        <w:t xml:space="preserve">Germany.</w:t>
      </w:r>
      <w:r>
        <w:t xml:space="preserve"> </w:t>
      </w:r>
      <w:r>
        <w:t xml:space="preserve">1148</w:t>
      </w:r>
      <w:r>
        <w:t xml:space="preserve"> </w:t>
      </w:r>
      <w:r>
        <w:t xml:space="preserve">pages.</w:t>
      </w:r>
      <w:r>
        <w:t xml:space="preserve"> </w:t>
      </w:r>
      <w:r>
        <w:t xml:space="preserve">https://doi.org/10.5281/zenodo.3831673.</w:t>
      </w:r>
      <w:r>
        <w:t xml:space="preserve"> </w:t>
      </w:r>
      <w:r>
        <w:t xml:space="preserve">(18) E.g., https://agmip.org/global-economics/; Fricko, O., Havlik, P, et al. (2017). The marker quantification of</w:t>
      </w:r>
      <w:r>
        <w:t xml:space="preserve"> </w:t>
      </w:r>
      <w:r>
        <w:t xml:space="preserve">the Shared Socioeconomic Pathway 2: A middle-of-the-road scenario for the 21st century. Global</w:t>
      </w:r>
      <w:r>
        <w:t xml:space="preserve"> </w:t>
      </w:r>
      <w:r>
        <w:t xml:space="preserve">Environmental Change 42 251-267.; Popp, A., Calvin, K., Fujimori, S., Havlik, P., et al. (2017). Land-use</w:t>
      </w:r>
      <w:r>
        <w:t xml:space="preserve"> </w:t>
      </w:r>
      <w:r>
        <w:t xml:space="preserve">futures in the shared socio-economic pathways. Global Environmental Change 42 331-345.</w:t>
      </w:r>
      <w:r>
        <w:br/>
      </w:r>
      <w:r>
        <w:t xml:space="preserve">(19) https://www.capri-model.org/doku.php?id=capri:project</w:t>
      </w:r>
      <w:r>
        <w:br/>
      </w:r>
      <w:r>
        <w:t xml:space="preserve">(20) European Commission, Joint Research Centre, Barreiro-Hurle, J., Bogonos, M., Himics, M. et al., Modelling</w:t>
      </w:r>
      <w:r>
        <w:t xml:space="preserve"> </w:t>
      </w:r>
      <w:r>
        <w:t xml:space="preserve">environmental and climatic ambition in the agricultural sector with the CAPRI model – Exploring the</w:t>
      </w:r>
      <w:r>
        <w:t xml:space="preserve"> </w:t>
      </w:r>
      <w:r>
        <w:t xml:space="preserve">potential effects of selected farm to fork and biodiversity strategies targets in the framework of the 2030</w:t>
      </w:r>
      <w:r>
        <w:t xml:space="preserve"> </w:t>
      </w:r>
      <w:r>
        <w:t xml:space="preserve">climate targets and the post 2020 Common Agricultural Policy, Publications Office, 2021,</w:t>
      </w:r>
      <w:r>
        <w:t xml:space="preserve"> </w:t>
      </w:r>
      <w:r>
        <w:t xml:space="preserve">https://data.europa.eu/doi/10.2760/98160</w:t>
      </w:r>
      <w:r>
        <w:br/>
      </w:r>
      <w:r>
        <w:t xml:space="preserve">(21) CAPRI, selected publications: https://www.capri-model.org/doku.php?id=capri:capri_pub</w:t>
      </w:r>
      <w:r>
        <w:br/>
      </w:r>
      <w:r>
        <w:t xml:space="preserve">(22) E.g., DG-JRC (IPTS, Seville and IES Ispra); European Centre for Agricultural, Regional and Environmental</w:t>
      </w:r>
      <w:r>
        <w:t xml:space="preserve"> </w:t>
      </w:r>
      <w:r>
        <w:t xml:space="preserve">Policy Research (EUROCARE)</w:t>
      </w:r>
      <w:r>
        <w:t xml:space="preserve"> </w:t>
      </w:r>
      <w:r>
        <w:t xml:space="preserve">(23)</w:t>
      </w:r>
      <w:r>
        <w:t xml:space="preserve"> </w:t>
      </w:r>
      <w:r>
        <w:t xml:space="preserve">JRC-GEM-E3,</w:t>
      </w:r>
      <w:r>
        <w:t xml:space="preserve"> </w:t>
      </w:r>
      <w:r>
        <w:t xml:space="preserve">selected</w:t>
      </w:r>
      <w:r>
        <w:t xml:space="preserve"> </w:t>
      </w:r>
      <w:r>
        <w:t xml:space="preserve">publications:</w:t>
      </w:r>
      <w:r>
        <w:t xml:space="preserve"> </w:t>
      </w:r>
      <w:r>
        <w:t xml:space="preserve">https://joint-research-centre.ec.europa.eu/gem-e3/gem-e3-</w:t>
      </w:r>
      <w:r>
        <w:t xml:space="preserve"> </w:t>
      </w:r>
      <w:r>
        <w:t xml:space="preserve">publications_en</w:t>
      </w:r>
      <w:r>
        <w:t xml:space="preserve"> </w:t>
      </w:r>
      <w:r>
        <w:t xml:space="preserve">(24) QUEST (E-QUEST), selected publications: https://economy-finance.ec.europa.eu/economic-research-and-</w:t>
      </w:r>
      <w:r>
        <w:t xml:space="preserve"> </w:t>
      </w:r>
      <w:r>
        <w:t xml:space="preserve">databases/economic-research/macroeconomic-models/quest-macroeconomic-model_en</w:t>
      </w:r>
      <w:r>
        <w:t xml:space="preserve"> </w:t>
      </w:r>
      <w:r>
        <w:t xml:space="preserve">(25) E3ME, selected publications: https://www.e3me.com/how/papers/</w:t>
      </w:r>
      <w:r>
        <w:t xml:space="preserve"> </w:t>
      </w:r>
      <w:r>
        <w:t xml:space="preserve">(26) The POLES-JRC model is the main tool used for the JRC “Global Energy and Climate Outlook” GECO</w:t>
      </w:r>
      <w:r>
        <w:t xml:space="preserve"> </w:t>
      </w:r>
      <w:r>
        <w:t xml:space="preserve">report series, which provides a detailed analysis of the evolution of global GHG emissions under national</w:t>
      </w:r>
      <w:r>
        <w:t xml:space="preserve"> </w:t>
      </w:r>
      <w:r>
        <w:t xml:space="preserve">climate and energy pledges and of global pathways compatible with the Paris Agreement temperature</w:t>
      </w:r>
      <w:r>
        <w:t xml:space="preserve"> </w:t>
      </w:r>
      <w:r>
        <w:t xml:space="preserve">objectives.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selection of most relevant peer-reviewed publications where the models have been used (27).</w:t>
      </w:r>
      <w:r>
        <w:br/>
      </w:r>
      <w:r>
        <w:t xml:space="preserve">A summary, including specific information on how the model has been applied in the impact</w:t>
      </w:r>
      <w:r>
        <w:t xml:space="preserve"> </w:t>
      </w:r>
      <w:r>
        <w:t xml:space="preserve">assessment, is reported in the Table 1 below.</w:t>
      </w:r>
      <w:r>
        <w:t xml:space="preserve"> </w:t>
      </w:r>
      <w:r>
        <w:t xml:space="preserve">Table 1: Models from the main modelling suite for GHG pathways</w:t>
      </w:r>
      <w:r>
        <w:t xml:space="preserve"> </w:t>
      </w:r>
      <w:r>
        <w:t xml:space="preserve">Model</w:t>
      </w:r>
    </w:p>
    <w:p>
      <w:pPr>
        <w:pStyle w:val="BodyText"/>
      </w:pPr>
      <w:r>
        <w:t xml:space="preserve">Main Purpose of the model in the Impact Assessment</w:t>
      </w:r>
      <w:r>
        <w:t xml:space="preserve"> </w:t>
      </w:r>
      <w:r>
        <w:t xml:space="preserve">CAPRI (28)</w:t>
      </w:r>
      <w:r>
        <w:t xml:space="preserve"> </w:t>
      </w:r>
      <w:r>
        <w:t xml:space="preserve">A global agro-economic model used to assess impacts on agriculture of agricultural, trade and</w:t>
      </w:r>
      <w:r>
        <w:t xml:space="preserve"> </w:t>
      </w:r>
      <w:r>
        <w:t xml:space="preserve">environmental policies. CAPRI provides results at a regional level and for economic and</w:t>
      </w:r>
      <w:r>
        <w:t xml:space="preserve"> </w:t>
      </w:r>
      <w:r>
        <w:t xml:space="preserve">environmental, biodiversity-related variables.</w:t>
      </w:r>
      <w:r>
        <w:t xml:space="preserve"> </w:t>
      </w:r>
      <w:r>
        <w:t xml:space="preserve">GAINS (29)</w:t>
      </w:r>
      <w:r>
        <w:t xml:space="preserve"> </w:t>
      </w:r>
      <w:r>
        <w:t xml:space="preserve">GAINS is an analytical framework for assessing future potentials and costs for reducing air</w:t>
      </w:r>
      <w:r>
        <w:t xml:space="preserve"> </w:t>
      </w:r>
      <w:r>
        <w:t xml:space="preserve">pollution impacts on human health and the environment while simultaneously mitigating climate</w:t>
      </w:r>
      <w:r>
        <w:t xml:space="preserve"> </w:t>
      </w:r>
      <w:r>
        <w:t xml:space="preserve">change through reduced greenhouse gas emissions. It explores synergies and trade-offs in cost-</w:t>
      </w:r>
      <w:r>
        <w:t xml:space="preserve"> </w:t>
      </w:r>
      <w:r>
        <w:t xml:space="preserve">effective emission control strategies so as to maximize benefits across multiple scales.</w:t>
      </w:r>
      <w:r>
        <w:t xml:space="preserve"> </w:t>
      </w:r>
      <w:r>
        <w:t xml:space="preserve">GLOBIOM (30)</w:t>
      </w:r>
      <w:r>
        <w:t xml:space="preserve"> </w:t>
      </w:r>
      <w:r>
        <w:t xml:space="preserve">GLOBIOM is a global bio-economic land use model covering the sectors of agriculture, forestry,</w:t>
      </w:r>
      <w:r>
        <w:t xml:space="preserve"> </w:t>
      </w:r>
      <w:r>
        <w:t xml:space="preserve">and bioenergy. The model has spatially explicit supply side representation covering different</w:t>
      </w:r>
      <w:r>
        <w:t xml:space="preserve"> </w:t>
      </w:r>
      <w:r>
        <w:t xml:space="preserve">management systems and land use activities. It simulates economic market equilibrium for the</w:t>
      </w:r>
      <w:r>
        <w:t xml:space="preserve"> </w:t>
      </w:r>
      <w:r>
        <w:t xml:space="preserve">analysis of economic as well as environmental consequences of future land use drivers and</w:t>
      </w:r>
      <w:r>
        <w:t xml:space="preserve"> </w:t>
      </w:r>
      <w:r>
        <w:t xml:space="preserve">polices. GLOBIOM is coupled with G4M (called “GLOBIOM” in this impact assessment)</w:t>
      </w:r>
      <w:r>
        <w:t xml:space="preserve"> </w:t>
      </w:r>
      <w:r>
        <w:t xml:space="preserve">G4M (31)</w:t>
      </w:r>
      <w:r>
        <w:t xml:space="preserve"> </w:t>
      </w:r>
      <w:r>
        <w:t xml:space="preserve">The model estimates the impact of forestry and land use change activities (forest management,</w:t>
      </w:r>
      <w:r>
        <w:t xml:space="preserve"> </w:t>
      </w:r>
      <w:r>
        <w:t xml:space="preserve">afforestation, and deforestation) on biomass and carbon stocks. G4M is coupled with GLOBIOM</w:t>
      </w:r>
      <w:r>
        <w:t xml:space="preserve"> </w:t>
      </w:r>
      <w:r>
        <w:t xml:space="preserve">(called “GLOBIOM” in this impact assessment)</w:t>
      </w:r>
      <w:r>
        <w:t xml:space="preserve"> </w:t>
      </w:r>
      <w:r>
        <w:t xml:space="preserve">PRIMES (32)</w:t>
      </w:r>
      <w:r>
        <w:t xml:space="preserve"> </w:t>
      </w:r>
      <w:r>
        <w:t xml:space="preserve">Energy system model designed to project the energy demand, supply, prices, trade, and emissions</w:t>
      </w:r>
      <w:r>
        <w:t xml:space="preserve"> </w:t>
      </w:r>
      <w:r>
        <w:t xml:space="preserve">for European countries and assess policy impacts.</w:t>
      </w:r>
      <w:r>
        <w:t xml:space="preserve"> </w:t>
      </w:r>
      <w:r>
        <w:t xml:space="preserve">PRIMES-</w:t>
      </w:r>
      <w:r>
        <w:t xml:space="preserve"> </w:t>
      </w:r>
      <w:r>
        <w:t xml:space="preserve">TREMOVE (33)</w:t>
      </w:r>
      <w:r>
        <w:t xml:space="preserve"> </w:t>
      </w:r>
      <w:r>
        <w:t xml:space="preserve">PRIMES-TREMOVE simulates the transport modelling system and projects the evolution of the</w:t>
      </w:r>
      <w:r>
        <w:t xml:space="preserve"> </w:t>
      </w:r>
      <w:r>
        <w:t xml:space="preserve">demand for passenger and freight transport by mode, energy consumption by fuel and emissions.</w:t>
      </w:r>
      <w:r>
        <w:t xml:space="preserve"> </w:t>
      </w:r>
      <w:r>
        <w:t xml:space="preserve">The model is rich in the representation of policy measures and is used to assess policy impacts.</w:t>
      </w:r>
      <w:r>
        <w:t xml:space="preserve"> </w:t>
      </w:r>
      <w:r>
        <w:t xml:space="preserve">2.1.2 Complementary tools on energy and industry CO2 emissions</w:t>
      </w:r>
      <w:r>
        <w:t xml:space="preserve"> </w:t>
      </w:r>
      <w:r>
        <w:t xml:space="preserve">The analysis of the different target options uses a multi-model approach to cross-validate</w:t>
      </w:r>
      <w:r>
        <w:t xml:space="preserve"> </w:t>
      </w:r>
      <w:r>
        <w:t xml:space="preserve">results for several critical aspects of the analysis. Additional state-of-the-art models evaluated</w:t>
      </w:r>
      <w:r>
        <w:t xml:space="preserve"> </w:t>
      </w:r>
      <w:r>
        <w:t xml:space="preserve">independently the impacts on the energy system and industrial sector, increasing the</w:t>
      </w:r>
      <w:r>
        <w:t xml:space="preserve"> </w:t>
      </w:r>
      <w:r>
        <w:t xml:space="preserve">robustness of the conclusions.</w:t>
      </w:r>
      <w:r>
        <w:br/>
      </w:r>
      <w:r>
        <w:t xml:space="preserve">In complement to the PRIMES model, the transformation of the energy system (energy and</w:t>
      </w:r>
      <w:r>
        <w:t xml:space="preserve"> </w:t>
      </w:r>
      <w:r>
        <w:t xml:space="preserve">industry CO2 trajectories, energy demand and supply, etc.) has been analysed with the peer-</w:t>
      </w:r>
      <w:r>
        <w:t xml:space="preserve"> </w:t>
      </w:r>
      <w:r>
        <w:t xml:space="preserve">reviewed POTEnCIA model, as well as by AMADEUS-METIS, EU-TIMES and POLES</w:t>
      </w:r>
      <w:r>
        <w:t xml:space="preserve"> </w:t>
      </w:r>
      <w:r>
        <w:t xml:space="preserve">models. The POTEnCIA model has been used in parallel to PRIMES, interacting with other</w:t>
      </w:r>
    </w:p>
    <w:p>
      <w:pPr>
        <w:pStyle w:val="Compact"/>
        <w:numPr>
          <w:ilvl w:val="0"/>
          <w:numId w:val="1005"/>
        </w:numPr>
      </w:pPr>
      <w:r>
        <w:t xml:space="preserve">MIDAS: https://web.jrc.ec.europa.eu/policy-model-inventory/</w:t>
      </w:r>
    </w:p>
    <w:p>
      <w:pPr>
        <w:pStyle w:val="Compact"/>
        <w:numPr>
          <w:ilvl w:val="0"/>
          <w:numId w:val="1005"/>
        </w:numPr>
      </w:pPr>
      <w:r>
        <w:t xml:space="preserve">CAPRI, selected publications: https://www.capri-model.org/doku.php?id=capri:capri_pub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GAINS, selected publications: https://gains.iiasa.ac.at/models/gains_tech_reports.html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GLOBIOM, selected publications: https://iiasa.ac.at/models-tools-data/globiom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G4M, selected publications: https://iiasa.ac.at/models-tools-data/g4m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PRIMES, selected publications: https://e3modelling.com/publications/</w:t>
      </w:r>
    </w:p>
    <w:p>
      <w:pPr>
        <w:pStyle w:val="Compact"/>
        <w:numPr>
          <w:ilvl w:val="0"/>
          <w:numId w:val="1005"/>
        </w:numPr>
      </w:pPr>
      <w:r>
        <w:t xml:space="preserve">PRIMES TREMOVE, selected publications: https://e3modelling.com/publications/</w:t>
      </w:r>
    </w:p>
    <w:p>
      <w:pPr>
        <w:pStyle w:val="FirstParagraph"/>
      </w:pPr>
      <w:r>
        <w:t xml:space="preserve">9</w:t>
      </w:r>
    </w:p>
    <w:p>
      <w:pPr>
        <w:pStyle w:val="BodyText"/>
      </w:pPr>
      <w:r>
        <w:t xml:space="preserve">sectoral models to produce similar energy system scenarios resulting from the main modelling</w:t>
      </w:r>
      <w:r>
        <w:t xml:space="preserve"> </w:t>
      </w:r>
      <w:r>
        <w:t xml:space="preserve">suite. AMADEUS-METIS, EU-TIMES and POLES have been used to indicate high-level</w:t>
      </w:r>
      <w:r>
        <w:t xml:space="preserve"> </w:t>
      </w:r>
      <w:r>
        <w:t xml:space="preserve">cost-effective decarbonisation pathways for the energy and industry CO2 sectors. The</w:t>
      </w:r>
      <w:r>
        <w:t xml:space="preserve"> </w:t>
      </w:r>
      <w:r>
        <w:t xml:space="preserve">FORECAST model has been used independently to study the impact of selected circular</w:t>
      </w:r>
      <w:r>
        <w:t xml:space="preserve"> </w:t>
      </w:r>
      <w:r>
        <w:t xml:space="preserve">economy actions on industrial decarbonisation pathways.</w:t>
      </w:r>
      <w:r>
        <w:br/>
      </w:r>
      <w:r>
        <w:t xml:space="preserve">In complement to the GLOBIOM-G4M, for this impact assessment, forest sector related</w:t>
      </w:r>
      <w:r>
        <w:t xml:space="preserve"> </w:t>
      </w:r>
      <w:r>
        <w:t xml:space="preserve">results have been cross validated with the with the JRC forest sector carbon model</w:t>
      </w:r>
      <w:r>
        <w:t xml:space="preserve"> </w:t>
      </w:r>
      <w:r>
        <w:t xml:space="preserve">(FSCM) (34), which includes the forest carbon model (EU-CBM-HAT) (35) and the harvested</w:t>
      </w:r>
      <w:r>
        <w:t xml:space="preserve"> </w:t>
      </w:r>
      <w:r>
        <w:t xml:space="preserve">wood products (HWP) module. The models independently estimate the forest sink (emissions</w:t>
      </w:r>
      <w:r>
        <w:t xml:space="preserve"> </w:t>
      </w:r>
      <w:r>
        <w:t xml:space="preserve">and removals from forest land, i.e., the major component for the LULUCF net removal) and</w:t>
      </w:r>
      <w:r>
        <w:t xml:space="preserve"> </w:t>
      </w:r>
      <w:r>
        <w:t xml:space="preserve">the changes in carbon stocks in harvested wood products. Given the importance and the</w:t>
      </w:r>
      <w:r>
        <w:t xml:space="preserve"> </w:t>
      </w:r>
      <w:r>
        <w:t xml:space="preserve">uncertainty of the forest sink in the EU, the EU-CBM-HAT model has been used to reproduce</w:t>
      </w:r>
      <w:r>
        <w:t xml:space="preserve"> </w:t>
      </w:r>
      <w:r>
        <w:t xml:space="preserve">scenario S2 from GLOBIOM (with harmonization made for the main input data and</w:t>
      </w:r>
      <w:r>
        <w:t xml:space="preserve"> </w:t>
      </w:r>
      <w:r>
        <w:t xml:space="preserve">assumptions) to test the robustness of the results and to increase quality assurance.</w:t>
      </w:r>
      <w:r>
        <w:t xml:space="preserve"> </w:t>
      </w:r>
      <w:r>
        <w:t xml:space="preserve">2.1.2.1 POTEnCIA</w:t>
      </w:r>
      <w:r>
        <w:t xml:space="preserve"> </w:t>
      </w:r>
      <w:r>
        <w:t xml:space="preserve">The Policy Oriented Tool for Energy and Climate Change Impact Assessment</w:t>
      </w:r>
      <w:r>
        <w:t xml:space="preserve"> </w:t>
      </w:r>
      <w:r>
        <w:t xml:space="preserve">(POTEnCIA) (36) is an energy system, peer-reviewed simulation model designed to compare</w:t>
      </w:r>
      <w:r>
        <w:t xml:space="preserve"> </w:t>
      </w:r>
      <w:r>
        <w:t xml:space="preserve">alternative pathways for the EU energy system, covering energy supply and all energy</w:t>
      </w:r>
      <w:r>
        <w:t xml:space="preserve"> </w:t>
      </w:r>
      <w:r>
        <w:t xml:space="preserve">demand sectors (industry, buildings, transport, and agriculture). Developed in-house by the</w:t>
      </w:r>
      <w:r>
        <w:t xml:space="preserve"> </w:t>
      </w:r>
      <w:r>
        <w:t xml:space="preserve">Joint Research Centre (JRC) to support EU policy analysis, POTEnCIA allows for the</w:t>
      </w:r>
      <w:r>
        <w:t xml:space="preserve"> </w:t>
      </w:r>
      <w:r>
        <w:t xml:space="preserve">evaluation of technology-focused policies, combined with policies addressing the decision-</w:t>
      </w:r>
      <w:r>
        <w:t xml:space="preserve"> </w:t>
      </w:r>
      <w:r>
        <w:t xml:space="preserve">making of energy users. POTEnCIA has been previously used by the European Commission</w:t>
      </w:r>
      <w:r>
        <w:t xml:space="preserve"> </w:t>
      </w:r>
      <w:r>
        <w:t xml:space="preserve">to model the use of conventional and biofuels in the EU Agricultural Outlook 2022-2032(37)</w:t>
      </w:r>
      <w:r>
        <w:t xml:space="preserve"> </w:t>
      </w:r>
      <w:r>
        <w:t xml:space="preserve">and describe the technological outlook in the Clean Energy Technology Observatory (CETO)</w:t>
      </w:r>
      <w:r>
        <w:t xml:space="preserve"> </w:t>
      </w:r>
      <w:r>
        <w:t xml:space="preserve">Report 2023 (38).</w:t>
      </w:r>
    </w:p>
    <w:p>
      <w:pPr>
        <w:numPr>
          <w:ilvl w:val="0"/>
          <w:numId w:val="1006"/>
        </w:numPr>
      </w:pPr>
      <w:r>
        <w:t xml:space="preserve">See: Pilli, R., Kull, S. J., Blujdea, V. N., &amp; Grassi, G. (2018). The carbon Budget model of the Canadian</w:t>
      </w:r>
      <w:r>
        <w:t xml:space="preserve"> </w:t>
      </w:r>
      <w:r>
        <w:t xml:space="preserve">forest sector (CBM-CFS3): customization of the archive index database for European Union countries.</w:t>
      </w:r>
      <w:r>
        <w:t xml:space="preserve"> </w:t>
      </w:r>
      <w:r>
        <w:t xml:space="preserve">Annals of forest science, 75(3), 1-7.; Pilli, R., Alkama, R., Cescatti, A., Kurz, W. A., &amp; Grassi, G. (2022).</w:t>
      </w:r>
      <w:r>
        <w:t xml:space="preserve"> </w:t>
      </w:r>
      <w:r>
        <w:t xml:space="preserve">The European forest Carbon budget under future climate conditions and current management practices.</w:t>
      </w:r>
      <w:r>
        <w:t xml:space="preserve"> </w:t>
      </w:r>
      <w:r>
        <w:t xml:space="preserve">Biogeosciences, 19(13), 3263-3284.; Pilli, R., Grassi, G., Kurz, W. A., Fiorese, G., &amp; Cescatti, A. (2017).</w:t>
      </w:r>
      <w:r>
        <w:t xml:space="preserve"> </w:t>
      </w:r>
      <w:r>
        <w:t xml:space="preserve">The European forest sector: past and future carbon budget and fluxes under different management scenarios.</w:t>
      </w:r>
      <w:r>
        <w:t xml:space="preserve"> </w:t>
      </w:r>
      <w:r>
        <w:t xml:space="preserve">Biogeosciences, 14(9), 2387-2405.</w:t>
      </w:r>
    </w:p>
    <w:p>
      <w:pPr>
        <w:numPr>
          <w:ilvl w:val="0"/>
          <w:numId w:val="1006"/>
        </w:numPr>
      </w:pPr>
      <w:r>
        <w:t xml:space="preserve">European Commission, Joint Research Centre, Blujdea, V., Rougieux, P., Pilli, R. et al., The JRC Forest</w:t>
      </w:r>
      <w:r>
        <w:t xml:space="preserve"> </w:t>
      </w:r>
      <w:r>
        <w:t xml:space="preserve">Carbon Model – Description of EU-CBM-HAT, Publications Office of the European Union, 2022,</w:t>
      </w:r>
      <w:r>
        <w:t xml:space="preserve"> </w:t>
      </w:r>
      <w:r>
        <w:t xml:space="preserve">https://data.europa.eu/doi/10.2760/244051</w:t>
      </w:r>
      <w:r>
        <w:br/>
      </w:r>
    </w:p>
    <w:p>
      <w:pPr>
        <w:numPr>
          <w:ilvl w:val="0"/>
          <w:numId w:val="1006"/>
        </w:numPr>
      </w:pPr>
      <w:r>
        <w:t xml:space="preserve">POTEnCIA,</w:t>
      </w:r>
      <w:r>
        <w:t xml:space="preserve"> </w:t>
      </w:r>
      <w:r>
        <w:t xml:space="preserve">references</w:t>
      </w:r>
      <w:r>
        <w:t xml:space="preserve"> </w:t>
      </w:r>
      <w:r>
        <w:t xml:space="preserve">for</w:t>
      </w:r>
      <w:r>
        <w:t xml:space="preserve"> </w:t>
      </w:r>
      <w:r>
        <w:t xml:space="preserve">policy</w:t>
      </w:r>
      <w:r>
        <w:t xml:space="preserve"> </w:t>
      </w:r>
      <w:r>
        <w:t xml:space="preserve">support:</w:t>
      </w:r>
      <w:r>
        <w:t xml:space="preserve"> </w:t>
      </w:r>
      <w:r>
        <w:t xml:space="preserve">https://web.jrc.ec.europa.eu/policy-model-</w:t>
      </w:r>
      <w:r>
        <w:t xml:space="preserve"> </w:t>
      </w:r>
      <w:r>
        <w:t xml:space="preserve">inventory/explore/models/model-potencia/references/,</w:t>
      </w:r>
      <w:r>
        <w:t xml:space="preserve"> </w:t>
      </w:r>
      <w:r>
        <w:t xml:space="preserve">and</w:t>
      </w:r>
      <w:r>
        <w:t xml:space="preserve"> </w:t>
      </w:r>
      <w:r>
        <w:t xml:space="preserve">selected</w:t>
      </w:r>
      <w:r>
        <w:t xml:space="preserve"> </w:t>
      </w:r>
      <w:r>
        <w:t xml:space="preserve">publications:</w:t>
      </w:r>
      <w:r>
        <w:t xml:space="preserve"> </w:t>
      </w:r>
      <w:r>
        <w:t xml:space="preserve">https://web.jrc.ec.europa.eu/policy-model-inventory/explore/models/model-potencia/references/</w:t>
      </w:r>
    </w:p>
    <w:p>
      <w:pPr>
        <w:numPr>
          <w:ilvl w:val="0"/>
          <w:numId w:val="1006"/>
        </w:numPr>
      </w:pPr>
      <w:r>
        <w:t xml:space="preserve">European Commission, DG Agriculture and Rural Development, EU agricultural outlook for markets,</w:t>
      </w:r>
      <w:r>
        <w:t xml:space="preserve"> </w:t>
      </w:r>
      <w:r>
        <w:t xml:space="preserve">income and environment, 2022-2032, 2022.</w:t>
      </w:r>
    </w:p>
    <w:p>
      <w:pPr>
        <w:numPr>
          <w:ilvl w:val="0"/>
          <w:numId w:val="1006"/>
        </w:numPr>
      </w:pPr>
      <w:r>
        <w:t xml:space="preserve">Georgakaki, A., Kuokkanen, A., Letout, S., Koolen, D., Koukoufikis, G., Murauskaite-Bull, I., Mountraki,</w:t>
      </w:r>
      <w:r>
        <w:t xml:space="preserve"> </w:t>
      </w:r>
      <w:r>
        <w:t xml:space="preserve">A., Kuzov, T., Długosz, M., Ince, E., Shtjefni, D., Taylor, N., Christou, M. and Pennington, D., Clean</w:t>
      </w:r>
      <w:r>
        <w:t xml:space="preserve"> </w:t>
      </w:r>
      <w:r>
        <w:t xml:space="preserve">Energy Technology Observatory: Overall Strategic Analysis of Clean Energy Technology in the European</w:t>
      </w:r>
      <w:r>
        <w:t xml:space="preserve"> </w:t>
      </w:r>
      <w:r>
        <w:t xml:space="preserve">Union - 2023 Status Report, Publications Office of the European Union, Luxembourg, 2023,</w:t>
      </w:r>
      <w:r>
        <w:t xml:space="preserve"> </w:t>
      </w:r>
      <w:r>
        <w:t xml:space="preserve">doi:10.2760/150096, JRC135404.</w:t>
      </w:r>
    </w:p>
    <w:p>
      <w:pPr>
        <w:pStyle w:val="FirstParagraph"/>
      </w:pPr>
      <w:r>
        <w:t xml:space="preserve">10</w:t>
      </w:r>
    </w:p>
    <w:p>
      <w:pPr>
        <w:pStyle w:val="BodyText"/>
      </w:pPr>
      <w:r>
        <w:t xml:space="preserve">2.1.2.2 AMADEUS-METIS, EU-TIMES, POLES</w:t>
      </w:r>
      <w:r>
        <w:t xml:space="preserve"> </w:t>
      </w:r>
      <w:r>
        <w:t xml:space="preserve">The EU-TIMES model (39) is the multi-region European version of TIMES, which is designed</w:t>
      </w:r>
      <w:r>
        <w:t xml:space="preserve"> </w:t>
      </w:r>
      <w:r>
        <w:t xml:space="preserve">for analysing the role of energy technologies and their innovation needs for meeting European</w:t>
      </w:r>
      <w:r>
        <w:t xml:space="preserve"> </w:t>
      </w:r>
      <w:r>
        <w:t xml:space="preserve">policy targets related to energy and climate change. The EU-TIMES model is operated by</w:t>
      </w:r>
      <w:r>
        <w:t xml:space="preserve"> </w:t>
      </w:r>
      <w:r>
        <w:t xml:space="preserve">E4SMA and considers both the supply and demand sides and includes the following seven</w:t>
      </w:r>
      <w:r>
        <w:t xml:space="preserve"> </w:t>
      </w:r>
      <w:r>
        <w:t xml:space="preserve">sectors: primary energy supply (including transformation); electricity generation; industry;</w:t>
      </w:r>
      <w:r>
        <w:t xml:space="preserve"> </w:t>
      </w:r>
      <w:r>
        <w:t xml:space="preserve">residential; commercial; agriculture; and transport. EU-TIMES can consider policies that</w:t>
      </w:r>
      <w:r>
        <w:t xml:space="preserve"> </w:t>
      </w:r>
      <w:r>
        <w:t xml:space="preserve">affect either the entire energy system, sectors, group of technologies/commodities, or single</w:t>
      </w:r>
      <w:r>
        <w:t xml:space="preserve"> </w:t>
      </w:r>
      <w:r>
        <w:t xml:space="preserve">technologies/commodities.</w:t>
      </w:r>
      <w:r>
        <w:t xml:space="preserve"> </w:t>
      </w:r>
      <w:r>
        <w:t xml:space="preserve">The POLES-Enerdata model (40) is a recognised multi-issue energy model that belong to the</w:t>
      </w:r>
      <w:r>
        <w:t xml:space="preserve"> </w:t>
      </w:r>
      <w:r>
        <w:t xml:space="preserve">Integrated Assessment Modelling (IAM) tools in support of the Paris Agreement (41). It relies</w:t>
      </w:r>
      <w:r>
        <w:t xml:space="preserve"> </w:t>
      </w:r>
      <w:r>
        <w:t xml:space="preserve">on national energy balances combined with economic, policy and technological scenarios to</w:t>
      </w:r>
      <w:r>
        <w:t xml:space="preserve"> </w:t>
      </w:r>
      <w:r>
        <w:t xml:space="preserve">withdraw energy production, consumption, and greenhouse gas (GHG) emission projections.</w:t>
      </w:r>
      <w:r>
        <w:t xml:space="preserve"> </w:t>
      </w:r>
      <w:r>
        <w:t xml:space="preserve">The model is operated by Enerdata and provides a complete endogenous calculation from</w:t>
      </w:r>
      <w:r>
        <w:t xml:space="preserve"> </w:t>
      </w:r>
      <w:r>
        <w:t xml:space="preserve">upstream activities (supply, prices of several energies including oil, gas and coal) to final user</w:t>
      </w:r>
      <w:r>
        <w:t xml:space="preserve"> </w:t>
      </w:r>
      <w:r>
        <w:t xml:space="preserve">demand. POLES-Enerdata offers a mixed approach based on:</w:t>
      </w:r>
      <w:r>
        <w:t xml:space="preserve"> </w:t>
      </w:r>
      <w:r>
        <w:t xml:space="preserve">• a “top-down” modelling for sectorial demand, which is directly related to activity,</w:t>
      </w:r>
      <w:r>
        <w:t xml:space="preserve"> </w:t>
      </w:r>
      <w:r>
        <w:t xml:space="preserve">prices and technologies through econometric equations; for each key economic sector</w:t>
      </w:r>
      <w:r>
        <w:t xml:space="preserve"> </w:t>
      </w:r>
      <w:r>
        <w:t xml:space="preserve">energy consumption is distinguished between substitutable fuels and electricity; and</w:t>
      </w:r>
      <w:r>
        <w:t xml:space="preserve"> </w:t>
      </w:r>
      <w:r>
        <w:t xml:space="preserve">• a “bottom-up” approach for the power sector (explicit representation of each type of</w:t>
      </w:r>
      <w:r>
        <w:t xml:space="preserve"> </w:t>
      </w:r>
      <w:r>
        <w:t xml:space="preserve">technology as well as their costs).</w:t>
      </w:r>
      <w:r>
        <w:br/>
      </w:r>
      <w:r>
        <w:t xml:space="preserve">The AMADEUS-METIS cluster is composed by two coupled models. METIS (42) is an</w:t>
      </w:r>
      <w:r>
        <w:t xml:space="preserve"> </w:t>
      </w:r>
      <w:r>
        <w:t xml:space="preserve">Energy system peer-reviewed model well-known to the scientific community designed to</w:t>
      </w:r>
      <w:r>
        <w:t xml:space="preserve"> </w:t>
      </w:r>
      <w:r>
        <w:t xml:space="preserve">simulate the operation of electricity, gas and heat markets and to assess impacts of policy</w:t>
      </w:r>
      <w:r>
        <w:t xml:space="preserve"> </w:t>
      </w:r>
      <w:r>
        <w:t xml:space="preserve">initiatives on the European energy system and markets. METIS is operated by Artelys and</w:t>
      </w:r>
      <w:r>
        <w:t xml:space="preserve"> </w:t>
      </w:r>
      <w:r>
        <w:t xml:space="preserve">supports DG ENER’s evidence-based policy making, and it has been largely used in previous</w:t>
      </w:r>
      <w:r>
        <w:t xml:space="preserve"> </w:t>
      </w:r>
      <w:r>
        <w:t xml:space="preserve">modelling exercises underpinning the RES policy development and implementation (43) or the</w:t>
      </w:r>
      <w:r>
        <w:t xml:space="preserve"> </w:t>
      </w:r>
      <w:r>
        <w:t xml:space="preserve">revision of the Gas Market Directive (44), among others. In certain project and in this impact</w:t>
      </w:r>
      <w:r>
        <w:t xml:space="preserve"> </w:t>
      </w:r>
      <w:r>
        <w:t xml:space="preserve">assessement, it is coupled with the model AMADEUS, which is a bottom-up model owned by</w:t>
      </w:r>
    </w:p>
    <w:p>
      <w:pPr>
        <w:pStyle w:val="Compact"/>
        <w:numPr>
          <w:ilvl w:val="0"/>
          <w:numId w:val="1007"/>
        </w:numPr>
      </w:pPr>
      <w:r>
        <w:t xml:space="preserve">EU-TIMES,</w:t>
      </w:r>
      <w:r>
        <w:t xml:space="preserve"> </w:t>
      </w:r>
      <w:r>
        <w:t xml:space="preserve">description</w:t>
      </w:r>
      <w:r>
        <w:t xml:space="preserve"> </w:t>
      </w:r>
      <w:r>
        <w:t xml:space="preserve">and</w:t>
      </w:r>
      <w:r>
        <w:t xml:space="preserve"> </w:t>
      </w:r>
      <w:r>
        <w:t xml:space="preserve">selected</w:t>
      </w:r>
      <w:r>
        <w:t xml:space="preserve"> </w:t>
      </w:r>
      <w:r>
        <w:t xml:space="preserve">publications:</w:t>
      </w:r>
    </w:p>
    <w:p>
      <w:pPr>
        <w:pStyle w:val="FirstParagraph"/>
      </w:pPr>
      <w:r>
        <w:t xml:space="preserve">https://www.i2am-</w:t>
      </w:r>
      <w:r>
        <w:t xml:space="preserve"> </w:t>
      </w:r>
      <w:r>
        <w:t xml:space="preserve">paris.eu/detailed_model_doc/eu_times https://www.i2am-paris.eu/detailed_model_doc/eu_times</w:t>
      </w:r>
      <w:r>
        <w:br/>
      </w:r>
      <w:r>
        <w:t xml:space="preserve">(40) POLES-Enerdata description and selected publications https://www.enerdata.net/solutions/poles-model.html</w:t>
      </w:r>
      <w:r>
        <w:t xml:space="preserve"> </w:t>
      </w:r>
      <w:r>
        <w:t xml:space="preserve">(41) https://www.i2am-paris.eu/detailed_model_doc/eu_times</w:t>
      </w:r>
      <w:r>
        <w:t xml:space="preserve"> </w:t>
      </w:r>
      <w:r>
        <w:t xml:space="preserve">(42) METIS, selected publications: https://web.jrc.ec.europa.eu/policy-model-inventory/explore/models/model-</w:t>
      </w:r>
      <w:r>
        <w:t xml:space="preserve"> </w:t>
      </w:r>
      <w:r>
        <w:t xml:space="preserve">metis/references/</w:t>
      </w:r>
      <w:r>
        <w:t xml:space="preserve"> </w:t>
      </w:r>
      <w:r>
        <w:t xml:space="preserve">(43) European Commission, Directorate-General for Energy, Torres Vega, P., Beaussant, O., De Vita, A.et</w:t>
      </w:r>
      <w:r>
        <w:t xml:space="preserve"> </w:t>
      </w:r>
      <w:r>
        <w:t xml:space="preserve">al., Technical support for RES policy development and implementation – Delivering on an increased</w:t>
      </w:r>
      <w:r>
        <w:t xml:space="preserve"> </w:t>
      </w:r>
      <w:r>
        <w:t xml:space="preserve">ambition through energy system integration: Final report, Publications Office, 2021. DOI 10.2833/86135.</w:t>
      </w:r>
      <w:r>
        <w:t xml:space="preserve"> </w:t>
      </w:r>
      <w:r>
        <w:t xml:space="preserve">(44) European Commission, Directorate-General for Energy, Joint Research Centre, Bossmann, T., Cornaggia,</w:t>
      </w:r>
      <w:r>
        <w:t xml:space="preserve"> </w:t>
      </w:r>
      <w:r>
        <w:t xml:space="preserve">L., Vautrin, A.et al., Assistance to assessing options improving market conditions for bio-methane and gas</w:t>
      </w:r>
      <w:r>
        <w:t xml:space="preserve"> </w:t>
      </w:r>
      <w:r>
        <w:t xml:space="preserve">market rules – Final report, Publications Office, 2021, DOI 10.2833/912333.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Engie Impact and used to define the future energy demand (45) and follows a detailed bottom-</w:t>
      </w:r>
      <w:r>
        <w:t xml:space="preserve"> </w:t>
      </w:r>
      <w:r>
        <w:t xml:space="preserve">up approach where the energy demand of each end-user is projected individually. The main</w:t>
      </w:r>
      <w:r>
        <w:t xml:space="preserve"> </w:t>
      </w:r>
      <w:r>
        <w:t xml:space="preserve">categories of end-users are the transport, residential, industry and tertiary sectors.</w:t>
      </w:r>
      <w:r>
        <w:t xml:space="preserve"> </w:t>
      </w:r>
      <w:r>
        <w:t xml:space="preserve">2.1.2.3 FORECAST</w:t>
      </w:r>
      <w:r>
        <w:t xml:space="preserve"> </w:t>
      </w:r>
      <w:r>
        <w:t xml:space="preserve">The FORECAST modelling platform aims to develop long-term scenarios for future energy</w:t>
      </w:r>
      <w:r>
        <w:t xml:space="preserve"> </w:t>
      </w:r>
      <w:r>
        <w:t xml:space="preserve">demand of individual countries and world regions until 2050. It is based on a bottom-up</w:t>
      </w:r>
      <w:r>
        <w:t xml:space="preserve"> </w:t>
      </w:r>
      <w:r>
        <w:t xml:space="preserve">modelling approach considering the dynamics of technologies and socio-economic drivers.</w:t>
      </w:r>
      <w:r>
        <w:t xml:space="preserve"> </w:t>
      </w:r>
      <w:r>
        <w:t xml:space="preserve">The model is owned by Fraunhofer ISI and allows to address various research questions</w:t>
      </w:r>
      <w:r>
        <w:t xml:space="preserve"> </w:t>
      </w:r>
      <w:r>
        <w:t xml:space="preserve">related to energy demand including scenarios for the future demand of individual energy</w:t>
      </w:r>
      <w:r>
        <w:t xml:space="preserve"> </w:t>
      </w:r>
      <w:r>
        <w:t xml:space="preserve">carriers like electricity or natural gas, calculating energy saving potentials and the impact on</w:t>
      </w:r>
      <w:r>
        <w:t xml:space="preserve"> </w:t>
      </w:r>
      <w:r>
        <w:t xml:space="preserve">greenhouse gas (GHG) emissions as well as abatement cost curves and ex-ante policy impact</w:t>
      </w:r>
      <w:r>
        <w:t xml:space="preserve"> </w:t>
      </w:r>
      <w:r>
        <w:t xml:space="preserve">assessments (46). The model has been applied to a number of studies for the European</w:t>
      </w:r>
      <w:r>
        <w:t xml:space="preserve"> </w:t>
      </w:r>
      <w:r>
        <w:t xml:space="preserve">Commission, Member States or private entities (47). The industrial module of the FORECAST</w:t>
      </w:r>
      <w:r>
        <w:t xml:space="preserve"> </w:t>
      </w:r>
      <w:r>
        <w:t xml:space="preserve">models is used in this exercise to address the impact of specific circular economy actions on</w:t>
      </w:r>
      <w:r>
        <w:t xml:space="preserve"> </w:t>
      </w:r>
      <w:r>
        <w:t xml:space="preserve">the energy and CO2 emissions of most energy-intensive industrial sectors.</w:t>
      </w:r>
      <w:r>
        <w:br/>
      </w:r>
      <w:r>
        <w:t xml:space="preserve">2.1.2.4 JRC forest sector carbon model (FSCM)</w:t>
      </w:r>
      <w:r>
        <w:t xml:space="preserve"> </w:t>
      </w:r>
      <w:r>
        <w:t xml:space="preserve">The purpose of the JRC FSCM is to independently estimate the current and future forest</w:t>
      </w:r>
      <w:r>
        <w:t xml:space="preserve"> </w:t>
      </w:r>
      <w:r>
        <w:t xml:space="preserve">carbon dynamics, both as a verification tool (i.e., to compare the results with the estimates</w:t>
      </w:r>
      <w:r>
        <w:t xml:space="preserve"> </w:t>
      </w:r>
      <w:r>
        <w:t xml:space="preserve">provided by other models and/or Member States’ GHG inventories) and to support to the EU</w:t>
      </w:r>
      <w:r>
        <w:t xml:space="preserve"> </w:t>
      </w:r>
      <w:r>
        <w:t xml:space="preserve">legislation (e.g., the recent EU Regulations 2018/841 and 2023/839). The JRC FSCM (48) is a</w:t>
      </w:r>
      <w:r>
        <w:t xml:space="preserve"> </w:t>
      </w:r>
      <w:r>
        <w:t xml:space="preserve">state-of-the-art model containing two components: the forest carbon model (EU-CBM-HAT)</w:t>
      </w:r>
      <w:r>
        <w:t xml:space="preserve"> </w:t>
      </w:r>
      <w:r>
        <w:t xml:space="preserve">(49) and the harvested wood products (HWP) module. The EU-CBM-HAT is an inventory-</w:t>
      </w:r>
      <w:r>
        <w:t xml:space="preserve"> </w:t>
      </w:r>
      <w:r>
        <w:t xml:space="preserve">based, yield and increment-curve-driven model, applying rules-based forest management and</w:t>
      </w:r>
      <w:r>
        <w:t xml:space="preserve"> </w:t>
      </w:r>
      <w:r>
        <w:t xml:space="preserve">distribution of the harvest demands that simulates the stand- and landscape-level carbon</w:t>
      </w:r>
      <w:r>
        <w:t xml:space="preserve"> </w:t>
      </w:r>
      <w:r>
        <w:t xml:space="preserve">dynamics of all forest carbon pools. The core of EU-CBM-HAT is the CBM-CFS3 model,</w:t>
      </w:r>
      <w:r>
        <w:t xml:space="preserve"> </w:t>
      </w:r>
      <w:r>
        <w:t xml:space="preserve">which has been applied in this Impact Assessment to estimate the forest carbon dynamics both</w:t>
      </w:r>
      <w:r>
        <w:t xml:space="preserve"> </w:t>
      </w:r>
      <w:r>
        <w:t xml:space="preserve">at EU and at the country level. The HWP module is plugged into EU-CBM-HAT outputs.</w:t>
      </w:r>
      <w:r>
        <w:t xml:space="preserve"> </w:t>
      </w:r>
      <w:r>
        <w:t xml:space="preserve">This implements the ‘production approach’ based on IPCC instantaneous oxidation and</w:t>
      </w:r>
      <w:r>
        <w:t xml:space="preserve"> </w:t>
      </w:r>
      <w:r>
        <w:t xml:space="preserve">default values, on the activity data submitted by the countries in the latest submission to</w:t>
      </w:r>
    </w:p>
    <w:p>
      <w:pPr>
        <w:pStyle w:val="Compact"/>
        <w:numPr>
          <w:ilvl w:val="0"/>
          <w:numId w:val="1008"/>
        </w:numPr>
      </w:pPr>
      <w:r>
        <w:t xml:space="preserve">ENGIE,</w:t>
      </w:r>
      <w:r>
        <w:t xml:space="preserve"> </w:t>
      </w:r>
      <w:r>
        <w:t xml:space="preserve">Trajectoires</w:t>
      </w:r>
      <w:r>
        <w:t xml:space="preserve"> </w:t>
      </w:r>
      <w:r>
        <w:t xml:space="preserve">de</w:t>
      </w:r>
      <w:r>
        <w:t xml:space="preserve"> </w:t>
      </w:r>
      <w:r>
        <w:t xml:space="preserve">décarbonation</w:t>
      </w:r>
      <w:r>
        <w:t xml:space="preserve"> </w:t>
      </w:r>
      <w:r>
        <w:t xml:space="preserve">de</w:t>
      </w:r>
      <w:r>
        <w:t xml:space="preserve"> </w:t>
      </w:r>
      <w:r>
        <w:t xml:space="preserve">l’Europe</w:t>
      </w:r>
    </w:p>
    <w:p>
      <w:pPr>
        <w:pStyle w:val="FirstParagraph"/>
      </w:pPr>
      <w:r>
        <w:t xml:space="preserve">:</w:t>
      </w:r>
      <w:r>
        <w:t xml:space="preserve"> </w:t>
      </w:r>
      <w:r>
        <w:t xml:space="preserve">le</w:t>
      </w:r>
      <w:r>
        <w:t xml:space="preserve"> </w:t>
      </w:r>
      <w:r>
        <w:t xml:space="preserve">scenario</w:t>
      </w:r>
      <w:r>
        <w:t xml:space="preserve"> </w:t>
      </w:r>
      <w:r>
        <w:t xml:space="preserve">ENGIE,</w:t>
      </w:r>
      <w:r>
        <w:t xml:space="preserve"> </w:t>
      </w:r>
      <w:r>
        <w:t xml:space="preserve">2023.</w:t>
      </w:r>
      <w:r>
        <w:t xml:space="preserve"> </w:t>
      </w:r>
      <w:r>
        <w:t xml:space="preserve">https://www.engie.com/decarbonation-scenario-engie</w:t>
      </w:r>
      <w:r>
        <w:t xml:space="preserve"> </w:t>
      </w:r>
      <w:r>
        <w:t xml:space="preserve">(46) Fleiter T., et al. ‘A methodology for bottom-up modelling of energy transitions in the industry sector: the</w:t>
      </w:r>
      <w:r>
        <w:t xml:space="preserve"> </w:t>
      </w:r>
      <w:r>
        <w:t xml:space="preserve">FORECAST model’, Energy Strategy Reviews, Volume 22, 2018, pp 237-254.</w:t>
      </w:r>
      <w:r>
        <w:t xml:space="preserve"> </w:t>
      </w:r>
      <w:r>
        <w:t xml:space="preserve">(47) FORECAST, projects and selected publications: https://www.forecast-model.eu/forecast-en/index.php</w:t>
      </w:r>
      <w:r>
        <w:t xml:space="preserve"> </w:t>
      </w:r>
      <w:r>
        <w:t xml:space="preserve">(48) See: Pilli, R., Kull, S. J., Blujdea, V. N., &amp; Grassi, G. (2018). The carbon Budget model of the Canadian</w:t>
      </w:r>
      <w:r>
        <w:t xml:space="preserve"> </w:t>
      </w:r>
      <w:r>
        <w:t xml:space="preserve">forest sector (CBM-CFS3): customization of the archive index database for European Union countries.</w:t>
      </w:r>
      <w:r>
        <w:t xml:space="preserve"> </w:t>
      </w:r>
      <w:r>
        <w:t xml:space="preserve">Annals of forest science, 75(3), 1-7.; Pilli, R., Alkama, R., Cescatti, A., Kurz, W. A., &amp; Grassi, G. (2022).</w:t>
      </w:r>
      <w:r>
        <w:t xml:space="preserve"> </w:t>
      </w:r>
      <w:r>
        <w:t xml:space="preserve">The European forest Carbon budget under future climate conditions and current management practices.</w:t>
      </w:r>
      <w:r>
        <w:t xml:space="preserve"> </w:t>
      </w:r>
      <w:r>
        <w:t xml:space="preserve">Biogeosciences, 19(13), 3263-3284.; Pilli, R., Grassi, G., Kurz, W. A., Fiorese, G., &amp; Cescatti, A. (2017).</w:t>
      </w:r>
      <w:r>
        <w:t xml:space="preserve"> </w:t>
      </w:r>
      <w:r>
        <w:t xml:space="preserve">The European forest sector: past and future carbon budget and fluxes under different management scenarios.</w:t>
      </w:r>
      <w:r>
        <w:t xml:space="preserve"> </w:t>
      </w:r>
      <w:r>
        <w:t xml:space="preserve">Biogeosciences, 14(9), 2387-2405.</w:t>
      </w:r>
      <w:r>
        <w:t xml:space="preserve"> </w:t>
      </w:r>
      <w:r>
        <w:t xml:space="preserve">(49) European Commission, Joint Research Centre, Blujdea, V., Rougieux, P., Pilli, R. et al., The JRC Forest</w:t>
      </w:r>
      <w:r>
        <w:t xml:space="preserve"> </w:t>
      </w:r>
      <w:r>
        <w:t xml:space="preserve">Carbon Model – Description of EU-CBM-HAT, Publications Office of the European Union, 2022,</w:t>
      </w:r>
      <w:r>
        <w:t xml:space="preserve"> </w:t>
      </w:r>
      <w:r>
        <w:t xml:space="preserve">https://data.europa.eu/doi/10.2760/244051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UNFCCC in 2023. The model has been used globally in numerous publications and research</w:t>
      </w:r>
      <w:r>
        <w:t xml:space="preserve"> </w:t>
      </w:r>
      <w:r>
        <w:t xml:space="preserve">projects (50).</w:t>
      </w:r>
      <w:r>
        <w:t xml:space="preserve"> </w:t>
      </w:r>
      <w:r>
        <w:t xml:space="preserve">2.2</w:t>
      </w:r>
      <w:r>
        <w:t xml:space="preserve"> </w:t>
      </w:r>
      <w:r>
        <w:t xml:space="preserve">Literature Review</w:t>
      </w:r>
      <w:r>
        <w:t xml:space="preserve"> </w:t>
      </w:r>
      <w:r>
        <w:t xml:space="preserve">In complement to the modelling work, the analysis makes use of an extensive review of</w:t>
      </w:r>
      <w:r>
        <w:t xml:space="preserve"> </w:t>
      </w:r>
      <w:r>
        <w:t xml:space="preserve">relevant published papers and reports by the scientific community, private stakeholders or</w:t>
      </w:r>
      <w:r>
        <w:t xml:space="preserve"> </w:t>
      </w:r>
      <w:r>
        <w:t xml:space="preserve">public entities. Whenever possible, projected numbers for the period 2030-2050 have been</w:t>
      </w:r>
      <w:r>
        <w:t xml:space="preserve"> </w:t>
      </w:r>
      <w:r>
        <w:t xml:space="preserve">extracted and compared against the values obtained by the specific modelling exercise</w:t>
      </w:r>
      <w:r>
        <w:t xml:space="preserve"> </w:t>
      </w:r>
      <w:r>
        <w:t xml:space="preserve">underpinning this impact assessment.</w:t>
      </w:r>
      <w:r>
        <w:br/>
      </w:r>
      <w:r>
        <w:t xml:space="preserve">2.3</w:t>
      </w:r>
      <w:r>
        <w:t xml:space="preserve"> </w:t>
      </w:r>
      <w:r>
        <w:t xml:space="preserve">Historical data</w:t>
      </w:r>
      <w:r>
        <w:t xml:space="preserve"> </w:t>
      </w:r>
      <w:r>
        <w:t xml:space="preserve">2.3.1 Energy system in PRIMES</w:t>
      </w:r>
      <w:r>
        <w:t xml:space="preserve"> </w:t>
      </w:r>
      <w:r>
        <w:t xml:space="preserve">The modelling of the energy system has been calibrated on the 2023 edition of the Eurostat</w:t>
      </w:r>
      <w:r>
        <w:t xml:space="preserve"> </w:t>
      </w:r>
      <w:r>
        <w:t xml:space="preserve">complete energy balances, which provide comprehensive energy balances up to 2021 for all</w:t>
      </w:r>
      <w:r>
        <w:t xml:space="preserve"> </w:t>
      </w:r>
      <w:r>
        <w:t xml:space="preserve">EU Member States.</w:t>
      </w:r>
      <w:r>
        <w:t xml:space="preserve"> </w:t>
      </w:r>
      <w:r>
        <w:t xml:space="preserve">The associated CO2 emissions are derived from these energy balances and the emission</w:t>
      </w:r>
      <w:r>
        <w:t xml:space="preserve"> </w:t>
      </w:r>
      <w:r>
        <w:t xml:space="preserve">factors from the legislation on the monitoring and reporting of greenhouse gas emissions51.</w:t>
      </w:r>
      <w:r>
        <w:t xml:space="preserve"> </w:t>
      </w:r>
      <w:r>
        <w:t xml:space="preserve">Calibration series allow to match emissions data from the 2023 GHG inventory.</w:t>
      </w:r>
      <w:r>
        <w:t xml:space="preserve"> </w:t>
      </w:r>
      <w:r>
        <w:t xml:space="preserve">2.3.2 Non-CO2 emissions in GAINS</w:t>
      </w:r>
      <w:r>
        <w:t xml:space="preserve"> </w:t>
      </w:r>
      <w:r>
        <w:t xml:space="preserve">Activity data has been updated with statistics to reflect 2020 as a historical year. Calibration</w:t>
      </w:r>
      <w:r>
        <w:t xml:space="preserve"> </w:t>
      </w:r>
      <w:r>
        <w:t xml:space="preserve">series allow to match emissions data from the 2023 GHG inventory.</w:t>
      </w:r>
      <w:r>
        <w:t xml:space="preserve"> </w:t>
      </w:r>
      <w:r>
        <w:t xml:space="preserve">2.3.3 LULUCF in GLOBIOM</w:t>
      </w:r>
      <w:r>
        <w:t xml:space="preserve"> </w:t>
      </w:r>
      <w:r>
        <w:t xml:space="preserve">Activity data on land use, agriculture and forestry has been updated based on historical data</w:t>
      </w:r>
      <w:r>
        <w:t xml:space="preserve"> </w:t>
      </w:r>
      <w:r>
        <w:t xml:space="preserve">and are aligned with the UNFCCC 2023 inventory data, reflecting 2021 as a historical year.</w:t>
      </w:r>
      <w:r>
        <w:t xml:space="preserve"> </w:t>
      </w:r>
      <w:r>
        <w:t xml:space="preserve">In addition, the initial land cover map for the base year of the models was updated from the</w:t>
      </w:r>
      <w:r>
        <w:t xml:space="preserve"> </w:t>
      </w:r>
      <w:r>
        <w:t xml:space="preserve">Corine Land Cover Version 2009 to the Corine Land Cover Accounting layer 2019.</w:t>
      </w:r>
      <w:r>
        <w:t xml:space="preserve"> </w:t>
      </w:r>
      <w:r>
        <w:t xml:space="preserve">2.4</w:t>
      </w:r>
      <w:r>
        <w:t xml:space="preserve"> </w:t>
      </w:r>
      <w:r>
        <w:t xml:space="preserve">Key Assumptions</w:t>
      </w:r>
      <w:r>
        <w:t xml:space="preserve"> </w:t>
      </w:r>
      <w:r>
        <w:t xml:space="preserve">2.4.1 Population and GDP</w:t>
      </w:r>
      <w:r>
        <w:t xml:space="preserve"> </w:t>
      </w:r>
      <w:r>
        <w:t xml:space="preserve">Broad socio-economic assumptions describing the expected evolution of the European</w:t>
      </w:r>
      <w:r>
        <w:t xml:space="preserve"> </w:t>
      </w:r>
      <w:r>
        <w:t xml:space="preserve">economy underpin all models used in this impact assessment. In particular, long-term</w:t>
      </w:r>
      <w:r>
        <w:t xml:space="preserve"> </w:t>
      </w:r>
      <w:r>
        <w:t xml:space="preserve">projections on population dynamics and economic activity are exogeneous variables, ie. used</w:t>
      </w:r>
      <w:r>
        <w:t xml:space="preserve"> </w:t>
      </w:r>
      <w:r>
        <w:t xml:space="preserve">as inputs into the energy model and to build the macro-economic baseline that underpins the</w:t>
      </w:r>
      <w:r>
        <w:t xml:space="preserve"> </w:t>
      </w:r>
      <w:r>
        <w:t xml:space="preserve">assessment of the socio-economic impacts of the mitigation trajectories.</w:t>
      </w:r>
    </w:p>
    <w:p>
      <w:pPr>
        <w:pStyle w:val="Compact"/>
        <w:numPr>
          <w:ilvl w:val="0"/>
          <w:numId w:val="1009"/>
        </w:numPr>
      </w:pPr>
      <w:r>
        <w:t xml:space="preserve">For overview and selected publications:</w:t>
      </w:r>
      <w:r>
        <w:t xml:space="preserve"> </w:t>
      </w:r>
      <w:r>
        <w:t xml:space="preserve">https://forest.jrc.ec.europa.eu/en/activities/forestbioeconomy/modelling/</w:t>
      </w:r>
    </w:p>
    <w:p>
      <w:pPr>
        <w:pStyle w:val="Compact"/>
        <w:numPr>
          <w:ilvl w:val="0"/>
          <w:numId w:val="1009"/>
        </w:numPr>
      </w:pPr>
      <w:r>
        <w:t xml:space="preserve">Commission Implementing Regulation (EU) 2018/2066 of 19 December 2018, Annex VI</w:t>
      </w:r>
    </w:p>
    <w:p>
      <w:pPr>
        <w:pStyle w:val="FirstParagraph"/>
      </w:pPr>
      <w:r>
        <w:t xml:space="preserve">13</w:t>
      </w:r>
    </w:p>
    <w:p>
      <w:pPr>
        <w:pStyle w:val="BodyText"/>
      </w:pPr>
      <w:r>
        <w:t xml:space="preserve">Population projections rely on Eurostat’s long-term projections (EUROPOP2019) combined</w:t>
      </w:r>
      <w:r>
        <w:t xml:space="preserve"> </w:t>
      </w:r>
      <w:r>
        <w:t xml:space="preserve">with the short-term update of the projected population for the period 2022-2032 (52). The</w:t>
      </w:r>
      <w:r>
        <w:t xml:space="preserve"> </w:t>
      </w:r>
      <w:r>
        <w:t xml:space="preserve">latter provides an update of the baseline long-term projection, together with two sensitivity</w:t>
      </w:r>
      <w:r>
        <w:t xml:space="preserve"> </w:t>
      </w:r>
      <w:r>
        <w:t xml:space="preserve">tests to assess the impact of the flow of refugees from Ukraine. The population assumptions</w:t>
      </w:r>
      <w:r>
        <w:t xml:space="preserve"> </w:t>
      </w:r>
      <w:r>
        <w:t xml:space="preserve">used here rely on Eurostat’s “very high number of refugees sensitivity test”, which assumes</w:t>
      </w:r>
      <w:r>
        <w:t xml:space="preserve"> </w:t>
      </w:r>
      <w:r>
        <w:t xml:space="preserve">that the influx of refugees occurs during 2022 and 2023, and that it is followed by annual</w:t>
      </w:r>
      <w:r>
        <w:t xml:space="preserve"> </w:t>
      </w:r>
      <w:r>
        <w:t xml:space="preserve">returns at a constant rate such that the remaining number of refugees at the end of 2031</w:t>
      </w:r>
      <w:r>
        <w:t xml:space="preserve"> </w:t>
      </w:r>
      <w:r>
        <w:t xml:space="preserve">amounts to 15% of the cumulated influx of refugees in 2022 and 2023. At EU level, this</w:t>
      </w:r>
      <w:r>
        <w:t xml:space="preserve"> </w:t>
      </w:r>
      <w:r>
        <w:t xml:space="preserve">translates into an increase in total population of 2.6 million people (+0.6%) compared to the</w:t>
      </w:r>
      <w:r>
        <w:t xml:space="preserve"> </w:t>
      </w:r>
      <w:r>
        <w:t xml:space="preserve">baseline. The increase is not evenly spread across Member States.</w:t>
      </w:r>
      <w:r>
        <w:t xml:space="preserve"> </w:t>
      </w:r>
      <w:r>
        <w:t xml:space="preserve">As of 2033, the population assumptions revert to EUROPOP2019 in terms of annual growth</w:t>
      </w:r>
      <w:r>
        <w:t xml:space="preserve"> </w:t>
      </w:r>
      <w:r>
        <w:t xml:space="preserve">rates, though not in levels, in order to account for the increase in absolute numbers due to the</w:t>
      </w:r>
      <w:r>
        <w:t xml:space="preserve"> </w:t>
      </w:r>
      <w:r>
        <w:t xml:space="preserve">inflow of refugees. The EU population is projected to remain broadly stable over the</w:t>
      </w:r>
      <w:r>
        <w:t xml:space="preserve"> </w:t>
      </w:r>
      <w:r>
        <w:t xml:space="preserve">projection period to 2050. However, there is a noticeable trend towards the ageing of the</w:t>
      </w:r>
      <w:r>
        <w:t xml:space="preserve"> </w:t>
      </w:r>
      <w:r>
        <w:t xml:space="preserve">population, with a 13% decline in the population aged 15 to 64 between 2020 and 2050 and</w:t>
      </w:r>
      <w:r>
        <w:t xml:space="preserve"> </w:t>
      </w:r>
      <w:r>
        <w:t xml:space="preserve">an increase in the dependency ratio from 55.5% to 76.1% (Figure 2).</w:t>
      </w:r>
      <w:r>
        <w:t xml:space="preserve"> </w:t>
      </w:r>
      <w:r>
        <w:t xml:space="preserve">Figure 2: Population assumptions</w:t>
      </w:r>
    </w:p>
    <w:p>
      <w:pPr>
        <w:pStyle w:val="BodyText"/>
      </w:pPr>
      <w:r>
        <w:t xml:space="preserve">Source: Eurostat.</w:t>
      </w:r>
      <w:r>
        <w:t xml:space="preserve"> </w:t>
      </w:r>
      <w:r>
        <w:t xml:space="preserve">Economic projections have taken place in an unusually unstable context in the past few years,</w:t>
      </w:r>
      <w:r>
        <w:t xml:space="preserve"> </w:t>
      </w:r>
      <w:r>
        <w:t xml:space="preserve">as the EU and world economies were hit first by the COVID pandemic and second by</w:t>
      </w:r>
      <w:r>
        <w:t xml:space="preserve"> </w:t>
      </w:r>
      <w:r>
        <w:t xml:space="preserve">Russia’s war of aggression against Ukraine, with the ensuing sharp increase in international</w:t>
      </w:r>
      <w:r>
        <w:t xml:space="preserve"> </w:t>
      </w:r>
      <w:r>
        <w:t xml:space="preserve">energy prices. The GDP projections for 2022-2024 rely on the Autumn Forecast (53) of the</w:t>
      </w:r>
      <w:r>
        <w:t xml:space="preserve"> </w:t>
      </w:r>
      <w:r>
        <w:t xml:space="preserve">Directorate General for Economic and Financial Affairs (DG ECFIN). From 2025 onwards,</w:t>
      </w:r>
      <w:r>
        <w:t xml:space="preserve"> </w:t>
      </w:r>
      <w:r>
        <w:t xml:space="preserve">the GDP growth projections converge to those prepared by DG ECFIN for the 2021 Ageing</w:t>
      </w:r>
      <w:r>
        <w:t xml:space="preserve"> </w:t>
      </w:r>
      <w:r>
        <w:t xml:space="preserve">Report (54). The real GDP assumptions therefore integrate an update of short-term economic</w:t>
      </w:r>
      <w:r>
        <w:t xml:space="preserve"> </w:t>
      </w:r>
      <w:r>
        <w:t xml:space="preserve">projections and revert to the growth rates used for the 2020 Reference Scenario and the</w:t>
      </w:r>
    </w:p>
    <w:p>
      <w:pPr>
        <w:pStyle w:val="Compact"/>
        <w:numPr>
          <w:ilvl w:val="0"/>
          <w:numId w:val="1010"/>
        </w:numPr>
      </w:pPr>
      <w:r>
        <w:t xml:space="preserve">EUROPOP2019 (proj_19n) and short-term update of the projected population (2022-2032) (proj_stp22),</w:t>
      </w:r>
      <w:r>
        <w:t xml:space="preserve"> </w:t>
      </w:r>
      <w:r>
        <w:t xml:space="preserve">which was the latest available projection at the time the key assumptions were adopted as a framework for</w:t>
      </w:r>
      <w:r>
        <w:t xml:space="preserve"> </w:t>
      </w:r>
      <w:r>
        <w:t xml:space="preserve">all models used in the impact assessment.</w:t>
      </w:r>
    </w:p>
    <w:p>
      <w:pPr>
        <w:pStyle w:val="Compact"/>
        <w:numPr>
          <w:ilvl w:val="0"/>
          <w:numId w:val="1010"/>
        </w:numPr>
      </w:pPr>
      <w:r>
        <w:t xml:space="preserve">DG ECFIN. Autumn 2022 Economic Forecast: The EU economy at a turning point.</w:t>
      </w:r>
    </w:p>
    <w:p>
      <w:pPr>
        <w:pStyle w:val="Compact"/>
        <w:numPr>
          <w:ilvl w:val="0"/>
          <w:numId w:val="1010"/>
        </w:numPr>
      </w:pPr>
      <w:r>
        <w:t xml:space="preserve">DG ECFIN. The 2021 Ageing Report: Underlying Assumptions and Projection Methodologies.</w:t>
      </w:r>
      <w:r>
        <w:t xml:space="preserve"> </w:t>
      </w:r>
      <w:r>
        <w:t xml:space="preserve">40.0%</w:t>
      </w:r>
      <w:r>
        <w:t xml:space="preserve"> </w:t>
      </w:r>
      <w:r>
        <w:t xml:space="preserve">45.0%</w:t>
      </w:r>
      <w:r>
        <w:t xml:space="preserve"> </w:t>
      </w:r>
      <w:r>
        <w:t xml:space="preserve">50.0%</w:t>
      </w:r>
      <w:r>
        <w:t xml:space="preserve"> </w:t>
      </w:r>
      <w:r>
        <w:t xml:space="preserve">55.0%</w:t>
      </w:r>
      <w:r>
        <w:t xml:space="preserve"> </w:t>
      </w:r>
      <w:r>
        <w:t xml:space="preserve">60.0%</w:t>
      </w:r>
      <w:r>
        <w:t xml:space="preserve"> </w:t>
      </w:r>
      <w:r>
        <w:t xml:space="preserve">65.0%</w:t>
      </w:r>
      <w:r>
        <w:t xml:space="preserve"> </w:t>
      </w:r>
      <w:r>
        <w:t xml:space="preserve">70.0%</w:t>
      </w:r>
      <w:r>
        <w:t xml:space="preserve"> </w:t>
      </w:r>
      <w:r>
        <w:t xml:space="preserve">75.0%</w:t>
      </w:r>
      <w:r>
        <w:t xml:space="preserve"> </w:t>
      </w:r>
      <w:r>
        <w:t xml:space="preserve">80.0%</w:t>
      </w:r>
      <w:r>
        <w:t xml:space="preserve"> </w:t>
      </w:r>
      <w:r>
        <w:t xml:space="preserve">240</w:t>
      </w:r>
      <w:r>
        <w:t xml:space="preserve"> </w:t>
      </w:r>
      <w:r>
        <w:t xml:space="preserve">280</w:t>
      </w:r>
      <w:r>
        <w:t xml:space="preserve"> </w:t>
      </w:r>
      <w:r>
        <w:t xml:space="preserve">320</w:t>
      </w:r>
      <w:r>
        <w:t xml:space="preserve"> </w:t>
      </w:r>
      <w:r>
        <w:t xml:space="preserve">360</w:t>
      </w:r>
      <w:r>
        <w:t xml:space="preserve"> </w:t>
      </w:r>
      <w:r>
        <w:t xml:space="preserve">400</w:t>
      </w:r>
      <w:r>
        <w:t xml:space="preserve"> </w:t>
      </w:r>
      <w:r>
        <w:t xml:space="preserve">440</w:t>
      </w:r>
      <w:r>
        <w:t xml:space="preserve"> </w:t>
      </w:r>
      <w:r>
        <w:t xml:space="preserve">480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2026</w:t>
      </w:r>
      <w:r>
        <w:t xml:space="preserve"> </w:t>
      </w:r>
      <w:r>
        <w:t xml:space="preserve">2027</w:t>
      </w:r>
      <w:r>
        <w:t xml:space="preserve"> </w:t>
      </w:r>
      <w:r>
        <w:t xml:space="preserve">2028</w:t>
      </w:r>
      <w:r>
        <w:t xml:space="preserve"> </w:t>
      </w:r>
      <w:r>
        <w:t xml:space="preserve">2029</w:t>
      </w:r>
      <w:r>
        <w:t xml:space="preserve"> </w:t>
      </w:r>
      <w:r>
        <w:t xml:space="preserve">2030</w:t>
      </w:r>
      <w:r>
        <w:t xml:space="preserve"> </w:t>
      </w:r>
      <w:r>
        <w:t xml:space="preserve">2031</w:t>
      </w:r>
      <w:r>
        <w:t xml:space="preserve"> </w:t>
      </w:r>
      <w:r>
        <w:t xml:space="preserve">2032</w:t>
      </w:r>
      <w:r>
        <w:t xml:space="preserve"> </w:t>
      </w:r>
      <w:r>
        <w:t xml:space="preserve">2033</w:t>
      </w:r>
      <w:r>
        <w:t xml:space="preserve"> </w:t>
      </w:r>
      <w:r>
        <w:t xml:space="preserve">2034</w:t>
      </w:r>
      <w:r>
        <w:t xml:space="preserve"> </w:t>
      </w:r>
      <w:r>
        <w:t xml:space="preserve">2035</w:t>
      </w:r>
      <w:r>
        <w:t xml:space="preserve"> </w:t>
      </w:r>
      <w:r>
        <w:t xml:space="preserve">2036</w:t>
      </w:r>
      <w:r>
        <w:t xml:space="preserve"> </w:t>
      </w:r>
      <w:r>
        <w:t xml:space="preserve">2037</w:t>
      </w:r>
      <w:r>
        <w:t xml:space="preserve"> </w:t>
      </w:r>
      <w:r>
        <w:t xml:space="preserve">2038</w:t>
      </w:r>
      <w:r>
        <w:t xml:space="preserve"> </w:t>
      </w:r>
      <w:r>
        <w:t xml:space="preserve">2039</w:t>
      </w:r>
      <w:r>
        <w:t xml:space="preserve"> </w:t>
      </w:r>
      <w:r>
        <w:t xml:space="preserve">2040</w:t>
      </w:r>
      <w:r>
        <w:t xml:space="preserve"> </w:t>
      </w:r>
      <w:r>
        <w:t xml:space="preserve">2041</w:t>
      </w:r>
      <w:r>
        <w:t xml:space="preserve"> </w:t>
      </w:r>
      <w:r>
        <w:t xml:space="preserve">2042</w:t>
      </w:r>
      <w:r>
        <w:t xml:space="preserve"> </w:t>
      </w:r>
      <w:r>
        <w:t xml:space="preserve">2043</w:t>
      </w:r>
      <w:r>
        <w:t xml:space="preserve"> </w:t>
      </w:r>
      <w:r>
        <w:t xml:space="preserve">2044</w:t>
      </w:r>
      <w:r>
        <w:t xml:space="preserve"> </w:t>
      </w:r>
      <w:r>
        <w:t xml:space="preserve">2045</w:t>
      </w:r>
      <w:r>
        <w:t xml:space="preserve"> </w:t>
      </w:r>
      <w:r>
        <w:t xml:space="preserve">2046</w:t>
      </w:r>
      <w:r>
        <w:t xml:space="preserve"> </w:t>
      </w:r>
      <w:r>
        <w:t xml:space="preserve">2047</w:t>
      </w:r>
      <w:r>
        <w:t xml:space="preserve"> </w:t>
      </w:r>
      <w:r>
        <w:t xml:space="preserve">2048</w:t>
      </w:r>
      <w:r>
        <w:t xml:space="preserve"> </w:t>
      </w:r>
      <w:r>
        <w:t xml:space="preserve">2049</w:t>
      </w:r>
      <w:r>
        <w:t xml:space="preserve"> </w:t>
      </w:r>
      <w:r>
        <w:t xml:space="preserve">2050</w:t>
      </w:r>
      <w:r>
        <w:t xml:space="preserve"> </w:t>
      </w:r>
      <w:r>
        <w:t xml:space="preserve">Million people</w:t>
      </w:r>
      <w:r>
        <w:t xml:space="preserve"> </w:t>
      </w:r>
      <w:r>
        <w:t xml:space="preserve">Age dependency ratio (RHS)</w:t>
      </w:r>
      <w:r>
        <w:t xml:space="preserve"> </w:t>
      </w:r>
      <w:r>
        <w:t xml:space="preserve">Total population</w:t>
      </w:r>
      <w:r>
        <w:t xml:space="preserve"> </w:t>
      </w:r>
      <w:r>
        <w:t xml:space="preserve">Population age 15-64</w:t>
      </w:r>
    </w:p>
    <w:p>
      <w:pPr>
        <w:pStyle w:val="FirstParagraph"/>
      </w:pPr>
      <w:r>
        <w:t xml:space="preserve">14</w:t>
      </w:r>
    </w:p>
    <w:p>
      <w:pPr>
        <w:pStyle w:val="BodyText"/>
      </w:pPr>
      <w:r>
        <w:t xml:space="preserve">modelling of policy scenarios in the impact assessments backing the Fit for 55 legislative</w:t>
      </w:r>
      <w:r>
        <w:t xml:space="preserve"> </w:t>
      </w:r>
      <w:r>
        <w:t xml:space="preserve">proposals. At EU level, real GDP is projected to be 40% higher in 2040 than in 2015, and</w:t>
      </w:r>
      <w:r>
        <w:t xml:space="preserve"> </w:t>
      </w:r>
      <w:r>
        <w:t xml:space="preserve">61% higher in 2050 compared to 2015 (Figure 3).</w:t>
      </w:r>
      <w:r>
        <w:t xml:space="preserve"> </w:t>
      </w:r>
      <w:r>
        <w:t xml:space="preserve">The short-term projections do not reflect DG ECFIN’s Winter 2023 Economic Forecast as</w:t>
      </w:r>
      <w:r>
        <w:t xml:space="preserve"> </w:t>
      </w:r>
      <w:r>
        <w:t xml:space="preserve">they became available after the cut off date of this exercise. The impact over the projection</w:t>
      </w:r>
      <w:r>
        <w:t xml:space="preserve"> </w:t>
      </w:r>
      <w:r>
        <w:t xml:space="preserve">horizon is nevertheless minimal, as the difference in EU GDP is less than 1% in 2024 between</w:t>
      </w:r>
      <w:r>
        <w:t xml:space="preserve"> </w:t>
      </w:r>
      <w:r>
        <w:t xml:space="preserve">the Winter 2023 forecast and the Autumn 2022 forecast and the COVID recession, the</w:t>
      </w:r>
      <w:r>
        <w:t xml:space="preserve"> </w:t>
      </w:r>
      <w:r>
        <w:t xml:space="preserve">recovery and the slowdown in activity in 2022-2023 are fully captured.</w:t>
      </w:r>
      <w:r>
        <w:br/>
      </w:r>
      <w:r>
        <w:t xml:space="preserve">Figure 3: EU GDP (2015 = 100) and GDP growth (%)</w:t>
      </w:r>
    </w:p>
    <w:p>
      <w:pPr>
        <w:pStyle w:val="BodyText"/>
      </w:pPr>
      <w:r>
        <w:t xml:space="preserve">Source: DG ECFIN.</w:t>
      </w:r>
      <w:r>
        <w:t xml:space="preserve"> </w:t>
      </w:r>
      <w:r>
        <w:t xml:space="preserve">2.4.2 Sectoral economic activity</w:t>
      </w:r>
      <w:r>
        <w:t xml:space="preserve"> </w:t>
      </w:r>
      <w:r>
        <w:t xml:space="preserve">Projections on the sectoral composition of GDP were prepared using the GEM-E3 computable</w:t>
      </w:r>
      <w:r>
        <w:t xml:space="preserve"> </w:t>
      </w:r>
      <w:r>
        <w:t xml:space="preserve">general economic model. It is projected that the EU economy will continue to become</w:t>
      </w:r>
      <w:r>
        <w:t xml:space="preserve"> </w:t>
      </w:r>
      <w:r>
        <w:t xml:space="preserve">increasingly services-oriented, with the sector’s share rising from close to 74% of total gross</w:t>
      </w:r>
      <w:r>
        <w:t xml:space="preserve"> </w:t>
      </w:r>
      <w:r>
        <w:t xml:space="preserve">value added (GVA) in 2016-2020 to 75.5% in 2040 and 76.4% in 2050. While the share of the</w:t>
      </w:r>
      <w:r>
        <w:t xml:space="preserve"> </w:t>
      </w:r>
      <w:r>
        <w:t xml:space="preserve">transport sector in total GVA declined significantly during the COVID pandemic, the</w:t>
      </w:r>
      <w:r>
        <w:t xml:space="preserve"> </w:t>
      </w:r>
      <w:r>
        <w:t xml:space="preserve">projections assume that this was only a temporary phenomenon, and that the sector’s share</w:t>
      </w:r>
      <w:r>
        <w:t xml:space="preserve"> </w:t>
      </w:r>
      <w:r>
        <w:t xml:space="preserve">remains broadly constant at around 5% of the total. This is consistent with recent economic</w:t>
      </w:r>
      <w:r>
        <w:t xml:space="preserve"> </w:t>
      </w:r>
      <w:r>
        <w:t xml:space="preserve">developments. The share of industry in total GVA is projected to decline from currently</w:t>
      </w:r>
      <w:r>
        <w:t xml:space="preserve"> </w:t>
      </w:r>
      <w:r>
        <w:t xml:space="preserve">around 17% to around 16% by 2050. In absolute terms, however, industrial GVA is still</w:t>
      </w:r>
      <w:r>
        <w:t xml:space="preserve"> </w:t>
      </w:r>
      <w:r>
        <w:t xml:space="preserve">projected to be 26% and 42% higher in 2040 and 2050 respectively compared to 2016-2020.</w:t>
      </w:r>
      <w:r>
        <w:t xml:space="preserve"> </w:t>
      </w:r>
      <w:r>
        <w:t xml:space="preserve">Energy intensive industries (iron and steel, non-ferrous metals, chemicals, non-metallic</w:t>
      </w:r>
      <w:r>
        <w:t xml:space="preserve"> </w:t>
      </w:r>
      <w:r>
        <w:t xml:space="preserve">minerals and pulp and paper) currently represent less than 5% of total GVA in the EU</w:t>
      </w:r>
      <w:r>
        <w:t xml:space="preserve"> </w:t>
      </w:r>
      <w:r>
        <w:t xml:space="preserve">economy. Their share is projected to decline by somewhat less than 1 percentage point by</w:t>
      </w:r>
      <w:r>
        <w:t xml:space="preserve"> </w:t>
      </w:r>
      <w:r>
        <w:t xml:space="preserve">2050, even though total output in these sectors is expected to continue growing, with GVA</w:t>
      </w:r>
      <w:r>
        <w:t xml:space="preserve"> </w:t>
      </w:r>
      <w:r>
        <w:t xml:space="preserve">projected to be 25% higher in 2040 than on average in 2016-2020 and 37% higher in 2050.</w:t>
      </w:r>
      <w:r>
        <w:t xml:space="preserve"> </w:t>
      </w:r>
      <w:r>
        <w:t xml:space="preserve">There are nevertheless some disparities within the energy intensive industries, with GVA in</w:t>
      </w:r>
      <w:r>
        <w:t xml:space="preserve"> </w:t>
      </w:r>
      <w:r>
        <w:t xml:space="preserve">iron and steel and in non-ferrous metals expected to grow very moderately, while more</w:t>
      </w:r>
      <w:r>
        <w:t xml:space="preserve"> </w:t>
      </w:r>
      <w:r>
        <w:t xml:space="preserve">sustained growth is expected in chemicals, pulp and paper and non-metallic minerals. In all</w:t>
      </w:r>
      <w:r>
        <w:t xml:space="preserve"> </w:t>
      </w:r>
      <w:r>
        <w:t xml:space="preserve">cases, an increase in the GVA intensity of output is projected, together with an increase in the</w:t>
      </w:r>
      <w:r>
        <w:t xml:space="preserve"> </w:t>
      </w:r>
      <w:r>
        <w:t xml:space="preserve">volume of production (with the exception of iron and steel).</w:t>
      </w:r>
      <w:r>
        <w:t xml:space="preserve"> </w:t>
      </w:r>
      <w:r>
        <w:t xml:space="preserve">In the construction sector, GVA is also projected to continue to grow, in part due to</w:t>
      </w:r>
      <w:r>
        <w:t xml:space="preserve"> </w:t>
      </w:r>
      <w:r>
        <w:t xml:space="preserve">renovations, but at a slightly lower pace than total GVA, as the moderate decline in</w:t>
      </w:r>
      <w:r>
        <w:t xml:space="preserve"> </w:t>
      </w:r>
      <w:r>
        <w:t xml:space="preserve">-6</w:t>
      </w:r>
      <w:r>
        <w:t xml:space="preserve"> </w:t>
      </w:r>
      <w:r>
        <w:t xml:space="preserve">-4</w:t>
      </w:r>
      <w:r>
        <w:t xml:space="preserve"> </w:t>
      </w:r>
      <w:r>
        <w:t xml:space="preserve">-2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90</w:t>
      </w:r>
      <w:r>
        <w:t xml:space="preserve"> </w:t>
      </w:r>
      <w:r>
        <w:t xml:space="preserve">100</w:t>
      </w:r>
      <w:r>
        <w:t xml:space="preserve"> </w:t>
      </w:r>
      <w:r>
        <w:t xml:space="preserve">110</w:t>
      </w:r>
      <w:r>
        <w:t xml:space="preserve"> </w:t>
      </w:r>
      <w:r>
        <w:t xml:space="preserve">120</w:t>
      </w:r>
      <w:r>
        <w:t xml:space="preserve"> </w:t>
      </w:r>
      <w:r>
        <w:t xml:space="preserve">130</w:t>
      </w:r>
      <w:r>
        <w:t xml:space="preserve"> </w:t>
      </w:r>
      <w:r>
        <w:t xml:space="preserve">140</w:t>
      </w:r>
      <w:r>
        <w:t xml:space="preserve"> </w:t>
      </w:r>
      <w:r>
        <w:t xml:space="preserve">150</w:t>
      </w:r>
      <w:r>
        <w:t xml:space="preserve"> </w:t>
      </w:r>
      <w:r>
        <w:t xml:space="preserve">160</w:t>
      </w:r>
      <w:r>
        <w:t xml:space="preserve"> </w:t>
      </w:r>
      <w:r>
        <w:t xml:space="preserve">170</w:t>
      </w:r>
      <w:r>
        <w:t xml:space="preserve"> </w:t>
      </w:r>
      <w:r>
        <w:t xml:space="preserve">201520172019202120232025202720292031203320352037203920412043204520472049</w:t>
      </w:r>
      <w:r>
        <w:t xml:space="preserve"> </w:t>
      </w:r>
      <w:r>
        <w:t xml:space="preserve">%</w:t>
      </w:r>
      <w:r>
        <w:t xml:space="preserve"> </w:t>
      </w:r>
      <w:r>
        <w:t xml:space="preserve">2015 = 100</w:t>
      </w:r>
      <w:r>
        <w:t xml:space="preserve"> </w:t>
      </w:r>
      <w:r>
        <w:t xml:space="preserve">Real GDP (2015 = 100)</w:t>
      </w:r>
      <w:r>
        <w:t xml:space="preserve"> </w:t>
      </w:r>
      <w:r>
        <w:t xml:space="preserve">Real GDP growth (RHS)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population at EU level and ageing imply lower requirements for new constructions in the</w:t>
      </w:r>
      <w:r>
        <w:t xml:space="preserve"> </w:t>
      </w:r>
      <w:r>
        <w:t xml:space="preserve">residential sector. Overall, the share of the construction sector in total GVA is projected to</w:t>
      </w:r>
      <w:r>
        <w:t xml:space="preserve"> </w:t>
      </w:r>
      <w:r>
        <w:t xml:space="preserve">decline only marginally from around 5% of the total currently. In absolute terms, it is still</w:t>
      </w:r>
      <w:r>
        <w:t xml:space="preserve"> </w:t>
      </w:r>
      <w:r>
        <w:t xml:space="preserve">projected to be 27% and 40% higher in 2040 and 2050, respectively, compared to 2016-2020.</w:t>
      </w:r>
      <w:r>
        <w:t xml:space="preserve"> </w:t>
      </w:r>
      <w:r>
        <w:t xml:space="preserve">2.4.3 Energy Prices Trajectory between 2020 and 2050</w:t>
      </w:r>
      <w:r>
        <w:t xml:space="preserve"> </w:t>
      </w:r>
      <w:r>
        <w:t xml:space="preserve">Alongside socio-economic projections, EU energy modelling requires projections of</w:t>
      </w:r>
      <w:r>
        <w:t xml:space="preserve"> </w:t>
      </w:r>
      <w:r>
        <w:t xml:space="preserve">international fuel prices. The trajectories for the price of gas, oil and coal are those presented</w:t>
      </w:r>
      <w:r>
        <w:t xml:space="preserve"> </w:t>
      </w:r>
      <w:r>
        <w:t xml:space="preserve">in the Staff Working Document accompanying the REPowerEU plan (55) (see Figure 4). The</w:t>
      </w:r>
      <w:r>
        <w:t xml:space="preserve"> </w:t>
      </w:r>
      <w:r>
        <w:t xml:space="preserve">projections of the POLES-JRC model – elaborated by the Joint Research Centre in the context</w:t>
      </w:r>
      <w:r>
        <w:t xml:space="preserve"> </w:t>
      </w:r>
      <w:r>
        <w:t xml:space="preserve">of the annual pubication of the Global Energy and Climate Outlook – are used to obtain long-</w:t>
      </w:r>
      <w:r>
        <w:t xml:space="preserve"> </w:t>
      </w:r>
      <w:r>
        <w:t xml:space="preserve">term estimates of the international fuel prices. These long-term projections are close to</w:t>
      </w:r>
      <w:r>
        <w:t xml:space="preserve"> </w:t>
      </w:r>
      <w:r>
        <w:t xml:space="preserve">assumed in the EU Reference Scenario 2020. They show an increasing trend for fossil fuel</w:t>
      </w:r>
      <w:r>
        <w:t xml:space="preserve"> </w:t>
      </w:r>
      <w:r>
        <w:t xml:space="preserve">prices in the long term due to depletion of conventional resources (that are replaced by more</w:t>
      </w:r>
      <w:r>
        <w:t xml:space="preserve"> </w:t>
      </w:r>
      <w:r>
        <w:t xml:space="preserve">expensive unconventional ones).</w:t>
      </w:r>
      <w:r>
        <w:t xml:space="preserve"> </w:t>
      </w:r>
      <w:r>
        <w:t xml:space="preserve">The fuel price trajectories take also into account structural changes in supply and demand. In</w:t>
      </w:r>
      <w:r>
        <w:t xml:space="preserve"> </w:t>
      </w:r>
      <w:r>
        <w:t xml:space="preserve">particular, the Russian invasion of Ukraine is expected to have long-term repercussions on gas</w:t>
      </w:r>
      <w:r>
        <w:t xml:space="preserve"> </w:t>
      </w:r>
      <w:r>
        <w:t xml:space="preserve">price as pipeline supply is replaced by more expensive LNG. Following a short-term peak,</w:t>
      </w:r>
      <w:r>
        <w:t xml:space="preserve"> </w:t>
      </w:r>
      <w:r>
        <w:t xml:space="preserve">gas price is assumed to remain higher than in the Fit-for-55-scenario in the long run. These</w:t>
      </w:r>
      <w:r>
        <w:t xml:space="preserve"> </w:t>
      </w:r>
      <w:r>
        <w:t xml:space="preserve">market considerations are interpolated to the long-term trend to obtain the trajectories shown</w:t>
      </w:r>
      <w:r>
        <w:t xml:space="preserve"> </w:t>
      </w:r>
      <w:r>
        <w:t xml:space="preserve">in Figure 4.</w:t>
      </w:r>
    </w:p>
    <w:p>
      <w:pPr>
        <w:pStyle w:val="Compact"/>
        <w:numPr>
          <w:ilvl w:val="0"/>
          <w:numId w:val="1011"/>
        </w:numPr>
      </w:pPr>
      <w:r>
        <w:t xml:space="preserve">SWD Implementing the REPowerEU Action Plan: investment needs, hydrogen accelerator and achieving</w:t>
      </w:r>
      <w:r>
        <w:t xml:space="preserve"> </w:t>
      </w:r>
      <w:r>
        <w:t xml:space="preserve">the bio-methane targets, SWD(2022) 230 final.</w:t>
      </w:r>
    </w:p>
    <w:p>
      <w:pPr>
        <w:pStyle w:val="FirstParagraph"/>
      </w:pPr>
      <w:r>
        <w:t xml:space="preserve">16</w:t>
      </w:r>
    </w:p>
    <w:p>
      <w:pPr>
        <w:pStyle w:val="BodyText"/>
      </w:pPr>
      <w:r>
        <w:t xml:space="preserve">Figure 4: International fuel prices</w:t>
      </w:r>
    </w:p>
    <w:p>
      <w:pPr>
        <w:pStyle w:val="BodyText"/>
      </w:pPr>
      <w:r>
        <w:t xml:space="preserve">Source: REPower SWD(55)</w:t>
      </w:r>
      <w:r>
        <w:t xml:space="preserve"> </w:t>
      </w:r>
      <w:r>
        <w:t xml:space="preserve">2.4.4 Technologies</w:t>
      </w:r>
      <w:r>
        <w:t xml:space="preserve"> </w:t>
      </w:r>
      <w:r>
        <w:t xml:space="preserve">The assumption on the development of technologies is an important driver of projections.</w:t>
      </w:r>
      <w:r>
        <w:t xml:space="preserve"> </w:t>
      </w:r>
      <w:r>
        <w:t xml:space="preserve">Mapping existing, emerging and new technologies and their future cost and performance is</w:t>
      </w:r>
      <w:r>
        <w:t xml:space="preserve"> </w:t>
      </w:r>
      <w:r>
        <w:t xml:space="preserve">crucial for better understanding the future evolution of GHG emissions.</w:t>
      </w:r>
      <w:r>
        <w:br/>
      </w:r>
      <w:r>
        <w:t xml:space="preserve">For this impact assessment – and considering the rapidly changing context in the past few</w:t>
      </w:r>
      <w:r>
        <w:t xml:space="preserve"> </w:t>
      </w:r>
      <w:r>
        <w:t xml:space="preserve">years – the technology assumptions of the main model suite have been updated with respect to</w:t>
      </w:r>
      <w:r>
        <w:t xml:space="preserve"> </w:t>
      </w:r>
      <w:r>
        <w:t xml:space="preserve">those used in the Reference Scenario 2020 (56). The update was based on a rigorous literature</w:t>
      </w:r>
      <w:r>
        <w:t xml:space="preserve"> </w:t>
      </w:r>
      <w:r>
        <w:t xml:space="preserve">review carried out by external consultants in collaboration with the JRC. The most important</w:t>
      </w:r>
      <w:r>
        <w:t xml:space="preserve"> </w:t>
      </w:r>
      <w:r>
        <w:t xml:space="preserve">updates are reported below while the assumptions are published in dedicated excel files for</w:t>
      </w:r>
      <w:r>
        <w:t xml:space="preserve"> </w:t>
      </w:r>
      <w:r>
        <w:t xml:space="preserve">energy technologies, transport, non-CO2 and LULUCF.</w:t>
      </w:r>
      <w:r>
        <w:br/>
      </w:r>
      <w:r>
        <w:t xml:space="preserve">The following chapter defines the list of technologies considered for this impact assessment,</w:t>
      </w:r>
      <w:r>
        <w:t xml:space="preserve"> </w:t>
      </w:r>
      <w:r>
        <w:t xml:space="preserve">with their main characteristics including in particular their purchasing costs and level of</w:t>
      </w:r>
      <w:r>
        <w:t xml:space="preserve"> </w:t>
      </w:r>
      <w:r>
        <w:t xml:space="preserve">efficiency.</w:t>
      </w:r>
      <w:r>
        <w:t xml:space="preserve"> </w:t>
      </w:r>
      <w:r>
        <w:t xml:space="preserve">2.4.4.1 Energy technologies</w:t>
      </w:r>
      <w:r>
        <w:br/>
      </w:r>
      <w:r>
        <w:t xml:space="preserve">For each technology the modelling considers a range, ordered from a more common category</w:t>
      </w:r>
      <w:r>
        <w:t xml:space="preserve"> </w:t>
      </w:r>
      <w:r>
        <w:t xml:space="preserve">to an advanced category. The technical and economic characteristics of each technology</w:t>
      </w:r>
      <w:r>
        <w:t xml:space="preserve"> </w:t>
      </w:r>
      <w:r>
        <w:t xml:space="preserve">category change over time as a result of learning by doing and economies of scale in</w:t>
      </w:r>
      <w:r>
        <w:t xml:space="preserve"> </w:t>
      </w:r>
      <w:r>
        <w:t xml:space="preserve">industrial production. Not all technology categories are considered as fully mature from a</w:t>
      </w:r>
    </w:p>
    <w:p>
      <w:pPr>
        <w:pStyle w:val="Compact"/>
        <w:numPr>
          <w:ilvl w:val="0"/>
          <w:numId w:val="1012"/>
        </w:numPr>
      </w:pPr>
      <w:r>
        <w:t xml:space="preserve">https://energy.ec.europa.eu/data-and-analysis/energy-modelling/eu-reference-scenario-2020_en</w:t>
      </w:r>
    </w:p>
    <w:p>
      <w:pPr>
        <w:pStyle w:val="FirstParagraph"/>
      </w:pPr>
      <w:r>
        <w:t xml:space="preserve">17</w:t>
      </w:r>
    </w:p>
    <w:p>
      <w:pPr>
        <w:pStyle w:val="BodyText"/>
      </w:pPr>
      <w:r>
        <w:t xml:space="preserve">user’s perspective, but in general the users’ acceptance of advanced technologies improves</w:t>
      </w:r>
      <w:r>
        <w:t xml:space="preserve"> </w:t>
      </w:r>
      <w:r>
        <w:t xml:space="preserve">over time. Policy assumptions may drive acceleration of learning-by-doing and users’</w:t>
      </w:r>
      <w:r>
        <w:t xml:space="preserve"> </w:t>
      </w:r>
      <w:r>
        <w:t xml:space="preserve">acceptance in the context of modelling a scenario. An advanced technology category is more</w:t>
      </w:r>
      <w:r>
        <w:t xml:space="preserve"> </w:t>
      </w:r>
      <w:r>
        <w:t xml:space="preserve">efficient than an ordinary one and in general more expensive to purchase at a given point in</w:t>
      </w:r>
      <w:r>
        <w:t xml:space="preserve"> </w:t>
      </w:r>
      <w:r>
        <w:t xml:space="preserve">time. However, depending on its learning potential, an advanced technology may, however,</w:t>
      </w:r>
      <w:r>
        <w:t xml:space="preserve"> </w:t>
      </w:r>
      <w:r>
        <w:t xml:space="preserve">become cheaper than an ordinary technology in the long term.</w:t>
      </w:r>
      <w:r>
        <w:br/>
      </w:r>
      <w:r>
        <w:t xml:space="preserve">Power and Heat</w:t>
      </w:r>
      <w:r>
        <w:t xml:space="preserve"> </w:t>
      </w:r>
      <w:r>
        <w:t xml:space="preserve">The technologies described in the models for the power sector include the main technologies</w:t>
      </w:r>
      <w:r>
        <w:t xml:space="preserve"> </w:t>
      </w:r>
      <w:r>
        <w:t xml:space="preserve">for producing electricity from fossil fuels, nuclear fuel and renewables. The technology for</w:t>
      </w:r>
      <w:r>
        <w:t xml:space="preserve"> </w:t>
      </w:r>
      <w:r>
        <w:t xml:space="preserve">producing heat include boilers for the main fuels (including biomethane) and heat pumps used</w:t>
      </w:r>
      <w:r>
        <w:t xml:space="preserve"> </w:t>
      </w:r>
      <w:r>
        <w:t xml:space="preserve">in heat plants for both district heating and industry.</w:t>
      </w:r>
      <w:r>
        <w:br/>
      </w:r>
      <w:r>
        <w:t xml:space="preserve">Compared to the Reference Scenario 2020, the segmentation of the solar PV market has been</w:t>
      </w:r>
      <w:r>
        <w:t xml:space="preserve"> </w:t>
      </w:r>
      <w:r>
        <w:t xml:space="preserve">improved and several cost assumptions revised (with, in particular, a moderate increase in PV</w:t>
      </w:r>
      <w:r>
        <w:t xml:space="preserve"> </w:t>
      </w:r>
      <w:r>
        <w:t xml:space="preserve">costs and a decrease in several heating technologies).</w:t>
      </w:r>
      <w:r>
        <w:t xml:space="preserve"> </w:t>
      </w:r>
      <w:r>
        <w:t xml:space="preserve">Domestic</w:t>
      </w:r>
      <w:r>
        <w:t xml:space="preserve"> </w:t>
      </w:r>
      <w:r>
        <w:t xml:space="preserve">It includes technologies for the buildings sector (residential and services). The values shown</w:t>
      </w:r>
      <w:r>
        <w:t xml:space="preserve"> </w:t>
      </w:r>
      <w:r>
        <w:t xml:space="preserve">include ranges of purchasing costs (that refer to total acquisition costs) and efficiency by</w:t>
      </w:r>
      <w:r>
        <w:t xml:space="preserve"> </w:t>
      </w:r>
      <w:r>
        <w:t xml:space="preserve">vintage (reference year of purchase), for several space and water heating technologies and</w:t>
      </w:r>
      <w:r>
        <w:t xml:space="preserve"> </w:t>
      </w:r>
      <w:r>
        <w:t xml:space="preserve">appliances.</w:t>
      </w:r>
      <w:r>
        <w:br/>
      </w:r>
      <w:r>
        <w:t xml:space="preserve">Compared to the Reference Scenario 2020, a distinction is made between air-to-air and air-to-</w:t>
      </w:r>
      <w:r>
        <w:t xml:space="preserve"> </w:t>
      </w:r>
      <w:r>
        <w:t xml:space="preserve">water heat pumps. Their characteristics have been defined separately and their purchasing cost</w:t>
      </w:r>
      <w:r>
        <w:t xml:space="preserve"> </w:t>
      </w:r>
      <w:r>
        <w:t xml:space="preserve">has been adapted in a post-energy crisis context. Given also the growing importance of self-</w:t>
      </w:r>
      <w:r>
        <w:t xml:space="preserve"> </w:t>
      </w:r>
      <w:r>
        <w:t xml:space="preserve">consumption in the energy transition post-2030, small scale renewable technologies, such as</w:t>
      </w:r>
      <w:r>
        <w:t xml:space="preserve"> </w:t>
      </w:r>
      <w:r>
        <w:t xml:space="preserve">PV, Hydrogen-based CHP, batteries and other storage solutions have been included in the list</w:t>
      </w:r>
      <w:r>
        <w:t xml:space="preserve"> </w:t>
      </w:r>
      <w:r>
        <w:t xml:space="preserve">of available technologies.</w:t>
      </w:r>
      <w:r>
        <w:br/>
      </w:r>
      <w:r>
        <w:t xml:space="preserve">Building renovation</w:t>
      </w:r>
      <w:r>
        <w:t xml:space="preserve"> </w:t>
      </w:r>
      <w:r>
        <w:t xml:space="preserve">Building renovation refers to average renovation costs by climate type and level of</w:t>
      </w:r>
      <w:r>
        <w:t xml:space="preserve"> </w:t>
      </w:r>
      <w:r>
        <w:t xml:space="preserve">renovation, as used in the PRIMES buildings module. Four climate types are considered</w:t>
      </w:r>
      <w:r>
        <w:t xml:space="preserve"> </w:t>
      </w:r>
      <w:r>
        <w:t xml:space="preserve">(Centre/West, North, South and East) and three levels of renovation (light, medium and deep),</w:t>
      </w:r>
      <w:r>
        <w:t xml:space="preserve"> </w:t>
      </w:r>
      <w:r>
        <w:t xml:space="preserve">differentiating when renovation occurs in windows, including walls, roof and basement. The</w:t>
      </w:r>
      <w:r>
        <w:t xml:space="preserve"> </w:t>
      </w:r>
      <w:r>
        <w:t xml:space="preserve">energy savings rate refers to a reference building (57) as in the current stock of existing</w:t>
      </w:r>
      <w:r>
        <w:t xml:space="preserve"> </w:t>
      </w:r>
      <w:r>
        <w:t xml:space="preserve">buildings, not to savings in new constructions, which follow the buildings codes’ insulation</w:t>
      </w:r>
      <w:r>
        <w:t xml:space="preserve"> </w:t>
      </w:r>
      <w:r>
        <w:t xml:space="preserve">standards. Investment costs, both in Euro per household and Euro per square meter, defines</w:t>
      </w:r>
      <w:r>
        <w:t xml:space="preserve"> </w:t>
      </w:r>
      <w:r>
        <w:t xml:space="preserve">the energy related expenditures needed to implement the indicated level of renovation of a</w:t>
      </w:r>
      <w:r>
        <w:t xml:space="preserve"> </w:t>
      </w:r>
      <w:r>
        <w:t xml:space="preserve">building, (excluding usual renovation expenditures needed for other purposes: structure,</w:t>
      </w:r>
      <w:r>
        <w:t xml:space="preserve"> </w:t>
      </w:r>
      <w:r>
        <w:t xml:space="preserve">finishing materials, decoration …). Renovation costs are unchanged compared to those used in</w:t>
      </w:r>
      <w:r>
        <w:t xml:space="preserve"> </w:t>
      </w:r>
      <w:r>
        <w:t xml:space="preserve">the Reference Scenario 2020.</w:t>
      </w:r>
      <w:r>
        <w:t xml:space="preserve"> </w:t>
      </w:r>
      <w:r>
        <w:t xml:space="preserve">Industry</w:t>
      </w:r>
    </w:p>
    <w:p>
      <w:pPr>
        <w:pStyle w:val="Compact"/>
        <w:numPr>
          <w:ilvl w:val="0"/>
          <w:numId w:val="1013"/>
        </w:numPr>
      </w:pPr>
      <w:r>
        <w:t xml:space="preserve">The model includes several house types, house ages and geographical categories. The reference building</w:t>
      </w:r>
      <w:r>
        <w:t xml:space="preserve"> </w:t>
      </w:r>
      <w:r>
        <w:t xml:space="preserve">aggregate all these categories in a single item.</w:t>
      </w:r>
    </w:p>
    <w:p>
      <w:pPr>
        <w:pStyle w:val="FirstParagraph"/>
      </w:pPr>
      <w:r>
        <w:t xml:space="preserve">18</w:t>
      </w:r>
    </w:p>
    <w:p>
      <w:pPr>
        <w:pStyle w:val="BodyText"/>
      </w:pPr>
      <w:r>
        <w:t xml:space="preserve">The main assumptions described are investment costs, the level of learning by doing, and the</w:t>
      </w:r>
      <w:r>
        <w:t xml:space="preserve"> </w:t>
      </w:r>
      <w:r>
        <w:t xml:space="preserve">energy efficiency index for technologies used in the industrial sector. As for the domestic</w:t>
      </w:r>
      <w:r>
        <w:t xml:space="preserve"> </w:t>
      </w:r>
      <w:r>
        <w:t xml:space="preserve">sector, the model considers, for each technology, seven categories ordered from an ordinary</w:t>
      </w:r>
      <w:r>
        <w:t xml:space="preserve"> </w:t>
      </w:r>
      <w:r>
        <w:t xml:space="preserve">up to an advanced and a future category. Efficiency is expressed as an index compared to</w:t>
      </w:r>
      <w:r>
        <w:t xml:space="preserve"> </w:t>
      </w:r>
      <w:r>
        <w:t xml:space="preserve">2015 and an increase in its rate implies a more efficient technology. No significant update was</w:t>
      </w:r>
      <w:r>
        <w:t xml:space="preserve"> </w:t>
      </w:r>
      <w:r>
        <w:t xml:space="preserve">necessary compared to the assumption used in the Reference Scenario 2020.</w:t>
      </w:r>
      <w:r>
        <w:br/>
      </w:r>
      <w:r>
        <w:t xml:space="preserve">Industrial carbon management</w:t>
      </w:r>
      <w:r>
        <w:t xml:space="preserve"> </w:t>
      </w:r>
      <w:r>
        <w:t xml:space="preserve">Industrial carbon management technologies have gained momentum in recent years with</w:t>
      </w:r>
      <w:r>
        <w:t xml:space="preserve"> </w:t>
      </w:r>
      <w:r>
        <w:t xml:space="preserve">expectations of decreasing cost-curves and new projects (58) and are thus integrated in the</w:t>
      </w:r>
      <w:r>
        <w:t xml:space="preserve"> </w:t>
      </w:r>
      <w:r>
        <w:t xml:space="preserve">model assumptions. These technologies are defined mainly as Bioenergy with Carbon Capture</w:t>
      </w:r>
      <w:r>
        <w:t xml:space="preserve"> </w:t>
      </w:r>
      <w:r>
        <w:t xml:space="preserve">and Storage (BECCS) and Direct Air Carbon Capture and Storage (DACCS), which capture</w:t>
      </w:r>
      <w:r>
        <w:t xml:space="preserve"> </w:t>
      </w:r>
      <w:r>
        <w:t xml:space="preserve">fossil-fuel free carbon and store it permanently either underground or in materials. Biogenic</w:t>
      </w:r>
      <w:r>
        <w:t xml:space="preserve"> </w:t>
      </w:r>
      <w:r>
        <w:t xml:space="preserve">carbon that is captured and stored during the upgrading of biogas into biomethane is also</w:t>
      </w:r>
      <w:r>
        <w:t xml:space="preserve"> </w:t>
      </w:r>
      <w:r>
        <w:t xml:space="preserve">included in the modelling and the three technologies are differentiated across scenarios</w:t>
      </w:r>
      <w:r>
        <w:t xml:space="preserve"> </w:t>
      </w:r>
      <w:r>
        <w:t xml:space="preserve">according to level and timeline of uptake. Biochar is not represented, as it is assumed that all</w:t>
      </w:r>
      <w:r>
        <w:t xml:space="preserve"> </w:t>
      </w:r>
      <w:r>
        <w:t xml:space="preserve">products resulting from pyrolysis of biomass during production of biofuels is under gaseous</w:t>
      </w:r>
      <w:r>
        <w:t xml:space="preserve"> </w:t>
      </w:r>
      <w:r>
        <w:t xml:space="preserve">form and subsequently captured. Other removal technologies are not considered in the</w:t>
      </w:r>
      <w:r>
        <w:t xml:space="preserve"> </w:t>
      </w:r>
      <w:r>
        <w:t xml:space="preserve">analysis.</w:t>
      </w:r>
      <w:r>
        <w:t xml:space="preserve"> </w:t>
      </w:r>
      <w:r>
        <w:t xml:space="preserve">Renewable hydrogen, e-fuels and storage</w:t>
      </w:r>
      <w:r>
        <w:t xml:space="preserve"> </w:t>
      </w:r>
      <w:r>
        <w:t xml:space="preserve">Technologies for the production, transmission, and distribution of e-fuels (including</w:t>
      </w:r>
      <w:r>
        <w:t xml:space="preserve"> </w:t>
      </w:r>
      <w:r>
        <w:t xml:space="preserve">renewable hydrogen), as well as storage technologies, are included in this impact assessment.</w:t>
      </w:r>
      <w:r>
        <w:t xml:space="preserve"> </w:t>
      </w:r>
      <w:r>
        <w:t xml:space="preserve">For each technology, the following items are listed: Investment costs, Fixed Operation and</w:t>
      </w:r>
      <w:r>
        <w:t xml:space="preserve"> </w:t>
      </w:r>
      <w:r>
        <w:t xml:space="preserve">Maintainenance costs, Heat rate (ratio of energy input requirements over output), “Feedstock</w:t>
      </w:r>
      <w:r>
        <w:t xml:space="preserve"> </w:t>
      </w:r>
      <w:r>
        <w:t xml:space="preserve">input requirements” (feedstock input required to produce one unit of output from each</w:t>
      </w:r>
      <w:r>
        <w:t xml:space="preserve"> </w:t>
      </w:r>
      <w:r>
        <w:t xml:space="preserve">technology) and technical lifetime. Given the progress made in the development of these fuels</w:t>
      </w:r>
      <w:r>
        <w:t xml:space="preserve"> </w:t>
      </w:r>
      <w:r>
        <w:t xml:space="preserve">in recent years, an updated set of Reference Scenario assumptions has been employed.</w:t>
      </w:r>
      <w:r>
        <w:t xml:space="preserve"> </w:t>
      </w:r>
      <w:r>
        <w:t xml:space="preserve">Biofuels and biogsases</w:t>
      </w:r>
      <w:r>
        <w:t xml:space="preserve"> </w:t>
      </w:r>
      <w:r>
        <w:t xml:space="preserve">The list of biofuels and biogases available in the model includes all the liquid and gaseous</w:t>
      </w:r>
      <w:r>
        <w:t xml:space="preserve"> </w:t>
      </w:r>
      <w:r>
        <w:t xml:space="preserve">biomass-based energy technologies addressed by European policies. The model includes</w:t>
      </w:r>
      <w:r>
        <w:t xml:space="preserve"> </w:t>
      </w:r>
      <w:r>
        <w:t xml:space="preserve">different pathways to produce liquid and gaseous bioenergy from starch, sugar and oil crops,</w:t>
      </w:r>
      <w:r>
        <w:t xml:space="preserve"> </w:t>
      </w:r>
      <w:r>
        <w:t xml:space="preserve">as well as bioenergy from lignocellulosic biomass and algae based on biochemical and</w:t>
      </w:r>
      <w:r>
        <w:t xml:space="preserve"> </w:t>
      </w:r>
      <w:r>
        <w:t xml:space="preserve">thermochemical conversion processes. Regarding biogases, different processes are described</w:t>
      </w:r>
      <w:r>
        <w:t xml:space="preserve"> </w:t>
      </w:r>
      <w:r>
        <w:t xml:space="preserve">to produce biogas and biomethane from different feedstocks. For each technology and</w:t>
      </w:r>
      <w:r>
        <w:t xml:space="preserve"> </w:t>
      </w:r>
      <w:r>
        <w:t xml:space="preserve">pathway, the model contains detailed technical information including investment costs, fixed</w:t>
      </w:r>
      <w:r>
        <w:t xml:space="preserve"> </w:t>
      </w:r>
      <w:r>
        <w:t xml:space="preserve">operation and maintenance costs, lifetime, energy consumption factors and self-consumption</w:t>
      </w:r>
      <w:r>
        <w:t xml:space="preserve"> </w:t>
      </w:r>
      <w:r>
        <w:t xml:space="preserve">factors.</w:t>
      </w:r>
      <w:r>
        <w:t xml:space="preserve"> </w:t>
      </w:r>
      <w:r>
        <w:t xml:space="preserve">Transport technologies</w:t>
      </w:r>
      <w:r>
        <w:br/>
      </w:r>
      <w:r>
        <w:t xml:space="preserve">The assumptions on transport technologies cover all transport modes, including passenger</w:t>
      </w:r>
      <w:r>
        <w:t xml:space="preserve"> </w:t>
      </w:r>
      <w:r>
        <w:t xml:space="preserve">cars, vans, trucks, buses, coaches, powered 2-wheelers, rail, inland waterways, shipping and</w:t>
      </w:r>
      <w:r>
        <w:t xml:space="preserve"> </w:t>
      </w:r>
      <w:r>
        <w:t xml:space="preserve">aviation. The assumptions describe the evolution of the investment costs of the various</w:t>
      </w:r>
    </w:p>
    <w:p>
      <w:pPr>
        <w:pStyle w:val="Compact"/>
        <w:numPr>
          <w:ilvl w:val="0"/>
          <w:numId w:val="1014"/>
        </w:numPr>
      </w:pPr>
      <w:r>
        <w:t xml:space="preserve">IEA (2021). Is carbon capture too expensive?, IEA, Paris https://www.iea.org/commentaries/is-carbon-</w:t>
      </w:r>
      <w:r>
        <w:t xml:space="preserve"> </w:t>
      </w:r>
      <w:r>
        <w:t xml:space="preserve">capture-too-expensive</w:t>
      </w:r>
    </w:p>
    <w:p>
      <w:pPr>
        <w:pStyle w:val="FirstParagraph"/>
      </w:pPr>
      <w:r>
        <w:t xml:space="preserve">19</w:t>
      </w:r>
    </w:p>
    <w:p>
      <w:pPr>
        <w:pStyle w:val="BodyText"/>
      </w:pPr>
      <w:r>
        <w:t xml:space="preserve">technologies until 2050 in 10-year time steps, and they are presented similarly for each mode</w:t>
      </w:r>
      <w:r>
        <w:t xml:space="preserve"> </w:t>
      </w:r>
      <w:r>
        <w:t xml:space="preserve">and technology: multiple efficiency improvement levels are available at different costs, for</w:t>
      </w:r>
      <w:r>
        <w:t xml:space="preserve"> </w:t>
      </w:r>
      <w:r>
        <w:t xml:space="preserve">each mode, each type of technology, and each time period. The efficiency improvements are</w:t>
      </w:r>
      <w:r>
        <w:t xml:space="preserve"> </w:t>
      </w:r>
      <w:r>
        <w:t xml:space="preserve">compared against a 2015 reference vehicle.</w:t>
      </w:r>
      <w:r>
        <w:br/>
      </w:r>
      <w:r>
        <w:t xml:space="preserve">Present and future costs of technologies are based on a literature review. The costs of the</w:t>
      </w:r>
      <w:r>
        <w:t xml:space="preserve"> </w:t>
      </w:r>
      <w:r>
        <w:t xml:space="preserve">efficiency improvement options are assumed to improve over time, due to learning effects for</w:t>
      </w:r>
      <w:r>
        <w:t xml:space="preserve"> </w:t>
      </w:r>
      <w:r>
        <w:t xml:space="preserve">example. Compared to the assumptions made in the Reference Scenario 2020, the</w:t>
      </w:r>
      <w:r>
        <w:t xml:space="preserve"> </w:t>
      </w:r>
      <w:r>
        <w:t xml:space="preserve">segmentation of aircraft and Heavy-Duty Vehicle technologies has been improved, and</w:t>
      </w:r>
      <w:r>
        <w:t xml:space="preserve"> </w:t>
      </w:r>
      <w:r>
        <w:t xml:space="preserve">several cost assumptions have been revised based on more recent estimates (for instance, this</w:t>
      </w:r>
      <w:r>
        <w:t xml:space="preserve"> </w:t>
      </w:r>
      <w:r>
        <w:t xml:space="preserve">is the case for various vessel and aircraft technologies, as well as re-charging and re-fuelling</w:t>
      </w:r>
      <w:r>
        <w:t xml:space="preserve"> </w:t>
      </w:r>
      <w:r>
        <w:t xml:space="preserve">infrastructure).</w:t>
      </w:r>
      <w:r>
        <w:t xml:space="preserve"> </w:t>
      </w:r>
      <w:r>
        <w:t xml:space="preserve">2.4.4.2 Mitigation of non-CO2 GHG emissions</w:t>
      </w:r>
      <w:r>
        <w:t xml:space="preserve"> </w:t>
      </w:r>
      <w:r>
        <w:t xml:space="preserve">The assumptions used in the modelling of non-CO2 greenhouse gases in the GAINS model</w:t>
      </w:r>
      <w:r>
        <w:t xml:space="preserve"> </w:t>
      </w:r>
      <w:r>
        <w:t xml:space="preserve">have been updated from those employed in the Reference Scenario 2020. This update</w:t>
      </w:r>
      <w:r>
        <w:t xml:space="preserve"> </w:t>
      </w:r>
      <w:r>
        <w:t xml:space="preserve">benefitted from a dedicated consultation workshop held on 27 October 2022.</w:t>
      </w:r>
      <w:r>
        <w:t xml:space="preserve"> </w:t>
      </w:r>
      <w:r>
        <w:t xml:space="preserve">Emission factors, mitigation potentials and cost information of mitigation options have been</w:t>
      </w:r>
      <w:r>
        <w:t xml:space="preserve"> </w:t>
      </w:r>
      <w:r>
        <w:t xml:space="preserve">updated to the extent possible using newly available information.</w:t>
      </w:r>
      <w:r>
        <w:br/>
      </w:r>
      <w:r>
        <w:t xml:space="preserve">Furthermore, the methodology to estimate CH4 emissions from gas distribution networks has</w:t>
      </w:r>
      <w:r>
        <w:t xml:space="preserve"> </w:t>
      </w:r>
      <w:r>
        <w:t xml:space="preserve">been further developed to reflect the impact of network material on leakage rates. Country-</w:t>
      </w:r>
      <w:r>
        <w:t xml:space="preserve"> </w:t>
      </w:r>
      <w:r>
        <w:t xml:space="preserve">specific information from EUROSTAT (2022) and national sources on the length of networks</w:t>
      </w:r>
      <w:r>
        <w:t xml:space="preserve"> </w:t>
      </w:r>
      <w:r>
        <w:t xml:space="preserve">from cast iron, steel, PE/PVC, and other materials, respectively, was coupled with</w:t>
      </w:r>
      <w:r>
        <w:t xml:space="preserve"> </w:t>
      </w:r>
      <w:r>
        <w:t xml:space="preserve">measurement information on average leakage rates for respective materials, and calibrated to</w:t>
      </w:r>
      <w:r>
        <w:t xml:space="preserve"> </w:t>
      </w:r>
      <w:r>
        <w:t xml:space="preserve">emissions from gas distribution networks reported to the UNFCCC.</w:t>
      </w:r>
      <w:r>
        <w:br/>
      </w:r>
      <w:r>
        <w:t xml:space="preserve">New non-CO2 source sectors introduced are fugitive CH4 emissions from LNG import</w:t>
      </w:r>
      <w:r>
        <w:t xml:space="preserve"> </w:t>
      </w:r>
      <w:r>
        <w:t xml:space="preserve">terminals and CH4 and N2O emissions from the use of bunker fuels in international shipping.</w:t>
      </w:r>
      <w:r>
        <w:t xml:space="preserve"> </w:t>
      </w:r>
      <w:r>
        <w:t xml:space="preserve">Mitigation options targeting enteric methane from livestock were revisited to reflect the latest</w:t>
      </w:r>
      <w:r>
        <w:t xml:space="preserve"> </w:t>
      </w:r>
      <w:r>
        <w:t xml:space="preserve">state of knowledge, e.g., regarding the effectiveness and costs of feed additives 3-NOP and</w:t>
      </w:r>
      <w:r>
        <w:t xml:space="preserve"> </w:t>
      </w:r>
      <w:r>
        <w:t xml:space="preserve">red seaweed.</w:t>
      </w:r>
      <w:r>
        <w:br/>
      </w:r>
      <w:r>
        <w:t xml:space="preserve">The vintage structure of wastewater treatment plants has been updated to better reflect</w:t>
      </w:r>
      <w:r>
        <w:t xml:space="preserve"> </w:t>
      </w:r>
      <w:r>
        <w:t xml:space="preserve">country-specific age structures of existing plants. This is important for the estimation of costs</w:t>
      </w:r>
      <w:r>
        <w:t xml:space="preserve"> </w:t>
      </w:r>
      <w:r>
        <w:t xml:space="preserve">as a shift to less emission-intensive technology is considerably less expensive when</w:t>
      </w:r>
      <w:r>
        <w:t xml:space="preserve"> </w:t>
      </w:r>
      <w:r>
        <w:t xml:space="preserve">implemented as part of a natural turnover of capital at the end of the plant lifetime than when</w:t>
      </w:r>
      <w:r>
        <w:t xml:space="preserve"> </w:t>
      </w:r>
      <w:r>
        <w:t xml:space="preserve">implemented pre-maturely.</w:t>
      </w:r>
      <w:r>
        <w:br/>
      </w:r>
      <w:r>
        <w:t xml:space="preserve">2.4.4.3 LULUCF sector</w:t>
      </w:r>
      <w:r>
        <w:t xml:space="preserve"> </w:t>
      </w:r>
      <w:r>
        <w:t xml:space="preserve">The modelling of the LULUCF sector with GLOBIOM/G4M has been updated from that used</w:t>
      </w:r>
      <w:r>
        <w:t xml:space="preserve"> </w:t>
      </w:r>
      <w:r>
        <w:t xml:space="preserve">in the Reference Scenario 2020. This update benefitted from a dedicated consultation</w:t>
      </w:r>
      <w:r>
        <w:t xml:space="preserve"> </w:t>
      </w:r>
      <w:r>
        <w:t xml:space="preserve">workshop held on 27 October 2022.</w:t>
      </w:r>
      <w:r>
        <w:t xml:space="preserve"> </w:t>
      </w:r>
      <w:r>
        <w:t xml:space="preserve">Mid-term projections have been aligned with projections from the AGLINK model completed</w:t>
      </w:r>
      <w:r>
        <w:t xml:space="preserve"> </w:t>
      </w:r>
      <w:r>
        <w:t xml:space="preserve">for the EU Agricultural Outlook 2022, which is assumed to reflect the Common Agricultural</w:t>
      </w:r>
      <w:r>
        <w:t xml:space="preserve"> </w:t>
      </w:r>
      <w:r>
        <w:t xml:space="preserve">Policy at the time of publication.</w:t>
      </w:r>
      <w:r>
        <w:br/>
      </w:r>
      <w:r>
        <w:t xml:space="preserve">As a new mitigation measure, rewetting of drained organic soils has been implemented in the</w:t>
      </w:r>
      <w:r>
        <w:t xml:space="preserve"> </w:t>
      </w:r>
      <w:r>
        <w:t xml:space="preserve">modelling framework, relying on data from the UNFCCC 2023 inventory, the IPCC wetlands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supplement (59) and spatial explicit areas presented by the CAPRI model (60) (Fellmann et al.,</w:t>
      </w:r>
      <w:r>
        <w:t xml:space="preserve"> </w:t>
      </w:r>
      <w:r>
        <w:t xml:space="preserve">2021).</w:t>
      </w:r>
      <w:r>
        <w:t xml:space="preserve"> </w:t>
      </w:r>
      <w:r>
        <w:t xml:space="preserve">Future climate change impacts on the agricultural and forest sectors have been estimated</w:t>
      </w:r>
      <w:r>
        <w:t xml:space="preserve"> </w:t>
      </w:r>
      <w:r>
        <w:t xml:space="preserve">based on CMIP6 data and subsequently implemented in GLOBIOM and G4M. The options</w:t>
      </w:r>
      <w:r>
        <w:t xml:space="preserve"> </w:t>
      </w:r>
      <w:r>
        <w:t xml:space="preserve">comprise scenarios from four climate models and three RCP scenarios, both with and without</w:t>
      </w:r>
      <w:r>
        <w:t xml:space="preserve"> </w:t>
      </w:r>
      <w:r>
        <w:t xml:space="preserve">CO2 fertilization effects. In addition, first steps have been taken towards the integration of</w:t>
      </w:r>
      <w:r>
        <w:t xml:space="preserve"> </w:t>
      </w:r>
      <w:r>
        <w:t xml:space="preserve">natural disturbances are done for the forest sector.</w:t>
      </w:r>
      <w:r>
        <w:t xml:space="preserve"> </w:t>
      </w:r>
      <w:r>
        <w:t xml:space="preserve">Furthermore, an update of the mitigation potentials of improving management of degraded</w:t>
      </w:r>
      <w:r>
        <w:t xml:space="preserve"> </w:t>
      </w:r>
      <w:r>
        <w:t xml:space="preserve">grasslands has been completed in GLOBIOM. An explicit representation of protected,</w:t>
      </w:r>
      <w:r>
        <w:t xml:space="preserve"> </w:t>
      </w:r>
      <w:r>
        <w:t xml:space="preserve">primary and likely-old-growth forests with a possibility of simulating different forest</w:t>
      </w:r>
      <w:r>
        <w:t xml:space="preserve"> </w:t>
      </w:r>
      <w:r>
        <w:t xml:space="preserve">management for the forests has been implemented in G4M.</w:t>
      </w:r>
      <w:r>
        <w:t xml:space="preserve"> </w:t>
      </w:r>
      <w:r>
        <w:t xml:space="preserve">2.4.5 Bioenergy potential</w:t>
      </w:r>
      <w:r>
        <w:t xml:space="preserve"> </w:t>
      </w:r>
      <w:r>
        <w:t xml:space="preserve">The analysis assumes a cap on the amount of the “gross available energy”(61) from biomass</w:t>
      </w:r>
      <w:r>
        <w:t xml:space="preserve"> </w:t>
      </w:r>
      <w:r>
        <w:t xml:space="preserve">and waste at the level indicated by the ESABCC as the environmental risk level associated</w:t>
      </w:r>
      <w:r>
        <w:t xml:space="preserve"> </w:t>
      </w:r>
      <w:r>
        <w:t xml:space="preserve">“primary bioenergy use“ (9 EJ)62 in order to limit possible impacts on land-use and the</w:t>
      </w:r>
      <w:r>
        <w:t xml:space="preserve"> </w:t>
      </w:r>
      <w:r>
        <w:t xml:space="preserve">environment (63). Furthermore, a restriction on the use of harvestable stemwood and forest</w:t>
      </w:r>
      <w:r>
        <w:t xml:space="preserve"> </w:t>
      </w:r>
      <w:r>
        <w:t xml:space="preserve">residues is implemented based on the scientific literature related to biodiversity and</w:t>
      </w:r>
      <w:r>
        <w:t xml:space="preserve"> </w:t>
      </w:r>
      <w:r>
        <w:t xml:space="preserve">sustainable wood biomass use (64): all scenarios assume a cap on bioenergy from harvestable</w:t>
      </w:r>
      <w:r>
        <w:t xml:space="preserve"> </w:t>
      </w:r>
      <w:r>
        <w:t xml:space="preserve">stemwood (30 Mtoe) and from forest residues (20 Mtoe) (65). The net imports of bioenergy</w:t>
      </w:r>
      <w:r>
        <w:t xml:space="preserve"> </w:t>
      </w:r>
      <w:r>
        <w:t xml:space="preserve">are capped at levels close to recent historical levels of around 10 Mtoe.</w:t>
      </w:r>
    </w:p>
    <w:p>
      <w:pPr>
        <w:pStyle w:val="Compact"/>
        <w:numPr>
          <w:ilvl w:val="0"/>
          <w:numId w:val="1015"/>
        </w:numPr>
      </w:pPr>
      <w:r>
        <w:t xml:space="preserve">IPCC 2014, 2013 Supplement to the 2006 IPCC Guidelines for National Greenhouse Gas Inventories:</w:t>
      </w:r>
      <w:r>
        <w:t xml:space="preserve"> </w:t>
      </w:r>
      <w:r>
        <w:t xml:space="preserve">Wetlands, Hiraishi, T., Krug, T., Tanabe, K., Srivastava, N., Baasansuren, J., Fukuda, M. and Troxler, T.G.</w:t>
      </w:r>
      <w:r>
        <w:t xml:space="preserve"> </w:t>
      </w:r>
      <w:r>
        <w:t xml:space="preserve">(eds). Published: IPCC, Switzerland.</w:t>
      </w:r>
    </w:p>
    <w:p>
      <w:pPr>
        <w:pStyle w:val="Compact"/>
        <w:numPr>
          <w:ilvl w:val="0"/>
          <w:numId w:val="1015"/>
        </w:numPr>
      </w:pPr>
      <w:r>
        <w:t xml:space="preserve">Fellmann, Thomas, et al. (2021).</w:t>
      </w:r>
      <w:r>
        <w:t xml:space="preserve"> </w:t>
      </w:r>
      <w:r>
        <w:t xml:space="preserve">“Greenhouse gas mitigation technologies in agriculture: Regional</w:t>
      </w:r>
      <w:r>
        <w:t xml:space="preserve"> </w:t>
      </w:r>
      <w:r>
        <w:t xml:space="preserve">circumstances and interactions determine cost-effectiveness.”</w:t>
      </w:r>
      <w:r>
        <w:t xml:space="preserve"> </w:t>
      </w:r>
      <w:r>
        <w:t xml:space="preserve">Journal of Cleaner Production 317 (2021):</w:t>
      </w:r>
    </w:p>
    <w:p>
      <w:pPr>
        <w:pStyle w:val="Compact"/>
        <w:numPr>
          <w:ilvl w:val="0"/>
          <w:numId w:val="1017"/>
        </w:numPr>
      </w:pPr>
      <w:r>
        <w:t xml:space="preserve">Gross available energy means the overall supply of energy for all activities in the EU, including for use in</w:t>
      </w:r>
      <w:r>
        <w:t xml:space="preserve"> </w:t>
      </w:r>
      <w:r>
        <w:t xml:space="preserve">international aviation and international maritime bunkers, and including net imports.</w:t>
      </w:r>
    </w:p>
    <w:p>
      <w:pPr>
        <w:pStyle w:val="Compact"/>
        <w:numPr>
          <w:ilvl w:val="0"/>
          <w:numId w:val="1017"/>
        </w:numPr>
      </w:pPr>
      <w:r>
        <w:t xml:space="preserve">ESABCC (2023), Scientific advice for the determination of an EU-wide 2040 climate target and a</w:t>
      </w:r>
      <w:r>
        <w:t xml:space="preserve"> </w:t>
      </w:r>
      <w:r>
        <w:t xml:space="preserve">greenhouse gas budget for 2030–2050. Table 6.</w:t>
      </w:r>
    </w:p>
    <w:p>
      <w:pPr>
        <w:pStyle w:val="Compact"/>
        <w:numPr>
          <w:ilvl w:val="0"/>
          <w:numId w:val="1017"/>
        </w:numPr>
      </w:pPr>
      <w:r>
        <w:t xml:space="preserve">Future analyses may assume other supply levels of biomass to stay within the sustainability boundaries, in</w:t>
      </w:r>
      <w:r>
        <w:t xml:space="preserve"> </w:t>
      </w:r>
      <w:r>
        <w:t xml:space="preserve">view of the on-going scientific debate.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Creutzig, F. et al., 2015; JRC, Biomass production, supply, uses and flows in the European Union, Policy</w:t>
      </w:r>
      <w:r>
        <w:t xml:space="preserve"> </w:t>
      </w:r>
      <w:r>
        <w:t xml:space="preserve">Report, 2023; Verkerk et al. 2019;</w:t>
      </w:r>
      <w:r>
        <w:t xml:space="preserve"> </w:t>
      </w:r>
      <w:r>
        <w:t xml:space="preserve">Camia, A., Giuntoli, J., Jonsson, K., Robert, N., Cazzaniga, N.,</w:t>
      </w:r>
      <w:r>
        <w:t xml:space="preserve"> </w:t>
      </w:r>
      <w:r>
        <w:t xml:space="preserve">Jasinevičius, G., Avitabile, V., Grassi, G., Barredo Cano, J.I. and Mubareka, S., The use of woody biomass</w:t>
      </w:r>
      <w:r>
        <w:t xml:space="preserve"> </w:t>
      </w:r>
      <w:r>
        <w:t xml:space="preserve">for energy production in the EU, EUR 30548 EN, Publications Office of the European Union, Luxembourg,</w:t>
      </w:r>
      <w:r>
        <w:t xml:space="preserve"> </w:t>
      </w:r>
      <w:r>
        <w:t xml:space="preserve">2020, ISBN 978-92-76-27867-2, doi:10.2760/831621, JRC122719.</w:t>
      </w:r>
    </w:p>
    <w:p>
      <w:pPr>
        <w:pStyle w:val="Compact"/>
        <w:numPr>
          <w:ilvl w:val="0"/>
          <w:numId w:val="1017"/>
        </w:numPr>
      </w:pPr>
      <w:r>
        <w:t xml:space="preserve">Historical levels from 2015 show biomass supply for bioenergy from harvestable stemwood of around 25</w:t>
      </w:r>
      <w:r>
        <w:t xml:space="preserve"> </w:t>
      </w:r>
      <w:r>
        <w:t xml:space="preserve">Mtoe and from forest residues of around 15 Mtoe.</w:t>
      </w:r>
    </w:p>
    <w:p>
      <w:pPr>
        <w:pStyle w:val="FirstParagraph"/>
      </w:pPr>
      <w:r>
        <w:t xml:space="preserve">21</w:t>
      </w:r>
    </w:p>
    <w:p>
      <w:pPr>
        <w:pStyle w:val="BodyText"/>
      </w:pPr>
      <w:r>
        <w:t xml:space="preserve">2.5</w:t>
      </w:r>
      <w:r>
        <w:t xml:space="preserve"> </w:t>
      </w:r>
      <w:r>
        <w:t xml:space="preserve">Policies</w:t>
      </w:r>
      <w:r>
        <w:br/>
      </w:r>
      <w:r>
        <w:t xml:space="preserve">2.5.1 EU policies</w:t>
      </w:r>
      <w:r>
        <w:br/>
      </w:r>
      <w:r>
        <w:t xml:space="preserve">This section describes the elements of the EU legislative framework that have been</w:t>
      </w:r>
      <w:r>
        <w:t xml:space="preserve"> </w:t>
      </w:r>
      <w:r>
        <w:t xml:space="preserve">considered in the modelling analysis.</w:t>
      </w:r>
      <w:r>
        <w:t xml:space="preserve"> </w:t>
      </w:r>
      <w:r>
        <w:t xml:space="preserve">2.5.1.1 Climate legislation</w:t>
      </w:r>
      <w:r>
        <w:t xml:space="preserve"> </w:t>
      </w:r>
      <w:r>
        <w:t xml:space="preserve">The European Climate Law (66) enshrines into law the EU’s commitment to become climate</w:t>
      </w:r>
      <w:r>
        <w:t xml:space="preserve"> </w:t>
      </w:r>
      <w:r>
        <w:t xml:space="preserve">neutral by 2050, thereby providing a clear direction of travel for the transition. Furthermore, it</w:t>
      </w:r>
      <w:r>
        <w:t xml:space="preserve"> </w:t>
      </w:r>
      <w:r>
        <w:t xml:space="preserve">expresses the EU’s commitment to reduce net GHG emissions by at least 55% in 2030</w:t>
      </w:r>
      <w:r>
        <w:t xml:space="preserve"> </w:t>
      </w:r>
      <w:r>
        <w:t xml:space="preserve">relative to 1990, as the European contribution to the achievement of the Paris Agreement</w:t>
      </w:r>
      <w:r>
        <w:t xml:space="preserve"> </w:t>
      </w:r>
      <w:r>
        <w:t xml:space="preserve">goals. As an essential part of the European Green Deal, the “Fit for 55” legislative package</w:t>
      </w:r>
      <w:r>
        <w:t xml:space="preserve"> </w:t>
      </w:r>
      <w:r>
        <w:t xml:space="preserve">established the policy framework to meet the 2030 climate target, ensuring a just and socially</w:t>
      </w:r>
      <w:r>
        <w:t xml:space="preserve"> </w:t>
      </w:r>
      <w:r>
        <w:t xml:space="preserve">fair transition, while strengthening innovation, preserving the competitiveness of EU industry</w:t>
      </w:r>
      <w:r>
        <w:t xml:space="preserve"> </w:t>
      </w:r>
      <w:r>
        <w:t xml:space="preserve">and promotiong a more efficient use of our natural resources.</w:t>
      </w:r>
      <w:r>
        <w:br/>
      </w:r>
      <w:r>
        <w:t xml:space="preserve">The revised EU ETS Directive (67) increases the ambition of the existing ETS emissions</w:t>
      </w:r>
      <w:r>
        <w:t xml:space="preserve"> </w:t>
      </w:r>
      <w:r>
        <w:t xml:space="preserve">reduction target from 43% to 62% by 2030, compared to 2005 levels, strengthening the</w:t>
      </w:r>
      <w:r>
        <w:t xml:space="preserve"> </w:t>
      </w:r>
      <w:r>
        <w:t xml:space="preserve">carbon price signal for power, centralised heat, industry and intra-EU aviation. The ETS</w:t>
      </w:r>
      <w:r>
        <w:t xml:space="preserve"> </w:t>
      </w:r>
      <w:r>
        <w:t xml:space="preserve">scope is extended to maritime transport (68), and the global Carbon Offsetting and Reduction</w:t>
      </w:r>
      <w:r>
        <w:t xml:space="preserve"> </w:t>
      </w:r>
      <w:r>
        <w:t xml:space="preserve">Scheme for International Aviation (CORSIA) will be implemented through the EU ETS (69).</w:t>
      </w:r>
      <w:r>
        <w:t xml:space="preserve"> </w:t>
      </w:r>
      <w:r>
        <w:t xml:space="preserve">The Carbon Border Adjustment Mechanism (CBAM) (70) should ensure that the emissions</w:t>
      </w:r>
      <w:r>
        <w:t xml:space="preserve"> </w:t>
      </w:r>
      <w:r>
        <w:t xml:space="preserve">reduction efforts of the EU are not offset by increasing emissions outside its borders through</w:t>
      </w:r>
      <w:r>
        <w:t xml:space="preserve"> </w:t>
      </w:r>
      <w:r>
        <w:t xml:space="preserve">the relocation of production to non-EU countries or through increased imports of carbon-</w:t>
      </w:r>
      <w:r>
        <w:t xml:space="preserve"> </w:t>
      </w:r>
      <w:r>
        <w:t xml:space="preserve">intensive products.</w:t>
      </w:r>
    </w:p>
    <w:p>
      <w:pPr>
        <w:pStyle w:val="Compact"/>
        <w:numPr>
          <w:ilvl w:val="0"/>
          <w:numId w:val="1018"/>
        </w:numPr>
      </w:pPr>
      <w:r>
        <w:t xml:space="preserve">Regulation (EU) 2021/1119.</w:t>
      </w:r>
    </w:p>
    <w:p>
      <w:pPr>
        <w:pStyle w:val="Compact"/>
        <w:numPr>
          <w:ilvl w:val="0"/>
          <w:numId w:val="1018"/>
        </w:numPr>
      </w:pPr>
      <w:r>
        <w:t xml:space="preserve">Directive 2003/87/EC, as amended notably by Directive 2008/101/EC, Decision (EU) 2015/1814,</w:t>
      </w:r>
      <w:r>
        <w:t xml:space="preserve"> </w:t>
      </w:r>
      <w:r>
        <w:t xml:space="preserve">Regulation (EU) 2017/2392, Directive 2018/410, Regulation (EU) 2023/435, Directive (EU) 2023/958 and</w:t>
      </w:r>
      <w:r>
        <w:t xml:space="preserve"> </w:t>
      </w:r>
      <w:r>
        <w:t xml:space="preserve">Directive (EU) 2023/959.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Including CO2 emissions and, from 2026, CH4 and N2O emissions. The ETS covers all emissions that</w:t>
      </w:r>
      <w:r>
        <w:t xml:space="preserve"> </w:t>
      </w:r>
      <w:r>
        <w:t xml:space="preserve">occur at berth and within an EU port, all emissions produced during voyages between EU ports (as defined</w:t>
      </w:r>
      <w:r>
        <w:t xml:space="preserve"> </w:t>
      </w:r>
      <w:r>
        <w:t xml:space="preserve">by the MRV Regulation), and 50% of the emissions produced during voyages between an EU port and a</w:t>
      </w:r>
      <w:r>
        <w:t xml:space="preserve"> </w:t>
      </w:r>
      <w:r>
        <w:t xml:space="preserve">non-EU port.</w:t>
      </w:r>
    </w:p>
    <w:p>
      <w:pPr>
        <w:pStyle w:val="Compact"/>
        <w:numPr>
          <w:ilvl w:val="0"/>
          <w:numId w:val="1018"/>
        </w:numPr>
      </w:pPr>
      <w:r>
        <w:t xml:space="preserve">Other important features of the revision of the ETS Directive include: (i) tightening of the ETS cap with a</w:t>
      </w:r>
      <w:r>
        <w:t xml:space="preserve"> </w:t>
      </w:r>
      <w:r>
        <w:t xml:space="preserve">two-step rebasing and an increasing linear reduction factor; (ii) updating the parameters of the Market</w:t>
      </w:r>
      <w:r>
        <w:t xml:space="preserve"> </w:t>
      </w:r>
      <w:r>
        <w:t xml:space="preserve">Stability Reserve including an extension of the intake rate of 24% until 2030; (iii) an obligation for the</w:t>
      </w:r>
      <w:r>
        <w:t xml:space="preserve"> </w:t>
      </w:r>
      <w:r>
        <w:t xml:space="preserve">Member States to spend the entirety of their emissions trading revenues on climate and energy-related</w:t>
      </w:r>
      <w:r>
        <w:t xml:space="preserve"> </w:t>
      </w:r>
      <w:r>
        <w:t xml:space="preserve">projects and to address social aspects of the transition; (iv) increasing the sizes of the Innovation Fund and</w:t>
      </w:r>
      <w:r>
        <w:t xml:space="preserve"> </w:t>
      </w:r>
      <w:r>
        <w:t xml:space="preserve">the Modernisation Fund; (v) phasing out gradually free allocation in the sectors covered by the new Carbon</w:t>
      </w:r>
      <w:r>
        <w:t xml:space="preserve"> </w:t>
      </w:r>
      <w:r>
        <w:t xml:space="preserve">Border Adjustment Mechanism over the period 2026-2034; (vi) requiring that installations benefitting from</w:t>
      </w:r>
      <w:r>
        <w:t xml:space="preserve"> </w:t>
      </w:r>
      <w:r>
        <w:t xml:space="preserve">free allocation, to avoid losing 20% of their free allocation, implement energy efficiency measures and</w:t>
      </w:r>
      <w:r>
        <w:t xml:space="preserve"> </w:t>
      </w:r>
      <w:r>
        <w:t xml:space="preserve">establish and implement a climate neutrality plan in the case of worst performing industrial emitters; (vii)</w:t>
      </w:r>
      <w:r>
        <w:t xml:space="preserve"> </w:t>
      </w:r>
      <w:r>
        <w:t xml:space="preserve">strengthening the rules on market transparency and making the mechanism in the event of excessive price</w:t>
      </w:r>
      <w:r>
        <w:t xml:space="preserve"> </w:t>
      </w:r>
      <w:r>
        <w:t xml:space="preserve">fluctuations automatic and more reactive; (viii) a requirement for the Commission to report by 31 July 2026</w:t>
      </w:r>
      <w:r>
        <w:t xml:space="preserve"> </w:t>
      </w:r>
      <w:r>
        <w:t xml:space="preserve">on the feasibility of including municipal waste incineration installations in the EU ETS from 2028 onwards.</w:t>
      </w:r>
    </w:p>
    <w:p>
      <w:pPr>
        <w:pStyle w:val="Compact"/>
        <w:numPr>
          <w:ilvl w:val="0"/>
          <w:numId w:val="1018"/>
        </w:numPr>
      </w:pPr>
      <w:r>
        <w:t xml:space="preserve">Regulation (EU) 2023/956.</w:t>
      </w:r>
    </w:p>
    <w:p>
      <w:pPr>
        <w:pStyle w:val="FirstParagraph"/>
      </w:pPr>
      <w:r>
        <w:t xml:space="preserve">22</w:t>
      </w:r>
    </w:p>
    <w:p>
      <w:pPr>
        <w:pStyle w:val="BodyText"/>
      </w:pPr>
      <w:r>
        <w:t xml:space="preserve">A separate emissions trading system (ETS2) will apply from 2027 onwards to combustion</w:t>
      </w:r>
      <w:r>
        <w:t xml:space="preserve"> </w:t>
      </w:r>
      <w:r>
        <w:t xml:space="preserve">fuels in road transport and buildings and additional sectors (71), further incentivising and</w:t>
      </w:r>
      <w:r>
        <w:t xml:space="preserve"> </w:t>
      </w:r>
      <w:r>
        <w:t xml:space="preserve">ensuring an emission reduction of 42% compared to 2005 in the sectors covered. With the</w:t>
      </w:r>
      <w:r>
        <w:t xml:space="preserve"> </w:t>
      </w:r>
      <w:r>
        <w:t xml:space="preserve">extension to new sectors, around 75% of total EU emissions will be subject to carbon pricing,</w:t>
      </w:r>
      <w:r>
        <w:t xml:space="preserve"> </w:t>
      </w:r>
      <w:r>
        <w:t xml:space="preserve">making the ETS a crucial instrument to achieve the 2030 target.</w:t>
      </w:r>
      <w:r>
        <w:br/>
      </w:r>
      <w:r>
        <w:t xml:space="preserve">The revised Effort Sharing Regulation (ESR) (72) increases the EU greenhouse gas emission</w:t>
      </w:r>
      <w:r>
        <w:t xml:space="preserve"> </w:t>
      </w:r>
      <w:r>
        <w:t xml:space="preserve">reduction target from 30% to 40% by 2030, compared to 2005, for the sectors covered (i.e., all</w:t>
      </w:r>
      <w:r>
        <w:t xml:space="preserve"> </w:t>
      </w:r>
      <w:r>
        <w:t xml:space="preserve">sectors not covered by the ETS, excluding the LULUCF sector).</w:t>
      </w:r>
      <w:r>
        <w:br/>
      </w:r>
      <w:r>
        <w:t xml:space="preserve">The new LULUCF Regulation (73) sets an overall EU-level objective of 310 Mt CO2-eq of net</w:t>
      </w:r>
      <w:r>
        <w:t xml:space="preserve"> </w:t>
      </w:r>
      <w:r>
        <w:t xml:space="preserve">removals of greenhouse gases in the LULUCF sector in 2030. Binding national targets are</w:t>
      </w:r>
      <w:r>
        <w:t xml:space="preserve"> </w:t>
      </w:r>
      <w:r>
        <w:t xml:space="preserve">defined for each member state. The proposed EU-wide voluntary framework to reliably</w:t>
      </w:r>
      <w:r>
        <w:t xml:space="preserve"> </w:t>
      </w:r>
      <w:r>
        <w:t xml:space="preserve">certify high-quality carbon removals will boost innovative carbon removal technologies and</w:t>
      </w:r>
      <w:r>
        <w:t xml:space="preserve"> </w:t>
      </w:r>
      <w:r>
        <w:t xml:space="preserve">sustainable carbon farming solutions. Tackling climate change and ensuring healthy and</w:t>
      </w:r>
      <w:r>
        <w:t xml:space="preserve"> </w:t>
      </w:r>
      <w:r>
        <w:t xml:space="preserve">biodiverse ecosystems are intrinsically linked. Natural sinks are of crucial importance to</w:t>
      </w:r>
      <w:r>
        <w:t xml:space="preserve"> </w:t>
      </w:r>
      <w:r>
        <w:t xml:space="preserve">capture and store carbon. The new law to restore ecosystems such as wetlands and forests</w:t>
      </w:r>
      <w:r>
        <w:t xml:space="preserve"> </w:t>
      </w:r>
      <w:r>
        <w:t xml:space="preserve">(i.e., the Nature Restoration Law) will make an important contribution to maintaining,</w:t>
      </w:r>
      <w:r>
        <w:t xml:space="preserve"> </w:t>
      </w:r>
      <w:r>
        <w:t xml:space="preserve">managing and enhancing natural sinks and to increasing biodiversity while fighting climate</w:t>
      </w:r>
      <w:r>
        <w:t xml:space="preserve"> </w:t>
      </w:r>
      <w:r>
        <w:t xml:space="preserve">change.</w:t>
      </w:r>
      <w:r>
        <w:t xml:space="preserve"> </w:t>
      </w:r>
      <w:r>
        <w:t xml:space="preserve">The CO2 emission performance standards for new passenger cars and new light commercial</w:t>
      </w:r>
      <w:r>
        <w:t xml:space="preserve"> </w:t>
      </w:r>
      <w:r>
        <w:t xml:space="preserve">vehicles were revised and strengthened in line with the EU’s increased climate ambition (74),</w:t>
      </w:r>
      <w:r>
        <w:t xml:space="preserve"> </w:t>
      </w:r>
      <w:r>
        <w:t xml:space="preserve">notably through setting a target to reduce CO2 emissions by 55% for new cars and by 50% for</w:t>
      </w:r>
      <w:r>
        <w:t xml:space="preserve"> </w:t>
      </w:r>
      <w:r>
        <w:t xml:space="preserve">new vans from 2030 to 2034 compared to 2021 levels, and a 100% reduction target from 2035</w:t>
      </w:r>
      <w:r>
        <w:t xml:space="preserve"> </w:t>
      </w:r>
      <w:r>
        <w:t xml:space="preserve">onwards. In February 2023, the European Commission proposed a more ambitious emission</w:t>
      </w:r>
      <w:r>
        <w:t xml:space="preserve"> </w:t>
      </w:r>
      <w:r>
        <w:t xml:space="preserve">reduction target for heavy duty vehicles (i.e., lorries, buses, coaches and trailers) through</w:t>
      </w:r>
      <w:r>
        <w:t xml:space="preserve"> </w:t>
      </w:r>
      <w:r>
        <w:t xml:space="preserve">updated CO2 performance standards (75). If adopted, the proposal would reduce CO2</w:t>
      </w:r>
      <w:r>
        <w:t xml:space="preserve"> </w:t>
      </w:r>
      <w:r>
        <w:t xml:space="preserve">emissions per km from new heavy-duty vehicles by 90% by 2040, compared to the reference</w:t>
      </w:r>
      <w:r>
        <w:t xml:space="preserve"> </w:t>
      </w:r>
      <w:r>
        <w:t xml:space="preserve">period (July 2019 to June 2020). In addition, the proposal would ensure that all new city buses</w:t>
      </w:r>
      <w:r>
        <w:t xml:space="preserve"> </w:t>
      </w:r>
      <w:r>
        <w:t xml:space="preserve">are zero-emission vehicles as of 2030.</w:t>
      </w:r>
      <w:r>
        <w:br/>
      </w:r>
      <w:r>
        <w:t xml:space="preserve">2.5.1.2 Energy legislation</w:t>
      </w:r>
      <w:r>
        <w:t xml:space="preserve"> </w:t>
      </w:r>
      <w:r>
        <w:t xml:space="preserve">For energy it includes the revised Renewable Energy Directive (76) which sets a binding target</w:t>
      </w:r>
      <w:r>
        <w:t xml:space="preserve"> </w:t>
      </w:r>
      <w:r>
        <w:t xml:space="preserve">of at least 42.5% of renewable energy share in the energy mix in 2030. It includes a binding</w:t>
      </w:r>
      <w:r>
        <w:t xml:space="preserve"> </w:t>
      </w:r>
      <w:r>
        <w:t xml:space="preserve">sub-target for renewable hydrogen which requires 42% of hydrogen consumed in industry to</w:t>
      </w:r>
      <w:r>
        <w:t xml:space="preserve"> </w:t>
      </w:r>
      <w:r>
        <w:t xml:space="preserve">come from renewable fuels of non-biological origin (RFNBOs). In the transport sector, the</w:t>
      </w:r>
      <w:r>
        <w:t xml:space="preserve"> </w:t>
      </w:r>
      <w:r>
        <w:t xml:space="preserve">RED III regulatory framework includes the possibility for Member States to choose between a</w:t>
      </w:r>
      <w:r>
        <w:t xml:space="preserve"> </w:t>
      </w:r>
      <w:r>
        <w:t xml:space="preserve">new binding target of 14.5% reduction of greenhouse gas intensity in transport from the use of</w:t>
      </w:r>
      <w:r>
        <w:t xml:space="preserve"> </w:t>
      </w:r>
      <w:r>
        <w:t xml:space="preserve">renewables by 2030 or a binding target of at least 29% share of renewables within the final</w:t>
      </w:r>
    </w:p>
    <w:p>
      <w:pPr>
        <w:pStyle w:val="Compact"/>
        <w:numPr>
          <w:ilvl w:val="0"/>
          <w:numId w:val="1019"/>
        </w:numPr>
      </w:pPr>
      <w:r>
        <w:t xml:space="preserve">That is to say, CO2 emissions from fuel combustion in industry not covered by the existing EU ETS.</w:t>
      </w:r>
    </w:p>
    <w:p>
      <w:pPr>
        <w:pStyle w:val="Compact"/>
        <w:numPr>
          <w:ilvl w:val="0"/>
          <w:numId w:val="1019"/>
        </w:numPr>
      </w:pPr>
      <w:r>
        <w:t xml:space="preserve">Regulation (EU) 2018/842, as amended by Regulation (EU) 2023/857.</w:t>
      </w:r>
    </w:p>
    <w:p>
      <w:pPr>
        <w:pStyle w:val="Compact"/>
        <w:numPr>
          <w:ilvl w:val="0"/>
          <w:numId w:val="1019"/>
        </w:numPr>
      </w:pPr>
      <w:r>
        <w:t xml:space="preserve">Regulation (EU) 2018/841, as amended by Regulation (EU) 2023/839.</w:t>
      </w:r>
    </w:p>
    <w:p>
      <w:pPr>
        <w:pStyle w:val="Compact"/>
        <w:numPr>
          <w:ilvl w:val="0"/>
          <w:numId w:val="1019"/>
        </w:numPr>
      </w:pPr>
      <w:r>
        <w:t xml:space="preserve">Regulation (EU) 2019/631, as amended by Regulation (EU) 2023/851.</w:t>
      </w:r>
    </w:p>
    <w:p>
      <w:pPr>
        <w:pStyle w:val="Compact"/>
        <w:numPr>
          <w:ilvl w:val="0"/>
          <w:numId w:val="1019"/>
        </w:numPr>
      </w:pPr>
      <w:r>
        <w:t xml:space="preserve">COM (2023) 88 final.</w:t>
      </w:r>
    </w:p>
    <w:p>
      <w:pPr>
        <w:pStyle w:val="Compact"/>
        <w:numPr>
          <w:ilvl w:val="0"/>
          <w:numId w:val="1019"/>
        </w:numPr>
      </w:pPr>
      <w:r>
        <w:t xml:space="preserve">Directive EU/2018/2001, as amended by Directive (EU) 2023/2413.</w:t>
      </w:r>
    </w:p>
    <w:p>
      <w:pPr>
        <w:pStyle w:val="FirstParagraph"/>
      </w:pPr>
      <w:r>
        <w:t xml:space="preserve">23</w:t>
      </w:r>
    </w:p>
    <w:p>
      <w:pPr>
        <w:pStyle w:val="BodyText"/>
      </w:pPr>
      <w:r>
        <w:t xml:space="preserve">consumption of energy in the transport sector by 2030. Further, it includes a binding sub-</w:t>
      </w:r>
      <w:r>
        <w:t xml:space="preserve"> </w:t>
      </w:r>
      <w:r>
        <w:t xml:space="preserve">target of 5.5% for advanced biofuels and RFNBO, including a minimum binding 1% level for</w:t>
      </w:r>
      <w:r>
        <w:t xml:space="preserve"> </w:t>
      </w:r>
      <w:r>
        <w:t xml:space="preserve">RFNBO. In the heating and cooling sector, the Directive introduces a mandatory annual</w:t>
      </w:r>
      <w:r>
        <w:t xml:space="preserve"> </w:t>
      </w:r>
      <w:r>
        <w:t xml:space="preserve">increase of the renewables share, namely 0.8 pp between 2021 and 2025, and 1.1 pp between</w:t>
      </w:r>
      <w:r>
        <w:t xml:space="preserve"> </w:t>
      </w:r>
      <w:r>
        <w:t xml:space="preserve">2026 and 2030.</w:t>
      </w:r>
      <w:r>
        <w:t xml:space="preserve"> </w:t>
      </w:r>
      <w:r>
        <w:t xml:space="preserve">It also includes the recast of the Energy Efficiency Directive (EED recast) (77). The Directive</w:t>
      </w:r>
      <w:r>
        <w:t xml:space="preserve"> </w:t>
      </w:r>
      <w:r>
        <w:t xml:space="preserve">significantly raises the EU’s ambition, by making it binding for EU countries to collectively</w:t>
      </w:r>
      <w:r>
        <w:t xml:space="preserve"> </w:t>
      </w:r>
      <w:r>
        <w:t xml:space="preserve">achieve an additional 11.7% reduction of final energy consumption (FEC) by 2030 compared</w:t>
      </w:r>
      <w:r>
        <w:t xml:space="preserve"> </w:t>
      </w:r>
      <w:r>
        <w:t xml:space="preserve">to the projections of the 2020 EU Reference Scenario so that the Union’s final energy</w:t>
      </w:r>
      <w:r>
        <w:t xml:space="preserve"> </w:t>
      </w:r>
      <w:r>
        <w:t xml:space="preserve">consumption amounts to no more than 763 Mtoe. Member States shall make efforts to</w:t>
      </w:r>
      <w:r>
        <w:t xml:space="preserve"> </w:t>
      </w:r>
      <w:r>
        <w:t xml:space="preserve">collectively contribute to the indicative Union primary energy consumption (PEC) target</w:t>
      </w:r>
      <w:r>
        <w:t xml:space="preserve"> </w:t>
      </w:r>
      <w:r>
        <w:t xml:space="preserve">amounting to no more than 992,5 Mtoe in 2030.</w:t>
      </w:r>
      <w:r>
        <w:t xml:space="preserve"> </w:t>
      </w:r>
      <w:r>
        <w:t xml:space="preserve">In addition, in Article 8 of the EED recast, an annual energy savings obligation has been set,</w:t>
      </w:r>
      <w:r>
        <w:t xml:space="preserve"> </w:t>
      </w:r>
      <w:r>
        <w:t xml:space="preserve">with new savings each year of 1.49% of FEC on average, from 2024 to 2030. Articles 25-26</w:t>
      </w:r>
      <w:r>
        <w:t xml:space="preserve"> </w:t>
      </w:r>
      <w:r>
        <w:t xml:space="preserve">of the EED recast set targets and pathways for the heating and cooling technologies that can</w:t>
      </w:r>
      <w:r>
        <w:t xml:space="preserve"> </w:t>
      </w:r>
      <w:r>
        <w:t xml:space="preserve">be installed or supported. Article 5 in the EED recast asks Member States to ensure that the</w:t>
      </w:r>
      <w:r>
        <w:t xml:space="preserve"> </w:t>
      </w:r>
      <w:r>
        <w:t xml:space="preserve">total final energy consumption of all public bodies combined is reduced by at least 1.9% each</w:t>
      </w:r>
      <w:r>
        <w:t xml:space="preserve"> </w:t>
      </w:r>
      <w:r>
        <w:t xml:space="preserve">year, when compared to 2021.</w:t>
      </w:r>
      <w:r>
        <w:t xml:space="preserve"> </w:t>
      </w:r>
      <w:r>
        <w:t xml:space="preserve">The proposal (78) for a revised Energy Performance of Buildings Directive (EPBD) (79)</w:t>
      </w:r>
      <w:r>
        <w:t xml:space="preserve"> </w:t>
      </w:r>
      <w:r>
        <w:t xml:space="preserve">encourages the continuous improvement of the energy performance of the national building</w:t>
      </w:r>
      <w:r>
        <w:t xml:space="preserve"> </w:t>
      </w:r>
      <w:r>
        <w:t xml:space="preserve">stock through renovation, contributing to the long-term goal of a decarbonised building stock</w:t>
      </w:r>
      <w:r>
        <w:t xml:space="preserve"> </w:t>
      </w:r>
      <w:r>
        <w:t xml:space="preserve">by 2050. It includes measures for both existing and new buildings. Minimum Energy</w:t>
      </w:r>
      <w:r>
        <w:t xml:space="preserve"> </w:t>
      </w:r>
      <w:r>
        <w:t xml:space="preserve">Performance Standards (MEPS) trigger the energy efficient renovation of the worst</w:t>
      </w:r>
      <w:r>
        <w:t xml:space="preserve"> </w:t>
      </w:r>
      <w:r>
        <w:t xml:space="preserve">performing part of the existing building stock by mandating them to meet gradually</w:t>
      </w:r>
      <w:r>
        <w:t xml:space="preserve"> </w:t>
      </w:r>
      <w:r>
        <w:t xml:space="preserve">improving energy performances. The Zero-Emission Buildings provision – replacing the</w:t>
      </w:r>
      <w:r>
        <w:t xml:space="preserve"> </w:t>
      </w:r>
      <w:r>
        <w:t xml:space="preserve">current provision for nearly-zero energy buildings – requires that as of 2027 and 2030 new</w:t>
      </w:r>
      <w:r>
        <w:t xml:space="preserve"> </w:t>
      </w:r>
      <w:r>
        <w:t xml:space="preserve">public buildings and all new buildings respectively must be zero-emission buildings. “Zero-</w:t>
      </w:r>
      <w:r>
        <w:t xml:space="preserve"> </w:t>
      </w:r>
      <w:r>
        <w:t xml:space="preserve">Emission Building” refers to a building with a very high energy performance, where the very</w:t>
      </w:r>
      <w:r>
        <w:t xml:space="preserve"> </w:t>
      </w:r>
      <w:r>
        <w:t xml:space="preserve">small residual energy requirement is covered by regulated renewable energy or district</w:t>
      </w:r>
      <w:r>
        <w:t xml:space="preserve"> </w:t>
      </w:r>
      <w:r>
        <w:t xml:space="preserve">heating and cooling systems. Additionally, the EPBD proposal introduces notable new</w:t>
      </w:r>
      <w:r>
        <w:t xml:space="preserve"> </w:t>
      </w:r>
      <w:r>
        <w:t xml:space="preserve">provisions on national voluntary building renovation passport schemes, on rooftop solar</w:t>
      </w:r>
      <w:r>
        <w:t xml:space="preserve"> </w:t>
      </w:r>
      <w:r>
        <w:t xml:space="preserve">energy, on revision of the energy performance certificates, on the introduction of national</w:t>
      </w:r>
      <w:r>
        <w:t xml:space="preserve"> </w:t>
      </w:r>
      <w:r>
        <w:t xml:space="preserve">energy performance databases and on e-mobility.</w:t>
      </w:r>
      <w:r>
        <w:t xml:space="preserve"> </w:t>
      </w:r>
      <w:r>
        <w:t xml:space="preserve">The “Hydrogen and Gas Markets Decarbonisation” package (80) should help to decarbonise</w:t>
      </w:r>
      <w:r>
        <w:t xml:space="preserve"> </w:t>
      </w:r>
      <w:r>
        <w:t xml:space="preserve">the EU gas market by facilitating the uptake of renewable and low carbon gases, including</w:t>
      </w:r>
      <w:r>
        <w:t xml:space="preserve"> </w:t>
      </w:r>
      <w:r>
        <w:t xml:space="preserve">hydrogen.</w:t>
      </w:r>
    </w:p>
    <w:p>
      <w:pPr>
        <w:pStyle w:val="Compact"/>
        <w:numPr>
          <w:ilvl w:val="0"/>
          <w:numId w:val="1020"/>
        </w:numPr>
      </w:pPr>
      <w:r>
        <w:t xml:space="preserve">Directive (EU) 2023/1791 (recast).</w:t>
      </w:r>
    </w:p>
    <w:p>
      <w:pPr>
        <w:pStyle w:val="Compact"/>
        <w:numPr>
          <w:ilvl w:val="0"/>
          <w:numId w:val="1020"/>
        </w:numPr>
      </w:pPr>
      <w:r>
        <w:t xml:space="preserve">COM(2021) 802 final.</w:t>
      </w:r>
    </w:p>
    <w:p>
      <w:pPr>
        <w:pStyle w:val="Compact"/>
        <w:numPr>
          <w:ilvl w:val="0"/>
          <w:numId w:val="1020"/>
        </w:numPr>
      </w:pPr>
      <w:r>
        <w:t xml:space="preserve">Directive 2010/31/EU, as amended by Directive (EU) 2018/844.</w:t>
      </w:r>
    </w:p>
    <w:p>
      <w:pPr>
        <w:pStyle w:val="Compact"/>
        <w:numPr>
          <w:ilvl w:val="0"/>
          <w:numId w:val="1020"/>
        </w:numPr>
      </w:pPr>
      <w:r>
        <w:t xml:space="preserve">Proposal for a directive (COM(2021) 803 final) and Proposal for a regulation (COM(2021) 804 final).</w:t>
      </w:r>
    </w:p>
    <w:p>
      <w:pPr>
        <w:pStyle w:val="FirstParagraph"/>
      </w:pPr>
      <w:r>
        <w:t xml:space="preserve">24</w:t>
      </w:r>
    </w:p>
    <w:p>
      <w:pPr>
        <w:pStyle w:val="BodyText"/>
      </w:pPr>
      <w:r>
        <w:t xml:space="preserve">2.5.1.3 Transport policy</w:t>
      </w:r>
      <w:r>
        <w:t xml:space="preserve"> </w:t>
      </w:r>
      <w:r>
        <w:t xml:space="preserve">To complement the legislation on CO2 standards for vehicles, the Alternative Fuels</w:t>
      </w:r>
      <w:r>
        <w:t xml:space="preserve"> </w:t>
      </w:r>
      <w:r>
        <w:t xml:space="preserve">Infrastructure Regulation (AFIR) (81) will ensure the supply of systems for re-charging and re-</w:t>
      </w:r>
      <w:r>
        <w:t xml:space="preserve"> </w:t>
      </w:r>
      <w:r>
        <w:t xml:space="preserve">fuelling zero-emission vehicles, ships and planes.</w:t>
      </w:r>
      <w:r>
        <w:br/>
      </w:r>
      <w:r>
        <w:t xml:space="preserve">The ReFuelEU Aviation Regulation (ReFuelEU Aviation) (82) aims to increase both demand</w:t>
      </w:r>
      <w:r>
        <w:t xml:space="preserve"> </w:t>
      </w:r>
      <w:r>
        <w:t xml:space="preserve">for and supply of sustainable aviation fuels (SAF), which are one of the key short- and</w:t>
      </w:r>
      <w:r>
        <w:t xml:space="preserve"> </w:t>
      </w:r>
      <w:r>
        <w:t xml:space="preserve">medium-term tools for decarbonising aviation. It should provide a way out of the situation</w:t>
      </w:r>
      <w:r>
        <w:t xml:space="preserve"> </w:t>
      </w:r>
      <w:r>
        <w:t xml:space="preserve">which is hindering their development: low supply and prices that are still much higher than</w:t>
      </w:r>
      <w:r>
        <w:t xml:space="preserve"> </w:t>
      </w:r>
      <w:r>
        <w:t xml:space="preserve">fossil fuels. ReFuelEU Aviation includes the obligation for aviation fuel suppliers to ensure</w:t>
      </w:r>
      <w:r>
        <w:t xml:space="preserve"> </w:t>
      </w:r>
      <w:r>
        <w:t xml:space="preserve">that all fuel made available to aircraft operators at EU airports contains a minimum share of</w:t>
      </w:r>
      <w:r>
        <w:t xml:space="preserve"> </w:t>
      </w:r>
      <w:r>
        <w:t xml:space="preserve">SAF from 2025 and, from 2030, a minimum share of synthetic fuels, with both shares</w:t>
      </w:r>
      <w:r>
        <w:t xml:space="preserve"> </w:t>
      </w:r>
      <w:r>
        <w:t xml:space="preserve">increasing progressively until 2050. In addition, this regulation establishes the obligation for</w:t>
      </w:r>
      <w:r>
        <w:t xml:space="preserve"> </w:t>
      </w:r>
      <w:r>
        <w:t xml:space="preserve">aircraft operators to ensure that the yearly quantity of aviation fuel uplifted at a given EU</w:t>
      </w:r>
      <w:r>
        <w:t xml:space="preserve"> </w:t>
      </w:r>
      <w:r>
        <w:t xml:space="preserve">airport is at least 90% of the yearly aviation fuel required, to avoid emissions related to extra</w:t>
      </w:r>
      <w:r>
        <w:t xml:space="preserve"> </w:t>
      </w:r>
      <w:r>
        <w:t xml:space="preserve">weight caused by tankering practices.</w:t>
      </w:r>
      <w:r>
        <w:t xml:space="preserve"> </w:t>
      </w:r>
      <w:r>
        <w:t xml:space="preserve">The FuelEU Maritime Regulation (83) aims to increase the demand for and consistent use of</w:t>
      </w:r>
      <w:r>
        <w:t xml:space="preserve"> </w:t>
      </w:r>
      <w:r>
        <w:t xml:space="preserve">renewable and low-carbon fuels and reduce the greenhouse gas emissions from the shipping</w:t>
      </w:r>
      <w:r>
        <w:t xml:space="preserve"> </w:t>
      </w:r>
      <w:r>
        <w:t xml:space="preserve">sector. To this end, this regulation includes measures to ensure that the greenhouse gas</w:t>
      </w:r>
      <w:r>
        <w:t xml:space="preserve"> </w:t>
      </w:r>
      <w:r>
        <w:t xml:space="preserve">intensity of fuels used by the shipping sector will gradually decrease over time, by 2% in 2025</w:t>
      </w:r>
      <w:r>
        <w:t xml:space="preserve"> </w:t>
      </w:r>
      <w:r>
        <w:t xml:space="preserve">to as much as 80% in 2050 (compared to the reference value of 91,16 g CO2-eq/MJ), and a</w:t>
      </w:r>
      <w:r>
        <w:t xml:space="preserve"> </w:t>
      </w:r>
      <w:r>
        <w:t xml:space="preserve">special incentive regime to support the uptake of the so-called renewable fuels of non</w:t>
      </w:r>
      <w:r>
        <w:t xml:space="preserve"> </w:t>
      </w:r>
      <w:r>
        <w:t xml:space="preserve">biological origin (RFNBO) with a high decarbonisation potential. The regulation also includes</w:t>
      </w:r>
      <w:r>
        <w:t xml:space="preserve"> </w:t>
      </w:r>
      <w:r>
        <w:t xml:space="preserve">an obligation for passenger ships and containerships to use on-shore power supply for all</w:t>
      </w:r>
      <w:r>
        <w:t xml:space="preserve"> </w:t>
      </w:r>
      <w:r>
        <w:t xml:space="preserve">electricity needs while moored at the quayside in major EU ports as of 2030.</w:t>
      </w:r>
      <w:r>
        <w:t xml:space="preserve"> </w:t>
      </w:r>
      <w:r>
        <w:t xml:space="preserve">The European Commission’s Sustainable and Smart Mobility Strategy and Action Plan (84)</w:t>
      </w:r>
      <w:r>
        <w:t xml:space="preserve"> </w:t>
      </w:r>
      <w:r>
        <w:t xml:space="preserve">outlines several milestones that are assumed to be met in the modelling analysis, particularly</w:t>
      </w:r>
      <w:r>
        <w:t xml:space="preserve"> </w:t>
      </w:r>
      <w:r>
        <w:t xml:space="preserve">the following ones: a) increase of rail freight traffic by 50% in 2030 and by 100% in 2050</w:t>
      </w:r>
      <w:r>
        <w:t xml:space="preserve"> </w:t>
      </w:r>
      <w:r>
        <w:t xml:space="preserve">relative to 2015; b) increase of high-speed rail traffic by 100% in 2030 and by 200% in 2050</w:t>
      </w:r>
      <w:r>
        <w:t xml:space="preserve"> </w:t>
      </w:r>
      <w:r>
        <w:t xml:space="preserve">relative to 2015; and c) increase of transport activity by inland waterways and short-sea</w:t>
      </w:r>
      <w:r>
        <w:t xml:space="preserve"> </w:t>
      </w:r>
      <w:r>
        <w:t xml:space="preserve">shipping (taken together) by 25% in 2030 and by 50% in 2050 compared to 2015.</w:t>
      </w:r>
      <w:r>
        <w:br/>
      </w:r>
      <w:r>
        <w:t xml:space="preserve">To support the transition to a cleaner, greener and smarter mobility in line with the European</w:t>
      </w:r>
      <w:r>
        <w:t xml:space="preserve"> </w:t>
      </w:r>
      <w:r>
        <w:t xml:space="preserve">Green Deal and the Sustainable and Smart Mobility Strategy, the Commission proposed in</w:t>
      </w:r>
      <w:r>
        <w:t xml:space="preserve"> </w:t>
      </w:r>
      <w:r>
        <w:t xml:space="preserve">2021 (85) to revise the TEN-T Regulation of 2013. It aims at reaching four main objectives: to</w:t>
      </w:r>
      <w:r>
        <w:t xml:space="preserve"> </w:t>
      </w:r>
      <w:r>
        <w:t xml:space="preserve">make transport greener and more efficient; to facilitate seamless transport, fostering</w:t>
      </w:r>
      <w:r>
        <w:t xml:space="preserve"> </w:t>
      </w:r>
      <w:r>
        <w:t xml:space="preserve">multimodality and interoperability between transport modes and better integrating the urban</w:t>
      </w:r>
      <w:r>
        <w:t xml:space="preserve"> </w:t>
      </w:r>
      <w:r>
        <w:t xml:space="preserve">nodes; to increase the resilience of TEN-T to climate change and other natural hazards; and to</w:t>
      </w:r>
      <w:r>
        <w:t xml:space="preserve"> </w:t>
      </w:r>
      <w:r>
        <w:t xml:space="preserve">improve the efficiency of the TEN-T governance tools. The objective is to facilitate that more</w:t>
      </w:r>
      <w:r>
        <w:t xml:space="preserve"> </w:t>
      </w:r>
      <w:r>
        <w:t xml:space="preserve">people take the train, and more goods are transported by rail, inland waterways, and short sea</w:t>
      </w:r>
    </w:p>
    <w:p>
      <w:pPr>
        <w:pStyle w:val="Compact"/>
        <w:numPr>
          <w:ilvl w:val="0"/>
          <w:numId w:val="1021"/>
        </w:numPr>
      </w:pPr>
      <w:r>
        <w:t xml:space="preserve">Regulation (EU) 2023/1804.</w:t>
      </w:r>
    </w:p>
    <w:p>
      <w:pPr>
        <w:pStyle w:val="Compact"/>
        <w:numPr>
          <w:ilvl w:val="0"/>
          <w:numId w:val="1021"/>
        </w:numPr>
      </w:pPr>
      <w:r>
        <w:t xml:space="preserve">Regulation (EU) 2023/2405.</w:t>
      </w:r>
    </w:p>
    <w:p>
      <w:pPr>
        <w:pStyle w:val="Compact"/>
        <w:numPr>
          <w:ilvl w:val="0"/>
          <w:numId w:val="1021"/>
        </w:numPr>
      </w:pPr>
      <w:r>
        <w:t xml:space="preserve">Regulation (EU) 2023/1805.</w:t>
      </w:r>
    </w:p>
    <w:p>
      <w:pPr>
        <w:pStyle w:val="Compact"/>
        <w:numPr>
          <w:ilvl w:val="0"/>
          <w:numId w:val="1021"/>
        </w:numPr>
      </w:pPr>
      <w:r>
        <w:t xml:space="preserve">COM (2020) 789 final.</w:t>
      </w:r>
    </w:p>
    <w:p>
      <w:pPr>
        <w:pStyle w:val="Compact"/>
        <w:numPr>
          <w:ilvl w:val="0"/>
          <w:numId w:val="1021"/>
        </w:numPr>
      </w:pPr>
      <w:r>
        <w:t xml:space="preserve">COM (2021) 812 final.</w:t>
      </w:r>
    </w:p>
    <w:p>
      <w:pPr>
        <w:pStyle w:val="FirstParagraph"/>
      </w:pPr>
      <w:r>
        <w:t xml:space="preserve">25</w:t>
      </w:r>
    </w:p>
    <w:p>
      <w:pPr>
        <w:pStyle w:val="BodyText"/>
      </w:pPr>
      <w:r>
        <w:t xml:space="preserve">shipping. To address the missing links and modernise the entire network, quality standards</w:t>
      </w:r>
      <w:r>
        <w:t xml:space="preserve"> </w:t>
      </w:r>
      <w:r>
        <w:t xml:space="preserve">should be improved. For this, major TEN-T passenger rail lines will allow trains to travel at</w:t>
      </w:r>
      <w:r>
        <w:t xml:space="preserve"> </w:t>
      </w:r>
      <w:r>
        <w:t xml:space="preserve">160 km/h or faster by 2040. Canals and rivers must ensure good navigation conditions for a</w:t>
      </w:r>
      <w:r>
        <w:t xml:space="preserve"> </w:t>
      </w:r>
      <w:r>
        <w:t xml:space="preserve">minimum number of days per year. Trans-shipment terminals should be improved, and piggy-</w:t>
      </w:r>
      <w:r>
        <w:t xml:space="preserve"> </w:t>
      </w:r>
      <w:r>
        <w:t xml:space="preserve">back services should be possible on the TEN-T’s rail network. All major cities should develop</w:t>
      </w:r>
      <w:r>
        <w:t xml:space="preserve"> </w:t>
      </w:r>
      <w:r>
        <w:t xml:space="preserve">sustainable urban action plans to promote zero-emission mobility. In addition to the core and</w:t>
      </w:r>
      <w:r>
        <w:t xml:space="preserve"> </w:t>
      </w:r>
      <w:r>
        <w:t xml:space="preserve">the comprehensive network, an extended core network will be introduced which should be</w:t>
      </w:r>
      <w:r>
        <w:t xml:space="preserve"> </w:t>
      </w:r>
      <w:r>
        <w:t xml:space="preserve">completed by 2040. The core network corridors should be merged with the rail freight</w:t>
      </w:r>
      <w:r>
        <w:t xml:space="preserve"> </w:t>
      </w:r>
      <w:r>
        <w:t xml:space="preserve">corridors to become European Transport Corridors. In 2021, the Commission also proposed to</w:t>
      </w:r>
      <w:r>
        <w:t xml:space="preserve"> </w:t>
      </w:r>
      <w:r>
        <w:t xml:space="preserve">update the the ITS Directive (86), and the Action Plan to boost long-distance and cross-border</w:t>
      </w:r>
      <w:r>
        <w:t xml:space="preserve"> </w:t>
      </w:r>
      <w:r>
        <w:t xml:space="preserve">passenger rail (87).</w:t>
      </w:r>
      <w:r>
        <w:t xml:space="preserve"> </w:t>
      </w:r>
      <w:r>
        <w:t xml:space="preserve">In addition, in July 2023 the Commission proposed the Greening transport package (88)</w:t>
      </w:r>
      <w:r>
        <w:t xml:space="preserve"> </w:t>
      </w:r>
      <w:r>
        <w:t xml:space="preserve">including a proposal to increase the use of railway infrastructure capacity in the Single</w:t>
      </w:r>
      <w:r>
        <w:t xml:space="preserve"> </w:t>
      </w:r>
      <w:r>
        <w:t xml:space="preserve">European railway area, a proposal to revise the rules on weights and dimensions of heavy-</w:t>
      </w:r>
      <w:r>
        <w:t xml:space="preserve"> </w:t>
      </w:r>
      <w:r>
        <w:t xml:space="preserve">duty vehicles to enable (among other ambitions) the uptake of zero-emission vehicles, a</w:t>
      </w:r>
      <w:r>
        <w:t xml:space="preserve"> </w:t>
      </w:r>
      <w:r>
        <w:t xml:space="preserve">proposal on the accounting of the GHG emissions of transport services (CountEmissioEU),</w:t>
      </w:r>
      <w:r>
        <w:t xml:space="preserve"> </w:t>
      </w:r>
      <w:r>
        <w:t xml:space="preserve">and the revision of the Combined Transport Directive (89). The first initiative includes</w:t>
      </w:r>
      <w:r>
        <w:t xml:space="preserve"> </w:t>
      </w:r>
      <w:r>
        <w:t xml:space="preserve">measures to better manage and coordinate international rail traffic. It is expected to increase</w:t>
      </w:r>
      <w:r>
        <w:t xml:space="preserve"> </w:t>
      </w:r>
      <w:r>
        <w:t xml:space="preserve">the passenger and freight rail capacity and punctuality, thus increasing the modal share of rail</w:t>
      </w:r>
      <w:r>
        <w:t xml:space="preserve"> </w:t>
      </w:r>
      <w:r>
        <w:t xml:space="preserve">transport. Secondly, the revision of the Combined Transport Directive incentivises the use of</w:t>
      </w:r>
      <w:r>
        <w:t xml:space="preserve"> </w:t>
      </w:r>
      <w:r>
        <w:t xml:space="preserve">intermodal freight transport through economic support to compensate for the price gap</w:t>
      </w:r>
      <w:r>
        <w:t xml:space="preserve"> </w:t>
      </w:r>
      <w:r>
        <w:t xml:space="preserve">between road-only and intermodal transport. It is expected to increase the modal share of rail</w:t>
      </w:r>
      <w:r>
        <w:t xml:space="preserve"> </w:t>
      </w:r>
      <w:r>
        <w:t xml:space="preserve">transport, inland waterway transport and short sea shipping. Thirdly, the CountEmissions EU</w:t>
      </w:r>
      <w:r>
        <w:t xml:space="preserve"> </w:t>
      </w:r>
      <w:r>
        <w:t xml:space="preserve">initiative will define rules for WTW GHG emissions accounting at the transport service level.</w:t>
      </w:r>
      <w:r>
        <w:t xml:space="preserve"> </w:t>
      </w:r>
      <w:r>
        <w:t xml:space="preserve">It will be based on a common methodology recently defined at global level (ISO 14083). The</w:t>
      </w:r>
      <w:r>
        <w:t xml:space="preserve"> </w:t>
      </w:r>
      <w:r>
        <w:t xml:space="preserve">emissions accounting at service level will not be mandatory but, if operators decide to</w:t>
      </w:r>
      <w:r>
        <w:t xml:space="preserve"> </w:t>
      </w:r>
      <w:r>
        <w:t xml:space="preserve">calculate emissions, they will have to do it according to CountEmissions EU. The impact is</w:t>
      </w:r>
      <w:r>
        <w:t xml:space="preserve"> </w:t>
      </w:r>
      <w:r>
        <w:t xml:space="preserve">expected to be a limited increase of the modal share of passenger and freight rail transport at</w:t>
      </w:r>
      <w:r>
        <w:t xml:space="preserve"> </w:t>
      </w:r>
      <w:r>
        <w:t xml:space="preserve">the expense of air and road transport. Finally, the revision of the Weights and Dimensions</w:t>
      </w:r>
      <w:r>
        <w:t xml:space="preserve"> </w:t>
      </w:r>
      <w:r>
        <w:t xml:space="preserve">Directive (WDD) provides for increasing the maximum gross vehicle weight (GVW) of new</w:t>
      </w:r>
      <w:r>
        <w:t xml:space="preserve"> </w:t>
      </w:r>
      <w:r>
        <w:t xml:space="preserve">zero-emission heavy goods vehicles by a maximum of 2 tonnes and the maximum length of</w:t>
      </w:r>
      <w:r>
        <w:t xml:space="preserve"> </w:t>
      </w:r>
      <w:r>
        <w:t xml:space="preserve">the vehicle combination by up to 90 cm. The weight allowance for zero-emission heavy goods</w:t>
      </w:r>
      <w:r>
        <w:t xml:space="preserve"> </w:t>
      </w:r>
      <w:r>
        <w:t xml:space="preserve">vehicles also applies to 2-axle rigid buses. The purpose of this measure is to compensate for</w:t>
      </w:r>
      <w:r>
        <w:t xml:space="preserve"> </w:t>
      </w:r>
      <w:r>
        <w:t xml:space="preserve">the weight and the size of zero-emission powertrains (i.e., weight of electric batteries and</w:t>
      </w:r>
      <w:r>
        <w:t xml:space="preserve"> </w:t>
      </w:r>
      <w:r>
        <w:t xml:space="preserve">space for hydrogen tanks) thus preventing the loss of payload capacity and/or range in</w:t>
      </w:r>
      <w:r>
        <w:t xml:space="preserve"> </w:t>
      </w:r>
      <w:r>
        <w:t xml:space="preserve">comparison with diesel vehicles. In addition, the revised WDD incentivizes the shift from</w:t>
      </w:r>
      <w:r>
        <w:t xml:space="preserve"> </w:t>
      </w:r>
      <w:r>
        <w:t xml:space="preserve">road-only to intermodal transport operations by allowing for extra height to accommodate</w:t>
      </w:r>
      <w:r>
        <w:t xml:space="preserve"> </w:t>
      </w:r>
      <w:r>
        <w:t xml:space="preserve">high-cube containers in intermodal transport and by aligning the definition of intermodal</w:t>
      </w:r>
      <w:r>
        <w:t xml:space="preserve"> </w:t>
      </w:r>
      <w:r>
        <w:t xml:space="preserve">transport with the Combined Transport Directive, to include all intermodal loading units.</w:t>
      </w:r>
    </w:p>
    <w:p>
      <w:pPr>
        <w:pStyle w:val="Compact"/>
        <w:numPr>
          <w:ilvl w:val="0"/>
          <w:numId w:val="1022"/>
        </w:numPr>
      </w:pPr>
      <w:r>
        <w:t xml:space="preserve">Directive 2010/40/EU, as amended by Directive (EU) 2023/2661.</w:t>
      </w:r>
    </w:p>
    <w:p>
      <w:pPr>
        <w:pStyle w:val="Compact"/>
        <w:numPr>
          <w:ilvl w:val="0"/>
          <w:numId w:val="1022"/>
        </w:numPr>
      </w:pPr>
      <w:r>
        <w:t xml:space="preserve">COM (2021) 810.</w:t>
      </w:r>
    </w:p>
    <w:p>
      <w:pPr>
        <w:pStyle w:val="Compact"/>
        <w:numPr>
          <w:ilvl w:val="0"/>
          <w:numId w:val="1022"/>
        </w:numPr>
      </w:pPr>
      <w:r>
        <w:t xml:space="preserve">Proposal for a Regulation on the use of railway infrastructure capacity in the single European railway area</w:t>
      </w:r>
      <w:r>
        <w:t xml:space="preserve"> </w:t>
      </w:r>
      <w:r>
        <w:t xml:space="preserve">(COM (2023) 443), Proposal for a Revision of the Weights and Dimensions Directive (COM (2023) 445),</w:t>
      </w:r>
      <w:r>
        <w:t xml:space="preserve"> </w:t>
      </w:r>
      <w:r>
        <w:t xml:space="preserve">and Proposal for a Regulation on the accounting of greenhouse gas emissions of transport services (COM</w:t>
      </w:r>
    </w:p>
    <w:p>
      <w:pPr>
        <w:pStyle w:val="Compact"/>
        <w:numPr>
          <w:ilvl w:val="0"/>
          <w:numId w:val="1022"/>
        </w:numPr>
      </w:pPr>
      <w:r>
        <w:t xml:space="preserve">441)</w:t>
      </w:r>
    </w:p>
    <w:p>
      <w:pPr>
        <w:pStyle w:val="Compact"/>
        <w:numPr>
          <w:ilvl w:val="0"/>
          <w:numId w:val="1022"/>
        </w:numPr>
      </w:pPr>
      <w:r>
        <w:t xml:space="preserve">Directive 92/106/EEC.</w:t>
      </w:r>
    </w:p>
    <w:p>
      <w:pPr>
        <w:pStyle w:val="FirstParagraph"/>
      </w:pPr>
      <w:r>
        <w:t xml:space="preserve">26</w:t>
      </w:r>
    </w:p>
    <w:p>
      <w:pPr>
        <w:pStyle w:val="BodyText"/>
      </w:pPr>
      <w:r>
        <w:t xml:space="preserve">The International Maritime Organisation (IMO) adopted in July 2023 the “2023 IMO Strategy</w:t>
      </w:r>
      <w:r>
        <w:t xml:space="preserve"> </w:t>
      </w:r>
      <w:r>
        <w:t xml:space="preserve">on Reduction of GHG Emissions from Ships”, with enhanced targets to tackle harmful</w:t>
      </w:r>
      <w:r>
        <w:t xml:space="preserve"> </w:t>
      </w:r>
      <w:r>
        <w:t xml:space="preserve">emissions. The revised IMO GHG Strategy includes an enhanced common ambition to peak</w:t>
      </w:r>
      <w:r>
        <w:t xml:space="preserve"> </w:t>
      </w:r>
      <w:r>
        <w:t xml:space="preserve">GHG emissions from international shipping as soon as possible and to reach net-zero GHG</w:t>
      </w:r>
      <w:r>
        <w:t xml:space="preserve"> </w:t>
      </w:r>
      <w:r>
        <w:t xml:space="preserve">emissions by or around, i.e., close to 2050, taking into account different national</w:t>
      </w:r>
      <w:r>
        <w:t xml:space="preserve"> </w:t>
      </w:r>
      <w:r>
        <w:t xml:space="preserve">circumstances, whilst pursuing efforts towards phasing out the emissions, consistently with</w:t>
      </w:r>
      <w:r>
        <w:t xml:space="preserve"> </w:t>
      </w:r>
      <w:r>
        <w:t xml:space="preserve">the long-term temperature goal set out in Article 2 of the Paris Agreement. Indicative</w:t>
      </w:r>
      <w:r>
        <w:t xml:space="preserve"> </w:t>
      </w:r>
      <w:r>
        <w:t xml:space="preserve">checkpoints were also defined, specifying the targets to reduce the total annual GHG</w:t>
      </w:r>
      <w:r>
        <w:t xml:space="preserve"> </w:t>
      </w:r>
      <w:r>
        <w:t xml:space="preserve">emissions from international shipping by at least 20%, striving for 30%, by 2030, compared to</w:t>
      </w:r>
      <w:r>
        <w:t xml:space="preserve"> </w:t>
      </w:r>
      <w:r>
        <w:t xml:space="preserve">2008; and to reduce the total annual GHG emissions from international shipping by at least</w:t>
      </w:r>
      <w:r>
        <w:t xml:space="preserve"> </w:t>
      </w:r>
      <w:r>
        <w:t xml:space="preserve">70%, striving for 80%, by 2040, compared to 2008.</w:t>
      </w:r>
      <w:r>
        <w:t xml:space="preserve"> </w:t>
      </w:r>
      <w:r>
        <w:t xml:space="preserve">2.5.1.4 Energy Taxation</w:t>
      </w:r>
      <w:r>
        <w:br/>
      </w:r>
      <w:r>
        <w:t xml:space="preserve">The proposal for a revised Energy Taxation Directive (90), which regulates the taxation of</w:t>
      </w:r>
      <w:r>
        <w:t xml:space="preserve"> </w:t>
      </w:r>
      <w:r>
        <w:t xml:space="preserve">energy products and electricity, aims to: a) align the taxation of energy products and</w:t>
      </w:r>
      <w:r>
        <w:t xml:space="preserve"> </w:t>
      </w:r>
      <w:r>
        <w:t xml:space="preserve">electricity with the EU’s energy, environment and climate policies; b) preserve and improve</w:t>
      </w:r>
      <w:r>
        <w:t xml:space="preserve"> </w:t>
      </w:r>
      <w:r>
        <w:t xml:space="preserve">the EU internal market by updating the scope of energy products and the structure of rates and</w:t>
      </w:r>
      <w:r>
        <w:t xml:space="preserve"> </w:t>
      </w:r>
      <w:r>
        <w:t xml:space="preserve">by rationalising the use of tax exemptions and reductions by member states; and c) preserve</w:t>
      </w:r>
      <w:r>
        <w:t xml:space="preserve"> </w:t>
      </w:r>
      <w:r>
        <w:t xml:space="preserve">the capacity to generate revenues for the budgets of the member states.</w:t>
      </w:r>
      <w:r>
        <w:t xml:space="preserve"> </w:t>
      </w:r>
      <w:r>
        <w:t xml:space="preserve">2.5.1.5 Legislation relevant for non-CO2 emissions</w:t>
      </w:r>
      <w:r>
        <w:t xml:space="preserve"> </w:t>
      </w:r>
      <w:r>
        <w:t xml:space="preserve">The proposal for a “Regulation on methane emissions reduction in the energy sector” (91)</w:t>
      </w:r>
      <w:r>
        <w:t xml:space="preserve"> </w:t>
      </w:r>
      <w:r>
        <w:t xml:space="preserve">aims to track and reduce methane emissions in the energy sector. This is a crucial contribution</w:t>
      </w:r>
      <w:r>
        <w:t xml:space="preserve"> </w:t>
      </w:r>
      <w:r>
        <w:t xml:space="preserve">to climate action, as methane is the second most important greenhouse gas following carbon</w:t>
      </w:r>
      <w:r>
        <w:t xml:space="preserve"> </w:t>
      </w:r>
      <w:r>
        <w:t xml:space="preserve">dioxide. The proposal introduces new requirements for the oil, gas and coal sectors to</w:t>
      </w:r>
      <w:r>
        <w:t xml:space="preserve"> </w:t>
      </w:r>
      <w:r>
        <w:t xml:space="preserve">measure, report and verify methane emissions (MRV) at the highest standard. Operators will</w:t>
      </w:r>
      <w:r>
        <w:t xml:space="preserve"> </w:t>
      </w:r>
      <w:r>
        <w:t xml:space="preserve">need to carefully document all wells and mines, trace their emissions and take appropriate</w:t>
      </w:r>
      <w:r>
        <w:t xml:space="preserve"> </w:t>
      </w:r>
      <w:r>
        <w:t xml:space="preserve">mitigation measures to prevent and minimise methane emissions in their operations. Under</w:t>
      </w:r>
      <w:r>
        <w:t xml:space="preserve"> </w:t>
      </w:r>
      <w:r>
        <w:t xml:space="preserve">the new rules, operators will have to detect and repair methane leaks. Operators will need to</w:t>
      </w:r>
      <w:r>
        <w:t xml:space="preserve"> </w:t>
      </w:r>
      <w:r>
        <w:t xml:space="preserve">carry out surveys of methane leaks in different types of infrastructures at set intervals, using</w:t>
      </w:r>
      <w:r>
        <w:t xml:space="preserve"> </w:t>
      </w:r>
      <w:r>
        <w:t xml:space="preserve">devices with proposed minimum leak detection limits. Operators will then need to repair or</w:t>
      </w:r>
      <w:r>
        <w:t xml:space="preserve"> </w:t>
      </w:r>
      <w:r>
        <w:t xml:space="preserve">replace all leaking components above certain levels immediately after detection, and no later</w:t>
      </w:r>
      <w:r>
        <w:t xml:space="preserve"> </w:t>
      </w:r>
      <w:r>
        <w:t xml:space="preserve">than five days for a first attempt and 30 days for a complete repair. The operators will have to</w:t>
      </w:r>
      <w:r>
        <w:t xml:space="preserve"> </w:t>
      </w:r>
      <w:r>
        <w:t xml:space="preserve">prioritise repairs of larger leaks. Venting and flaring practices, which release methane into the</w:t>
      </w:r>
      <w:r>
        <w:t xml:space="preserve"> </w:t>
      </w:r>
      <w:r>
        <w:t xml:space="preserve">atmosphere, will be banned except for narrowly defined exceptional circumstances.</w:t>
      </w:r>
      <w:r>
        <w:t xml:space="preserve"> </w:t>
      </w:r>
      <w:r>
        <w:t xml:space="preserve">The proposals to revise the “Fluorinated Greenhouse Gas (F-gas) Regulation” and the “Ozone</w:t>
      </w:r>
      <w:r>
        <w:t xml:space="preserve"> </w:t>
      </w:r>
      <w:r>
        <w:t xml:space="preserve">Depleting Substances (ODS) Regulation”, presented by the European Commission in April</w:t>
      </w:r>
      <w:r>
        <w:t xml:space="preserve"> </w:t>
      </w:r>
      <w:r>
        <w:t xml:space="preserve">2022, aim at further reducing the emissions from these highly potent, human-made</w:t>
      </w:r>
      <w:r>
        <w:t xml:space="preserve"> </w:t>
      </w:r>
      <w:r>
        <w:t xml:space="preserve">greenhouse gases. The legislative proposal (92) to update the “F-gas Regulation” (93) aligns</w:t>
      </w:r>
      <w:r>
        <w:t xml:space="preserve"> </w:t>
      </w:r>
      <w:r>
        <w:t xml:space="preserve">this regulation with the European Green Deal, the European Climate Law, recent international</w:t>
      </w:r>
      <w:r>
        <w:t xml:space="preserve"> </w:t>
      </w:r>
      <w:r>
        <w:t xml:space="preserve">obligations on HFCs under the Montreal Protocol, and progress made and lessons learned.</w:t>
      </w:r>
    </w:p>
    <w:p>
      <w:pPr>
        <w:pStyle w:val="Compact"/>
        <w:numPr>
          <w:ilvl w:val="0"/>
          <w:numId w:val="1023"/>
        </w:numPr>
      </w:pPr>
      <w:r>
        <w:t xml:space="preserve">COM (2021) 563 final.</w:t>
      </w:r>
    </w:p>
    <w:p>
      <w:pPr>
        <w:pStyle w:val="Compact"/>
        <w:numPr>
          <w:ilvl w:val="0"/>
          <w:numId w:val="1023"/>
        </w:numPr>
      </w:pPr>
      <w:r>
        <w:t xml:space="preserve">COM (2021) 805 final.</w:t>
      </w:r>
    </w:p>
    <w:p>
      <w:pPr>
        <w:pStyle w:val="Compact"/>
        <w:numPr>
          <w:ilvl w:val="0"/>
          <w:numId w:val="1023"/>
        </w:numPr>
      </w:pPr>
      <w:r>
        <w:t xml:space="preserve">COM (2022) 150 final.</w:t>
      </w:r>
    </w:p>
    <w:p>
      <w:pPr>
        <w:pStyle w:val="Compact"/>
        <w:numPr>
          <w:ilvl w:val="0"/>
          <w:numId w:val="1023"/>
        </w:numPr>
      </w:pPr>
      <w:r>
        <w:t xml:space="preserve">Regulation (EU) No 517/2014.</w:t>
      </w:r>
    </w:p>
    <w:p>
      <w:pPr>
        <w:pStyle w:val="FirstParagraph"/>
      </w:pPr>
      <w:r>
        <w:t xml:space="preserve">27</w:t>
      </w:r>
    </w:p>
    <w:p>
      <w:pPr>
        <w:pStyle w:val="BodyText"/>
      </w:pPr>
      <w:r>
        <w:t xml:space="preserve">The review is intended, in particular, to deliver higher ambition (e.g., through a tighter quota</w:t>
      </w:r>
      <w:r>
        <w:t xml:space="preserve"> </w:t>
      </w:r>
      <w:r>
        <w:t xml:space="preserve">system for HFCs and new restrictions on the use of certain F-gases in equipment), ensure</w:t>
      </w:r>
      <w:r>
        <w:t xml:space="preserve"> </w:t>
      </w:r>
      <w:r>
        <w:t xml:space="preserve">compliance with the Montreal Protocol’s requirements, improve enforcement and</w:t>
      </w:r>
      <w:r>
        <w:t xml:space="preserve"> </w:t>
      </w:r>
      <w:r>
        <w:t xml:space="preserve">implementation, and achieve more comprehensive monitoring. The proposal (94) to revise the</w:t>
      </w:r>
      <w:r>
        <w:t xml:space="preserve"> </w:t>
      </w:r>
      <w:r>
        <w:t xml:space="preserve">“ODS Regulation” (95) addresses the need to achieve a higher level of emission reduction in</w:t>
      </w:r>
      <w:r>
        <w:t xml:space="preserve"> </w:t>
      </w:r>
      <w:r>
        <w:t xml:space="preserve">view of the European Green Deal, improve the efficiency of some measures in the regulation,</w:t>
      </w:r>
      <w:r>
        <w:t xml:space="preserve"> </w:t>
      </w:r>
      <w:r>
        <w:t xml:space="preserve">ensure more comprehensive monitoring, and improve the coherence of the regulation with</w:t>
      </w:r>
      <w:r>
        <w:t xml:space="preserve"> </w:t>
      </w:r>
      <w:r>
        <w:t xml:space="preserve">other rules. The proposal would prevent climate-relevant and ozone-depleting emissions from</w:t>
      </w:r>
      <w:r>
        <w:t xml:space="preserve"> </w:t>
      </w:r>
      <w:r>
        <w:t xml:space="preserve">insulation foams during renovation or demolition activities.</w:t>
      </w:r>
      <w:r>
        <w:t xml:space="preserve"> </w:t>
      </w:r>
      <w:r>
        <w:t xml:space="preserve">EU legislation on the landfill of waste (96) limits the type of waste that can be landfilled,</w:t>
      </w:r>
      <w:r>
        <w:t xml:space="preserve"> </w:t>
      </w:r>
      <w:r>
        <w:t xml:space="preserve">encourages recycling and promotes the recovery of landfill gas. More specifically, it</w:t>
      </w:r>
      <w:r>
        <w:t xml:space="preserve"> </w:t>
      </w:r>
      <w:r>
        <w:t xml:space="preserve">introduces restrictions on landfilling of all waste that is suitable for recycling or other material</w:t>
      </w:r>
      <w:r>
        <w:t xml:space="preserve"> </w:t>
      </w:r>
      <w:r>
        <w:t xml:space="preserve">or energy recovery from 2030, and it limits the share of municipal waste landfilled to 10% by</w:t>
      </w:r>
      <w:r>
        <w:t xml:space="preserve"> </w:t>
      </w:r>
      <w:r>
        <w:t xml:space="preserve">2035. In addition, it establishes rules for the mitigation and monitoring of landfill gas, and it</w:t>
      </w:r>
      <w:r>
        <w:t xml:space="preserve"> </w:t>
      </w:r>
      <w:r>
        <w:t xml:space="preserve">defines targets for the reduction of biodegradable municipal waste going to landfills, thus</w:t>
      </w:r>
      <w:r>
        <w:t xml:space="preserve"> </w:t>
      </w:r>
      <w:r>
        <w:t xml:space="preserve">reducing the source of landfill gas in the first place. Furthermore, the Waste Framework</w:t>
      </w:r>
      <w:r>
        <w:t xml:space="preserve"> </w:t>
      </w:r>
      <w:r>
        <w:t xml:space="preserve">Directive (97) establishes targets for the separate collection of different waste types (to</w:t>
      </w:r>
      <w:r>
        <w:t xml:space="preserve"> </w:t>
      </w:r>
      <w:r>
        <w:t xml:space="preserve">increase recycling and reuse of materials), as well as targets for food waste reduction.</w:t>
      </w:r>
      <w:r>
        <w:t xml:space="preserve"> </w:t>
      </w:r>
      <w:r>
        <w:t xml:space="preserve">The Urban Wastewater Treatment Directive (UWWTD) in force since 1991 (98) requires: the</w:t>
      </w:r>
      <w:r>
        <w:t xml:space="preserve"> </w:t>
      </w:r>
      <w:r>
        <w:t xml:space="preserve">collection and treatment of wastewater in all urban areas of more than 2000 people; secondary</w:t>
      </w:r>
      <w:r>
        <w:t xml:space="preserve"> </w:t>
      </w:r>
      <w:r>
        <w:t xml:space="preserve">treatment of all discharges from urban areas of more than 2000 people, and more advanced</w:t>
      </w:r>
      <w:r>
        <w:t xml:space="preserve"> </w:t>
      </w:r>
      <w:r>
        <w:t xml:space="preserve">treatment for urban areas of more than 10000 people in catchments with sensitive waters; pre-</w:t>
      </w:r>
      <w:r>
        <w:t xml:space="preserve"> </w:t>
      </w:r>
      <w:r>
        <w:t xml:space="preserve">authorisation of all urban wastewater discharges, discharges from the food-processing</w:t>
      </w:r>
      <w:r>
        <w:t xml:space="preserve"> </w:t>
      </w:r>
      <w:r>
        <w:t xml:space="preserve">industry and industrial discharges into urban wastewater collection systems; monitoring of the</w:t>
      </w:r>
      <w:r>
        <w:t xml:space="preserve"> </w:t>
      </w:r>
      <w:r>
        <w:t xml:space="preserve">performance of treatment plants and receiving waters; controls of sewage sludge disposal and</w:t>
      </w:r>
      <w:r>
        <w:t xml:space="preserve"> </w:t>
      </w:r>
      <w:r>
        <w:t xml:space="preserve">reuse, and treated wastewater reuse whenever it is appropriate. In October 2022, the</w:t>
      </w:r>
      <w:r>
        <w:t xml:space="preserve"> </w:t>
      </w:r>
      <w:r>
        <w:t xml:space="preserve">Commission proposed a revision of this Directive (99), adapting it to the newest standards.</w:t>
      </w:r>
      <w:r>
        <w:t xml:space="preserve"> </w:t>
      </w:r>
      <w:r>
        <w:t xml:space="preserve">The revision aims to: reduce pollution, energy use and greenhouse gas emissions; improve</w:t>
      </w:r>
      <w:r>
        <w:t xml:space="preserve"> </w:t>
      </w:r>
      <w:r>
        <w:t xml:space="preserve">water quality by addressing remaining urban wastewater pollution; improve access to</w:t>
      </w:r>
      <w:r>
        <w:t xml:space="preserve"> </w:t>
      </w:r>
      <w:r>
        <w:t xml:space="preserve">sanitation especially for the most vulnerable and marginalised; make industry pay to treat</w:t>
      </w:r>
      <w:r>
        <w:t xml:space="preserve"> </w:t>
      </w:r>
      <w:r>
        <w:t xml:space="preserve">micropollutants; require EU countries to monitor pathogens in wastewater; and lead to a more</w:t>
      </w:r>
      <w:r>
        <w:t xml:space="preserve"> </w:t>
      </w:r>
      <w:r>
        <w:t xml:space="preserve">circular sector.</w:t>
      </w:r>
      <w:r>
        <w:br/>
      </w:r>
      <w:r>
        <w:t xml:space="preserve">The Industrial Emissions Directive (IED) (100) is the main EU instrument regulating pollutant</w:t>
      </w:r>
      <w:r>
        <w:t xml:space="preserve"> </w:t>
      </w:r>
      <w:r>
        <w:t xml:space="preserve">emissions from industrial installations. In 2022, the Commission adopted a proposal to revise</w:t>
      </w:r>
      <w:r>
        <w:t xml:space="preserve"> </w:t>
      </w:r>
      <w:r>
        <w:t xml:space="preserve">the IED (101). One of the most relevant elements is that the revised Directive would cover</w:t>
      </w:r>
      <w:r>
        <w:t xml:space="preserve"> </w:t>
      </w:r>
      <w:r>
        <w:t xml:space="preserve">additional intensive farming and industrial activities, ensuring that sectors with significant</w:t>
      </w:r>
    </w:p>
    <w:p>
      <w:pPr>
        <w:pStyle w:val="Compact"/>
        <w:numPr>
          <w:ilvl w:val="0"/>
          <w:numId w:val="1024"/>
        </w:numPr>
      </w:pPr>
      <w:r>
        <w:t xml:space="preserve">COM (2022) 151 final.</w:t>
      </w:r>
    </w:p>
    <w:p>
      <w:pPr>
        <w:pStyle w:val="Compact"/>
        <w:numPr>
          <w:ilvl w:val="0"/>
          <w:numId w:val="1024"/>
        </w:numPr>
      </w:pPr>
      <w:r>
        <w:t xml:space="preserve">Regulation (EC) 1005/2009.</w:t>
      </w:r>
    </w:p>
    <w:p>
      <w:pPr>
        <w:pStyle w:val="Compact"/>
        <w:numPr>
          <w:ilvl w:val="0"/>
          <w:numId w:val="1024"/>
        </w:numPr>
      </w:pPr>
      <w:r>
        <w:t xml:space="preserve">Directive 1999/31/EC, as amended by Directive (EU) 2018/850.</w:t>
      </w:r>
    </w:p>
    <w:p>
      <w:pPr>
        <w:pStyle w:val="Compact"/>
        <w:numPr>
          <w:ilvl w:val="0"/>
          <w:numId w:val="1024"/>
        </w:numPr>
      </w:pPr>
      <w:r>
        <w:t xml:space="preserve">Directive 2008/98/EC.</w:t>
      </w:r>
    </w:p>
    <w:p>
      <w:pPr>
        <w:pStyle w:val="Compact"/>
        <w:numPr>
          <w:ilvl w:val="0"/>
          <w:numId w:val="1024"/>
        </w:numPr>
      </w:pPr>
      <w:r>
        <w:t xml:space="preserve">Council Directive 91/271/EEC.</w:t>
      </w:r>
    </w:p>
    <w:p>
      <w:pPr>
        <w:pStyle w:val="Compact"/>
        <w:numPr>
          <w:ilvl w:val="0"/>
          <w:numId w:val="1024"/>
        </w:numPr>
      </w:pPr>
      <w:r>
        <w:t xml:space="preserve">COM (2022) 541 final.</w:t>
      </w:r>
    </w:p>
    <w:p>
      <w:pPr>
        <w:pStyle w:val="Compact"/>
        <w:numPr>
          <w:ilvl w:val="0"/>
          <w:numId w:val="1024"/>
        </w:numPr>
      </w:pPr>
      <w:r>
        <w:t xml:space="preserve">Directive 2010/75/EU.</w:t>
      </w:r>
    </w:p>
    <w:p>
      <w:pPr>
        <w:pStyle w:val="Compact"/>
        <w:numPr>
          <w:ilvl w:val="0"/>
          <w:numId w:val="1024"/>
        </w:numPr>
      </w:pPr>
      <w:r>
        <w:t xml:space="preserve">COM (2022) 156 final/3.</w:t>
      </w:r>
    </w:p>
    <w:p>
      <w:pPr>
        <w:pStyle w:val="FirstParagraph"/>
      </w:pPr>
      <w:r>
        <w:t xml:space="preserve">28</w:t>
      </w:r>
    </w:p>
    <w:p>
      <w:pPr>
        <w:pStyle w:val="BodyText"/>
      </w:pPr>
      <w:r>
        <w:t xml:space="preserve">potential for high resource use or pollution also curb environmental damage at source by</w:t>
      </w:r>
      <w:r>
        <w:t xml:space="preserve"> </w:t>
      </w:r>
      <w:r>
        <w:t xml:space="preserve">applying Best Available Techniques.</w:t>
      </w:r>
      <w:r>
        <w:br/>
      </w:r>
      <w:r>
        <w:t xml:space="preserve">2.5.1.6 Carbon capture and storage</w:t>
      </w:r>
      <w:r>
        <w:br/>
      </w:r>
      <w:r>
        <w:t xml:space="preserve">Several barriers still exist today to the development of the carbon capture and storage</w:t>
      </w:r>
      <w:r>
        <w:t xml:space="preserve"> </w:t>
      </w:r>
      <w:r>
        <w:t xml:space="preserve">technology. The public consultation highlighted that main factors hindering the development</w:t>
      </w:r>
      <w:r>
        <w:t xml:space="preserve"> </w:t>
      </w:r>
      <w:r>
        <w:t xml:space="preserve">of carbon capture (in association with storage) are cost of CCS, price signal, CO2 storage</w:t>
      </w:r>
      <w:r>
        <w:t xml:space="preserve"> </w:t>
      </w:r>
      <w:r>
        <w:t xml:space="preserve">availability and maturity of technology. Academic stakeholders as well as civil society</w:t>
      </w:r>
      <w:r>
        <w:t xml:space="preserve"> </w:t>
      </w:r>
      <w:r>
        <w:t xml:space="preserve">organisations rank price signals as the most difficult barrier, while business associations,</w:t>
      </w:r>
      <w:r>
        <w:t xml:space="preserve"> </w:t>
      </w:r>
      <w:r>
        <w:t xml:space="preserve">companies (including SMEs), EU citizens and public authorities rank cost as first.</w:t>
      </w:r>
      <w:r>
        <w:br/>
      </w:r>
      <w:r>
        <w:t xml:space="preserve">To overcome these barriers and trigger a carbon capture and storage industry, the European</w:t>
      </w:r>
      <w:r>
        <w:t xml:space="preserve"> </w:t>
      </w:r>
      <w:r>
        <w:t xml:space="preserve">Commission has proposed in the Net-Zero Industry Act an annual injection capacity of at</w:t>
      </w:r>
      <w:r>
        <w:t xml:space="preserve"> </w:t>
      </w:r>
      <w:r>
        <w:t xml:space="preserve">least 50 million tonnes of CO2 to be achieved by 2030 (102). This target is supported by</w:t>
      </w:r>
      <w:r>
        <w:t xml:space="preserve"> </w:t>
      </w:r>
      <w:r>
        <w:t xml:space="preserve">several CO2 storage projects that are currently in different stages of the exploration and</w:t>
      </w:r>
      <w:r>
        <w:t xml:space="preserve"> </w:t>
      </w:r>
      <w:r>
        <w:t xml:space="preserve">permitting process in the EEA.</w:t>
      </w:r>
      <w:r>
        <w:t xml:space="preserve"> </w:t>
      </w:r>
      <w:r>
        <w:t xml:space="preserve">To encourage the development of carbon industry, encompassing all capture and industrial</w:t>
      </w:r>
      <w:r>
        <w:t xml:space="preserve"> </w:t>
      </w:r>
      <w:r>
        <w:t xml:space="preserve">removals technologies, sources, applications and corresponding value chains, the “Industrial</w:t>
      </w:r>
      <w:r>
        <w:t xml:space="preserve"> </w:t>
      </w:r>
      <w:r>
        <w:t xml:space="preserve">Carbon management Strategy” aims at creating an industrial carbon management market by</w:t>
      </w:r>
      <w:r>
        <w:t xml:space="preserve"> </w:t>
      </w:r>
      <w:r>
        <w:t xml:space="preserve">2030 to support efforts in hard-to-abate sectors who need to apply carbon capture and storage,</w:t>
      </w:r>
      <w:r>
        <w:t xml:space="preserve"> </w:t>
      </w:r>
      <w:r>
        <w:t xml:space="preserve">carbon capture and utilisation or industrial carbon removals to become climate neutral.</w:t>
      </w:r>
      <w:r>
        <w:br/>
      </w:r>
      <w:r>
        <w:t xml:space="preserve">2.5.2 National Developments</w:t>
      </w:r>
      <w:r>
        <w:t xml:space="preserve"> </w:t>
      </w:r>
      <w:r>
        <w:t xml:space="preserve">2.5.2.1 Long Term Strategies and National Energy and Climate Plans</w:t>
      </w:r>
      <w:r>
        <w:br/>
      </w:r>
      <w:r>
        <w:t xml:space="preserve">The Governance of the Energy Union and Climate Action (‘Governance Regulation’) (103)</w:t>
      </w:r>
      <w:r>
        <w:t xml:space="preserve"> </w:t>
      </w:r>
      <w:r>
        <w:t xml:space="preserve">requires EU Member States to communicate and implement integrated National Energy and</w:t>
      </w:r>
      <w:r>
        <w:t xml:space="preserve"> </w:t>
      </w:r>
      <w:r>
        <w:t xml:space="preserve">Climate Plans (NECPs) and to regularly report on their progress in implementing them, and to</w:t>
      </w:r>
      <w:r>
        <w:t xml:space="preserve"> </w:t>
      </w:r>
      <w:r>
        <w:t xml:space="preserve">submit Long-term strategies (LTS). NECPs are ten-year plans outlining a path to achieve the</w:t>
      </w:r>
      <w:r>
        <w:t xml:space="preserve"> </w:t>
      </w:r>
      <w:r>
        <w:t xml:space="preserve">Member States’ objectives, targets and contributions in five dimensions: decarbonisation</w:t>
      </w:r>
      <w:r>
        <w:t xml:space="preserve"> </w:t>
      </w:r>
      <w:r>
        <w:t xml:space="preserve">(greenhouse gas reduction and renewables), energy efficiency, energy security, internal</w:t>
      </w:r>
      <w:r>
        <w:t xml:space="preserve"> </w:t>
      </w:r>
      <w:r>
        <w:t xml:space="preserve">energy market and research, innovation and competitiveness. The NECPs for the period from</w:t>
      </w:r>
      <w:r>
        <w:t xml:space="preserve"> </w:t>
      </w:r>
      <w:r>
        <w:t xml:space="preserve">2021 to 2030 were submitted by 31 December 2019, and updates are to be submitted by 30</w:t>
      </w:r>
      <w:r>
        <w:t xml:space="preserve"> </w:t>
      </w:r>
      <w:r>
        <w:t xml:space="preserve">June 2024.</w:t>
      </w:r>
      <w:r>
        <w:t xml:space="preserve"> </w:t>
      </w:r>
      <w:r>
        <w:t xml:space="preserve">By 15 March 2023, and every two years, Member States need to take stock of the progress</w:t>
      </w:r>
      <w:r>
        <w:t xml:space="preserve"> </w:t>
      </w:r>
      <w:r>
        <w:t xml:space="preserve">achieved towards the objectives, targets and contributions set out in their initial plans and</w:t>
      </w:r>
      <w:r>
        <w:t xml:space="preserve"> </w:t>
      </w:r>
      <w:r>
        <w:t xml:space="preserve">submit it to the Commission as National Energy and Climate Progress Report (NECPR).</w:t>
      </w:r>
      <w:r>
        <w:t xml:space="preserve"> </w:t>
      </w:r>
      <w:r>
        <w:t xml:space="preserve">Eight Member States submitted a full progress report by the 15 March deadline, and ten more</w:t>
      </w:r>
      <w:r>
        <w:t xml:space="preserve"> </w:t>
      </w:r>
      <w:r>
        <w:t xml:space="preserve">submitted their progress report relatively close to the deadline. As of 24 August 2023, all</w:t>
      </w:r>
      <w:r>
        <w:t xml:space="preserve"> </w:t>
      </w:r>
      <w:r>
        <w:t xml:space="preserve">Member States submitted their NECPRs and only 4 of the submissions are still partial.</w:t>
      </w:r>
      <w:r>
        <w:br/>
      </w:r>
      <w:r>
        <w:t xml:space="preserve">The policies and measures at national level included in the analysis are largely based on the</w:t>
      </w:r>
      <w:r>
        <w:t xml:space="preserve"> </w:t>
      </w:r>
      <w:r>
        <w:t xml:space="preserve">ones implemented during the modelling of the EU Reference Scenario 2020, which reflects</w:t>
      </w:r>
    </w:p>
    <w:p>
      <w:pPr>
        <w:pStyle w:val="Compact"/>
        <w:numPr>
          <w:ilvl w:val="0"/>
          <w:numId w:val="1025"/>
        </w:numPr>
      </w:pPr>
      <w:r>
        <w:t xml:space="preserve">COM (2023) 161 final.</w:t>
      </w:r>
    </w:p>
    <w:p>
      <w:pPr>
        <w:pStyle w:val="Compact"/>
        <w:numPr>
          <w:ilvl w:val="0"/>
          <w:numId w:val="1025"/>
        </w:numPr>
      </w:pPr>
      <w:r>
        <w:t xml:space="preserve">Regulation (EU) 2018/1999.</w:t>
      </w:r>
    </w:p>
    <w:p>
      <w:pPr>
        <w:pStyle w:val="FirstParagraph"/>
      </w:pPr>
      <w:r>
        <w:t xml:space="preserve">29</w:t>
      </w:r>
    </w:p>
    <w:p>
      <w:pPr>
        <w:pStyle w:val="BodyText"/>
      </w:pPr>
      <w:r>
        <w:t xml:space="preserve">the first version of the NECPs (submitted in 2019). Furthermore, this Impact Assessment</w:t>
      </w:r>
      <w:r>
        <w:t xml:space="preserve"> </w:t>
      </w:r>
      <w:r>
        <w:t xml:space="preserve">takes into consideration LTS updates as of 1st February 2023 (104), and benchmarks, to the</w:t>
      </w:r>
      <w:r>
        <w:t xml:space="preserve"> </w:t>
      </w:r>
      <w:r>
        <w:t xml:space="preserve">extent possible, 2021 and, whenever available, 2023 projections for GHG emissions reported</w:t>
      </w:r>
      <w:r>
        <w:t xml:space="preserve"> </w:t>
      </w:r>
      <w:r>
        <w:t xml:space="preserve">in NECPRs.</w:t>
      </w:r>
      <w:r>
        <w:br/>
      </w:r>
      <w:r>
        <w:t xml:space="preserve">Beyond long-term strategies and NECPRs, specific items concerning announced national</w:t>
      </w:r>
      <w:r>
        <w:t xml:space="preserve"> </w:t>
      </w:r>
      <w:r>
        <w:t xml:space="preserve">policies have also implemented and described in the following sections.</w:t>
      </w:r>
      <w:r>
        <w:t xml:space="preserve"> </w:t>
      </w:r>
      <w:r>
        <w:t xml:space="preserve">2.5.2.2 Nuclear</w:t>
      </w:r>
      <w:r>
        <w:t xml:space="preserve"> </w:t>
      </w:r>
      <w:r>
        <w:t xml:space="preserve">Policies for nuclear energy are based on National Energy and Climate Plans (105) submitted by</w:t>
      </w:r>
      <w:r>
        <w:t xml:space="preserve"> </w:t>
      </w:r>
      <w:r>
        <w:t xml:space="preserve">Member States in 2019. These policies include political commitments by some Member</w:t>
      </w:r>
      <w:r>
        <w:t xml:space="preserve"> </w:t>
      </w:r>
      <w:r>
        <w:t xml:space="preserve">States (including Germany, Belgium and France) to either ban or reduce nuclear from their</w:t>
      </w:r>
      <w:r>
        <w:t xml:space="preserve"> </w:t>
      </w:r>
      <w:r>
        <w:t xml:space="preserve">power mix by 2035. These announcements were already included in Reference Scenario 2020</w:t>
      </w:r>
      <w:r>
        <w:t xml:space="preserve"> </w:t>
      </w:r>
      <w:r>
        <w:t xml:space="preserve">and projections for nuclear energy by Member States were published online (106). Since then,</w:t>
      </w:r>
      <w:r>
        <w:t xml:space="preserve"> </w:t>
      </w:r>
      <w:r>
        <w:t xml:space="preserve">certain MS have announced increases (or lifetime extension) in their nuclear capacity.</w:t>
      </w:r>
      <w:r>
        <w:t xml:space="preserve"> </w:t>
      </w:r>
      <w:r>
        <w:t xml:space="preserve">In line with these announcements, the following capacity additions were taken into account in</w:t>
      </w:r>
      <w:r>
        <w:t xml:space="preserve"> </w:t>
      </w:r>
      <w:r>
        <w:t xml:space="preserve">the modelling:</w:t>
      </w:r>
      <w:r>
        <w:br/>
      </w:r>
      <w:r>
        <w:t xml:space="preserve">• BE: Lifetime extension of around 2 GW of existing capacity until 2035, as of RPE</w:t>
      </w:r>
      <w:r>
        <w:t xml:space="preserve"> </w:t>
      </w:r>
      <w:r>
        <w:t xml:space="preserve">• CZ: Additional capacity of min 1.2 GW and with flexibility up to around 2 GW for 2040.</w:t>
      </w:r>
      <w:r>
        <w:t xml:space="preserve"> </w:t>
      </w:r>
      <w:r>
        <w:t xml:space="preserve">• FR: Maximum capacity cap of around 62 GW in 2035 and 64 GW in 2040 (107).</w:t>
      </w:r>
      <w:r>
        <w:t xml:space="preserve"> </w:t>
      </w:r>
      <w:r>
        <w:t xml:space="preserve">• NL: Additional capacity of up to 3.2 GW in 2040, with flexibility of around 1.6 GW in</w:t>
      </w:r>
      <w:r>
        <w:t xml:space="preserve"> </w:t>
      </w:r>
      <w:r>
        <w:t xml:space="preserve">2035.</w:t>
      </w:r>
      <w:r>
        <w:t xml:space="preserve"> </w:t>
      </w:r>
      <w:r>
        <w:t xml:space="preserve">• PL: Maximum capacity cap of around 15 GW in 2040 (108).</w:t>
      </w:r>
      <w:r>
        <w:t xml:space="preserve"> </w:t>
      </w:r>
      <w:r>
        <w:t xml:space="preserve">• SK: Possible additional capacity of around 2.4 GW in 2040.</w:t>
      </w:r>
      <w:r>
        <w:t xml:space="preserve"> </w:t>
      </w:r>
      <w:r>
        <w:t xml:space="preserve">These assumptions reflect the situation until March 2023. In June 2023, France has adopted</w:t>
      </w:r>
      <w:r>
        <w:t xml:space="preserve"> </w:t>
      </w:r>
      <w:r>
        <w:t xml:space="preserve">a law which, among others, removes the objective of reducing the share of nuclear power in</w:t>
      </w:r>
      <w:r>
        <w:t xml:space="preserve"> </w:t>
      </w:r>
      <w:r>
        <w:t xml:space="preserve">the electricity mix to 50% by 2035, as well as the capping of nuclear production capacity at</w:t>
      </w:r>
      <w:r>
        <w:t xml:space="preserve"> </w:t>
      </w:r>
      <w:r>
        <w:t xml:space="preserve">63.2 GW (109). The impacts in the energy system of the 2023 French Law are discussed in</w:t>
      </w:r>
      <w:r>
        <w:t xml:space="preserve"> </w:t>
      </w:r>
      <w:r>
        <w:t xml:space="preserve">section 6.2.1. of the main document of the Impact Assessment.</w:t>
      </w:r>
    </w:p>
    <w:p>
      <w:pPr>
        <w:pStyle w:val="Compact"/>
        <w:numPr>
          <w:ilvl w:val="0"/>
          <w:numId w:val="1026"/>
        </w:numPr>
      </w:pPr>
      <w:r>
        <w:t xml:space="preserve">European Commission, National long-term strategies (as of 1 February 2023) .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Regulation (EU) 2018/1999</w:t>
      </w:r>
    </w:p>
    <w:p>
      <w:pPr>
        <w:pStyle w:val="Compact"/>
        <w:numPr>
          <w:ilvl w:val="0"/>
          <w:numId w:val="1026"/>
        </w:numPr>
      </w:pPr>
      <w:r>
        <w:t xml:space="preserve">https://energy.ec.europa.eu/data-and-analysis/energy-modelling/eu-reference-scenario-2020_en</w:t>
      </w:r>
    </w:p>
    <w:p>
      <w:pPr>
        <w:pStyle w:val="Compact"/>
        <w:numPr>
          <w:ilvl w:val="0"/>
          <w:numId w:val="1026"/>
        </w:numPr>
      </w:pPr>
      <w:r>
        <w:t xml:space="preserve">This capacity is higher than in the REPowerEU scenario. In REPowerEU, nuclear capacity is forecast to</w:t>
      </w:r>
      <w:r>
        <w:t xml:space="preserve"> </w:t>
      </w:r>
      <w:r>
        <w:t xml:space="preserve">decrease from 63 GWe in 2030 to 36 GWe in 2040. Due to the planned further extension of plant lifetimes,</w:t>
      </w:r>
      <w:r>
        <w:t xml:space="preserve"> </w:t>
      </w:r>
      <w:r>
        <w:t xml:space="preserve">all capacity operational in 2030 could be assumed to be operational im 2040. Additional capacity of at least</w:t>
      </w:r>
      <w:r>
        <w:t xml:space="preserve"> </w:t>
      </w:r>
      <w:r>
        <w:t xml:space="preserve">1.65 GW could be assumed to be coming online in 2035. The potential 14 new plants announced would</w:t>
      </w:r>
      <w:r>
        <w:t xml:space="preserve"> </w:t>
      </w:r>
      <w:r>
        <w:t xml:space="preserve">correspond to roughly one per year on average and thus and additional ~8 GWe capacity (five plants) by</w:t>
      </w:r>
      <w:r>
        <w:t xml:space="preserve"> </w:t>
      </w:r>
      <w:r>
        <w:t xml:space="preserve">2040 could be a potential limit. This would correspond to 71.4 GWe.</w:t>
      </w:r>
    </w:p>
    <w:p>
      <w:pPr>
        <w:pStyle w:val="Compact"/>
        <w:numPr>
          <w:ilvl w:val="0"/>
          <w:numId w:val="1026"/>
        </w:numPr>
      </w:pPr>
      <w:r>
        <w:t xml:space="preserve">This value is much higher than RPE. RTE (2022). Futures Energétiques 2050 – Chapitre 4 La production</w:t>
      </w:r>
      <w:r>
        <w:t xml:space="preserve"> </w:t>
      </w:r>
      <w:r>
        <w:t xml:space="preserve">d’électricité.</w:t>
      </w:r>
    </w:p>
    <w:p>
      <w:pPr>
        <w:pStyle w:val="Compact"/>
        <w:numPr>
          <w:ilvl w:val="0"/>
          <w:numId w:val="1026"/>
        </w:numPr>
      </w:pPr>
      <w:r>
        <w:t xml:space="preserve">Related to the acceleration of procedures linked to the construction of new nuclear installations near existing</w:t>
      </w:r>
      <w:r>
        <w:t xml:space="preserve"> </w:t>
      </w:r>
      <w:r>
        <w:t xml:space="preserve">nuclear sites and the operation of existing installations.</w:t>
      </w:r>
    </w:p>
    <w:p>
      <w:pPr>
        <w:pStyle w:val="FirstParagraph"/>
      </w:pPr>
      <w:r>
        <w:t xml:space="preserve">30</w:t>
      </w:r>
    </w:p>
    <w:p>
      <w:pPr>
        <w:pStyle w:val="BodyText"/>
      </w:pPr>
      <w:r>
        <w:t xml:space="preserve">Future analysis will include any resulting legislative changes by the Members States and the</w:t>
      </w:r>
      <w:r>
        <w:t xml:space="preserve"> </w:t>
      </w:r>
      <w:r>
        <w:t xml:space="preserve">update of the NECPs to deploy newly build nuclear capacities or extend further operating</w:t>
      </w:r>
      <w:r>
        <w:t xml:space="preserve"> </w:t>
      </w:r>
      <w:r>
        <w:t xml:space="preserve">lifetime of the existing ones. See Annex 8 and the box in Section 6.2.1 for more details (110).</w:t>
      </w:r>
      <w:r>
        <w:t xml:space="preserve"> </w:t>
      </w:r>
      <w:r>
        <w:t xml:space="preserve">2.5.2.3 Projects for Carbon Capture, Utilisation and Storage</w:t>
      </w:r>
      <w:r>
        <w:t xml:space="preserve"> </w:t>
      </w:r>
      <w:r>
        <w:t xml:space="preserve">Market research identified 186 key companies worldwide active in the CCS business (111).</w:t>
      </w:r>
      <w:r>
        <w:t xml:space="preserve"> </w:t>
      </w:r>
      <w:r>
        <w:t xml:space="preserve">24% of the key players are European or are active in the field through their European</w:t>
      </w:r>
      <w:r>
        <w:t xml:space="preserve"> </w:t>
      </w:r>
      <w:r>
        <w:t xml:space="preserve">subsidiaries. In the EU, companies have been mostly involved in project development in the</w:t>
      </w:r>
      <w:r>
        <w:t xml:space="preserve"> </w:t>
      </w:r>
      <w:r>
        <w:t xml:space="preserve">energy-intensive industries (steel, cement, chemicals) and in recent years the number of</w:t>
      </w:r>
      <w:r>
        <w:t xml:space="preserve"> </w:t>
      </w:r>
      <w:r>
        <w:t xml:space="preserve">announcements on carbon capture and storage projects have grown exponentially.</w:t>
      </w:r>
      <w:r>
        <w:t xml:space="preserve"> </w:t>
      </w:r>
      <w:r>
        <w:t xml:space="preserve">In view of the update of a previous published study on the topic (112), the JRC screened</w:t>
      </w:r>
      <w:r>
        <w:t xml:space="preserve"> </w:t>
      </w:r>
      <w:r>
        <w:t xml:space="preserve">widely stakeholders’ activity to compile a list with all CO2 projects that are operational, in</w:t>
      </w:r>
      <w:r>
        <w:t xml:space="preserve"> </w:t>
      </w:r>
      <w:r>
        <w:t xml:space="preserve">construction, in a feasibility or pre-FID (financial investment decision) stage. The list includes</w:t>
      </w:r>
      <w:r>
        <w:t xml:space="preserve"> </w:t>
      </w:r>
      <w:r>
        <w:t xml:space="preserve">projects focusing either on the whole value chain (carbon capture, transportation and storage,</w:t>
      </w:r>
      <w:r>
        <w:t xml:space="preserve"> </w:t>
      </w:r>
      <w:r>
        <w:t xml:space="preserve">including storage in products) or to a single step: carbon capture only (often associated to a</w:t>
      </w:r>
      <w:r>
        <w:t xml:space="preserve"> </w:t>
      </w:r>
      <w:r>
        <w:t xml:space="preserve">certain industrial subsector), carbon storage only, or creation of a carbon terminal or</w:t>
      </w:r>
      <w:r>
        <w:t xml:space="preserve"> </w:t>
      </w:r>
      <w:r>
        <w:t xml:space="preserve">transportation hub. Considering a cut-off date of 1 May 2023, the total yearly capacity of</w:t>
      </w:r>
      <w:r>
        <w:t xml:space="preserve"> </w:t>
      </w:r>
      <w:r>
        <w:t xml:space="preserve">carbon capture and storage projects in the EU by 2030 corresponds to 64 MtCO2/y (capture)</w:t>
      </w:r>
      <w:r>
        <w:t xml:space="preserve"> </w:t>
      </w:r>
      <w:r>
        <w:t xml:space="preserve">and 71 MtCO2 (storage) (113).</w:t>
      </w:r>
      <w:r>
        <w:t xml:space="preserve"> </w:t>
      </w:r>
      <w:r>
        <w:t xml:space="preserve">Member State also supported directly proposals of Projects of Common/Mutual Interest</w:t>
      </w:r>
      <w:r>
        <w:t xml:space="preserve"> </w:t>
      </w:r>
      <w:r>
        <w:t xml:space="preserve">(PCI/PMI) for the 6th List under the TEN-E regulation, adding up to 34 MtCO2/y of transport</w:t>
      </w:r>
      <w:r>
        <w:t xml:space="preserve"> </w:t>
      </w:r>
      <w:r>
        <w:t xml:space="preserve">capacity in the period 2030-2032, that could increase up to a peak of 88 MtCO2/y.</w:t>
      </w:r>
      <w:r>
        <w:br/>
      </w:r>
      <w:r>
        <w:t xml:space="preserve">These elements helped to define the assumptions for the maximum short-term (up to 2030)</w:t>
      </w:r>
      <w:r>
        <w:t xml:space="preserve"> </w:t>
      </w:r>
      <w:r>
        <w:t xml:space="preserve">potential and geographical distribution of CCS projects.</w:t>
      </w:r>
      <w:r>
        <w:br/>
      </w:r>
      <w:r>
        <w:t xml:space="preserve">Concerning geographical distribution of capture projects, initially the CO2 will be captured in</w:t>
      </w:r>
      <w:r>
        <w:t xml:space="preserve"> </w:t>
      </w:r>
      <w:r>
        <w:t xml:space="preserve">industrial centres located in different Member States around the North Sea coast and its</w:t>
      </w:r>
      <w:r>
        <w:t xml:space="preserve"> </w:t>
      </w:r>
      <w:r>
        <w:t xml:space="preserve">hinterland, to be aggregated with onshore transport infrastructure for CO2. The storage</w:t>
      </w:r>
      <w:r>
        <w:t xml:space="preserve"> </w:t>
      </w:r>
      <w:r>
        <w:t xml:space="preserve">capacity will be concentrated primarily in the North Sea region (DK, NL), and, if business</w:t>
      </w:r>
      <w:r>
        <w:t xml:space="preserve"> </w:t>
      </w:r>
      <w:r>
        <w:t xml:space="preserve">cases allow, in the Adriatic and Black Sea. NO and UK also announced the construction of</w:t>
      </w:r>
      <w:r>
        <w:t xml:space="preserve"> </w:t>
      </w:r>
      <w:r>
        <w:t xml:space="preserve">several projects (114),(115),(116), with an indicative storage capacity of around 110MtCO2/y by</w:t>
      </w:r>
      <w:r>
        <w:t xml:space="preserve"> </w:t>
      </w:r>
      <w:r>
        <w:t xml:space="preserve">2030.</w:t>
      </w:r>
    </w:p>
    <w:p>
      <w:pPr>
        <w:pStyle w:val="Compact"/>
        <w:numPr>
          <w:ilvl w:val="0"/>
          <w:numId w:val="1027"/>
        </w:numPr>
      </w:pPr>
      <w:r>
        <w:t xml:space="preserve">As a consequence, French nuclear capacity is projected to decline in 2040 in the scenarios analised (see</w:t>
      </w:r>
      <w:r>
        <w:t xml:space="preserve"> </w:t>
      </w:r>
      <w:r>
        <w:t xml:space="preserve">Annex 8). Current estimates suggest tnat French nuclear capacity could actually increase to 54-71 GWe (as</w:t>
      </w:r>
      <w:r>
        <w:t xml:space="preserve"> </w:t>
      </w:r>
      <w:r>
        <w:t xml:space="preserve">discussed in footnote (107). In the EU, this would translate to an estimated nuclear capacity of between 82</w:t>
      </w:r>
      <w:r>
        <w:t xml:space="preserve"> </w:t>
      </w:r>
      <w:r>
        <w:t xml:space="preserve">GWe and 101 GWe in 2040.</w:t>
      </w:r>
    </w:p>
    <w:p>
      <w:pPr>
        <w:pStyle w:val="Compact"/>
        <w:numPr>
          <w:ilvl w:val="0"/>
          <w:numId w:val="1027"/>
        </w:numPr>
      </w:pPr>
      <w:r>
        <w:t xml:space="preserve">However, depending on the boundaries set for the value chain, other research suggests about 17 000</w:t>
      </w:r>
      <w:r>
        <w:t xml:space="preserve"> </w:t>
      </w:r>
      <w:r>
        <w:t xml:space="preserve">companies involved in all aspects of the CCUS supply chain including technology providers, services, legal</w:t>
      </w:r>
      <w:r>
        <w:t xml:space="preserve"> </w:t>
      </w:r>
      <w:r>
        <w:t xml:space="preserve">aspects (Kapetaki, 2022).</w:t>
      </w:r>
    </w:p>
    <w:p>
      <w:pPr>
        <w:pStyle w:val="Compact"/>
        <w:numPr>
          <w:ilvl w:val="0"/>
          <w:numId w:val="1027"/>
        </w:numPr>
      </w:pPr>
      <w:r>
        <w:t xml:space="preserve">Morbee J, et al. The Evolution of the Extent and the Investment Requirements of a Trans-European CO2</w:t>
      </w:r>
      <w:r>
        <w:t xml:space="preserve"> </w:t>
      </w:r>
      <w:r>
        <w:t xml:space="preserve">Transport Network. EUR 24565 EN. Luxembourg (Luxembourg): Publications Office of the European</w:t>
      </w:r>
      <w:r>
        <w:t xml:space="preserve"> </w:t>
      </w:r>
      <w:r>
        <w:t xml:space="preserve">Union; 2010. JRC61201</w:t>
      </w:r>
    </w:p>
    <w:p>
      <w:pPr>
        <w:pStyle w:val="Compact"/>
        <w:numPr>
          <w:ilvl w:val="0"/>
          <w:numId w:val="1027"/>
        </w:numPr>
      </w:pPr>
      <w:r>
        <w:t xml:space="preserve">JRC (2024). Tumara, D., Uihlein, A. and Hidalgo González, I. Shaping the future CO2 transport network for</w:t>
      </w:r>
      <w:r>
        <w:t xml:space="preserve"> </w:t>
      </w:r>
      <w:r>
        <w:t xml:space="preserve">Europe, European Commission, Petten, 2024, JRC136709.</w:t>
      </w:r>
    </w:p>
    <w:p>
      <w:pPr>
        <w:pStyle w:val="Compact"/>
        <w:numPr>
          <w:ilvl w:val="0"/>
          <w:numId w:val="1027"/>
        </w:numPr>
      </w:pPr>
      <w:r>
        <w:t xml:space="preserve">Adomaitis, N., Kartit, D., ‘Factbox: Carbon capture and storage projects across Europe’, Reuters, 2023.</w:t>
      </w:r>
    </w:p>
    <w:p>
      <w:pPr>
        <w:pStyle w:val="FirstParagraph"/>
      </w:pPr>
      <w:r>
        <w:t xml:space="preserve">31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SCENARIOS (117)</w:t>
      </w:r>
      <w:r>
        <w:t xml:space="preserve"> </w:t>
      </w:r>
      <w:r>
        <w:t xml:space="preserve">The specific objectives of this initiative are to identify and assess pathways towards climate</w:t>
      </w:r>
      <w:r>
        <w:t xml:space="preserve"> </w:t>
      </w:r>
      <w:r>
        <w:t xml:space="preserve">neutrality in 2050 and an intermediate target for 2040.</w:t>
      </w:r>
    </w:p>
    <w:p>
      <w:pPr>
        <w:pStyle w:val="BodyText"/>
      </w:pPr>
      <w:r>
        <w:t xml:space="preserve">3.1</w:t>
      </w:r>
      <w:r>
        <w:t xml:space="preserve"> </w:t>
      </w:r>
      <w:r>
        <w:t xml:space="preserve">Scenarios</w:t>
      </w:r>
      <w:r>
        <w:br/>
      </w:r>
      <w:r>
        <w:t xml:space="preserve">All scenarios assessed aim at meeting climate neutrality by 2050. Three scenarios share the</w:t>
      </w:r>
      <w:r>
        <w:t xml:space="preserve"> </w:t>
      </w:r>
      <w:r>
        <w:t xml:space="preserve">same key assumptions (S1, S2, S3) and allow to compare three levels of GHG emissions in</w:t>
      </w:r>
      <w:r>
        <w:t xml:space="preserve"> </w:t>
      </w:r>
      <w:r>
        <w:t xml:space="preserve">2040. The analysis is complemented by a variant, “LIFE”, which illustrates the additional</w:t>
      </w:r>
      <w:r>
        <w:t xml:space="preserve"> </w:t>
      </w:r>
      <w:r>
        <w:t xml:space="preserve">impact of different assumptions on circular economy, mobility and the food system.</w:t>
      </w:r>
      <w:r>
        <w:t xml:space="preserve"> </w:t>
      </w:r>
      <w:r>
        <w:t xml:space="preserve">3.1.1 Common policy elements</w:t>
      </w:r>
      <w:r>
        <w:t xml:space="preserve"> </w:t>
      </w:r>
      <w:r>
        <w:t xml:space="preserve">The analysis factors in, to the extent possible, relevant policies as well as policy proposals</w:t>
      </w:r>
      <w:r>
        <w:t xml:space="preserve"> </w:t>
      </w:r>
      <w:r>
        <w:t xml:space="preserve">adopted up to May 2023. Table 2 shows an overview of the EU policies that were considered</w:t>
      </w:r>
      <w:r>
        <w:t xml:space="preserve"> </w:t>
      </w:r>
      <w:r>
        <w:t xml:space="preserve">in the definition of all scenarios. The table also shows whether the scenarios consider that</w:t>
      </w:r>
      <w:r>
        <w:t xml:space="preserve"> </w:t>
      </w:r>
      <w:r>
        <w:t xml:space="preserve">these policies have specific effects only up to 2030 or also beyond 2030.</w:t>
      </w:r>
    </w:p>
    <w:p>
      <w:pPr>
        <w:pStyle w:val="Compact"/>
        <w:numPr>
          <w:ilvl w:val="0"/>
          <w:numId w:val="1028"/>
        </w:numPr>
      </w:pPr>
      <w:r>
        <w:t xml:space="preserve">Watt, R., ‘Five proposed UK carbon capture projects meet government’s eligibility test’, Upstreamonline,</w:t>
      </w:r>
    </w:p>
    <w:p>
      <w:pPr>
        <w:pStyle w:val="Compact"/>
        <w:numPr>
          <w:ilvl w:val="0"/>
          <w:numId w:val="1030"/>
        </w:numPr>
      </w:pPr>
      <w:r>
        <w:t xml:space="preserve">Northern Endurance Partnership Partners, Endurance Storage Development Plan: Key Knowledge</w:t>
      </w:r>
      <w:r>
        <w:t xml:space="preserve"> </w:t>
      </w:r>
      <w:r>
        <w:t xml:space="preserve">Document, 2021.</w:t>
      </w:r>
    </w:p>
    <w:p>
      <w:pPr>
        <w:pStyle w:val="Compact"/>
        <w:numPr>
          <w:ilvl w:val="0"/>
          <w:numId w:val="1030"/>
        </w:numPr>
      </w:pPr>
      <w:r>
        <w:t xml:space="preserve">The model-based analysis is a technical exercise based on a number of assumptions that are shared across</w:t>
      </w:r>
      <w:r>
        <w:t xml:space="preserve"> </w:t>
      </w:r>
      <w:r>
        <w:t xml:space="preserve">scenarios. Its results do not prejudge the future design of the post-2030 policy framework.</w:t>
      </w:r>
    </w:p>
    <w:p>
      <w:pPr>
        <w:pStyle w:val="FirstParagraph"/>
      </w:pPr>
      <w:r>
        <w:t xml:space="preserve">32</w:t>
      </w:r>
    </w:p>
    <w:p>
      <w:pPr>
        <w:pStyle w:val="BodyText"/>
      </w:pPr>
      <w:r>
        <w:t xml:space="preserve">Table 2: Main common legislative elements considered in all scenarios</w:t>
      </w:r>
      <w:r>
        <w:t xml:space="preserve"> </w:t>
      </w:r>
      <w:r>
        <w:t xml:space="preserve">Element</w:t>
      </w:r>
      <w:r>
        <w:t xml:space="preserve"> </w:t>
      </w:r>
      <w:r>
        <w:t xml:space="preserve">Status at</w:t>
      </w:r>
      <w:r>
        <w:t xml:space="preserve"> </w:t>
      </w:r>
      <w:r>
        <w:t xml:space="preserve">the time of</w:t>
      </w:r>
      <w:r>
        <w:t xml:space="preserve"> </w:t>
      </w:r>
      <w:r>
        <w:t xml:space="preserve">the analysis*</w:t>
      </w:r>
      <w:r>
        <w:t xml:space="preserve"> </w:t>
      </w:r>
      <w:r>
        <w:t xml:space="preserve">Quantitative effects/targets in</w:t>
      </w:r>
      <w:r>
        <w:t xml:space="preserve"> </w:t>
      </w:r>
      <w:r>
        <w:t xml:space="preserve">2030 (included in the modelling)</w:t>
      </w:r>
      <w:r>
        <w:br/>
      </w:r>
      <w:r>
        <w:t xml:space="preserve">Quantitative effects/targets post-</w:t>
      </w:r>
      <w:r>
        <w:t xml:space="preserve"> </w:t>
      </w:r>
      <w:r>
        <w:t xml:space="preserve">2030 (included in the modelling)</w:t>
      </w:r>
      <w:r>
        <w:br/>
      </w:r>
      <w:r>
        <w:t xml:space="preserve">Emission Trading System Directive</w:t>
      </w:r>
      <w:r>
        <w:t xml:space="preserve"> </w:t>
      </w:r>
      <w:r>
        <w:t xml:space="preserve">Adopted</w:t>
      </w:r>
      <w:r>
        <w:t xml:space="preserve"> </w:t>
      </w:r>
      <w:r>
        <w:t xml:space="preserve">Yes</w:t>
      </w:r>
      <w:r>
        <w:t xml:space="preserve"> </w:t>
      </w:r>
      <w:r>
        <w:t xml:space="preserve">See discussion</w:t>
      </w:r>
      <w:r>
        <w:t xml:space="preserve"> </w:t>
      </w:r>
      <w:r>
        <w:t xml:space="preserve">Effort Sharing Regulation</w:t>
      </w:r>
      <w:r>
        <w:t xml:space="preserve"> </w:t>
      </w:r>
      <w:r>
        <w:t xml:space="preserve">Adopted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LULUCF Regulation</w:t>
      </w:r>
      <w:r>
        <w:t xml:space="preserve"> </w:t>
      </w:r>
      <w:r>
        <w:t xml:space="preserve">Adopted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CO2 emission standards for cars</w:t>
      </w:r>
      <w:r>
        <w:t xml:space="preserve"> </w:t>
      </w:r>
      <w:r>
        <w:t xml:space="preserve">and vans</w:t>
      </w:r>
      <w:r>
        <w:t xml:space="preserve"> </w:t>
      </w:r>
      <w:r>
        <w:t xml:space="preserve">Adopted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Alternative Fuel Infrastructure</w:t>
      </w:r>
      <w:r>
        <w:t xml:space="preserve"> </w:t>
      </w:r>
      <w:r>
        <w:t xml:space="preserve">Regulation</w:t>
      </w:r>
      <w:r>
        <w:br/>
      </w:r>
      <w:r>
        <w:t xml:space="preserve">Adopted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FuelEU Maritime</w:t>
      </w:r>
      <w:r>
        <w:t xml:space="preserve"> </w:t>
      </w:r>
      <w:r>
        <w:t xml:space="preserve">Adopted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ReFuelEU Aviation</w:t>
      </w:r>
      <w:r>
        <w:t xml:space="preserve"> </w:t>
      </w:r>
      <w:r>
        <w:t xml:space="preserve">Adopted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Energy Efficiency Directive</w:t>
      </w:r>
      <w:r>
        <w:t xml:space="preserve"> </w:t>
      </w:r>
      <w:r>
        <w:t xml:space="preserve">Adopted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Renewable Energy Directive</w:t>
      </w:r>
      <w:r>
        <w:t xml:space="preserve"> </w:t>
      </w:r>
      <w:r>
        <w:t xml:space="preserve">Adopted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Energy Performance of Buildings</w:t>
      </w:r>
      <w:r>
        <w:t xml:space="preserve"> </w:t>
      </w:r>
      <w:r>
        <w:t xml:space="preserve">Directive</w:t>
      </w:r>
      <w:r>
        <w:t xml:space="preserve"> </w:t>
      </w:r>
      <w:r>
        <w:t xml:space="preserve">Proposal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Regulation on methane emissions</w:t>
      </w:r>
      <w:r>
        <w:t xml:space="preserve"> </w:t>
      </w:r>
      <w:r>
        <w:t xml:space="preserve">reduction in the energy sector</w:t>
      </w:r>
      <w:r>
        <w:t xml:space="preserve"> </w:t>
      </w:r>
      <w:r>
        <w:t xml:space="preserve">Agreed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CO2 emission standards for heavy-</w:t>
      </w:r>
      <w:r>
        <w:t xml:space="preserve"> </w:t>
      </w:r>
      <w:r>
        <w:t xml:space="preserve">duty vehicles</w:t>
      </w:r>
      <w:r>
        <w:t xml:space="preserve"> </w:t>
      </w:r>
      <w:r>
        <w:t xml:space="preserve">Proposal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Energy Taxation Directive</w:t>
      </w:r>
      <w:r>
        <w:t xml:space="preserve"> </w:t>
      </w:r>
      <w:r>
        <w:t xml:space="preserve">Proposal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Intelligent Transport Systems</w:t>
      </w:r>
      <w:r>
        <w:t xml:space="preserve"> </w:t>
      </w:r>
      <w:r>
        <w:t xml:space="preserve">Directive</w:t>
      </w:r>
      <w:r>
        <w:t xml:space="preserve"> </w:t>
      </w:r>
      <w:r>
        <w:t xml:space="preserve">Adopted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TEN-T Regulation</w:t>
      </w:r>
      <w:r>
        <w:t xml:space="preserve"> </w:t>
      </w:r>
      <w:r>
        <w:t xml:space="preserve">Agreed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Greening Freight Package</w:t>
      </w:r>
      <w:r>
        <w:t xml:space="preserve"> </w:t>
      </w:r>
      <w:r>
        <w:t xml:space="preserve">Proposal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F-Gas Regulation</w:t>
      </w:r>
      <w:r>
        <w:t xml:space="preserve"> </w:t>
      </w:r>
      <w:r>
        <w:t xml:space="preserve">Agreed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Net Zero Industry Act</w:t>
      </w:r>
      <w:r>
        <w:t xml:space="preserve"> </w:t>
      </w:r>
      <w:r>
        <w:t xml:space="preserve">Proposed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Landfill Directive</w:t>
      </w:r>
      <w:r>
        <w:t xml:space="preserve"> </w:t>
      </w:r>
      <w:r>
        <w:t xml:space="preserve">Not recently</w:t>
      </w:r>
      <w:r>
        <w:t xml:space="preserve"> </w:t>
      </w:r>
      <w:r>
        <w:t xml:space="preserve">reviewed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Waste Framework Directive</w:t>
      </w:r>
      <w:r>
        <w:t xml:space="preserve"> </w:t>
      </w:r>
      <w:r>
        <w:t xml:space="preserve">Not recently</w:t>
      </w:r>
      <w:r>
        <w:t xml:space="preserve"> </w:t>
      </w:r>
      <w:r>
        <w:t xml:space="preserve">reviewed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Urban Wastewater Treatment</w:t>
      </w:r>
      <w:r>
        <w:t xml:space="preserve"> </w:t>
      </w:r>
      <w:r>
        <w:t xml:space="preserve">Directive</w:t>
      </w:r>
      <w:r>
        <w:t xml:space="preserve"> </w:t>
      </w:r>
      <w:r>
        <w:t xml:space="preserve">Proposal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Industrial Emissions Directive</w:t>
      </w:r>
      <w:r>
        <w:t xml:space="preserve"> </w:t>
      </w:r>
      <w:r>
        <w:t xml:space="preserve">Proposal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Note: *“Adopted” means formally adopted by the European Parliament and European Council. “Agreed” means that a</w:t>
      </w:r>
      <w:r>
        <w:t xml:space="preserve"> </w:t>
      </w:r>
      <w:r>
        <w:t xml:space="preserve">political agreement between the co-legislators has been reached, but they have not yet formally adopted the act.</w:t>
      </w:r>
      <w:r>
        <w:t xml:space="preserve"> </w:t>
      </w:r>
      <w:r>
        <w:t xml:space="preserve">“Proposal” means proposed by the European Commission, but still under negotiation between the co-legislators. “Not</w:t>
      </w:r>
      <w:r>
        <w:t xml:space="preserve"> </w:t>
      </w:r>
      <w:r>
        <w:t xml:space="preserve">recently reviewed” means that this legislation is in force and has not been revised in recent years.</w:t>
      </w:r>
    </w:p>
    <w:p>
      <w:pPr>
        <w:pStyle w:val="BodyText"/>
      </w:pPr>
      <w:r>
        <w:t xml:space="preserve">The ETS by default has no end date for the application of the Linear Reduction Factors (LRF)</w:t>
      </w:r>
      <w:r>
        <w:t xml:space="preserve"> </w:t>
      </w:r>
      <w:r>
        <w:t xml:space="preserve">that set the yearly emission reduction cap. However, the ETS will be reviewed in view of</w:t>
      </w:r>
      <w:r>
        <w:t xml:space="preserve"> </w:t>
      </w:r>
      <w:r>
        <w:t xml:space="preserve">being compliant with the 2040 climate target once that target has been set. Consequentely, the</w:t>
      </w:r>
      <w:r>
        <w:t xml:space="preserve"> </w:t>
      </w:r>
      <w:r>
        <w:t xml:space="preserve">analysis does not assume by default a prolonged unchanged application of the LRFs post-</w:t>
      </w:r>
      <w:r>
        <w:t xml:space="preserve"> </w:t>
      </w:r>
      <w:r>
        <w:t xml:space="preserve">2030. The analysis looks at the sectoral reductions compatible with the different 2040 target</w:t>
      </w:r>
      <w:r>
        <w:t xml:space="preserve"> </w:t>
      </w:r>
      <w:r>
        <w:t xml:space="preserve">levels, including for the sectors covered by the ETS.</w:t>
      </w:r>
      <w:r>
        <w:t xml:space="preserve"> </w:t>
      </w:r>
      <w:r>
        <w:t xml:space="preserve">3.1.1.1 Energy and industrial process CO2 emissions</w:t>
      </w:r>
      <w:r>
        <w:t xml:space="preserve"> </w:t>
      </w:r>
      <w:r>
        <w:t xml:space="preserve">By 2030, scenarios are defined in line with relevant Fit For 55 and REPowerEU policies: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• The Emission Trading System Directive (118), targeting a reduction of 62% for the</w:t>
      </w:r>
      <w:r>
        <w:t xml:space="preserve"> </w:t>
      </w:r>
      <w:r>
        <w:t xml:space="preserve">sectors under the ETS1 and a reduction of 42% for the sectors under the ETS2, both</w:t>
      </w:r>
      <w:r>
        <w:t xml:space="preserve"> </w:t>
      </w:r>
      <w:r>
        <w:t xml:space="preserve">compared to 2005.</w:t>
      </w:r>
      <w:r>
        <w:t xml:space="preserve"> </w:t>
      </w:r>
      <w:r>
        <w:t xml:space="preserve">• The Effort Sharing Regulation (119), setting national targets for Member States to</w:t>
      </w:r>
      <w:r>
        <w:t xml:space="preserve"> </w:t>
      </w:r>
      <w:r>
        <w:t xml:space="preserve">collectively contribute at EU level to an emission reduction of 40% compared to 2005</w:t>
      </w:r>
      <w:r>
        <w:t xml:space="preserve"> </w:t>
      </w:r>
      <w:r>
        <w:t xml:space="preserve">levels.</w:t>
      </w:r>
      <w:r>
        <w:t xml:space="preserve"> </w:t>
      </w:r>
      <w:r>
        <w:t xml:space="preserve">• The Renewable Energy Directive (120), including the binding target for 2030 of at least</w:t>
      </w:r>
      <w:r>
        <w:t xml:space="preserve"> </w:t>
      </w:r>
      <w:r>
        <w:t xml:space="preserve">42.5%, but aiming for 45% (121), and corresponding sectoral sub-targets.</w:t>
      </w:r>
      <w:r>
        <w:br/>
      </w:r>
      <w:r>
        <w:t xml:space="preserve">• The Energy Efficiency Directive (122), aiming at ensuring an additional 11.7%</w:t>
      </w:r>
      <w:r>
        <w:t xml:space="preserve"> </w:t>
      </w:r>
      <w:r>
        <w:t xml:space="preserve">reduction of energy consumption by 2030, compared to the 2020 Reference Scenario</w:t>
      </w:r>
      <w:r>
        <w:t xml:space="preserve"> </w:t>
      </w:r>
      <w:r>
        <w:t xml:space="preserve">projections.</w:t>
      </w:r>
      <w:r>
        <w:t xml:space="preserve"> </w:t>
      </w:r>
      <w:r>
        <w:t xml:space="preserve">• The revised Regulation on CO2 performance standards for new passenger cars and</w:t>
      </w:r>
      <w:r>
        <w:t xml:space="preserve"> </w:t>
      </w:r>
      <w:r>
        <w:t xml:space="preserve">vans (123), with CO2 standards for new cars and vans established for years 2025 and</w:t>
      </w:r>
      <w:r>
        <w:t xml:space="preserve"> </w:t>
      </w:r>
      <w:r>
        <w:t xml:space="preserve">2030, namely -15% and -55% (-50% for vans) compared to 2021.</w:t>
      </w:r>
      <w:r>
        <w:t xml:space="preserve"> </w:t>
      </w:r>
      <w:r>
        <w:t xml:space="preserve">• The European Commission’s proposal for a revised Regulation of CO2 emission</w:t>
      </w:r>
      <w:r>
        <w:t xml:space="preserve"> </w:t>
      </w:r>
      <w:r>
        <w:t xml:space="preserve">standards for HDVs (124), establishing CO2 performance standards of -43% for new</w:t>
      </w:r>
      <w:r>
        <w:t xml:space="preserve"> </w:t>
      </w:r>
      <w:r>
        <w:t xml:space="preserve">lorries and coaches and -100% for urban buses by 2030 (relative to the reference</w:t>
      </w:r>
      <w:r>
        <w:t xml:space="preserve"> </w:t>
      </w:r>
      <w:r>
        <w:t xml:space="preserve">period, 1 July 2019 – 30 June 2020).</w:t>
      </w:r>
      <w:r>
        <w:t xml:space="preserve"> </w:t>
      </w:r>
      <w:r>
        <w:t xml:space="preserve">• The FuelEU Maritime Regulation (125), which establishes limits on the GHG intensity</w:t>
      </w:r>
      <w:r>
        <w:t xml:space="preserve"> </w:t>
      </w:r>
      <w:r>
        <w:t xml:space="preserve">of energy used on-board by ships, and the obligation to use on-shore power supply or</w:t>
      </w:r>
      <w:r>
        <w:t xml:space="preserve"> </w:t>
      </w:r>
      <w:r>
        <w:t xml:space="preserve">zero-emission technology while ships stay at EU ports.</w:t>
      </w:r>
      <w:r>
        <w:t xml:space="preserve"> </w:t>
      </w:r>
      <w:r>
        <w:t xml:space="preserve">• The ReFuelEU Aviation Regulation (126), which specifies that, from 2025 onwards,</w:t>
      </w:r>
      <w:r>
        <w:t xml:space="preserve"> </w:t>
      </w:r>
      <w:r>
        <w:t xml:space="preserve">aviation fuel suppliers shall ensure that all aviation fuel made available to aircraft</w:t>
      </w:r>
      <w:r>
        <w:t xml:space="preserve"> </w:t>
      </w:r>
      <w:r>
        <w:t xml:space="preserve">operators at every Union airport contains a minimum share of sustainable aviation</w:t>
      </w:r>
      <w:r>
        <w:t xml:space="preserve"> </w:t>
      </w:r>
      <w:r>
        <w:t xml:space="preserve">fuels (SAF), including a minimum share of synthetic aviation fuels. The SAF share</w:t>
      </w:r>
      <w:r>
        <w:t xml:space="preserve"> </w:t>
      </w:r>
      <w:r>
        <w:t xml:space="preserve">targets in 2025 and 2030 are 2% and 6%, respectively.</w:t>
      </w:r>
      <w:r>
        <w:t xml:space="preserve"> </w:t>
      </w:r>
      <w:r>
        <w:t xml:space="preserve">• The Regulation on the deployment of alternative fuels infrastructure (127), which sets</w:t>
      </w:r>
      <w:r>
        <w:t xml:space="preserve"> </w:t>
      </w:r>
      <w:r>
        <w:t xml:space="preserve">mandatory deployment targets for electric recharging and hydrogen refuelling</w:t>
      </w:r>
    </w:p>
    <w:p>
      <w:pPr>
        <w:pStyle w:val="Compact"/>
        <w:numPr>
          <w:ilvl w:val="0"/>
          <w:numId w:val="1031"/>
        </w:numPr>
      </w:pPr>
      <w:r>
        <w:t xml:space="preserve">Directive 2003/87/EC, as amended by Directive (EU) 2023/959.</w:t>
      </w:r>
    </w:p>
    <w:p>
      <w:pPr>
        <w:pStyle w:val="Compact"/>
        <w:numPr>
          <w:ilvl w:val="0"/>
          <w:numId w:val="1031"/>
        </w:numPr>
      </w:pPr>
      <w:r>
        <w:t xml:space="preserve">Regulation (EU) 2018/842, as amended by Regulation (EU) 2023/857.</w:t>
      </w:r>
    </w:p>
    <w:p>
      <w:pPr>
        <w:pStyle w:val="Compact"/>
        <w:numPr>
          <w:ilvl w:val="0"/>
          <w:numId w:val="1031"/>
        </w:numPr>
      </w:pPr>
      <w:r>
        <w:t xml:space="preserve">Directive EU/2018/2001, as amended by Directive (EU) 2023/2413.</w:t>
      </w:r>
    </w:p>
    <w:p>
      <w:pPr>
        <w:pStyle w:val="Compact"/>
        <w:numPr>
          <w:ilvl w:val="0"/>
          <w:numId w:val="1031"/>
        </w:numPr>
      </w:pPr>
      <w:r>
        <w:t xml:space="preserve">COM(2022) 230 final</w:t>
      </w:r>
    </w:p>
    <w:p>
      <w:pPr>
        <w:pStyle w:val="Compact"/>
        <w:numPr>
          <w:ilvl w:val="0"/>
          <w:numId w:val="1031"/>
        </w:numPr>
      </w:pPr>
      <w:r>
        <w:t xml:space="preserve">Directive (EU) 2023/1791.</w:t>
      </w:r>
      <w:r>
        <w:t xml:space="preserve"> </w:t>
      </w:r>
      <w:r>
        <w:t xml:space="preserve">(123)Regulation (EU) 2019/631, as amended by Regulation (EU) 2023/851.</w:t>
      </w:r>
    </w:p>
    <w:p>
      <w:pPr>
        <w:pStyle w:val="Compact"/>
        <w:numPr>
          <w:ilvl w:val="0"/>
          <w:numId w:val="1031"/>
        </w:numPr>
      </w:pPr>
      <w:r>
        <w:t xml:space="preserve">COM(2023) 88 final</w:t>
      </w:r>
    </w:p>
    <w:p>
      <w:pPr>
        <w:pStyle w:val="Compact"/>
        <w:numPr>
          <w:ilvl w:val="0"/>
          <w:numId w:val="1031"/>
        </w:numPr>
      </w:pPr>
      <w:r>
        <w:t xml:space="preserve">Regulation (EU) 2023/1805.</w:t>
      </w:r>
    </w:p>
    <w:p>
      <w:pPr>
        <w:pStyle w:val="Compact"/>
        <w:numPr>
          <w:ilvl w:val="0"/>
          <w:numId w:val="1031"/>
        </w:numPr>
      </w:pPr>
      <w:r>
        <w:t xml:space="preserve">Regulation (EU) 2023/2405.</w:t>
      </w:r>
    </w:p>
    <w:p>
      <w:pPr>
        <w:pStyle w:val="Compact"/>
        <w:numPr>
          <w:ilvl w:val="0"/>
          <w:numId w:val="1031"/>
        </w:numPr>
      </w:pPr>
      <w:r>
        <w:t xml:space="preserve">Regulation (EU) 2023/1804, repealing Directive 2014/94/EU.</w:t>
      </w:r>
    </w:p>
    <w:p>
      <w:pPr>
        <w:pStyle w:val="FirstParagraph"/>
      </w:pPr>
      <w:r>
        <w:t xml:space="preserve">34</w:t>
      </w:r>
    </w:p>
    <w:p>
      <w:pPr>
        <w:pStyle w:val="BodyText"/>
      </w:pPr>
      <w:r>
        <w:t xml:space="preserve">infrastructure for the road sector, for shore-side electricity supply in maritime and</w:t>
      </w:r>
      <w:r>
        <w:t xml:space="preserve"> </w:t>
      </w:r>
      <w:r>
        <w:t xml:space="preserve">inland waterway ports, and for electricity supply to stationary aircraft.</w:t>
      </w:r>
    </w:p>
    <w:p>
      <w:pPr>
        <w:pStyle w:val="BodyText"/>
      </w:pPr>
      <w:r>
        <w:t xml:space="preserve">• Other policies and proposals such as the Energy Taxation Directive (128) and the</w:t>
      </w:r>
      <w:r>
        <w:t xml:space="preserve"> </w:t>
      </w:r>
      <w:r>
        <w:t xml:space="preserve">Energy Performance of Buildings Directive (129).</w:t>
      </w:r>
      <w:r>
        <w:t xml:space="preserve"> </w:t>
      </w:r>
      <w:r>
        <w:t xml:space="preserve">Beyond 2030, the following policies will extend their application and implement additional</w:t>
      </w:r>
      <w:r>
        <w:t xml:space="preserve"> </w:t>
      </w:r>
      <w:r>
        <w:t xml:space="preserve">guidelines, i.e.:</w:t>
      </w:r>
      <w:r>
        <w:t xml:space="preserve"> </w:t>
      </w:r>
      <w:r>
        <w:t xml:space="preserve">• The CO2 performance standards for cars and vans establish that from 2035 onwards,</w:t>
      </w:r>
      <w:r>
        <w:t xml:space="preserve"> </w:t>
      </w:r>
      <w:r>
        <w:t xml:space="preserve">there should be no new vehicle which is not a zero-emission vehicle in the (regulated)</w:t>
      </w:r>
      <w:r>
        <w:t xml:space="preserve"> </w:t>
      </w:r>
      <w:r>
        <w:t xml:space="preserve">new fleet of that year.</w:t>
      </w:r>
      <w:r>
        <w:t xml:space="preserve"> </w:t>
      </w:r>
      <w:r>
        <w:t xml:space="preserve">• The CO2 standards for HDVs establishes a mandate to decrease CO2 emissions per</w:t>
      </w:r>
      <w:r>
        <w:t xml:space="preserve"> </w:t>
      </w:r>
      <w:r>
        <w:t xml:space="preserve">km from new lorries and coaches by 90% from 2040 onwards (relative to the reference</w:t>
      </w:r>
      <w:r>
        <w:t xml:space="preserve"> </w:t>
      </w:r>
      <w:r>
        <w:t xml:space="preserve">period 1 July 2019 – 30 June 2020), with intermediate targets for 2035 (64%). Note</w:t>
      </w:r>
      <w:r>
        <w:t xml:space="preserve"> </w:t>
      </w:r>
      <w:r>
        <w:t xml:space="preserve">that there is some degree of differentiation between scenarios, with some scenarios</w:t>
      </w:r>
      <w:r>
        <w:t xml:space="preserve"> </w:t>
      </w:r>
      <w:r>
        <w:t xml:space="preserve">having stricter CO2 standards for HDVs than others from 2040 or 2045 onwards.</w:t>
      </w:r>
      <w:r>
        <w:t xml:space="preserve"> </w:t>
      </w:r>
      <w:r>
        <w:t xml:space="preserve">• FuelEU Maritime defines a GHG intensity limits more stringent over time until 2050.</w:t>
      </w:r>
      <w:r>
        <w:br/>
      </w:r>
      <w:r>
        <w:t xml:space="preserve">• ReFuelEU Aviation increases the minimum shares of sustainable aviation fuels as of</w:t>
      </w:r>
      <w:r>
        <w:t xml:space="preserve"> </w:t>
      </w:r>
      <w:r>
        <w:t xml:space="preserve">2030 (6%) over time until 2050 (70%). Note that there is some degree of</w:t>
      </w:r>
      <w:r>
        <w:t xml:space="preserve"> </w:t>
      </w:r>
      <w:r>
        <w:t xml:space="preserve">differentiation between scenarios, with some scenarios having stricter CO2 standards</w:t>
      </w:r>
      <w:r>
        <w:t xml:space="preserve"> </w:t>
      </w:r>
      <w:r>
        <w:t xml:space="preserve">for HDVs than others from 2035 onwards.</w:t>
      </w:r>
      <w:r>
        <w:t xml:space="preserve"> </w:t>
      </w:r>
      <w:r>
        <w:t xml:space="preserve">The scenarios remain neutral on the post-2030 evolution of the ETS, which will be reviewed</w:t>
      </w:r>
      <w:r>
        <w:t xml:space="preserve"> </w:t>
      </w:r>
      <w:r>
        <w:t xml:space="preserve">in 2026. Instead, modelling drivers are defined for one or more sectors (see 3.2). In addition</w:t>
      </w:r>
      <w:r>
        <w:t xml:space="preserve"> </w:t>
      </w:r>
      <w:r>
        <w:t xml:space="preserve">to the policies mentioned above, the following transport-related policies are included in the</w:t>
      </w:r>
      <w:r>
        <w:t xml:space="preserve"> </w:t>
      </w:r>
      <w:r>
        <w:t xml:space="preserve">analysis: the revision of the Intelligent Transport Systems Directive (130), the revision of the</w:t>
      </w:r>
      <w:r>
        <w:t xml:space="preserve"> </w:t>
      </w:r>
      <w:r>
        <w:t xml:space="preserve">Trans-European Transport Network (TEN-T) Regulation (131), the Action Plan to boost long-</w:t>
      </w:r>
      <w:r>
        <w:t xml:space="preserve"> </w:t>
      </w:r>
      <w:r>
        <w:t xml:space="preserve">distance and cross-border passenger rail (132), and the proposed Greening freight</w:t>
      </w:r>
      <w:r>
        <w:t xml:space="preserve"> </w:t>
      </w:r>
      <w:r>
        <w:t xml:space="preserve">package (133). These initiatives contribute towards the milestones of the Sustainable and Smart</w:t>
      </w:r>
      <w:r>
        <w:t xml:space="preserve"> </w:t>
      </w:r>
      <w:r>
        <w:t xml:space="preserve">Mobility Strategy and Action Plan (134). The IMO Strategy on Reduction of GHG Emissions</w:t>
      </w:r>
    </w:p>
    <w:p>
      <w:pPr>
        <w:numPr>
          <w:ilvl w:val="0"/>
          <w:numId w:val="1032"/>
        </w:numPr>
      </w:pPr>
      <w:r>
        <w:t xml:space="preserve">Directive 2003/96/EC, and the European Commission’s proposal for recasting (COM(2021) 563 final).</w:t>
      </w:r>
    </w:p>
    <w:p>
      <w:pPr>
        <w:numPr>
          <w:ilvl w:val="0"/>
          <w:numId w:val="1032"/>
        </w:numPr>
      </w:pPr>
      <w:r>
        <w:t xml:space="preserve">Directive 2010/31/EU, as amended by Directive (EU) 2018/844, and the European Commission’s proposal</w:t>
      </w:r>
      <w:r>
        <w:t xml:space="preserve"> </w:t>
      </w:r>
      <w:r>
        <w:t xml:space="preserve">for a revision of this directive (COM(2021) 802 final).</w:t>
      </w:r>
    </w:p>
    <w:p>
      <w:pPr>
        <w:numPr>
          <w:ilvl w:val="0"/>
          <w:numId w:val="1032"/>
        </w:numPr>
      </w:pPr>
      <w:r>
        <w:t xml:space="preserve">Directive 2010/40/EU, as amended by Directive (EU) 2023/2661.</w:t>
      </w:r>
    </w:p>
    <w:p>
      <w:pPr>
        <w:numPr>
          <w:ilvl w:val="0"/>
          <w:numId w:val="1032"/>
        </w:numPr>
      </w:pPr>
      <w:r>
        <w:t xml:space="preserve">COM (2021) 812.</w:t>
      </w:r>
    </w:p>
    <w:p>
      <w:pPr>
        <w:numPr>
          <w:ilvl w:val="0"/>
          <w:numId w:val="1032"/>
        </w:numPr>
      </w:pPr>
      <w:r>
        <w:t xml:space="preserve">COM(2021) 810.</w:t>
      </w:r>
    </w:p>
    <w:p>
      <w:pPr>
        <w:numPr>
          <w:ilvl w:val="0"/>
          <w:numId w:val="1032"/>
        </w:numPr>
      </w:pPr>
      <w:r>
        <w:t xml:space="preserve">The “Greening freight package” includes: Proposal for a Regulation on the use of railway infrastructure</w:t>
      </w:r>
      <w:r>
        <w:t xml:space="preserve"> </w:t>
      </w:r>
      <w:r>
        <w:t xml:space="preserve">capacity in the single European railway area (COM (2023) 443); Proposal for a Revision of the Weights and</w:t>
      </w:r>
      <w:r>
        <w:t xml:space="preserve"> </w:t>
      </w:r>
      <w:r>
        <w:t xml:space="preserve">Dimensions Directive (COM (2023) 445); Proposal for a Regulation on the accounting of greenhouse gas</w:t>
      </w:r>
      <w:r>
        <w:t xml:space="preserve"> </w:t>
      </w:r>
      <w:r>
        <w:t xml:space="preserve">emissions of transport services (COM (2023) 441); and Proposal for a Directive as regards a support</w:t>
      </w:r>
      <w:r>
        <w:t xml:space="preserve"> </w:t>
      </w:r>
      <w:r>
        <w:t xml:space="preserve">framework for intermodal transport of goods (COM (2023) 702).</w:t>
      </w:r>
    </w:p>
    <w:p>
      <w:pPr>
        <w:numPr>
          <w:ilvl w:val="0"/>
          <w:numId w:val="1032"/>
        </w:numPr>
      </w:pPr>
      <w:r>
        <w:t xml:space="preserve">Particularly the milestones related to rail, inland waterways and short-sea shipping. See: COM (2020) 789</w:t>
      </w:r>
      <w:r>
        <w:t xml:space="preserve"> </w:t>
      </w:r>
      <w:r>
        <w:t xml:space="preserve">final.</w:t>
      </w:r>
    </w:p>
    <w:p>
      <w:pPr>
        <w:pStyle w:val="FirstParagraph"/>
      </w:pPr>
      <w:r>
        <w:t xml:space="preserve">35</w:t>
      </w:r>
    </w:p>
    <w:p>
      <w:pPr>
        <w:pStyle w:val="BodyText"/>
      </w:pPr>
      <w:r>
        <w:t xml:space="preserve">from Ships (135) is also reflected, with differentiation between scenarios. The modelling also</w:t>
      </w:r>
      <w:r>
        <w:t xml:space="preserve"> </w:t>
      </w:r>
      <w:r>
        <w:t xml:space="preserve">considers the impact of initiatives described in the Circular Economy Action Plan (136).</w:t>
      </w:r>
      <w:r>
        <w:br/>
      </w:r>
      <w:r>
        <w:t xml:space="preserve">Beyond policies, consolidated trends such as further electrification of the building sector</w:t>
      </w:r>
      <w:r>
        <w:t xml:space="preserve"> </w:t>
      </w:r>
      <w:r>
        <w:t xml:space="preserve">through sustained deployment of heat pumps, a more decarbonised and efficient power system</w:t>
      </w:r>
      <w:r>
        <w:t xml:space="preserve"> </w:t>
      </w:r>
      <w:r>
        <w:t xml:space="preserve">with a progressively higher share of renewable facilitated by system optimisation</w:t>
      </w:r>
      <w:r>
        <w:t xml:space="preserve"> </w:t>
      </w:r>
      <w:r>
        <w:t xml:space="preserve">(interconnection, storage and demand-side response) are also implemented.</w:t>
      </w:r>
      <w:r>
        <w:t xml:space="preserve"> </w:t>
      </w:r>
      <w:r>
        <w:t xml:space="preserve">3.1.1.2 Non-CO2 GHG emissions</w:t>
      </w:r>
      <w:r>
        <w:t xml:space="preserve"> </w:t>
      </w:r>
      <w:r>
        <w:t xml:space="preserve">In all scenarios, the evolution of non-CO2 GHG emissions is consistent with the relevant</w:t>
      </w:r>
      <w:r>
        <w:t xml:space="preserve"> </w:t>
      </w:r>
      <w:r>
        <w:t xml:space="preserve">existing legislation or legislative proposals, including the proposals for a revised Urban</w:t>
      </w:r>
      <w:r>
        <w:t xml:space="preserve"> </w:t>
      </w:r>
      <w:r>
        <w:t xml:space="preserve">Wastewater Treatment Directive (137), a revised F-gas regulation (138) and a revised Industrial</w:t>
      </w:r>
      <w:r>
        <w:t xml:space="preserve"> </w:t>
      </w:r>
      <w:r>
        <w:t xml:space="preserve">Emission Directive (139). On top of that, the evolution of the non-CO2 GHG emissions from</w:t>
      </w:r>
      <w:r>
        <w:t xml:space="preserve"> </w:t>
      </w:r>
      <w:r>
        <w:t xml:space="preserve">the energy sector is driven by the decarbonisation of the energy sector and is consistent with</w:t>
      </w:r>
      <w:r>
        <w:t xml:space="preserve"> </w:t>
      </w:r>
      <w:r>
        <w:t xml:space="preserve">the proposal for a regulation to reduce methane emissions in the energy sector (140).</w:t>
      </w:r>
      <w:r>
        <w:br/>
      </w:r>
      <w:r>
        <w:t xml:space="preserve">3.1.1.3 LULUCF</w:t>
      </w:r>
      <w:r>
        <w:t xml:space="preserve"> </w:t>
      </w:r>
      <w:r>
        <w:t xml:space="preserve">The EU has agreed on a new target to achieve 310 MtCO2 of net removals in 2030 according</w:t>
      </w:r>
      <w:r>
        <w:t xml:space="preserve"> </w:t>
      </w:r>
      <w:r>
        <w:t xml:space="preserve">to the amended LULUCF regulation (141). There is no specific post-2030 policy framework</w:t>
      </w:r>
      <w:r>
        <w:t xml:space="preserve"> </w:t>
      </w:r>
      <w:r>
        <w:t xml:space="preserve">related to LULUCF emissions.</w:t>
      </w:r>
      <w:r>
        <w:br/>
      </w:r>
      <w:r>
        <w:t xml:space="preserve">3.1.2 S1</w:t>
      </w:r>
      <w:r>
        <w:t xml:space="preserve"> </w:t>
      </w:r>
      <w:r>
        <w:t xml:space="preserve">S1 aims at reaching net GHG emission reductions of close to 78.5% in 2040 compared to</w:t>
      </w:r>
      <w:r>
        <w:t xml:space="preserve"> </w:t>
      </w:r>
      <w:r>
        <w:t xml:space="preserve">1990, to be aligned with a “linear” trajectory between 2030 and 2050, and climate neutrality</w:t>
      </w:r>
      <w:r>
        <w:t xml:space="preserve"> </w:t>
      </w:r>
      <w:r>
        <w:t xml:space="preserve">in 2050.</w:t>
      </w:r>
      <w:r>
        <w:br/>
      </w:r>
      <w:r>
        <w:t xml:space="preserve">3.1.2.1 Energy and industry CO2</w:t>
      </w:r>
      <w:r>
        <w:t xml:space="preserve"> </w:t>
      </w:r>
      <w:r>
        <w:t xml:space="preserve">The S1 scenario projects beyond 2030 the consolidated techno-economic policy trends that</w:t>
      </w:r>
      <w:r>
        <w:t xml:space="preserve"> </w:t>
      </w:r>
      <w:r>
        <w:t xml:space="preserve">delivers the 2030 target, while it delays a large uptake of novel technologies until after 2040.</w:t>
      </w:r>
      <w:r>
        <w:t xml:space="preserve"> </w:t>
      </w:r>
      <w:r>
        <w:t xml:space="preserve">The energy system gets further electrified, more efficient and decarbonised through a further</w:t>
      </w:r>
      <w:r>
        <w:t xml:space="preserve"> </w:t>
      </w:r>
      <w:r>
        <w:t xml:space="preserve">deployment of renewables. A very limited uptake of e-fuels, carbon capture and industrial</w:t>
      </w:r>
      <w:r>
        <w:t xml:space="preserve"> </w:t>
      </w:r>
      <w:r>
        <w:t xml:space="preserve">removals and additional deployment of bioenergy are projected until 2040. However, to</w:t>
      </w:r>
      <w:r>
        <w:t xml:space="preserve"> </w:t>
      </w:r>
      <w:r>
        <w:t xml:space="preserve">ensure climate neutrality in 2050, deployment of these technologies is projected to strongly</w:t>
      </w:r>
    </w:p>
    <w:p>
      <w:pPr>
        <w:pStyle w:val="Compact"/>
        <w:numPr>
          <w:ilvl w:val="0"/>
          <w:numId w:val="1033"/>
        </w:numPr>
      </w:pPr>
      <w:r>
        <w:t xml:space="preserve">The 2023 IMO GHG Strategy states that GHG emissions from international shipping should reach net zero</w:t>
      </w:r>
      <w:r>
        <w:t xml:space="preserve"> </w:t>
      </w:r>
      <w:r>
        <w:t xml:space="preserve">close to 2050. It also introduces indicative checkpoints, namely: 1) to reduce the total annual GHG</w:t>
      </w:r>
      <w:r>
        <w:t xml:space="preserve"> </w:t>
      </w:r>
      <w:r>
        <w:t xml:space="preserve">emissions from international shipping by at least 20%, striving for 30%, by 2030, compared to 2008; and 2)</w:t>
      </w:r>
      <w:r>
        <w:t xml:space="preserve"> </w:t>
      </w:r>
      <w:r>
        <w:t xml:space="preserve">to reduce the total anual GHG emissions from international shipping by atleast 70%, striving for 80%, by</w:t>
      </w:r>
      <w:r>
        <w:t xml:space="preserve"> </w:t>
      </w:r>
      <w:r>
        <w:t xml:space="preserve">2040, compared to 2008.</w:t>
      </w:r>
    </w:p>
    <w:p>
      <w:pPr>
        <w:pStyle w:val="Compact"/>
        <w:numPr>
          <w:ilvl w:val="0"/>
          <w:numId w:val="1033"/>
        </w:numPr>
      </w:pPr>
      <w:r>
        <w:t xml:space="preserve">COM(2020) 98 final.</w:t>
      </w:r>
    </w:p>
    <w:p>
      <w:pPr>
        <w:pStyle w:val="Compact"/>
        <w:numPr>
          <w:ilvl w:val="0"/>
          <w:numId w:val="1033"/>
        </w:numPr>
      </w:pPr>
      <w:r>
        <w:t xml:space="preserve">COM (2022) 541 final.</w:t>
      </w:r>
    </w:p>
    <w:p>
      <w:pPr>
        <w:pStyle w:val="Compact"/>
        <w:numPr>
          <w:ilvl w:val="0"/>
          <w:numId w:val="1033"/>
        </w:numPr>
      </w:pPr>
      <w:r>
        <w:t xml:space="preserve">COM (2022) 150 final.</w:t>
      </w:r>
    </w:p>
    <w:p>
      <w:pPr>
        <w:pStyle w:val="Compact"/>
        <w:numPr>
          <w:ilvl w:val="0"/>
          <w:numId w:val="1033"/>
        </w:numPr>
      </w:pPr>
      <w:r>
        <w:t xml:space="preserve">COM/2022/156 final/3.</w:t>
      </w:r>
    </w:p>
    <w:p>
      <w:pPr>
        <w:pStyle w:val="Compact"/>
        <w:numPr>
          <w:ilvl w:val="0"/>
          <w:numId w:val="1033"/>
        </w:numPr>
      </w:pPr>
      <w:r>
        <w:t xml:space="preserve">COM (2021) 805 final.</w:t>
      </w:r>
    </w:p>
    <w:p>
      <w:pPr>
        <w:pStyle w:val="Compact"/>
        <w:numPr>
          <w:ilvl w:val="0"/>
          <w:numId w:val="1033"/>
        </w:numPr>
      </w:pPr>
      <w:r>
        <w:t xml:space="preserve">Regulation (EU) 2018/841, as amended by Regulation 2023/839.</w:t>
      </w:r>
    </w:p>
    <w:p>
      <w:pPr>
        <w:pStyle w:val="FirstParagraph"/>
      </w:pPr>
      <w:r>
        <w:t xml:space="preserve">36</w:t>
      </w:r>
    </w:p>
    <w:p>
      <w:pPr>
        <w:pStyle w:val="BodyText"/>
      </w:pPr>
      <w:r>
        <w:t xml:space="preserve">accelerate after 2040. The CO2 standards for HDVs establish a mandate to decrease CO2</w:t>
      </w:r>
      <w:r>
        <w:t xml:space="preserve"> </w:t>
      </w:r>
      <w:r>
        <w:t xml:space="preserve">emissions per km from new lorries and coaches by 43% in 2030, 64% in 2035 and 90% from</w:t>
      </w:r>
      <w:r>
        <w:t xml:space="preserve"> </w:t>
      </w:r>
      <w:r>
        <w:t xml:space="preserve">2040 onwards (relative to the reference period 1 July 2019 – 30 June 2020). The minimum</w:t>
      </w:r>
      <w:r>
        <w:t xml:space="preserve"> </w:t>
      </w:r>
      <w:r>
        <w:t xml:space="preserve">shares of sustainable aviation fuels (SAF), related to ReFuelEU Aviation, are 20% in 2035,</w:t>
      </w:r>
      <w:r>
        <w:t xml:space="preserve"> </w:t>
      </w:r>
      <w:r>
        <w:t xml:space="preserve">34% in 2040, 42% in 2045 and 70% in 2050, and the minimum shares of synthetic aviation</w:t>
      </w:r>
      <w:r>
        <w:t xml:space="preserve"> </w:t>
      </w:r>
      <w:r>
        <w:t xml:space="preserve">fuels are 5% in 2035, 10% in 2040, 15% in 2045 and 35% in 2050. The IMO GHG emissions</w:t>
      </w:r>
      <w:r>
        <w:t xml:space="preserve"> </w:t>
      </w:r>
      <w:r>
        <w:t xml:space="preserve">reduction target for international shipping is set at the lower end of the range (i.e., 70% GHG</w:t>
      </w:r>
      <w:r>
        <w:t xml:space="preserve"> </w:t>
      </w:r>
      <w:r>
        <w:t xml:space="preserve">emissions reduction in 2040 relative to 2008).</w:t>
      </w:r>
      <w:r>
        <w:br/>
      </w:r>
      <w:r>
        <w:t xml:space="preserve">3.1.2.2 Non-CO2 GHG emissions</w:t>
      </w:r>
      <w:r>
        <w:t xml:space="preserve"> </w:t>
      </w:r>
      <w:r>
        <w:t xml:space="preserve">By 2040 the S1 scenario assumes no further mitigation than delivered by the known policy</w:t>
      </w:r>
      <w:r>
        <w:t xml:space="preserve"> </w:t>
      </w:r>
      <w:r>
        <w:t xml:space="preserve">sectoral policies (for instance, the revised F-gas regulation, the Landfill Directive and the</w:t>
      </w:r>
      <w:r>
        <w:t xml:space="preserve"> </w:t>
      </w:r>
      <w:r>
        <w:t xml:space="preserve">revised Urban Wastewater Treatment Directive) and as a result of the decarbonising energy</w:t>
      </w:r>
      <w:r>
        <w:t xml:space="preserve"> </w:t>
      </w:r>
      <w:r>
        <w:t xml:space="preserve">sector.</w:t>
      </w:r>
      <w:r>
        <w:br/>
      </w:r>
      <w:r>
        <w:t xml:space="preserve">By 2050, the mitigation options are fully deployed in all sectors (including agriculture) in</w:t>
      </w:r>
      <w:r>
        <w:t xml:space="preserve"> </w:t>
      </w:r>
      <w:r>
        <w:t xml:space="preserve">view of contributing to climate neutrality.</w:t>
      </w:r>
      <w:r>
        <w:t xml:space="preserve"> </w:t>
      </w:r>
      <w:r>
        <w:t xml:space="preserve">The evolution of non-CO2 GHG emissions from the agriculture sector is consistent with the</w:t>
      </w:r>
      <w:r>
        <w:t xml:space="preserve"> </w:t>
      </w:r>
      <w:r>
        <w:t xml:space="preserve">EU’s agriculture activity policy as reflected in the EU Agricultural Outlook 2022 (142).</w:t>
      </w:r>
      <w:r>
        <w:t xml:space="preserve"> </w:t>
      </w:r>
      <w:r>
        <w:t xml:space="preserve">3.1.2.3 LULUCF</w:t>
      </w:r>
      <w:r>
        <w:br/>
      </w:r>
      <w:r>
        <w:t xml:space="preserve">LULUCF net removals are driven by the evolution of bioenergy demand in the scenario.</w:t>
      </w:r>
      <w:r>
        <w:br/>
      </w:r>
      <w:r>
        <w:t xml:space="preserve">In addition, in the last decade, the scenario assumes the same policy intensity as the one</w:t>
      </w:r>
      <w:r>
        <w:t xml:space="preserve"> </w:t>
      </w:r>
      <w:r>
        <w:t xml:space="preserve">necessary to achieve the 2030 LULUCF target (310 MtCO2 of net removals) (143) in view of</w:t>
      </w:r>
      <w:r>
        <w:t xml:space="preserve"> </w:t>
      </w:r>
      <w:r>
        <w:t xml:space="preserve">contributing to climate neutrality by 2050.</w:t>
      </w:r>
    </w:p>
    <w:p>
      <w:pPr>
        <w:pStyle w:val="BodyText"/>
      </w:pPr>
      <w:r>
        <w:t xml:space="preserve">3.1.3 S2</w:t>
      </w:r>
      <w:r>
        <w:br/>
      </w:r>
      <w:r>
        <w:t xml:space="preserve">S2 aims at reaching net GHG emission reductions of at least 85% in 2040 compared to 1990</w:t>
      </w:r>
      <w:r>
        <w:t xml:space="preserve"> </w:t>
      </w:r>
      <w:r>
        <w:t xml:space="preserve">and climate neutrality in 2050.</w:t>
      </w:r>
      <w:r>
        <w:t xml:space="preserve"> </w:t>
      </w:r>
      <w:r>
        <w:t xml:space="preserve">3.1.3.1 Energy and Industry CO2</w:t>
      </w:r>
      <w:r>
        <w:t xml:space="preserve"> </w:t>
      </w:r>
      <w:r>
        <w:t xml:space="preserve">S2 builds on S1 and generates a faster decarbonisation of the energy system until 2040. It</w:t>
      </w:r>
      <w:r>
        <w:t xml:space="preserve"> </w:t>
      </w:r>
      <w:r>
        <w:t xml:space="preserve">projects by 2040 a higher deployment of novel technologies such as carbon capture and e-</w:t>
      </w:r>
      <w:r>
        <w:t xml:space="preserve"> </w:t>
      </w:r>
      <w:r>
        <w:t xml:space="preserve">fuels than S1. Carbon is mostly captured from fossil fuels in the industrial and power sector</w:t>
      </w:r>
      <w:r>
        <w:t xml:space="preserve"> </w:t>
      </w:r>
      <w:r>
        <w:t xml:space="preserve">and linked to carbon storage underground and in part to production of e-fuels. Industrial</w:t>
      </w:r>
      <w:r>
        <w:t xml:space="preserve"> </w:t>
      </w:r>
      <w:r>
        <w:t xml:space="preserve">carbon removals starts appearing in the energy system in the 2031-2040 decade, with relative</w:t>
      </w:r>
      <w:r>
        <w:t xml:space="preserve"> </w:t>
      </w:r>
      <w:r>
        <w:t xml:space="preserve">amount of BECCS and DACCS subject to uncertainties. A larger upscaling of current trends,</w:t>
      </w:r>
    </w:p>
    <w:p>
      <w:pPr>
        <w:pStyle w:val="Compact"/>
        <w:numPr>
          <w:ilvl w:val="0"/>
          <w:numId w:val="1034"/>
        </w:numPr>
      </w:pPr>
      <w:r>
        <w:t xml:space="preserve">EC (2022), EU agricultural outlook for markets, income and environment, 2022-2032. European</w:t>
      </w:r>
      <w:r>
        <w:t xml:space="preserve"> </w:t>
      </w:r>
      <w:r>
        <w:t xml:space="preserve">Commission, DG Agriculture and Rural Development, Brussels.</w:t>
      </w:r>
    </w:p>
    <w:p>
      <w:pPr>
        <w:pStyle w:val="Compact"/>
        <w:numPr>
          <w:ilvl w:val="0"/>
          <w:numId w:val="1034"/>
        </w:numPr>
      </w:pPr>
      <w:r>
        <w:t xml:space="preserve">Regulation (EU) 2018/841 (amended by Regulation 2023/839).</w:t>
      </w:r>
    </w:p>
    <w:p>
      <w:pPr>
        <w:pStyle w:val="FirstParagraph"/>
      </w:pPr>
      <w:r>
        <w:t xml:space="preserve">37</w:t>
      </w:r>
    </w:p>
    <w:p>
      <w:pPr>
        <w:pStyle w:val="BodyText"/>
      </w:pPr>
      <w:r>
        <w:t xml:space="preserve">for instance development of renewables and increased use of biomass (144), that lead to power</w:t>
      </w:r>
      <w:r>
        <w:t xml:space="preserve"> </w:t>
      </w:r>
      <w:r>
        <w:t xml:space="preserve">system close to full decarbonisation by 2040, is also assumed.</w:t>
      </w:r>
      <w:r>
        <w:br/>
      </w:r>
      <w:r>
        <w:t xml:space="preserve">Compared to S1, the transport sector is characterised by a higher shift towards shared and</w:t>
      </w:r>
      <w:r>
        <w:t xml:space="preserve"> </w:t>
      </w:r>
      <w:r>
        <w:t xml:space="preserve">collaborative mobility services and multimodal travel, more efficient operation of freight</w:t>
      </w:r>
      <w:r>
        <w:t xml:space="preserve"> </w:t>
      </w:r>
      <w:r>
        <w:t xml:space="preserve">vehicles and delivery of goods (by optimising multi-modal delivery solutions), higher use of</w:t>
      </w:r>
      <w:r>
        <w:t xml:space="preserve"> </w:t>
      </w:r>
      <w:r>
        <w:t xml:space="preserve">intermodal freight transport and a larger uptake of renewable H2 and e-fuels. The CO2</w:t>
      </w:r>
      <w:r>
        <w:t xml:space="preserve"> </w:t>
      </w:r>
      <w:r>
        <w:t xml:space="preserve">standards for HDVs establish a mandate to decrease CO2 emissions per km from new lorries</w:t>
      </w:r>
      <w:r>
        <w:t xml:space="preserve"> </w:t>
      </w:r>
      <w:r>
        <w:t xml:space="preserve">and coaches by 43% in 2030, 64% in 2035, 90% in 2040 and 100% from 2045 onwards</w:t>
      </w:r>
      <w:r>
        <w:t xml:space="preserve"> </w:t>
      </w:r>
      <w:r>
        <w:t xml:space="preserve">(relative to the reference period 1 July 2019 – 30 June 2020). The minimum shares of</w:t>
      </w:r>
      <w:r>
        <w:t xml:space="preserve"> </w:t>
      </w:r>
      <w:r>
        <w:t xml:space="preserve">sustainable aviation fuels (SAF), related to ReFuelEU Aviation, are 21% in 2035, 36% in</w:t>
      </w:r>
      <w:r>
        <w:t xml:space="preserve"> </w:t>
      </w:r>
      <w:r>
        <w:t xml:space="preserve">2040, 44% in 2045 and 72.5% in 2050, and the minimum shares of synthetic aviation fuels are</w:t>
      </w:r>
      <w:r>
        <w:t xml:space="preserve"> </w:t>
      </w:r>
      <w:r>
        <w:t xml:space="preserve">6% in 2035, 12% in 2040, 17% in 2045 and 37.5% in 2050. The IMO GHG emissions</w:t>
      </w:r>
      <w:r>
        <w:t xml:space="preserve"> </w:t>
      </w:r>
      <w:r>
        <w:t xml:space="preserve">reduction target for international shipping is set at the mid-point of the range (i.e., 75% GHG</w:t>
      </w:r>
      <w:r>
        <w:t xml:space="preserve"> </w:t>
      </w:r>
      <w:r>
        <w:t xml:space="preserve">emissions reduction in 2040 compared to 2008).</w:t>
      </w:r>
      <w:r>
        <w:br/>
      </w:r>
      <w:r>
        <w:t xml:space="preserve">3.1.3.2 Non-CO2 GHG emissions</w:t>
      </w:r>
      <w:r>
        <w:t xml:space="preserve"> </w:t>
      </w:r>
      <w:r>
        <w:t xml:space="preserve">The S2 scenario assumes the uptake of mitigation options in all sectors, notably in the</w:t>
      </w:r>
      <w:r>
        <w:t xml:space="preserve"> </w:t>
      </w:r>
      <w:r>
        <w:t xml:space="preserve">agriculture sector, where technologies to reduce CH4 emissions are assumed to be largely</w:t>
      </w:r>
      <w:r>
        <w:t xml:space="preserve"> </w:t>
      </w:r>
      <w:r>
        <w:t xml:space="preserve">deployed by 2040. In 2050, all the mitigation options required are fully deployed in all sectors</w:t>
      </w:r>
      <w:r>
        <w:t xml:space="preserve"> </w:t>
      </w:r>
      <w:r>
        <w:t xml:space="preserve">in view of contributing to climate neutrality.</w:t>
      </w:r>
      <w:r>
        <w:t xml:space="preserve"> </w:t>
      </w:r>
      <w:r>
        <w:t xml:space="preserve">3.1.3.3 LULUCF</w:t>
      </w:r>
      <w:r>
        <w:t xml:space="preserve"> </w:t>
      </w:r>
      <w:r>
        <w:t xml:space="preserve">LULUCF net removals are driven by the evolution of bioenergy demand in the scenario.</w:t>
      </w:r>
      <w:r>
        <w:br/>
      </w:r>
      <w:r>
        <w:t xml:space="preserve">In addition, the scenario assumes over 2030-2050 the same policy intensity as the one</w:t>
      </w:r>
      <w:r>
        <w:t xml:space="preserve"> </w:t>
      </w:r>
      <w:r>
        <w:t xml:space="preserve">necessary to achieve the 2030 LULUCF target (310 MtCO2 of net removals) (145).</w:t>
      </w:r>
    </w:p>
    <w:p>
      <w:pPr>
        <w:pStyle w:val="BodyText"/>
      </w:pPr>
      <w:r>
        <w:t xml:space="preserve">3.1.4 S3</w:t>
      </w:r>
      <w:r>
        <w:t xml:space="preserve"> </w:t>
      </w:r>
      <w:r>
        <w:t xml:space="preserve">S3 aims at reaching net GHG emission reductions of at least 90% in 2040 compared to 1990</w:t>
      </w:r>
      <w:r>
        <w:t xml:space="preserve"> </w:t>
      </w:r>
      <w:r>
        <w:t xml:space="preserve">and climate neutrality in 2050.</w:t>
      </w:r>
      <w:r>
        <w:t xml:space="preserve"> </w:t>
      </w:r>
      <w:r>
        <w:t xml:space="preserve">3.1.4.1 Energy and Industry CO2</w:t>
      </w:r>
      <w:r>
        <w:t xml:space="preserve"> </w:t>
      </w:r>
      <w:r>
        <w:t xml:space="preserve">The S3 scenario assumes large and fast uptake of all mitigation options, including</w:t>
      </w:r>
      <w:r>
        <w:t xml:space="preserve"> </w:t>
      </w:r>
      <w:r>
        <w:t xml:space="preserve">development of novel technologies, already in the 2031-2040 decade. By 2040, S3 leads to a</w:t>
      </w:r>
      <w:r>
        <w:t xml:space="preserve"> </w:t>
      </w:r>
      <w:r>
        <w:t xml:space="preserve">fully decarbonised power system and industrial sector and a high share of e-fuels in all sectors</w:t>
      </w:r>
      <w:r>
        <w:t xml:space="preserve"> </w:t>
      </w:r>
      <w:r>
        <w:t xml:space="preserve">(including in hard-to-abate transport sectors, such as aviation and international shipping). This</w:t>
      </w:r>
      <w:r>
        <w:t xml:space="preserve"> </w:t>
      </w:r>
      <w:r>
        <w:t xml:space="preserve">is supported by wide deployment of carbon capture, covering all industrial process emissions</w:t>
      </w:r>
      <w:r>
        <w:t xml:space="preserve"> </w:t>
      </w:r>
      <w:r>
        <w:t xml:space="preserve">by 2040, and industrial carbon removals, compensating for the residual in the international</w:t>
      </w:r>
      <w:r>
        <w:t xml:space="preserve"> </w:t>
      </w:r>
      <w:r>
        <w:t xml:space="preserve">maritime and aviation sectors covered by the ETS and delivering carbon to produce e-fuels.</w:t>
      </w:r>
    </w:p>
    <w:p>
      <w:pPr>
        <w:pStyle w:val="Compact"/>
        <w:numPr>
          <w:ilvl w:val="0"/>
          <w:numId w:val="1035"/>
        </w:numPr>
      </w:pPr>
      <w:r>
        <w:t xml:space="preserve">Eurostat, Complete Energy Balances European Union (27 countries) – 2021, 2023.</w:t>
      </w:r>
    </w:p>
    <w:p>
      <w:pPr>
        <w:pStyle w:val="Compact"/>
        <w:numPr>
          <w:ilvl w:val="0"/>
          <w:numId w:val="1035"/>
        </w:numPr>
      </w:pPr>
      <w:r>
        <w:t xml:space="preserve">Regulation (EU) 2018/841 (amended by Regulation 2023/839).</w:t>
      </w:r>
    </w:p>
    <w:p>
      <w:pPr>
        <w:pStyle w:val="FirstParagraph"/>
      </w:pPr>
      <w:r>
        <w:t xml:space="preserve">38</w:t>
      </w:r>
    </w:p>
    <w:p>
      <w:pPr>
        <w:pStyle w:val="BodyText"/>
      </w:pPr>
      <w:r>
        <w:t xml:space="preserve">Compared to S2, S3 shows a higher shift towards shared and collaborative mobility services</w:t>
      </w:r>
      <w:r>
        <w:t xml:space="preserve"> </w:t>
      </w:r>
      <w:r>
        <w:t xml:space="preserve">and multimodal travel, more efficient operation of freight vehicles and delivery of goods (by</w:t>
      </w:r>
      <w:r>
        <w:t xml:space="preserve"> </w:t>
      </w:r>
      <w:r>
        <w:t xml:space="preserve">optimising multi-modal delivery solutions), higher shift towards intermodal freight transport,</w:t>
      </w:r>
      <w:r>
        <w:t xml:space="preserve"> </w:t>
      </w:r>
      <w:r>
        <w:t xml:space="preserve">and a larger uptake of renewable H2 and e-fuels. The CO2 standards for HDVs establish a</w:t>
      </w:r>
      <w:r>
        <w:t xml:space="preserve"> </w:t>
      </w:r>
      <w:r>
        <w:t xml:space="preserve">mandate to decrease CO2 emissions per km from new lorries and coaches by 43% in 2030,</w:t>
      </w:r>
      <w:r>
        <w:t xml:space="preserve"> </w:t>
      </w:r>
      <w:r>
        <w:t xml:space="preserve">64% in 2035, 100% from 2040 onwards (relative to the reference period 1 July 2019 – 30</w:t>
      </w:r>
      <w:r>
        <w:t xml:space="preserve"> </w:t>
      </w:r>
      <w:r>
        <w:t xml:space="preserve">June 2020). The minimum shares of sustainable aviation fuels (SAF), related to ReFuelEU</w:t>
      </w:r>
      <w:r>
        <w:t xml:space="preserve"> </w:t>
      </w:r>
      <w:r>
        <w:t xml:space="preserve">Aviation, are 22% in 2035, 38% in 2040, 46% in 2045 and 75% in 2050, and the minimum</w:t>
      </w:r>
      <w:r>
        <w:t xml:space="preserve"> </w:t>
      </w:r>
      <w:r>
        <w:t xml:space="preserve">shares of synthetic aviation fuels are 7% in 2035, 14% in 2040, 19% in 2045 and 40% in</w:t>
      </w:r>
      <w:r>
        <w:t xml:space="preserve"> </w:t>
      </w:r>
      <w:r>
        <w:t xml:space="preserve">2050. The IMO GHG emissions reduction target for international shipping is set at the higher</w:t>
      </w:r>
      <w:r>
        <w:t xml:space="preserve"> </w:t>
      </w:r>
      <w:r>
        <w:t xml:space="preserve">end of the range (i.e., 80% GHG emissions reduction in 2040 relative to 2008). As a result of</w:t>
      </w:r>
      <w:r>
        <w:t xml:space="preserve"> </w:t>
      </w:r>
      <w:r>
        <w:t xml:space="preserve">high emission reductions levels achieved already in 2031-2040, decarbonisation rate slows</w:t>
      </w:r>
      <w:r>
        <w:t xml:space="preserve"> </w:t>
      </w:r>
      <w:r>
        <w:t xml:space="preserve">down in the decade 2041-2050 to smoothly achieve climate neutrality in 2050.</w:t>
      </w:r>
      <w:r>
        <w:br/>
      </w:r>
      <w:r>
        <w:t xml:space="preserve">3.1.4.2 Non-CO2 GHG emissions</w:t>
      </w:r>
      <w:r>
        <w:t xml:space="preserve"> </w:t>
      </w:r>
      <w:r>
        <w:t xml:space="preserve">In 2040, the mitigation technology solutions are fully deployed in all sectors, including</w:t>
      </w:r>
      <w:r>
        <w:t xml:space="preserve"> </w:t>
      </w:r>
      <w:r>
        <w:t xml:space="preserve">agriculture, as for 2050 in view of contributing to climate neutrality. In particular, in addition</w:t>
      </w:r>
      <w:r>
        <w:t xml:space="preserve"> </w:t>
      </w:r>
      <w:r>
        <w:t xml:space="preserve">to the options deployed in S2, S3 builds on a large uptake by 2040 of technologies to reduce</w:t>
      </w:r>
      <w:r>
        <w:t xml:space="preserve"> </w:t>
      </w:r>
      <w:r>
        <w:t xml:space="preserve">N2O emissions from agriculture.</w:t>
      </w:r>
      <w:r>
        <w:t xml:space="preserve"> </w:t>
      </w:r>
      <w:r>
        <w:t xml:space="preserve">3.1.4.3 LULUCF</w:t>
      </w:r>
      <w:r>
        <w:t xml:space="preserve"> </w:t>
      </w:r>
      <w:r>
        <w:t xml:space="preserve">LULUCF net removals are driven by the evolution of bioenergy demand in the scenario.</w:t>
      </w:r>
      <w:r>
        <w:br/>
      </w:r>
      <w:r>
        <w:t xml:space="preserve">In addition, the scenario assumes over 2030-2050 the same policy intensity as the one</w:t>
      </w:r>
      <w:r>
        <w:t xml:space="preserve"> </w:t>
      </w:r>
      <w:r>
        <w:t xml:space="preserve">necessary to achieve the 2030 LULUCF target (310 MtCO2 of net removals) (146).</w:t>
      </w:r>
    </w:p>
    <w:p>
      <w:pPr>
        <w:pStyle w:val="BodyText"/>
      </w:pPr>
      <w:r>
        <w:t xml:space="preserve">3.1.5 LIFE</w:t>
      </w:r>
      <w:r>
        <w:br/>
      </w:r>
      <w:r>
        <w:t xml:space="preserve">The LIFE scenario aims at reaching net GHG emission reductions of at least 90% in 2040</w:t>
      </w:r>
      <w:r>
        <w:t xml:space="preserve"> </w:t>
      </w:r>
      <w:r>
        <w:t xml:space="preserve">compared to 1990 and climate neutrality in 2050.</w:t>
      </w:r>
      <w:r>
        <w:br/>
      </w:r>
      <w:r>
        <w:t xml:space="preserve">3.1.5.1 Activity assumptions</w:t>
      </w:r>
      <w:r>
        <w:t xml:space="preserve"> </w:t>
      </w:r>
      <w:r>
        <w:t xml:space="preserve">LIFE considers a more sustainable lifestyle guided by consumer climate-friendy choices and a</w:t>
      </w:r>
      <w:r>
        <w:t xml:space="preserve"> </w:t>
      </w:r>
      <w:r>
        <w:t xml:space="preserve">more efficient use of the resources of the EU’s economy (energy, material, and land) , as well</w:t>
      </w:r>
      <w:r>
        <w:t xml:space="preserve"> </w:t>
      </w:r>
      <w:r>
        <w:t xml:space="preserve">as the food system departing from the three scenarios in terms of material use, energy</w:t>
      </w:r>
      <w:r>
        <w:t xml:space="preserve"> </w:t>
      </w:r>
      <w:r>
        <w:t xml:space="preserve">consumption and dietary changes. The assumptions unerpinning the LIFE analysis are</w:t>
      </w:r>
      <w:r>
        <w:t xml:space="preserve"> </w:t>
      </w:r>
      <w:r>
        <w:t xml:space="preserve">summarised in Table 3 and detailed in the following paragraphs.</w:t>
      </w:r>
    </w:p>
    <w:p>
      <w:pPr>
        <w:pStyle w:val="Compact"/>
        <w:numPr>
          <w:ilvl w:val="0"/>
          <w:numId w:val="1036"/>
        </w:numPr>
      </w:pPr>
      <w:r>
        <w:t xml:space="preserve">Regulation (EU) 2018/841 (amended by Regulation 2023/839).</w:t>
      </w:r>
    </w:p>
    <w:p>
      <w:pPr>
        <w:pStyle w:val="FirstParagraph"/>
      </w:pPr>
      <w:r>
        <w:t xml:space="preserve">39</w:t>
      </w:r>
    </w:p>
    <w:p>
      <w:pPr>
        <w:pStyle w:val="BodyText"/>
      </w:pPr>
      <w:r>
        <w:t xml:space="preserve">Table 3: Key features of the LIFE scenario</w:t>
      </w:r>
      <w:r>
        <w:t xml:space="preserve"> </w:t>
      </w:r>
      <w:r>
        <w:t xml:space="preserve">Sector</w:t>
      </w:r>
      <w:r>
        <w:t xml:space="preserve"> </w:t>
      </w:r>
      <w:r>
        <w:t xml:space="preserve">Domain of</w:t>
      </w:r>
      <w:r>
        <w:t xml:space="preserve"> </w:t>
      </w:r>
      <w:r>
        <w:t xml:space="preserve">Action</w:t>
      </w:r>
      <w:r>
        <w:t xml:space="preserve"> </w:t>
      </w:r>
      <w:r>
        <w:t xml:space="preserve">Action or group of actions</w:t>
      </w:r>
      <w:r>
        <w:t xml:space="preserve"> </w:t>
      </w:r>
      <w:r>
        <w:t xml:space="preserve">Impact on activity</w:t>
      </w:r>
      <w:r>
        <w:t xml:space="preserve"> </w:t>
      </w:r>
      <w:r>
        <w:t xml:space="preserve">Industry</w:t>
      </w:r>
      <w:r>
        <w:t xml:space="preserve"> </w:t>
      </w:r>
      <w:r>
        <w:t xml:space="preserve">Circular</w:t>
      </w:r>
      <w:r>
        <w:t xml:space="preserve"> </w:t>
      </w:r>
      <w:r>
        <w:t xml:space="preserve">Economy &amp;</w:t>
      </w:r>
      <w:r>
        <w:t xml:space="preserve"> </w:t>
      </w:r>
      <w:r>
        <w:t xml:space="preserve">Sufficiency</w:t>
      </w:r>
      <w:r>
        <w:t xml:space="preserve"> </w:t>
      </w:r>
      <w:r>
        <w:t xml:space="preserve">Enhanced repair, reuse, renewal</w:t>
      </w:r>
      <w:r>
        <w:t xml:space="preserve"> </w:t>
      </w:r>
      <w:r>
        <w:t xml:space="preserve">and recyling of end-user products</w:t>
      </w:r>
      <w:r>
        <w:t xml:space="preserve"> </w:t>
      </w:r>
      <w:r>
        <w:t xml:space="preserve">Long-Term reduction of industrial activity</w:t>
      </w:r>
      <w:r>
        <w:t xml:space="preserve"> </w:t>
      </w:r>
      <w:r>
        <w:t xml:space="preserve">with respect to S1, S2 and S3 for the main</w:t>
      </w:r>
      <w:r>
        <w:t xml:space="preserve"> </w:t>
      </w:r>
      <w:r>
        <w:t xml:space="preserve">energy-intensive sectors: steel (-15%),</w:t>
      </w:r>
      <w:r>
        <w:t xml:space="preserve"> </w:t>
      </w:r>
      <w:r>
        <w:t xml:space="preserve">Aluminum (-20%), Paper (-20%), cement &amp;</w:t>
      </w:r>
      <w:r>
        <w:t xml:space="preserve"> </w:t>
      </w:r>
      <w:r>
        <w:t xml:space="preserve">clinker (-25%) and petrochemicals (-15%)*</w:t>
      </w:r>
      <w:r>
        <w:t xml:space="preserve"> </w:t>
      </w:r>
      <w:r>
        <w:t xml:space="preserve">Extensions of product lifetime</w:t>
      </w:r>
      <w:r>
        <w:br/>
      </w:r>
      <w:r>
        <w:t xml:space="preserve">(e.g., cars, buildings)</w:t>
      </w:r>
      <w:r>
        <w:t xml:space="preserve"> </w:t>
      </w:r>
      <w:r>
        <w:t xml:space="preserve">Circularity by design</w:t>
      </w:r>
      <w:r>
        <w:br/>
      </w:r>
      <w:r>
        <w:t xml:space="preserve">Buildings</w:t>
      </w:r>
      <w:r>
        <w:t xml:space="preserve"> </w:t>
      </w:r>
      <w:r>
        <w:t xml:space="preserve">Sufficiency</w:t>
      </w:r>
      <w:r>
        <w:t xml:space="preserve"> </w:t>
      </w:r>
      <w:r>
        <w:t xml:space="preserve">Optimisation of energy</w:t>
      </w:r>
      <w:r>
        <w:t xml:space="preserve"> </w:t>
      </w:r>
      <w:r>
        <w:t xml:space="preserve">consumption</w:t>
      </w:r>
      <w:r>
        <w:t xml:space="preserve"> </w:t>
      </w:r>
      <w:r>
        <w:t xml:space="preserve">Temperature setpoint lower in winter and</w:t>
      </w:r>
      <w:r>
        <w:t xml:space="preserve"> </w:t>
      </w:r>
      <w:r>
        <w:t xml:space="preserve">higher in summer in comparison with S1,</w:t>
      </w:r>
      <w:r>
        <w:t xml:space="preserve"> </w:t>
      </w:r>
      <w:r>
        <w:t xml:space="preserve">S2 and S3 of 0.5°C in 2030, 1°C in 2035</w:t>
      </w:r>
      <w:r>
        <w:t xml:space="preserve"> </w:t>
      </w:r>
      <w:r>
        <w:t xml:space="preserve">and 1.5°C from 2040 onwards.</w:t>
      </w:r>
      <w:r>
        <w:t xml:space="preserve"> </w:t>
      </w:r>
      <w:r>
        <w:t xml:space="preserve">Transport</w:t>
      </w:r>
      <w:r>
        <w:t xml:space="preserve"> </w:t>
      </w:r>
      <w:r>
        <w:t xml:space="preserve">and</w:t>
      </w:r>
      <w:r>
        <w:t xml:space="preserve"> </w:t>
      </w:r>
      <w:r>
        <w:t xml:space="preserve">mobility</w:t>
      </w:r>
      <w:r>
        <w:br/>
      </w:r>
      <w:r>
        <w:t xml:space="preserve">Sufficiency</w:t>
      </w:r>
    </w:p>
    <w:p>
      <w:pPr>
        <w:pStyle w:val="BodyText"/>
      </w:pPr>
      <w:r>
        <w:t xml:space="preserve">Stronger shift towards shared</w:t>
      </w:r>
      <w:r>
        <w:t xml:space="preserve"> </w:t>
      </w:r>
      <w:r>
        <w:t xml:space="preserve">mobility, active modes and</w:t>
      </w:r>
      <w:r>
        <w:t xml:space="preserve"> </w:t>
      </w:r>
      <w:r>
        <w:t xml:space="preserve">multimodal travel</w:t>
      </w:r>
      <w:r>
        <w:t xml:space="preserve"> </w:t>
      </w:r>
      <w:r>
        <w:t xml:space="preserve">Decrease in car transport activity (pkm) (-</w:t>
      </w:r>
      <w:r>
        <w:t xml:space="preserve"> </w:t>
      </w:r>
      <w:r>
        <w:t xml:space="preserve">5% in both 2040 and 2050 compared to</w:t>
      </w:r>
      <w:r>
        <w:t xml:space="preserve"> </w:t>
      </w:r>
      <w:r>
        <w:t xml:space="preserve">S1, S2 and S3.</w:t>
      </w:r>
      <w:r>
        <w:br/>
      </w:r>
      <w:r>
        <w:t xml:space="preserve">Increase in average car occupancy rate:</w:t>
      </w:r>
      <w:r>
        <w:t xml:space="preserve"> </w:t>
      </w:r>
      <w:r>
        <w:t xml:space="preserve">1.65 and 1.75 passengers/trip in 2040 and</w:t>
      </w:r>
      <w:r>
        <w:t xml:space="preserve"> </w:t>
      </w:r>
      <w:r>
        <w:t xml:space="preserve">2050, respectively, compared to around</w:t>
      </w:r>
      <w:r>
        <w:t xml:space="preserve"> </w:t>
      </w:r>
      <w:r>
        <w:t xml:space="preserve">1.55 passengers/trip in both 2040 and</w:t>
      </w:r>
      <w:r>
        <w:t xml:space="preserve"> </w:t>
      </w:r>
      <w:r>
        <w:t xml:space="preserve">2050 in S1, S2 and S3.</w:t>
      </w:r>
      <w:r>
        <w:br/>
      </w:r>
      <w:r>
        <w:t xml:space="preserve">Increase in passenger rail transport activity</w:t>
      </w:r>
      <w:r>
        <w:t xml:space="preserve"> </w:t>
      </w:r>
      <w:r>
        <w:t xml:space="preserve">(pkm) in 2040 (+4% to +6%, compared to</w:t>
      </w:r>
      <w:r>
        <w:t xml:space="preserve"> </w:t>
      </w:r>
      <w:r>
        <w:t xml:space="preserve">S1, S2 and S3, respectively) and in 2050</w:t>
      </w:r>
      <w:r>
        <w:t xml:space="preserve"> </w:t>
      </w:r>
      <w:r>
        <w:t xml:space="preserve">(+5% to +8%, compared to S1, S2 and S3,</w:t>
      </w:r>
      <w:r>
        <w:t xml:space="preserve"> </w:t>
      </w:r>
      <w:r>
        <w:t xml:space="preserve">respectively).</w:t>
      </w:r>
      <w:r>
        <w:t xml:space="preserve"> </w:t>
      </w:r>
      <w:r>
        <w:t xml:space="preserve">Decrease in international and domestic air</w:t>
      </w:r>
      <w:r>
        <w:t xml:space="preserve"> </w:t>
      </w:r>
      <w:r>
        <w:t xml:space="preserve">transport activity (pkm): -10% in 2040 and</w:t>
      </w:r>
      <w:r>
        <w:t xml:space="preserve"> </w:t>
      </w:r>
      <w:r>
        <w:t xml:space="preserve">-14% in 2050, compared to S1, S2 and S3.</w:t>
      </w:r>
      <w:r>
        <w:t xml:space="preserve"> </w:t>
      </w:r>
      <w:r>
        <w:t xml:space="preserve">Lower aviation demand and</w:t>
      </w:r>
      <w:r>
        <w:t xml:space="preserve"> </w:t>
      </w:r>
      <w:r>
        <w:t xml:space="preserve">stronger shift to rail</w:t>
      </w:r>
      <w:r>
        <w:t xml:space="preserve"> </w:t>
      </w:r>
      <w:r>
        <w:t xml:space="preserve">Land</w:t>
      </w:r>
      <w:r>
        <w:t xml:space="preserve"> </w:t>
      </w:r>
      <w:r>
        <w:t xml:space="preserve">Sector</w:t>
      </w:r>
      <w:r>
        <w:t xml:space="preserve"> </w:t>
      </w:r>
      <w:r>
        <w:t xml:space="preserve">Sustainable food</w:t>
      </w:r>
      <w:r>
        <w:t xml:space="preserve"> </w:t>
      </w:r>
      <w:r>
        <w:t xml:space="preserve">consumption</w:t>
      </w:r>
      <w:r>
        <w:t xml:space="preserve"> </w:t>
      </w:r>
      <w:r>
        <w:t xml:space="preserve">Dietary Change, Food Waste</w:t>
      </w:r>
      <w:r>
        <w:t xml:space="preserve"> </w:t>
      </w:r>
      <w:r>
        <w:t xml:space="preserve">reduction, more sustainable food</w:t>
      </w:r>
      <w:r>
        <w:t xml:space="preserve"> </w:t>
      </w:r>
      <w:r>
        <w:t xml:space="preserve">production</w:t>
      </w:r>
      <w:r>
        <w:t xml:space="preserve"> </w:t>
      </w:r>
      <w:r>
        <w:t xml:space="preserve">Reduction of primary agriculture, producer,</w:t>
      </w:r>
      <w:r>
        <w:t xml:space="preserve"> </w:t>
      </w:r>
      <w:r>
        <w:t xml:space="preserve">retail, and consumer food waste food</w:t>
      </w:r>
      <w:r>
        <w:t xml:space="preserve"> </w:t>
      </w:r>
      <w:r>
        <w:t xml:space="preserve">waste reduction of around 11 Mton in</w:t>
      </w:r>
      <w:r>
        <w:t xml:space="preserve"> </w:t>
      </w:r>
      <w:r>
        <w:t xml:space="preserve">2040.</w:t>
      </w:r>
      <w:r>
        <w:t xml:space="preserve"> </w:t>
      </w:r>
      <w:r>
        <w:t xml:space="preserve">Dietary change towards more sustainable</w:t>
      </w:r>
      <w:r>
        <w:t xml:space="preserve"> </w:t>
      </w:r>
      <w:r>
        <w:t xml:space="preserve">diets (25% shift towards optimal</w:t>
      </w:r>
      <w:r>
        <w:t xml:space="preserve"> </w:t>
      </w:r>
      <w:r>
        <w:t xml:space="preserve">sustainable and healthy diet 2040</w:t>
      </w:r>
      <w:r>
        <w:rPr>
          <w:b/>
          <w:bCs/>
        </w:rPr>
        <w:t xml:space="preserve">).</w:t>
      </w:r>
      <w:r>
        <w:rPr>
          <w:b/>
          <w:bCs/>
        </w:rPr>
        <w:t xml:space="preserve"> </w:t>
      </w:r>
      <w:r>
        <w:rPr>
          <w:b/>
          <w:bCs/>
        </w:rPr>
        <w:t xml:space="preserve">Implementation of the objectives from the</w:t>
      </w:r>
      <w:r>
        <w:rPr>
          <w:b/>
          <w:bCs/>
        </w:rPr>
        <w:t xml:space="preserve"> </w:t>
      </w:r>
      <w:r>
        <w:rPr>
          <w:b/>
          <w:bCs/>
        </w:rPr>
        <w:t xml:space="preserve">Farm to Fork Strategy and Biodiversity</w:t>
      </w:r>
      <w:r>
        <w:rPr>
          <w:b/>
          <w:bCs/>
        </w:rPr>
        <w:t xml:space="preserve"> </w:t>
      </w:r>
      <w:r>
        <w:rPr>
          <w:b/>
          <w:bCs/>
        </w:rPr>
        <w:t xml:space="preserve">Strategy (reduction of at least 20% mineral</w:t>
      </w:r>
      <w:r>
        <w:rPr>
          <w:b/>
          <w:bCs/>
        </w:rPr>
        <w:t xml:space="preserve"> </w:t>
      </w:r>
      <w:r>
        <w:rPr>
          <w:b/>
          <w:bCs/>
        </w:rPr>
        <w:t xml:space="preserve">fertilisers application, 50% less pesticides</w:t>
      </w:r>
      <w:r>
        <w:rPr>
          <w:b/>
          <w:bCs/>
        </w:rPr>
        <w:t xml:space="preserve"> </w:t>
      </w:r>
      <w:r>
        <w:rPr>
          <w:b/>
          <w:bCs/>
        </w:rPr>
        <w:t xml:space="preserve">use, 25% organic farming on EU’s</w:t>
      </w:r>
      <w:r>
        <w:rPr>
          <w:b/>
          <w:bCs/>
        </w:rPr>
        <w:t xml:space="preserve"> </w:t>
      </w:r>
      <w:r>
        <w:rPr>
          <w:b/>
          <w:bCs/>
        </w:rPr>
        <w:t xml:space="preserve">agriculture land, 10% area of high-diversity</w:t>
      </w:r>
      <w:r>
        <w:rPr>
          <w:b/>
          <w:bCs/>
        </w:rPr>
        <w:t xml:space="preserve"> </w:t>
      </w:r>
      <w:r>
        <w:rPr>
          <w:b/>
          <w:bCs/>
        </w:rPr>
        <w:t xml:space="preserve">landscape features, and 50% reduction in</w:t>
      </w:r>
      <w:r>
        <w:rPr>
          <w:b/>
          <w:bCs/>
        </w:rPr>
        <w:t xml:space="preserve"> </w:t>
      </w:r>
      <w:r>
        <w:rPr>
          <w:b/>
          <w:bCs/>
        </w:rPr>
        <w:t xml:space="preserve">nutrient surplus from organic and synthetic</w:t>
      </w:r>
      <w:r>
        <w:rPr>
          <w:b/>
          <w:bCs/>
        </w:rPr>
        <w:t xml:space="preserve"> </w:t>
      </w:r>
      <w:r>
        <w:rPr>
          <w:b/>
          <w:bCs/>
        </w:rPr>
        <w:t xml:space="preserve">sources.)</w:t>
      </w:r>
      <w:r>
        <w:rPr>
          <w:b/>
          <w:bCs/>
        </w:rPr>
        <w:t xml:space="preserve"> </w:t>
      </w:r>
      <w:r>
        <w:rPr>
          <w:b/>
          <w:bCs/>
        </w:rPr>
        <w:t xml:space="preserve">Note: * Reductions are implemented linearly from 0% to the value stated in the period 2030-2050, see also Table 8 in</w:t>
      </w:r>
      <w:r>
        <w:rPr>
          <w:b/>
          <w:bCs/>
        </w:rPr>
        <w:t xml:space="preserve"> </w:t>
      </w:r>
      <w:r>
        <w:rPr>
          <w:b/>
          <w:bCs/>
        </w:rPr>
        <w:t xml:space="preserve">Annex 8.</w:t>
      </w:r>
      <w:r>
        <w:rPr>
          <w:b/>
          <w:bCs/>
        </w:rPr>
        <w:t xml:space="preserve"> </w:t>
      </w:r>
      <w:r>
        <w:t xml:space="preserve"> </w:t>
      </w:r>
      <w:r>
        <w:t xml:space="preserve">See section 3.1.5.3 for more details.</w:t>
      </w:r>
    </w:p>
    <w:p>
      <w:pPr>
        <w:pStyle w:val="BodyText"/>
      </w:pPr>
      <w:r>
        <w:t xml:space="preserve">3.1.5.2 Energy and Industry CO2</w:t>
      </w:r>
      <w:r>
        <w:t xml:space="preserve"> </w:t>
      </w:r>
      <w:r>
        <w:t xml:space="preserve">The key principle for the energy and industrial sectors in LIFE is a more efficient use of</w:t>
      </w:r>
      <w:r>
        <w:t xml:space="preserve"> </w:t>
      </w:r>
      <w:r>
        <w:t xml:space="preserve">materials across the whole EU value chain, which is put into practice by a number of Circular</w:t>
      </w:r>
      <w:r>
        <w:t xml:space="preserve"> </w:t>
      </w:r>
      <w:r>
        <w:t xml:space="preserve">Economy (CE) and sufficiency actions, following and going beyond the Circular Economy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Action Plan (147). Consumers pay more attention to what they buy, preferring more</w:t>
      </w:r>
      <w:r>
        <w:t xml:space="preserve"> </w:t>
      </w:r>
      <w:r>
        <w:t xml:space="preserve">sustainable products, and reusing, repairing, renewing, and recycling whenever possible.</w:t>
      </w:r>
      <w:r>
        <w:t xml:space="preserve"> </w:t>
      </w:r>
      <w:r>
        <w:t xml:space="preserve">Lifetime of products like cars is extended and renovation of houses is preferred to new</w:t>
      </w:r>
      <w:r>
        <w:t xml:space="preserve"> </w:t>
      </w:r>
      <w:r>
        <w:t xml:space="preserve">constructions. Existing buildings are used more effectively, and new ones are designed more</w:t>
      </w:r>
      <w:r>
        <w:t xml:space="preserve"> </w:t>
      </w:r>
      <w:r>
        <w:t xml:space="preserve">efficiently. As result, there is lower needs for carbon-intensive end-user products, while the</w:t>
      </w:r>
      <w:r>
        <w:t xml:space="preserve"> </w:t>
      </w:r>
      <w:r>
        <w:t xml:space="preserve">same level of services is maintained.</w:t>
      </w:r>
      <w:r>
        <w:br/>
      </w:r>
      <w:r>
        <w:t xml:space="preserve">Supported by a larger deployment of smart energy management systems, consumers in</w:t>
      </w:r>
      <w:r>
        <w:t xml:space="preserve"> </w:t>
      </w:r>
      <w:r>
        <w:t xml:space="preserve">residential and service buildings also optimise their energy consumption via setting heating</w:t>
      </w:r>
      <w:r>
        <w:t xml:space="preserve"> </w:t>
      </w:r>
      <w:r>
        <w:t xml:space="preserve">and how water temperature set points that are lower in winter and higher in summer. The</w:t>
      </w:r>
      <w:r>
        <w:t xml:space="preserve"> </w:t>
      </w:r>
      <w:r>
        <w:t xml:space="preserve">differences between LIFE and the scenarios amount to 0.5°C in 2030, 1°C in 2035 and 1.5°C</w:t>
      </w:r>
      <w:r>
        <w:t xml:space="preserve"> </w:t>
      </w:r>
      <w:r>
        <w:t xml:space="preserve">from 2040 onwards.</w:t>
      </w:r>
      <w:r>
        <w:br/>
      </w:r>
      <w:r>
        <w:t xml:space="preserve">In terms of mobility, LIFE assumes a stronger shift towards shared and collaborative mobility</w:t>
      </w:r>
      <w:r>
        <w:t xml:space="preserve"> </w:t>
      </w:r>
      <w:r>
        <w:t xml:space="preserve">services and multimodal travel, including sustainable urban transport (148). Concerning air</w:t>
      </w:r>
      <w:r>
        <w:t xml:space="preserve"> </w:t>
      </w:r>
      <w:r>
        <w:t xml:space="preserve">transport, LIFE assumes that the adoption of video-conferencing tools at large scale reduces</w:t>
      </w:r>
      <w:r>
        <w:t xml:space="preserve"> </w:t>
      </w:r>
      <w:r>
        <w:t xml:space="preserve">the number of business trips. Furthermore, it assumes that increased awareness of the impacts</w:t>
      </w:r>
      <w:r>
        <w:t xml:space="preserve"> </w:t>
      </w:r>
      <w:r>
        <w:t xml:space="preserve">of aviation on climate change reduces the number of long-distance leisure trips, and</w:t>
      </w:r>
      <w:r>
        <w:t xml:space="preserve"> </w:t>
      </w:r>
      <w:r>
        <w:t xml:space="preserve">additionally results in a shift of some short distance leisure trips towards high-speed rail</w:t>
      </w:r>
      <w:r>
        <w:t xml:space="preserve"> </w:t>
      </w:r>
      <w:r>
        <w:t xml:space="preserve">(where available). These assumptions follow the same rationale as various external</w:t>
      </w:r>
      <w:r>
        <w:t xml:space="preserve"> </w:t>
      </w:r>
      <w:r>
        <w:t xml:space="preserve">studies (149) (150) (151) (152). The HDV CO2 emission standards, the ReFuelEU Aviation targets</w:t>
      </w:r>
    </w:p>
    <w:p>
      <w:pPr>
        <w:pStyle w:val="Compact"/>
        <w:numPr>
          <w:ilvl w:val="0"/>
          <w:numId w:val="1037"/>
        </w:numPr>
      </w:pPr>
      <w:r>
        <w:t xml:space="preserve">COM/2020/98 final.</w:t>
      </w:r>
    </w:p>
    <w:p>
      <w:pPr>
        <w:pStyle w:val="Compact"/>
        <w:numPr>
          <w:ilvl w:val="0"/>
          <w:numId w:val="1037"/>
        </w:numPr>
      </w:pPr>
      <w:r>
        <w:t xml:space="preserve">In line with EU policy on urban mobility (see, for example, the ‘European Declaration on Cycling’, COM</w:t>
      </w:r>
    </w:p>
    <w:p>
      <w:pPr>
        <w:pStyle w:val="Compact"/>
        <w:numPr>
          <w:ilvl w:val="0"/>
          <w:numId w:val="1037"/>
        </w:numPr>
      </w:pPr>
      <w:r>
        <w:t xml:space="preserve">566 final).</w:t>
      </w:r>
      <w:r>
        <w:br/>
      </w:r>
    </w:p>
    <w:p>
      <w:pPr>
        <w:pStyle w:val="Compact"/>
        <w:numPr>
          <w:ilvl w:val="0"/>
          <w:numId w:val="1037"/>
        </w:numPr>
      </w:pPr>
      <w:r>
        <w:t xml:space="preserve">CLEVER, (2023). Climate neutrality, Energy security and Sustainability: A pathway to bridge the gap</w:t>
      </w:r>
      <w:r>
        <w:t xml:space="preserve"> </w:t>
      </w:r>
      <w:r>
        <w:t xml:space="preserve">through Sufficiency, Efficiency and Renewables, Final Report. https://clever-energy-scenario.eu/wp-</w:t>
      </w:r>
      <w:r>
        <w:t xml:space="preserve"> </w:t>
      </w:r>
      <w:r>
        <w:t xml:space="preserve">content/uploads/2023/06/clever_final_report-exec_summary.pdf. This study assumes a significant increase</w:t>
      </w:r>
      <w:r>
        <w:t xml:space="preserve"> </w:t>
      </w:r>
      <w:r>
        <w:t xml:space="preserve">in the EU’s average car occupancy rate (1.9 persons per car by 2050, i.e., a 19% increase relative to 2015)</w:t>
      </w:r>
      <w:r>
        <w:t xml:space="preserve"> </w:t>
      </w:r>
      <w:r>
        <w:t xml:space="preserve">and a significant modal shift to active mobility (10% of land km/capita by 2050, whereas this share was 7%</w:t>
      </w:r>
      <w:r>
        <w:t xml:space="preserve"> </w:t>
      </w:r>
      <w:r>
        <w:t xml:space="preserve">or lower in most EU countries in 2015) and collective transport (35% of land km/capita by 2050, i.e., 17</w:t>
      </w:r>
      <w:r>
        <w:t xml:space="preserve"> </w:t>
      </w:r>
      <w:r>
        <w:t xml:space="preserve">percentage points more than in 2015). In addition, it assumes a decrease in the air distance travelled (600 to</w:t>
      </w:r>
      <w:r>
        <w:t xml:space="preserve"> </w:t>
      </w:r>
      <w:r>
        <w:t xml:space="preserve">2 500 km/capita/year depending on the country by 2050, including international travel, whereas the value of</w:t>
      </w:r>
      <w:r>
        <w:t xml:space="preserve"> </w:t>
      </w:r>
      <w:r>
        <w:t xml:space="preserve">this indicator was around 3 000 m/capita/year in 2019 for the whole EU).</w:t>
      </w:r>
    </w:p>
    <w:p>
      <w:pPr>
        <w:pStyle w:val="Compact"/>
        <w:numPr>
          <w:ilvl w:val="0"/>
          <w:numId w:val="1037"/>
        </w:numPr>
      </w:pPr>
      <w:r>
        <w:t xml:space="preserve">Kalcher, L. et al., (2023). Choices for a more Strategic Europe. Strategic Perspectives.</w:t>
      </w:r>
      <w:r>
        <w:t xml:space="preserve"> </w:t>
      </w:r>
      <w:r>
        <w:t xml:space="preserve">https://strategicperspectives.eu/wp-content/uploads/2023/07/Choices-for-a-more-Strategic-Europe.pdf</w:t>
      </w:r>
    </w:p>
    <w:p>
      <w:pPr>
        <w:pStyle w:val="FirstParagraph"/>
      </w:pPr>
      <w:r>
        <w:t xml:space="preserve">–</w:t>
      </w:r>
      <w:r>
        <w:t xml:space="preserve"> </w:t>
      </w:r>
      <w:r>
        <w:t xml:space="preserve">The EU triple opportunity for energy security, reindustrialisation and competitiveness based on scenarios for</w:t>
      </w:r>
      <w:r>
        <w:t xml:space="preserve"> </w:t>
      </w:r>
      <w:r>
        <w:t xml:space="preserve">2040. This study describes two scenarios where the EU’s net GHG emissions decrease by 90% and 95% in</w:t>
      </w:r>
      <w:r>
        <w:t xml:space="preserve"> </w:t>
      </w:r>
      <w:r>
        <w:t xml:space="preserve">2040 relative to 1990, respectively. This study assumes an increase in the EU’s average car occupancy rate</w:t>
      </w:r>
      <w:r>
        <w:t xml:space="preserve"> </w:t>
      </w:r>
      <w:r>
        <w:t xml:space="preserve">(1.7 persons per car by 2040, i.e., a 6% increase relative to 2019) and a decrease in the air distance travelled</w:t>
      </w:r>
      <w:r>
        <w:t xml:space="preserve"> </w:t>
      </w:r>
      <w:r>
        <w:t xml:space="preserve">per capita per year (-1% to -20% in 2040 relative to 2015 levels in the two above-mentioned scenarios,</w:t>
      </w:r>
      <w:r>
        <w:t xml:space="preserve"> </w:t>
      </w:r>
      <w:r>
        <w:t xml:space="preserve">respectively). Furthermore, this study assumes significant changes in modal split. More specifically, for</w:t>
      </w:r>
      <w:r>
        <w:t xml:space="preserve"> </w:t>
      </w:r>
      <w:r>
        <w:t xml:space="preserve">urban transport, the modal share of cars and 2-wheelers is 64.5% in 2040 (i.e., 6.5 percentage points less</w:t>
      </w:r>
      <w:r>
        <w:t xml:space="preserve"> </w:t>
      </w:r>
      <w:r>
        <w:t xml:space="preserve">than in 2019), the share of public transport is 18.5% (i.e., 4.5 pp more than in 2019), and the share of active</w:t>
      </w:r>
      <w:r>
        <w:t xml:space="preserve"> </w:t>
      </w:r>
      <w:r>
        <w:t xml:space="preserve">modes is 17% (i.e., 2 pp more than in 2019). For inter-urban transport, the modal share of cars is 77.5% in</w:t>
      </w:r>
      <w:r>
        <w:t xml:space="preserve"> </w:t>
      </w:r>
      <w:r>
        <w:t xml:space="preserve">2040 (i.e., 2.5 pp less than in 2019), the share of rail is 12.5% (i.e., 1.5 pp more than in 2019), and the share</w:t>
      </w:r>
      <w:r>
        <w:t xml:space="preserve"> </w:t>
      </w:r>
      <w:r>
        <w:t xml:space="preserve">of buses/coaches is 10% (i.e., 1 pp more than in 2019).</w:t>
      </w:r>
      <w:r>
        <w:t xml:space="preserve"> </w:t>
      </w:r>
      <w:r>
        <w:t xml:space="preserve">(151) EUROCONTROL (2022). Aviation Outlook 2050 – Main Report. This study assumes that, in Europe, the</w:t>
      </w:r>
      <w:r>
        <w:t xml:space="preserve"> </w:t>
      </w:r>
      <w:r>
        <w:t xml:space="preserve">number of flights increases by 44% between 2019 and 2050 in the “base” (or most-likely) scenario, but it</w:t>
      </w:r>
      <w:r>
        <w:t xml:space="preserve"> </w:t>
      </w:r>
      <w:r>
        <w:t xml:space="preserve">increases much less (by 19%) in the “low-growth” scenario.</w:t>
      </w:r>
      <w:r>
        <w:t xml:space="preserve"> </w:t>
      </w:r>
      <w:r>
        <w:t xml:space="preserve">(152) International Energy Agency (2023). Net Zero Roadmap: A Global Pathway to Keep the 1.5 °C Goal in</w:t>
      </w:r>
      <w:r>
        <w:t xml:space="preserve"> </w:t>
      </w:r>
      <w:r>
        <w:t xml:space="preserve">Reach. This report describes a feasible pathway for the global energy sector to contribute to the Paris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and the IMO GHG emissions reduction target for international shipping are defined as for the</w:t>
      </w:r>
      <w:r>
        <w:t xml:space="preserve"> </w:t>
      </w:r>
      <w:r>
        <w:t xml:space="preserve">S3 scenario (see Section 3.1.4).</w:t>
      </w:r>
      <w:r>
        <w:t xml:space="preserve"> </w:t>
      </w:r>
      <w:r>
        <w:t xml:space="preserve">The analysis done with LIFE shows how climate action can answer societal needs in a lean</w:t>
      </w:r>
      <w:r>
        <w:t xml:space="preserve"> </w:t>
      </w:r>
      <w:r>
        <w:t xml:space="preserve">and efficiency way: it specifically captures some of the most relevant opportunities of higher</w:t>
      </w:r>
      <w:r>
        <w:t xml:space="preserve"> </w:t>
      </w:r>
      <w:r>
        <w:t xml:space="preserve">climate ambition emphasised by stakeholders in the public consultation, for instance</w:t>
      </w:r>
      <w:r>
        <w:t xml:space="preserve"> </w:t>
      </w:r>
      <w:r>
        <w:t xml:space="preserve">improving energy security (66% of all respondents), and economic signals for embracing</w:t>
      </w:r>
      <w:r>
        <w:t xml:space="preserve"> </w:t>
      </w:r>
      <w:r>
        <w:t xml:space="preserve">sustainable production and consumption models (70% of answers from business</w:t>
      </w:r>
      <w:r>
        <w:t xml:space="preserve"> </w:t>
      </w:r>
      <w:r>
        <w:t xml:space="preserve">organisations) and is in line with possible expected individuals changes in daily life and</w:t>
      </w:r>
      <w:r>
        <w:t xml:space="preserve"> </w:t>
      </w:r>
      <w:r>
        <w:t xml:space="preserve">willingness for action in changing consumption patterns of good and services.</w:t>
      </w:r>
      <w:r>
        <w:br/>
      </w:r>
      <w:r>
        <w:t xml:space="preserve">3.1.5.3 Non-CO2 GHG emissions &amp; LULUCF</w:t>
      </w:r>
      <w:r>
        <w:t xml:space="preserve"> </w:t>
      </w:r>
      <w:r>
        <w:t xml:space="preserve">LIFE evolves around a dietary change from consumers, the implementation of the Farm to</w:t>
      </w:r>
      <w:r>
        <w:t xml:space="preserve"> </w:t>
      </w:r>
      <w:r>
        <w:t xml:space="preserve">Fork Strategy (153) and Biodiversity Strategy for 2030 (154), and food waste reduction (155).</w:t>
      </w:r>
      <w:r>
        <w:t xml:space="preserve"> </w:t>
      </w:r>
      <w:r>
        <w:t xml:space="preserve">Food diets can change in a comparably short time and recent history underlines the potential</w:t>
      </w:r>
      <w:r>
        <w:t xml:space="preserve"> </w:t>
      </w:r>
      <w:r>
        <w:t xml:space="preserve">for widespread changes, including on more diverse and healthier diets (156). The scenario</w:t>
      </w:r>
      <w:r>
        <w:t xml:space="preserve"> </w:t>
      </w:r>
      <w:r>
        <w:t xml:space="preserve">assumes that a variety of different motives such as healthier diets, awareness of climate</w:t>
      </w:r>
      <w:r>
        <w:t xml:space="preserve"> </w:t>
      </w:r>
      <w:r>
        <w:t xml:space="preserve">impacts and animal welfare but also the increasing availability of meat alternatives leads to</w:t>
      </w:r>
      <w:r>
        <w:t xml:space="preserve"> </w:t>
      </w:r>
      <w:r>
        <w:t xml:space="preserve">dietary shifts. Furthermore, increased consumer awareness for food as a valuable resource</w:t>
      </w:r>
      <w:r>
        <w:t xml:space="preserve"> </w:t>
      </w:r>
      <w:r>
        <w:t xml:space="preserve">triggered by campaigns combined with the removal of systemic barriers to avoid food waste</w:t>
      </w:r>
      <w:r>
        <w:t xml:space="preserve"> </w:t>
      </w:r>
      <w:r>
        <w:t xml:space="preserve">lead to a reduction in food waste in LIFE.</w:t>
      </w:r>
      <w:r>
        <w:br/>
      </w:r>
      <w:r>
        <w:t xml:space="preserve">The LIFE variant combines the following three main food-related features:</w:t>
      </w:r>
      <w:r>
        <w:br/>
      </w:r>
      <w:r>
        <w:t xml:space="preserve">-</w:t>
      </w:r>
      <w:r>
        <w:t xml:space="preserve"> </w:t>
      </w:r>
      <w:r>
        <w:t xml:space="preserve">It assumes a voluntary moderate food demand change by European citizens towards a</w:t>
      </w:r>
      <w:r>
        <w:t xml:space="preserve"> </w:t>
      </w:r>
      <w:r>
        <w:t xml:space="preserve">healthier diet. This shift is directed towards a more sustainable, climate-friendly and</w:t>
      </w:r>
      <w:r>
        <w:t xml:space="preserve"> </w:t>
      </w:r>
      <w:r>
        <w:t xml:space="preserve">healthy diet, as it is proposed by the EAT-Lancet Commission (157). On average, the</w:t>
      </w:r>
      <w:r>
        <w:t xml:space="preserve"> </w:t>
      </w:r>
      <w:r>
        <w:t xml:space="preserve">dietary pattern of EU citizens moves gradually towards the suggested optimal</w:t>
      </w:r>
      <w:r>
        <w:t xml:space="preserve"> </w:t>
      </w:r>
      <w:r>
        <w:t xml:space="preserve">sustainable and healthy diet from the EAT-Lancet Commission by 25% in 2040. This</w:t>
      </w:r>
      <w:r>
        <w:t xml:space="preserve"> </w:t>
      </w:r>
      <w:r>
        <w:t xml:space="preserve">shift does not come with a decrease of the overall caloric intake but assumes a</w:t>
      </w:r>
      <w:r>
        <w:t xml:space="preserve"> </w:t>
      </w:r>
      <w:r>
        <w:t xml:space="preserve">substitution of some food products with others that are currently insufficiently</w:t>
      </w:r>
      <w:r>
        <w:t xml:space="preserve"> </w:t>
      </w:r>
      <w:r>
        <w:t xml:space="preserve">consumed (158).</w:t>
      </w:r>
    </w:p>
    <w:p>
      <w:pPr>
        <w:pStyle w:val="BodyText"/>
      </w:pPr>
      <w:r>
        <w:t xml:space="preserve">Agreement’s goal of limiting the rise in global temperatures to 1.5 °C above pre-industrial levels. The report</w:t>
      </w:r>
      <w:r>
        <w:t xml:space="preserve"> </w:t>
      </w:r>
      <w:r>
        <w:t xml:space="preserve">assumes that 9% of global aviation activity (expressed in passenger-km) is avoided in 2030 as a result of the</w:t>
      </w:r>
      <w:r>
        <w:t xml:space="preserve"> </w:t>
      </w:r>
      <w:r>
        <w:t xml:space="preserve">implementation of behavioural measures. This percentage is 20% in 2050.</w:t>
      </w:r>
      <w:r>
        <w:br/>
      </w:r>
      <w:r>
        <w:t xml:space="preserve">(153) COM (2020) 381 final</w:t>
      </w:r>
      <w:r>
        <w:t xml:space="preserve"> </w:t>
      </w:r>
      <w:r>
        <w:t xml:space="preserve">(154) COM (2020) 380 final</w:t>
      </w:r>
      <w:r>
        <w:t xml:space="preserve"> </w:t>
      </w:r>
      <w:r>
        <w:t xml:space="preserve">(155) Aligned with the legislative proposal by the European Commission on food waste (COM (2023) 420 final),</w:t>
      </w:r>
      <w:r>
        <w:t xml:space="preserve"> </w:t>
      </w:r>
      <w:r>
        <w:t xml:space="preserve">proposing a similar total reduction of food waste. Note that this proposal was not adopted in time to be</w:t>
      </w:r>
      <w:r>
        <w:t xml:space="preserve"> </w:t>
      </w:r>
      <w:r>
        <w:t xml:space="preserve">incuded in the main scenarios (S1, S2 and S3), and is therefore only reflected in LIFE.</w:t>
      </w:r>
      <w:r>
        <w:t xml:space="preserve"> </w:t>
      </w:r>
      <w:r>
        <w:t xml:space="preserve">(156) Vermeulen, S.J., et al., ‘Changing diets and the transformation of the global food system’, Ann. N.Y. Acad.</w:t>
      </w:r>
      <w:r>
        <w:t xml:space="preserve"> </w:t>
      </w:r>
      <w:r>
        <w:t xml:space="preserve">Sci., 1478, 3-17, 2020.</w:t>
      </w:r>
      <w:r>
        <w:t xml:space="preserve"> </w:t>
      </w:r>
      <w:r>
        <w:t xml:space="preserve">(157) Willet et al., ‘Food in the Anthropocene: the EAT–Lancet Commission on healthy diets from sustainable</w:t>
      </w:r>
      <w:r>
        <w:t xml:space="preserve"> </w:t>
      </w:r>
      <w:r>
        <w:t xml:space="preserve">food systems’, Lancet, 2019.</w:t>
      </w:r>
      <w:r>
        <w:t xml:space="preserve"> </w:t>
      </w:r>
      <w:r>
        <w:t xml:space="preserve">(158) Figure.1; Willet et al., ‘Food in the Anthropocene: the EAT–Lancet Commission on healthy diets from</w:t>
      </w:r>
      <w:r>
        <w:t xml:space="preserve"> </w:t>
      </w:r>
      <w:r>
        <w:t xml:space="preserve">sustainable food systems’, Lancet, 2019.</w:t>
      </w:r>
    </w:p>
    <w:p>
      <w:pPr>
        <w:pStyle w:val="BodyText"/>
      </w:pPr>
      <w:r>
        <w:t xml:space="preserve">42</w:t>
      </w:r>
    </w:p>
    <w:p>
      <w:pPr>
        <w:pStyle w:val="Compact"/>
        <w:numPr>
          <w:ilvl w:val="0"/>
          <w:numId w:val="1038"/>
        </w:numPr>
      </w:pPr>
      <w:r>
        <w:t xml:space="preserve">In parallel, a similar evolution of the food supply is projected, which is driven by the</w:t>
      </w:r>
      <w:r>
        <w:t xml:space="preserve"> </w:t>
      </w:r>
      <w:r>
        <w:t xml:space="preserve">objectives of the Farm to Fork Strategy and Biodiversity Strategy. Accordingly, the</w:t>
      </w:r>
      <w:r>
        <w:t xml:space="preserve"> </w:t>
      </w:r>
      <w:r>
        <w:t xml:space="preserve">scenario aims for a reduction of at least 20% mineral fertilisers application, 50% less</w:t>
      </w:r>
      <w:r>
        <w:t xml:space="preserve"> </w:t>
      </w:r>
      <w:r>
        <w:t xml:space="preserve">pesticides use, 25% organic farming on EU’s agriculture land, 10% area of high-</w:t>
      </w:r>
      <w:r>
        <w:t xml:space="preserve"> </w:t>
      </w:r>
      <w:r>
        <w:t xml:space="preserve">diversity landscape features, and 50% reduction in nutrient surplus from organic and</w:t>
      </w:r>
      <w:r>
        <w:t xml:space="preserve"> </w:t>
      </w:r>
      <w:r>
        <w:t xml:space="preserve">synthetic sources.</w:t>
      </w:r>
    </w:p>
    <w:p>
      <w:pPr>
        <w:pStyle w:val="Compact"/>
        <w:numPr>
          <w:ilvl w:val="0"/>
          <w:numId w:val="1038"/>
        </w:numPr>
      </w:pPr>
      <w:r>
        <w:t xml:space="preserve">In line with the Commission’s proposal on food waste reduction (159), a similar</w:t>
      </w:r>
      <w:r>
        <w:t xml:space="preserve"> </w:t>
      </w:r>
      <w:r>
        <w:t xml:space="preserve">absolute reduction of food waste as in option 2 of the proposal is assumed (160).</w:t>
      </w:r>
      <w:r>
        <w:t xml:space="preserve"> </w:t>
      </w:r>
      <w:r>
        <w:t xml:space="preserve">The exact steering towards the different objectives from the Farm to Fork and Biodiversity</w:t>
      </w:r>
      <w:r>
        <w:t xml:space="preserve"> </w:t>
      </w:r>
      <w:r>
        <w:t xml:space="preserve">strategy, the dietary changes, as well as the targets for the food waste reduction in the</w:t>
      </w:r>
      <w:r>
        <w:t xml:space="preserve"> </w:t>
      </w:r>
      <w:r>
        <w:t xml:space="preserve">modelling is technically difficult, which results in the overfullfillment of some targets and</w:t>
      </w:r>
      <w:r>
        <w:t xml:space="preserve"> </w:t>
      </w:r>
      <w:r>
        <w:t xml:space="preserve">missing the threshold for others in the LIFE scenario. Due to assumed projected changes from</w:t>
      </w:r>
      <w:r>
        <w:t xml:space="preserve"> </w:t>
      </w:r>
      <w:r>
        <w:t xml:space="preserve">the LIFE case with regard to food supply and demand, the land sector assumes certain land</w:t>
      </w:r>
      <w:r>
        <w:t xml:space="preserve"> </w:t>
      </w:r>
      <w:r>
        <w:t xml:space="preserve">use changes that take into account the decreasing livestock activity and food production for</w:t>
      </w:r>
      <w:r>
        <w:t xml:space="preserve"> </w:t>
      </w:r>
      <w:r>
        <w:t xml:space="preserve">meat and dairy products. More agricultural land for carbon farming and set aside land with</w:t>
      </w:r>
      <w:r>
        <w:t xml:space="preserve"> </w:t>
      </w:r>
      <w:r>
        <w:t xml:space="preserve">natural vegetation becomes available, which leads to higher potentials of nature-based</w:t>
      </w:r>
      <w:r>
        <w:t xml:space="preserve"> </w:t>
      </w:r>
      <w:r>
        <w:t xml:space="preserve">removal solutions. Moreover, assumptions on more extensive agriculture due to restrictions</w:t>
      </w:r>
      <w:r>
        <w:t xml:space="preserve"> </w:t>
      </w:r>
      <w:r>
        <w:t xml:space="preserve">on pesticide and fertilizer use as well as more organic agriculture and set aside land lead to</w:t>
      </w:r>
      <w:r>
        <w:t xml:space="preserve"> </w:t>
      </w:r>
      <w:r>
        <w:t xml:space="preserve">increased changes in the demand for land use for agricultural production.</w:t>
      </w:r>
      <w:r>
        <w:br/>
      </w:r>
      <w:r>
        <w:t xml:space="preserve">In LIFE, in 2040, all non-CO2 GHG emitting sectors (including agriculture) deploy all the</w:t>
      </w:r>
      <w:r>
        <w:t xml:space="preserve"> </w:t>
      </w:r>
      <w:r>
        <w:t xml:space="preserve">mitigation technologies required (like in the scenarios). In 2050, the mitigation options</w:t>
      </w:r>
      <w:r>
        <w:t xml:space="preserve"> </w:t>
      </w:r>
      <w:r>
        <w:t xml:space="preserve">required are fully deployed in all sectors in view of contributing to climate neutrality.</w:t>
      </w:r>
      <w:r>
        <w:t xml:space="preserve"> </w:t>
      </w:r>
      <w:r>
        <w:t xml:space="preserve">However, the level of non-CO2 GHG emissions (both in 2040 and 2050) is expected to be</w:t>
      </w:r>
      <w:r>
        <w:t xml:space="preserve"> </w:t>
      </w:r>
      <w:r>
        <w:t xml:space="preserve">lower than in the other scenarios, mainly because of changes in agriculture activity.</w:t>
      </w:r>
      <w:r>
        <w:br/>
      </w:r>
      <w:r>
        <w:t xml:space="preserve">3.2</w:t>
      </w:r>
      <w:r>
        <w:t xml:space="preserve"> </w:t>
      </w:r>
      <w:r>
        <w:t xml:space="preserve">Modelling drivers</w:t>
      </w:r>
      <w:r>
        <w:br/>
      </w:r>
      <w:r>
        <w:t xml:space="preserve">The policies and trends described are translated into modelling assumptions and implemented</w:t>
      </w:r>
      <w:r>
        <w:t xml:space="preserve"> </w:t>
      </w:r>
      <w:r>
        <w:t xml:space="preserve">in the modelling tools to shape the different scenarios. The modelling assumptions can take</w:t>
      </w:r>
      <w:r>
        <w:t xml:space="preserve"> </w:t>
      </w:r>
      <w:r>
        <w:t xml:space="preserve">the form either of explicit elements within the policies, such as targets of CO2 performance</w:t>
      </w:r>
      <w:r>
        <w:t xml:space="preserve"> </w:t>
      </w:r>
      <w:r>
        <w:t xml:space="preserve">standards for cars and vans in a given year or induced by modelling drivers such as carbon</w:t>
      </w:r>
      <w:r>
        <w:t xml:space="preserve"> </w:t>
      </w:r>
      <w:r>
        <w:t xml:space="preserve">values applied to the different sectors, which reflect generic incentives altering investment</w:t>
      </w:r>
      <w:r>
        <w:t xml:space="preserve"> </w:t>
      </w:r>
      <w:r>
        <w:t xml:space="preserve">decisions towards abatement of GHG emissions.</w:t>
      </w:r>
      <w:r>
        <w:br/>
      </w:r>
      <w:r>
        <w:t xml:space="preserve">The “carbon values” mentioned below (see Table 4) are used only as modelling drivers in the</w:t>
      </w:r>
      <w:r>
        <w:t xml:space="preserve"> </w:t>
      </w:r>
      <w:r>
        <w:t xml:space="preserve">different models used and for this specific analysis and do not represent a forecast of possible</w:t>
      </w:r>
      <w:r>
        <w:t xml:space="preserve"> </w:t>
      </w:r>
      <w:r>
        <w:t xml:space="preserve">future evolution of carbon prices. The expressed carbon values are the marginal abatement</w:t>
      </w:r>
      <w:r>
        <w:t xml:space="preserve"> </w:t>
      </w:r>
      <w:r>
        <w:t xml:space="preserve">cost per ton of CO2-eq covered in the respective scenario.</w:t>
      </w:r>
    </w:p>
    <w:p>
      <w:pPr>
        <w:pStyle w:val="Compact"/>
        <w:numPr>
          <w:ilvl w:val="0"/>
          <w:numId w:val="1039"/>
        </w:numPr>
      </w:pPr>
      <w:r>
        <w:t xml:space="preserve">COM (2023) 420 final. This proposal was adopted in July 2023, and came too late to be implemented the</w:t>
      </w:r>
      <w:r>
        <w:t xml:space="preserve"> </w:t>
      </w:r>
      <w:r>
        <w:t xml:space="preserve">core scenarios S1, S2 and S3. It is implemented in the LIFE case.</w:t>
      </w:r>
    </w:p>
    <w:p>
      <w:pPr>
        <w:pStyle w:val="Compact"/>
        <w:numPr>
          <w:ilvl w:val="0"/>
          <w:numId w:val="1039"/>
        </w:numPr>
      </w:pPr>
      <w:r>
        <w:t xml:space="preserve">Total food waste reduction in the proposal in option 2 was around 13 Mton from primary production,</w:t>
      </w:r>
      <w:r>
        <w:t xml:space="preserve"> </w:t>
      </w:r>
      <w:r>
        <w:t xml:space="preserve">processing and manufacturing, retail and consumption. In the LIFE variant a total food waste reduction of</w:t>
      </w:r>
      <w:r>
        <w:t xml:space="preserve"> </w:t>
      </w:r>
      <w:r>
        <w:t xml:space="preserve">around 11 Mton in 2040 (compared to 2020) was achieved with reductions from primary agriculture,</w:t>
      </w:r>
      <w:r>
        <w:t xml:space="preserve"> </w:t>
      </w:r>
      <w:r>
        <w:t xml:space="preserve">processing and distribution, as well as retail and households.</w:t>
      </w:r>
    </w:p>
    <w:p>
      <w:pPr>
        <w:pStyle w:val="FirstParagraph"/>
      </w:pPr>
      <w:r>
        <w:t xml:space="preserve">43</w:t>
      </w:r>
    </w:p>
    <w:p>
      <w:pPr>
        <w:pStyle w:val="BodyText"/>
      </w:pPr>
      <w:r>
        <w:t xml:space="preserve">Table 4. Carbon values applied on emissions in the different sectors (excl. LULUCF)</w:t>
      </w:r>
      <w:r>
        <w:t xml:space="preserve"> </w:t>
      </w:r>
      <w:r>
        <w:t xml:space="preserve">EUR/tCO2-eq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Energy and industry CO2 (PRIMES</w:t>
      </w:r>
      <w:r>
        <w:t xml:space="preserve"> </w:t>
      </w:r>
      <w:r>
        <w:t xml:space="preserve">model) and non-CO2 covered by the ETS</w:t>
      </w:r>
      <w:r>
        <w:t xml:space="preserve"> </w:t>
      </w:r>
      <w:r>
        <w:t xml:space="preserve">(GAINS model)</w:t>
      </w:r>
      <w:r>
        <w:t xml:space="preserve"> </w:t>
      </w:r>
      <w:r>
        <w:t xml:space="preserve">160</w:t>
      </w:r>
      <w:r>
        <w:t xml:space="preserve"> </w:t>
      </w:r>
      <w:r>
        <w:t xml:space="preserve">240</w:t>
      </w:r>
      <w:r>
        <w:t xml:space="preserve"> </w:t>
      </w:r>
      <w:r>
        <w:t xml:space="preserve">290</w:t>
      </w:r>
      <w:r>
        <w:t xml:space="preserve"> </w:t>
      </w:r>
      <w:r>
        <w:t xml:space="preserve">250</w:t>
      </w:r>
      <w:r>
        <w:t xml:space="preserve"> </w:t>
      </w:r>
      <w:r>
        <w:t xml:space="preserve">470</w:t>
      </w:r>
      <w:r>
        <w:t xml:space="preserve"> </w:t>
      </w:r>
      <w:r>
        <w:t xml:space="preserve">Non-CO2 from sectors other than</w:t>
      </w:r>
      <w:r>
        <w:t xml:space="preserve"> </w:t>
      </w:r>
      <w:r>
        <w:t xml:space="preserve">agriculture (GAINS model)</w:t>
      </w:r>
      <w:r>
        <w:t xml:space="preserve"> </w:t>
      </w:r>
      <w:r>
        <w:t xml:space="preserve">0</w:t>
      </w:r>
      <w:r>
        <w:t xml:space="preserve"> </w:t>
      </w:r>
      <w:r>
        <w:t xml:space="preserve">240</w:t>
      </w:r>
      <w:r>
        <w:t xml:space="preserve"> </w:t>
      </w:r>
      <w:r>
        <w:t xml:space="preserve">290</w:t>
      </w:r>
      <w:r>
        <w:t xml:space="preserve"> </w:t>
      </w:r>
      <w:r>
        <w:t xml:space="preserve">250</w:t>
      </w:r>
      <w:r>
        <w:t xml:space="preserve"> </w:t>
      </w:r>
      <w:r>
        <w:t xml:space="preserve">470</w:t>
      </w:r>
      <w:r>
        <w:t xml:space="preserve"> </w:t>
      </w:r>
      <w:r>
        <w:t xml:space="preserve">Non-CO2 from agriculture (GAINS</w:t>
      </w:r>
      <w:r>
        <w:t xml:space="preserve"> </w:t>
      </w:r>
      <w:r>
        <w:t xml:space="preserve">model)</w:t>
      </w:r>
      <w:r>
        <w:t xml:space="preserve"> </w:t>
      </w:r>
      <w:r>
        <w:t xml:space="preserve">0</w:t>
      </w:r>
      <w:r>
        <w:t xml:space="preserve"> </w:t>
      </w:r>
      <w:r>
        <w:t xml:space="preserve">55</w:t>
      </w:r>
      <w:r>
        <w:t xml:space="preserve"> </w:t>
      </w:r>
      <w:r>
        <w:t xml:space="preserve">290</w:t>
      </w:r>
      <w:r>
        <w:t xml:space="preserve"> </w:t>
      </w:r>
      <w:r>
        <w:t xml:space="preserve">250</w:t>
      </w:r>
      <w:r>
        <w:t xml:space="preserve"> </w:t>
      </w:r>
      <w:r>
        <w:t xml:space="preserve">470</w:t>
      </w:r>
      <w:r>
        <w:t xml:space="preserve"> </w:t>
      </w:r>
      <w:r>
        <w:t xml:space="preserve">Note: Expressed in EUR’2023.</w:t>
      </w:r>
      <w:r>
        <w:t xml:space="preserve"> </w:t>
      </w:r>
      <w:r>
        <w:t xml:space="preserve">In 2040, the scenario S1 relies on the application of a carbon value on CO2 from fossil fuel</w:t>
      </w:r>
      <w:r>
        <w:t xml:space="preserve"> </w:t>
      </w:r>
      <w:r>
        <w:t xml:space="preserve">combustion and industrial processes and on the effect of known policies affecting non-CO2</w:t>
      </w:r>
      <w:r>
        <w:t xml:space="preserve"> </w:t>
      </w:r>
      <w:r>
        <w:t xml:space="preserve">GHG emissions by that time horizon. The scenario S2 equalises the carbon values applied to</w:t>
      </w:r>
      <w:r>
        <w:t xml:space="preserve"> </w:t>
      </w:r>
      <w:r>
        <w:t xml:space="preserve">CO2 from fossil fuel combustion, industrial processes and all non-CO2 emissions associated</w:t>
      </w:r>
      <w:r>
        <w:t xml:space="preserve"> </w:t>
      </w:r>
      <w:r>
        <w:t xml:space="preserve">to energy, industry and waste, while the same carbon value is applied in agriculture as in the</w:t>
      </w:r>
      <w:r>
        <w:t xml:space="preserve"> </w:t>
      </w:r>
      <w:r>
        <w:t xml:space="preserve">LULUCF sector (see below). The scenario S3 equalises the carbon values applied to all</w:t>
      </w:r>
      <w:r>
        <w:t xml:space="preserve"> </w:t>
      </w:r>
      <w:r>
        <w:t xml:space="preserve">sectors.</w:t>
      </w:r>
      <w:r>
        <w:br/>
      </w:r>
      <w:r>
        <w:t xml:space="preserve">After 2040, all sectors need to reduce GHG emissions in order to contribute to meeting</w:t>
      </w:r>
      <w:r>
        <w:t xml:space="preserve"> </w:t>
      </w:r>
      <w:r>
        <w:t xml:space="preserve">climate neutrality by 2050.</w:t>
      </w:r>
      <w:r>
        <w:br/>
      </w:r>
      <w:r>
        <w:t xml:space="preserve">Specific aspect of the LULUCF sector</w:t>
      </w:r>
      <w:r>
        <w:t xml:space="preserve"> </w:t>
      </w:r>
      <w:r>
        <w:t xml:space="preserve">The size of future LULUCF net removals bears many uncertainties because of external factors</w:t>
      </w:r>
      <w:r>
        <w:t xml:space="preserve"> </w:t>
      </w:r>
      <w:r>
        <w:t xml:space="preserve">such as climate change impacts or natural disturbances. In addition, implementing a high</w:t>
      </w:r>
      <w:r>
        <w:t xml:space="preserve"> </w:t>
      </w:r>
      <w:r>
        <w:t xml:space="preserve">potential of additional nature-based carbon removals with high carbon values would require</w:t>
      </w:r>
      <w:r>
        <w:t xml:space="preserve"> </w:t>
      </w:r>
      <w:r>
        <w:t xml:space="preserve">additional changes in land use. To represent these uncertainties, the analysis with the</w:t>
      </w:r>
      <w:r>
        <w:t xml:space="preserve"> </w:t>
      </w:r>
      <w:r>
        <w:t xml:space="preserve">GLOBIOM model thus looks at a range of carbon values for LULUCF:</w:t>
      </w:r>
      <w:r>
        <w:t xml:space="preserve"> </w:t>
      </w:r>
      <w:r>
        <w:t xml:space="preserve">-</w:t>
      </w:r>
      <w:r>
        <w:t xml:space="preserve"> </w:t>
      </w:r>
      <w:r>
        <w:t xml:space="preserve">a “lower” carbon value of 0 €/tCO2-eq associated with the lower boundary for the</w:t>
      </w:r>
      <w:r>
        <w:t xml:space="preserve"> </w:t>
      </w:r>
      <w:r>
        <w:t xml:space="preserve">LULUCF net removals;</w:t>
      </w:r>
      <w:r>
        <w:br/>
      </w:r>
      <w:r>
        <w:t xml:space="preserve">-</w:t>
      </w:r>
      <w:r>
        <w:t xml:space="preserve"> </w:t>
      </w:r>
      <w:r>
        <w:t xml:space="preserve">a “central” carbon value of 50 €/tCO2-eq necessary to meet the 2030 target as a</w:t>
      </w:r>
      <w:r>
        <w:t xml:space="preserve"> </w:t>
      </w:r>
      <w:r>
        <w:t xml:space="preserve">‘central level’ for net LULUCF removals;</w:t>
      </w:r>
      <w:r>
        <w:br/>
      </w:r>
      <w:r>
        <w:t xml:space="preserve">-</w:t>
      </w:r>
      <w:r>
        <w:t xml:space="preserve"> </w:t>
      </w:r>
      <w:r>
        <w:t xml:space="preserve">an “upper” carbon value of 200 €/tCO2-eq associated with the upper boundary of the</w:t>
      </w:r>
      <w:r>
        <w:t xml:space="preserve"> </w:t>
      </w:r>
      <w:r>
        <w:t xml:space="preserve">LULUCF net removals.</w:t>
      </w:r>
    </w:p>
    <w:p>
      <w:pPr>
        <w:pStyle w:val="BodyText"/>
      </w:pPr>
      <w:r>
        <w:t xml:space="preserve">To compute the overall net GHGs across the economy for the scenarios S1, S2 and S3, the</w:t>
      </w:r>
      <w:r>
        <w:t xml:space="preserve"> </w:t>
      </w:r>
      <w:r>
        <w:t xml:space="preserve">“central” carbon value is applied in 2040 and 2050 (see Table 5), except for S1 in 2040 where</w:t>
      </w:r>
      <w:r>
        <w:t xml:space="preserve"> </w:t>
      </w:r>
      <w:r>
        <w:t xml:space="preserve">the “lower” carbon value is applied. For more details, see Annex 8 section 1.8.</w:t>
      </w:r>
      <w:r>
        <w:t xml:space="preserve"> </w:t>
      </w:r>
      <w:r>
        <w:t xml:space="preserve">Table 5. Main carbon value applied for LULUCF</w:t>
      </w:r>
      <w:r>
        <w:br/>
      </w:r>
      <w:r>
        <w:t xml:space="preserve">EUR/tCO2-eq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LULUCF (GLOBIOM model)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50</w:t>
      </w:r>
      <w:r>
        <w:t xml:space="preserve"> </w:t>
      </w:r>
      <w:r>
        <w:t xml:space="preserve">50</w:t>
      </w:r>
      <w:r>
        <w:t xml:space="preserve"> </w:t>
      </w:r>
      <w:r>
        <w:t xml:space="preserve">50</w:t>
      </w:r>
      <w:r>
        <w:t xml:space="preserve"> </w:t>
      </w:r>
      <w:r>
        <w:t xml:space="preserve">Note: Expressed in EUR’2020.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3.3</w:t>
      </w:r>
      <w:r>
        <w:t xml:space="preserve"> </w:t>
      </w:r>
      <w:r>
        <w:t xml:space="preserve">Complementary Analysis</w:t>
      </w:r>
      <w:r>
        <w:t xml:space="preserve"> </w:t>
      </w:r>
      <w:r>
        <w:t xml:space="preserve">3.3.1 Energy system modelling</w:t>
      </w:r>
      <w:r>
        <w:t xml:space="preserve"> </w:t>
      </w:r>
      <w:r>
        <w:t xml:space="preserve">Complementary modelling analyses are performed to assure the robustness of the results and</w:t>
      </w:r>
      <w:r>
        <w:t xml:space="preserve"> </w:t>
      </w:r>
      <w:r>
        <w:t xml:space="preserve">to investigate specific aspects of the emission trends, displaying also possible alternative</w:t>
      </w:r>
      <w:r>
        <w:t xml:space="preserve"> </w:t>
      </w:r>
      <w:r>
        <w:t xml:space="preserve">sectoral mitigation pathways.</w:t>
      </w:r>
      <w:r>
        <w:t xml:space="preserve"> </w:t>
      </w:r>
      <w:r>
        <w:t xml:space="preserve">The key assumptions for these analyses are shared across all models and harmonised to the</w:t>
      </w:r>
      <w:r>
        <w:t xml:space="preserve"> </w:t>
      </w:r>
      <w:r>
        <w:t xml:space="preserve">extent possible (reported in section 2.4 of Annex 6), and all resulting mitigation pathways</w:t>
      </w:r>
      <w:r>
        <w:t xml:space="preserve"> </w:t>
      </w:r>
      <w:r>
        <w:t xml:space="preserve">fulfil the 2030 and 2050 climate targets. Appropriate, high-quality modelling tools</w:t>
      </w:r>
      <w:r>
        <w:t xml:space="preserve"> </w:t>
      </w:r>
      <w:r>
        <w:t xml:space="preserve">complementary to the main modelling suite have been used (see section 2.1).</w:t>
      </w:r>
      <w:r>
        <w:br/>
      </w:r>
      <w:r>
        <w:t xml:space="preserve">The sectoral distribution of the net GHG emissions and the role of carbon removals has been</w:t>
      </w:r>
      <w:r>
        <w:t xml:space="preserve"> </w:t>
      </w:r>
      <w:r>
        <w:t xml:space="preserve">investigated by combining projections for the emissions in the energy system modelled by</w:t>
      </w:r>
      <w:r>
        <w:t xml:space="preserve"> </w:t>
      </w:r>
      <w:r>
        <w:t xml:space="preserve">POTEnCIA, with the ones for the land sector developed by GLOBIOM and the non-CO2</w:t>
      </w:r>
      <w:r>
        <w:t xml:space="preserve"> </w:t>
      </w:r>
      <w:r>
        <w:t xml:space="preserve">emissions projected by GAINS. Three scenarios POTEnCIA-S1, POTEnCIA-S2 and</w:t>
      </w:r>
      <w:r>
        <w:t xml:space="preserve"> </w:t>
      </w:r>
      <w:r>
        <w:t xml:space="preserve">POTEnCIA-S3 follow the same logic as S1-S2-S3, except for the cap on the amount of the</w:t>
      </w:r>
      <w:r>
        <w:t xml:space="preserve"> </w:t>
      </w:r>
      <w:r>
        <w:t xml:space="preserve">biomass supply for bioenergy which is relaxed in the case of POTENCIA-S3 (see 2.4.5 of</w:t>
      </w:r>
      <w:r>
        <w:t xml:space="preserve"> </w:t>
      </w:r>
      <w:r>
        <w:t xml:space="preserve">Annex 6), and illustrate in a similar way the incremental uptake of the novel technology</w:t>
      </w:r>
      <w:r>
        <w:t xml:space="preserve"> </w:t>
      </w:r>
      <w:r>
        <w:t xml:space="preserve">options.</w:t>
      </w:r>
      <w:r>
        <w:br/>
      </w:r>
      <w:r>
        <w:t xml:space="preserve">The domestic energy and industry CO2 emissions are also explored by modelling pathways to</w:t>
      </w:r>
      <w:r>
        <w:t xml:space="preserve"> </w:t>
      </w:r>
      <w:r>
        <w:t xml:space="preserve">climate neutrality via three other tools: EU-TIMES, POLES and AMADEUS-METIS. Each</w:t>
      </w:r>
      <w:r>
        <w:t xml:space="preserve"> </w:t>
      </w:r>
      <w:r>
        <w:t xml:space="preserve">model produces a single pathway, based on relevant common policy elements described in</w:t>
      </w:r>
      <w:r>
        <w:t xml:space="preserve"> </w:t>
      </w:r>
      <w:r>
        <w:t xml:space="preserve">section 3.1.1.1 and assuming overall cost-efficient decarbonisation of the energy and industry</w:t>
      </w:r>
      <w:r>
        <w:t xml:space="preserve"> </w:t>
      </w:r>
      <w:r>
        <w:t xml:space="preserve">CO2 sector. The amount of carbon capture in the period 2030-2050 stays within the maximum</w:t>
      </w:r>
      <w:r>
        <w:t xml:space="preserve"> </w:t>
      </w:r>
      <w:r>
        <w:t xml:space="preserve">threshold for feasibility indicated by the ESABCC (161) and lies between the minimum carbon</w:t>
      </w:r>
      <w:r>
        <w:t xml:space="preserve"> </w:t>
      </w:r>
      <w:r>
        <w:t xml:space="preserve">captured in S1 and the maximum carbon captured in S3.</w:t>
      </w:r>
      <w:r>
        <w:t xml:space="preserve"> </w:t>
      </w:r>
      <w:r>
        <w:t xml:space="preserve">3.3.2 Industry</w:t>
      </w:r>
      <w:r>
        <w:t xml:space="preserve"> </w:t>
      </w:r>
      <w:r>
        <w:t xml:space="preserve">The impact of a group of selected Circular Economy (CE) action on the process of industrial</w:t>
      </w:r>
      <w:r>
        <w:t xml:space="preserve"> </w:t>
      </w:r>
      <w:r>
        <w:t xml:space="preserve">decarbonisation of specific energy-intensive sectors are studied projecting material</w:t>
      </w:r>
      <w:r>
        <w:t xml:space="preserve"> </w:t>
      </w:r>
      <w:r>
        <w:t xml:space="preserve">production, GHG emissions and energy demand in scenarios with (circular or CIRC) and</w:t>
      </w:r>
      <w:r>
        <w:t xml:space="preserve"> </w:t>
      </w:r>
      <w:r>
        <w:t xml:space="preserve">without (standard or STD) implementation of those CE actions. The modelling tool</w:t>
      </w:r>
      <w:r>
        <w:t xml:space="preserve"> </w:t>
      </w:r>
      <w:r>
        <w:t xml:space="preserve">FORECAST is used. Both scenarios assume already a well decarbonised energy system, with</w:t>
      </w:r>
      <w:r>
        <w:t xml:space="preserve"> </w:t>
      </w:r>
      <w:r>
        <w:t xml:space="preserve">a GHG reduction of approximately 95% for the EU industrial sector by 2050 compared to</w:t>
      </w:r>
      <w:r>
        <w:t xml:space="preserve"> </w:t>
      </w:r>
      <w:r>
        <w:t xml:space="preserve">1990. The scenarios also implement hydrogen and e-fuels only when electrification is not</w:t>
      </w:r>
      <w:r>
        <w:t xml:space="preserve"> </w:t>
      </w:r>
      <w:r>
        <w:t xml:space="preserve">possible and limit carbon capture to individual applications in sectors where emissions are</w:t>
      </w:r>
      <w:r>
        <w:t xml:space="preserve"> </w:t>
      </w:r>
      <w:r>
        <w:t xml:space="preserve">difficult to avoid and alternative mitigation strategies (e.g., fuel and process switch) are</w:t>
      </w:r>
      <w:r>
        <w:t xml:space="preserve"> </w:t>
      </w:r>
      <w:r>
        <w:t xml:space="preserve">lacking today, i.e., cement and lime production. The impact of CE actions across the whole</w:t>
      </w:r>
      <w:r>
        <w:t xml:space="preserve"> </w:t>
      </w:r>
      <w:r>
        <w:t xml:space="preserve">economy falls outside the scope of this complementary analysis.</w:t>
      </w:r>
    </w:p>
    <w:p>
      <w:pPr>
        <w:pStyle w:val="Compact"/>
        <w:numPr>
          <w:ilvl w:val="0"/>
          <w:numId w:val="1040"/>
        </w:numPr>
      </w:pPr>
      <w:r>
        <w:t xml:space="preserve">ESABCC, Scientific advice for the determination of an EU-wide 2040 climate target and a greenhouse gas</w:t>
      </w:r>
      <w:r>
        <w:t xml:space="preserve"> </w:t>
      </w:r>
      <w:r>
        <w:t xml:space="preserve">budget for 2030–2050, 2023. Table 5.</w:t>
      </w:r>
    </w:p>
    <w:p>
      <w:pPr>
        <w:pStyle w:val="FirstParagraph"/>
      </w:pPr>
      <w:r>
        <w:t xml:space="preserve">45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SOCIO-ECONOMIC ANALYSIS</w:t>
      </w:r>
      <w:r>
        <w:t xml:space="preserve"> </w:t>
      </w:r>
      <w:r>
        <w:t xml:space="preserve">4.1</w:t>
      </w:r>
      <w:r>
        <w:t xml:space="preserve"> </w:t>
      </w:r>
      <w:r>
        <w:t xml:space="preserve">Models (162)</w:t>
      </w:r>
      <w:r>
        <w:t xml:space="preserve"> </w:t>
      </w:r>
      <w:r>
        <w:t xml:space="preserve">Three state-of-the-art macro-economic models with distinct methodological underpinnings</w:t>
      </w:r>
      <w:r>
        <w:t xml:space="preserve"> </w:t>
      </w:r>
      <w:r>
        <w:t xml:space="preserve">have been used to assess the socio-economic impacts of the target options and assess the</w:t>
      </w:r>
      <w:r>
        <w:t xml:space="preserve"> </w:t>
      </w:r>
      <w:r>
        <w:t xml:space="preserve">robustness of the key findings. These models have been employed by the European</w:t>
      </w:r>
      <w:r>
        <w:t xml:space="preserve"> </w:t>
      </w:r>
      <w:r>
        <w:t xml:space="preserve">Commission (163), Member States and a variety of stakeholders in the past decades to assess</w:t>
      </w:r>
      <w:r>
        <w:t xml:space="preserve"> </w:t>
      </w:r>
      <w:r>
        <w:t xml:space="preserve">the impact of climate and energy policies. These models have been used for numerous</w:t>
      </w:r>
      <w:r>
        <w:t xml:space="preserve"> </w:t>
      </w:r>
      <w:r>
        <w:t xml:space="preserve">publications in peer-reviewed journals. Their methodological underpinnings are explained in</w:t>
      </w:r>
      <w:r>
        <w:t xml:space="preserve"> </w:t>
      </w:r>
      <w:r>
        <w:t xml:space="preserve">these peer-review publications. For each model, a detailed description can also be found in the</w:t>
      </w:r>
      <w:r>
        <w:t xml:space="preserve"> </w:t>
      </w:r>
      <w:r>
        <w:t xml:space="preserve">Modelling Inventory and Knowledge Management System of the European Commission</w:t>
      </w:r>
      <w:r>
        <w:t xml:space="preserve"> </w:t>
      </w:r>
      <w:r>
        <w:t xml:space="preserve">MIDAS (164), together witha list of impact assessments and peer reviewed publications where</w:t>
      </w:r>
      <w:r>
        <w:t xml:space="preserve"> </w:t>
      </w:r>
      <w:r>
        <w:t xml:space="preserve">each of these models have been utilized.</w:t>
      </w:r>
      <w:r>
        <w:t xml:space="preserve"> </w:t>
      </w:r>
      <w:r>
        <w:t xml:space="preserve">This macro-economic analysis factors in the sectoral mitigation costs produced by the sectoral</w:t>
      </w:r>
      <w:r>
        <w:t xml:space="preserve"> </w:t>
      </w:r>
      <w:r>
        <w:t xml:space="preserve">models described in section 2.1.1.</w:t>
      </w:r>
      <w:r>
        <w:t xml:space="preserve"> </w:t>
      </w:r>
      <w:r>
        <w:t xml:space="preserve">4.1.1 GEM-E3</w:t>
      </w:r>
      <w:r>
        <w:br/>
      </w:r>
      <w:r>
        <w:t xml:space="preserve">GEM-E3 is a large scale multi-sectoral recursive dynamic computable general equilibrium</w:t>
      </w:r>
      <w:r>
        <w:t xml:space="preserve"> </w:t>
      </w:r>
      <w:r>
        <w:t xml:space="preserve">(CGE) model that has been used to provide the sectoral economic assumptions as inputs for</w:t>
      </w:r>
      <w:r>
        <w:t xml:space="preserve"> </w:t>
      </w:r>
      <w:r>
        <w:t xml:space="preserve">this Impact Assessment and to assess socio-economic impacts of the scenarios. GEM-E3</w:t>
      </w:r>
      <w:r>
        <w:t xml:space="preserve"> </w:t>
      </w:r>
      <w:r>
        <w:t xml:space="preserve">produced consistent sectorial value added and trade projections matching exogenous GDP and</w:t>
      </w:r>
      <w:r>
        <w:t xml:space="preserve"> </w:t>
      </w:r>
      <w:r>
        <w:t xml:space="preserve">population projections by country taken from other sources such as the ECFIN t+10</w:t>
      </w:r>
      <w:r>
        <w:t xml:space="preserve"> </w:t>
      </w:r>
      <w:r>
        <w:t xml:space="preserve">projections for economic activity, Eurostat’s population projections and the Ageing Report.</w:t>
      </w:r>
      <w:r>
        <w:t xml:space="preserve"> </w:t>
      </w:r>
      <w:r>
        <w:t xml:space="preserve">The model was used to assess the impacts of the energy and climate targets on</w:t>
      </w:r>
      <w:r>
        <w:t xml:space="preserve"> </w:t>
      </w:r>
      <w:r>
        <w:t xml:space="preserve">macroeconomic aggregates such as GDP, employment and sectoral output.</w:t>
      </w:r>
      <w:r>
        <w:t xml:space="preserve"> </w:t>
      </w:r>
      <w:r>
        <w:t xml:space="preserve">This Impact Assessment has used mainly the European Commission’s JRC version JRC-</w:t>
      </w:r>
      <w:r>
        <w:t xml:space="preserve"> </w:t>
      </w:r>
      <w:r>
        <w:t xml:space="preserve">GEM-E3, while the GEM-E3-FIT version operated by E3Modelling was used to generate</w:t>
      </w:r>
      <w:r>
        <w:t xml:space="preserve"> </w:t>
      </w:r>
      <w:r>
        <w:t xml:space="preserve">exogenous assumptions on sectoral gross value added. Both models have underpinned</w:t>
      </w:r>
      <w:r>
        <w:t xml:space="preserve"> </w:t>
      </w:r>
      <w:r>
        <w:t xml:space="preserve">numerous publications in peer-review journals (165), (166). A detailed description is also</w:t>
      </w:r>
      <w:r>
        <w:t xml:space="preserve"> </w:t>
      </w:r>
      <w:r>
        <w:t xml:space="preserve">available in MIDAS (167).</w:t>
      </w:r>
    </w:p>
    <w:p>
      <w:pPr>
        <w:pStyle w:val="Compact"/>
        <w:numPr>
          <w:ilvl w:val="0"/>
          <w:numId w:val="1041"/>
        </w:numPr>
      </w:pPr>
      <w:r>
        <w:t xml:space="preserve">The model-based analysis is a technical exercise based on a number of assumptions that are shared across</w:t>
      </w:r>
      <w:r>
        <w:t xml:space="preserve"> </w:t>
      </w:r>
      <w:r>
        <w:t xml:space="preserve">scenarios. Its results do not prejudge the future design of the post-2030 policy framework.</w:t>
      </w:r>
    </w:p>
    <w:p>
      <w:pPr>
        <w:pStyle w:val="Compact"/>
        <w:numPr>
          <w:ilvl w:val="0"/>
          <w:numId w:val="1041"/>
        </w:numPr>
      </w:pPr>
      <w:r>
        <w:t xml:space="preserve">For instance, the main modelling suite of Impact Assessement was used for the Commission’s proposals for</w:t>
      </w:r>
      <w:r>
        <w:t xml:space="preserve"> </w:t>
      </w:r>
      <w:r>
        <w:t xml:space="preserve">the Long-Term Strategy (COM (2018) 773), the 2030 Climate Target Plan (SWD (2020) 176 final), and the</w:t>
      </w:r>
      <w:r>
        <w:t xml:space="preserve"> </w:t>
      </w:r>
      <w:r>
        <w:t xml:space="preserve">Fit for 55 (COM (2021) 550 final).</w:t>
      </w:r>
    </w:p>
    <w:p>
      <w:pPr>
        <w:pStyle w:val="Compact"/>
        <w:numPr>
          <w:ilvl w:val="0"/>
          <w:numId w:val="1041"/>
        </w:numPr>
      </w:pPr>
      <w:r>
        <w:t xml:space="preserve">MIDAS: https://web.jrc.ec.europa.eu/policy-model-inventory/</w:t>
      </w:r>
    </w:p>
    <w:p>
      <w:pPr>
        <w:pStyle w:val="Compact"/>
        <w:numPr>
          <w:ilvl w:val="0"/>
          <w:numId w:val="1041"/>
        </w:numPr>
      </w:pPr>
      <w:r>
        <w:t xml:space="preserve">JRC-GEM-E3,</w:t>
      </w:r>
      <w:r>
        <w:t xml:space="preserve"> </w:t>
      </w:r>
      <w:r>
        <w:t xml:space="preserve">selected</w:t>
      </w:r>
      <w:r>
        <w:t xml:space="preserve"> </w:t>
      </w:r>
      <w:r>
        <w:t xml:space="preserve">publications:</w:t>
      </w:r>
      <w:r>
        <w:t xml:space="preserve"> </w:t>
      </w:r>
      <w:r>
        <w:t xml:space="preserve">https://joint-research-centre.ec.europa.eu/gem-e3/gem-e3-</w:t>
      </w:r>
      <w:r>
        <w:t xml:space="preserve"> </w:t>
      </w:r>
      <w:r>
        <w:t xml:space="preserve">publications_en</w:t>
      </w:r>
    </w:p>
    <w:p>
      <w:pPr>
        <w:pStyle w:val="Compact"/>
        <w:numPr>
          <w:ilvl w:val="0"/>
          <w:numId w:val="1041"/>
        </w:numPr>
      </w:pPr>
      <w:r>
        <w:t xml:space="preserve">GEM-E3 Model Manuel, E3-Modelling 2017. https://e3modelling.com/wp-content/uploads/2018/10/GEM-</w:t>
      </w:r>
      <w:r>
        <w:t xml:space="preserve"> </w:t>
      </w:r>
      <w:r>
        <w:t xml:space="preserve">E3_manual_2017.pdf</w:t>
      </w:r>
    </w:p>
    <w:p>
      <w:pPr>
        <w:pStyle w:val="Compact"/>
        <w:numPr>
          <w:ilvl w:val="0"/>
          <w:numId w:val="1041"/>
        </w:numPr>
      </w:pPr>
      <w:r>
        <w:t xml:space="preserve">https://web.jrc.ec.europa.eu/policy-model-inventory/explore/models/model-gem-e3/</w:t>
      </w:r>
    </w:p>
    <w:p>
      <w:pPr>
        <w:pStyle w:val="FirstParagraph"/>
      </w:pPr>
      <w:r>
        <w:t xml:space="preserve">46</w:t>
      </w:r>
    </w:p>
    <w:p>
      <w:pPr>
        <w:pStyle w:val="BodyText"/>
      </w:pPr>
      <w:r>
        <w:t xml:space="preserve">4.1.2 E3ME</w:t>
      </w:r>
      <w:r>
        <w:br/>
      </w:r>
      <w:r>
        <w:t xml:space="preserve">E3ME is a global, macro-econometric model designed to analyse economic and</w:t>
      </w:r>
      <w:r>
        <w:t xml:space="preserve"> </w:t>
      </w:r>
      <w:r>
        <w:t xml:space="preserve">environmental policies. It includes:</w:t>
      </w:r>
      <w:r>
        <w:t xml:space="preserve"> </w:t>
      </w:r>
      <w:r>
        <w:t xml:space="preserve">-</w:t>
      </w:r>
      <w:r>
        <w:t xml:space="preserve"> </w:t>
      </w:r>
      <w:r>
        <w:t xml:space="preserve">a high level of disaggregation, enabling detailed analysis of sectoral and country-level</w:t>
      </w:r>
      <w:r>
        <w:t xml:space="preserve"> </w:t>
      </w:r>
      <w:r>
        <w:t xml:space="preserve">effects of a wide range of scenarios.</w:t>
      </w:r>
      <w:r>
        <w:t xml:space="preserve"> </w:t>
      </w:r>
      <w:r>
        <w:t xml:space="preserve">-</w:t>
      </w:r>
      <w:r>
        <w:t xml:space="preserve"> </w:t>
      </w:r>
      <w:r>
        <w:t xml:space="preserve">a capacity to describe social impacts (including unemployment levels and</w:t>
      </w:r>
      <w:r>
        <w:t xml:space="preserve"> </w:t>
      </w:r>
      <w:r>
        <w:t xml:space="preserve">distributional effects).</w:t>
      </w:r>
      <w:r>
        <w:t xml:space="preserve"> </w:t>
      </w:r>
      <w:r>
        <w:t xml:space="preserve">Its econometric specification provides a strong empirical basis for analysis. It can fully assess</w:t>
      </w:r>
      <w:r>
        <w:t xml:space="preserve"> </w:t>
      </w:r>
      <w:r>
        <w:t xml:space="preserve">both short and long-term impacts. Its integrated treatment of the world’s economies, energy</w:t>
      </w:r>
      <w:r>
        <w:t xml:space="preserve"> </w:t>
      </w:r>
      <w:r>
        <w:t xml:space="preserve">systems, emissions and material demands enables it to capture two-way linkages and</w:t>
      </w:r>
      <w:r>
        <w:t xml:space="preserve"> </w:t>
      </w:r>
      <w:r>
        <w:t xml:space="preserve">feedbacks between these components.</w:t>
      </w:r>
      <w:r>
        <w:t xml:space="preserve"> </w:t>
      </w:r>
      <w:r>
        <w:t xml:space="preserve">E3ME is frequently applied at national level, in Europe and beyond, as well as for global</w:t>
      </w:r>
      <w:r>
        <w:t xml:space="preserve"> </w:t>
      </w:r>
      <w:r>
        <w:t xml:space="preserve">policy analysis. It has been used extensively by a range of stakeholders and has been the basis</w:t>
      </w:r>
      <w:r>
        <w:t xml:space="preserve"> </w:t>
      </w:r>
      <w:r>
        <w:t xml:space="preserve">of many refereed publications (168). A detailed description is also available in MIDAS. (169)</w:t>
      </w:r>
      <w:r>
        <w:t xml:space="preserve"> </w:t>
      </w:r>
      <w:r>
        <w:t xml:space="preserve">In this impact assessment, it has been used to complement the assessment of the macro-</w:t>
      </w:r>
      <w:r>
        <w:t xml:space="preserve"> </w:t>
      </w:r>
      <w:r>
        <w:t xml:space="preserve">economic impacts of the energy and climate targets and assess the robustness of the results.</w:t>
      </w:r>
      <w:r>
        <w:br/>
      </w:r>
      <w:r>
        <w:t xml:space="preserve">4.1.3 E-QUEST</w:t>
      </w:r>
      <w:r>
        <w:br/>
      </w:r>
      <w:r>
        <w:t xml:space="preserve">QUEST is the global macroeconomic model that the Directorate General for Economic and</w:t>
      </w:r>
      <w:r>
        <w:t xml:space="preserve"> </w:t>
      </w:r>
      <w:r>
        <w:t xml:space="preserve">Financial Affairs (DG ECFIN) uses for macroeconomic policy analysis and research. It is a</w:t>
      </w:r>
      <w:r>
        <w:t xml:space="preserve"> </w:t>
      </w:r>
      <w:r>
        <w:t xml:space="preserve">dynamic stochastic general equilibrium model in the New-Keynesian tradition. Its</w:t>
      </w:r>
      <w:r>
        <w:t xml:space="preserve"> </w:t>
      </w:r>
      <w:r>
        <w:t xml:space="preserve">microeconomic foundations are derived from utility and profit optimisation. It includes</w:t>
      </w:r>
      <w:r>
        <w:t xml:space="preserve"> </w:t>
      </w:r>
      <w:r>
        <w:t xml:space="preserve">frictions in goods, labour and financial markets. It has been used for numerous publications</w:t>
      </w:r>
      <w:r>
        <w:t xml:space="preserve"> </w:t>
      </w:r>
      <w:r>
        <w:t xml:space="preserve">in peer-review journals (170). A detailed description is also available in MIDAS (171). There</w:t>
      </w:r>
      <w:r>
        <w:t xml:space="preserve"> </w:t>
      </w:r>
      <w:r>
        <w:t xml:space="preserve">are different versions of the QUEST model, estimated and calibrated, each used for specific</w:t>
      </w:r>
      <w:r>
        <w:t xml:space="preserve"> </w:t>
      </w:r>
      <w:r>
        <w:t xml:space="preserve">purposes.</w:t>
      </w:r>
      <w:r>
        <w:br/>
      </w:r>
      <w:r>
        <w:t xml:space="preserve">In this impact assessment the E-QUEST model variant (a two-region, multisector model</w:t>
      </w:r>
      <w:r>
        <w:t xml:space="preserve"> </w:t>
      </w:r>
      <w:r>
        <w:t xml:space="preserve">specifically developed for climate and energy related policy analysis) is used. The main</w:t>
      </w:r>
      <w:r>
        <w:t xml:space="preserve"> </w:t>
      </w:r>
      <w:r>
        <w:t xml:space="preserve">innovation in this model compared to the standard DSGE models is the inclusion of energy</w:t>
      </w:r>
      <w:r>
        <w:t xml:space="preserve"> </w:t>
      </w:r>
      <w:r>
        <w:t xml:space="preserve">input substitution that allows for a more detailed description of the substitution possibilities</w:t>
      </w:r>
      <w:r>
        <w:t xml:space="preserve"> </w:t>
      </w:r>
      <w:r>
        <w:t xml:space="preserve">between different energy sources. E-QUEST has been used to complement the assessment of</w:t>
      </w:r>
      <w:r>
        <w:t xml:space="preserve"> </w:t>
      </w:r>
      <w:r>
        <w:t xml:space="preserve">the macro-economic impacts of the energy and climate targets.</w:t>
      </w:r>
    </w:p>
    <w:p>
      <w:pPr>
        <w:pStyle w:val="Compact"/>
        <w:numPr>
          <w:ilvl w:val="0"/>
          <w:numId w:val="1042"/>
        </w:numPr>
      </w:pPr>
      <w:r>
        <w:t xml:space="preserve">E3ME, selected publications: https://www.e3me.com/how/papers/</w:t>
      </w:r>
    </w:p>
    <w:p>
      <w:pPr>
        <w:pStyle w:val="Compact"/>
        <w:numPr>
          <w:ilvl w:val="0"/>
          <w:numId w:val="1042"/>
        </w:numPr>
      </w:pPr>
      <w:r>
        <w:t xml:space="preserve">https://web.jrc.ec.europa.eu/policy-model-inventory/explore/models/model-e3me/</w:t>
      </w:r>
    </w:p>
    <w:p>
      <w:pPr>
        <w:pStyle w:val="Compact"/>
        <w:numPr>
          <w:ilvl w:val="0"/>
          <w:numId w:val="1042"/>
        </w:numPr>
      </w:pPr>
      <w:r>
        <w:t xml:space="preserve">QUEST (E-QUEST), selected publications: https://economy-finance.ec.europa.eu/economic-research-and-</w:t>
      </w:r>
      <w:r>
        <w:t xml:space="preserve"> </w:t>
      </w:r>
      <w:r>
        <w:t xml:space="preserve">databases/economic-research/macroeconomic-models/quest-macroeconomic-model_en</w:t>
      </w:r>
    </w:p>
    <w:p>
      <w:pPr>
        <w:pStyle w:val="Compact"/>
        <w:numPr>
          <w:ilvl w:val="0"/>
          <w:numId w:val="1042"/>
        </w:numPr>
      </w:pPr>
      <w:r>
        <w:t xml:space="preserve">https://web.jrc.ec.europa.eu/policy-model-inventory/explore/models/model-quest/</w:t>
      </w:r>
    </w:p>
    <w:p>
      <w:pPr>
        <w:pStyle w:val="FirstParagraph"/>
      </w:pPr>
      <w:r>
        <w:t xml:space="preserve">47</w:t>
      </w:r>
    </w:p>
    <w:p>
      <w:pPr>
        <w:pStyle w:val="BodyText"/>
      </w:pPr>
      <w:r>
        <w:t xml:space="preserve">4.2</w:t>
      </w:r>
      <w:r>
        <w:t xml:space="preserve"> </w:t>
      </w:r>
      <w:r>
        <w:t xml:space="preserve">Complementary Inputs</w:t>
      </w:r>
      <w:r>
        <w:br/>
      </w:r>
      <w:r>
        <w:t xml:space="preserve">For the quantitative analysis of the regional impacts, we used regional emission data from the</w:t>
      </w:r>
      <w:r>
        <w:t xml:space="preserve"> </w:t>
      </w:r>
      <w:r>
        <w:t xml:space="preserve">Emissions Database for Global Atmospheric Research (EDGAR) (172). Published by the Joint</w:t>
      </w:r>
      <w:r>
        <w:t xml:space="preserve"> </w:t>
      </w:r>
      <w:r>
        <w:t xml:space="preserve">Research Centre of the European Commission, it includes data on greenhouse gas emissions</w:t>
      </w:r>
      <w:r>
        <w:t xml:space="preserve"> </w:t>
      </w:r>
      <w:r>
        <w:t xml:space="preserve">at sub-national level (NUTS2) in the EU from 1 January 1990 to 1 January 2021.</w:t>
      </w:r>
      <w:r>
        <w:t xml:space="preserve"> </w:t>
      </w:r>
      <w:r>
        <w:t xml:space="preserve">For the SME test, we used the Structural Business Statistics from Eurostat, and in particular</w:t>
      </w:r>
      <w:r>
        <w:t xml:space="preserve"> </w:t>
      </w:r>
      <w:r>
        <w:t xml:space="preserve">the Enterprise statistics by size class and NACE Rev.2 activity, as well as data from the</w:t>
      </w:r>
      <w:r>
        <w:t xml:space="preserve"> </w:t>
      </w:r>
      <w:r>
        <w:t xml:space="preserve">Eurostat Farm Structure Survey.</w:t>
      </w:r>
    </w:p>
    <w:p>
      <w:pPr>
        <w:pStyle w:val="Compact"/>
        <w:numPr>
          <w:ilvl w:val="0"/>
          <w:numId w:val="1043"/>
        </w:numPr>
      </w:pPr>
      <w:r>
        <w:t xml:space="preserve">Crippa, Monica; Guizzardi, Diego; Pagani, Federico; Pisoni, Enrico; (2023): GHG Emissions at sub-national</w:t>
      </w:r>
      <w:r>
        <w:t xml:space="preserve"> </w:t>
      </w:r>
      <w:r>
        <w:t xml:space="preserve">level (v1.0). European Commission, Joint Research Centre (JRC) [Dataset]</w:t>
      </w:r>
    </w:p>
    <w:p>
      <w:pPr>
        <w:pStyle w:val="FirstParagraph"/>
      </w:pPr>
      <w:r>
        <w:t xml:space="preserve">48</w:t>
      </w:r>
    </w:p>
    <w:p>
      <w:pPr>
        <w:pStyle w:val="BodyText"/>
      </w:pPr>
      <w:r>
        <w:t xml:space="preserve">Annex 7: Cost of climate change</w:t>
      </w:r>
      <w:r>
        <w:br/>
      </w:r>
      <w:r>
        <w:t xml:space="preserve">1</w:t>
      </w:r>
      <w:r>
        <w:t xml:space="preserve"> </w:t>
      </w:r>
      <w:r>
        <w:t xml:space="preserve">GLOBAL WARMING</w:t>
      </w:r>
      <w:r>
        <w:t xml:space="preserve"> </w:t>
      </w:r>
      <w:r>
        <w:t xml:space="preserve">Human-induced climate change is a threat to people and nature around the world. Its impact</w:t>
      </w:r>
      <w:r>
        <w:t xml:space="preserve"> </w:t>
      </w:r>
      <w:r>
        <w:t xml:space="preserve">on lives, livelihoods and nature are widespread, increasing and some are unavoidable.</w:t>
      </w:r>
      <w:r>
        <w:t xml:space="preserve"> </w:t>
      </w:r>
      <w:r>
        <w:t xml:space="preserve">Extreme events, including heatwaves, droughts and floods, are rising in frequency and</w:t>
      </w:r>
      <w:r>
        <w:t xml:space="preserve"> </w:t>
      </w:r>
      <w:r>
        <w:t xml:space="preserve">intensity, negatively affecting people, ecosystems, food systems, infrastructure, energy and</w:t>
      </w:r>
      <w:r>
        <w:t xml:space="preserve"> </w:t>
      </w:r>
      <w:r>
        <w:t xml:space="preserve">water availability, public health and the economy. In addition, the extent and magnitude of the</w:t>
      </w:r>
      <w:r>
        <w:t xml:space="preserve"> </w:t>
      </w:r>
      <w:r>
        <w:t xml:space="preserve">impacts taking place already are at the worst end of the spectrum estimate by scientists. The</w:t>
      </w:r>
      <w:r>
        <w:t xml:space="preserve"> </w:t>
      </w:r>
      <w:r>
        <w:t xml:space="preserve">only way to lessen the impacts of climate change is by limiting global warming and enhancing</w:t>
      </w:r>
      <w:r>
        <w:t xml:space="preserve"> </w:t>
      </w:r>
      <w:r>
        <w:t xml:space="preserve">adaptation action. The higher the level of global warming the more severe the impacts, and</w:t>
      </w:r>
      <w:r>
        <w:t xml:space="preserve"> </w:t>
      </w:r>
      <w:r>
        <w:t xml:space="preserve">the higher the chances of triggering irreversible effects (173).</w:t>
      </w:r>
      <w:r>
        <w:br/>
      </w:r>
      <w:r>
        <w:t xml:space="preserve">Figure 5: Global surface air temperature anomalies</w:t>
      </w:r>
    </w:p>
    <w:p>
      <w:pPr>
        <w:pStyle w:val="BodyText"/>
      </w:pPr>
      <w:r>
        <w:t xml:space="preserve">Note: Monthly global surface air temperature anomalies (°C) relative to 1991–2020 from January 1940 to December</w:t>
      </w:r>
      <w:r>
        <w:t xml:space="preserve"> </w:t>
      </w:r>
      <w:r>
        <w:t xml:space="preserve">2023, plotted as time series for each year. 2023 is shown with a thick red line while other years are shown with thin</w:t>
      </w:r>
      <w:r>
        <w:t xml:space="preserve"> </w:t>
      </w:r>
      <w:r>
        <w:t xml:space="preserve">lines and shaded according to the decade, from blue (1940s) to brick red (2020s)</w:t>
      </w:r>
      <w:r>
        <w:t xml:space="preserve"> </w:t>
      </w:r>
      <w:r>
        <w:t xml:space="preserve">Source: ERA5. Credit: C3S/ECMWF.</w:t>
      </w:r>
      <w:r>
        <w:t xml:space="preserve"> </w:t>
      </w:r>
      <w:r>
        <w:t xml:space="preserve">Globally, the year 2023 was the warmest year on record, with global average temperatures</w:t>
      </w:r>
      <w:r>
        <w:t xml:space="preserve"> </w:t>
      </w:r>
      <w:r>
        <w:t xml:space="preserve">1.48oC warmer than the 1850-1900 pre-industrial average. It was the first year on record when</w:t>
      </w:r>
    </w:p>
    <w:p>
      <w:pPr>
        <w:pStyle w:val="Compact"/>
        <w:numPr>
          <w:ilvl w:val="0"/>
          <w:numId w:val="1044"/>
        </w:numPr>
      </w:pPr>
      <w:r>
        <w:t xml:space="preserve">IPCC 2023. Climate Change 2023: Synthesis Report. A Report of the Intergovernmental Panel on Climate</w:t>
      </w:r>
      <w:r>
        <w:t xml:space="preserve"> </w:t>
      </w:r>
      <w:r>
        <w:t xml:space="preserve">Change. Contribution of Working Groups I, II and III to the Sixth Assessment Report of the</w:t>
      </w:r>
      <w:r>
        <w:t xml:space="preserve"> </w:t>
      </w:r>
      <w:r>
        <w:t xml:space="preserve">Intergovernmental Panel on Climate Change [Core Writing Team, H. Lee and J. Romero (eds.)]. IPCC,</w:t>
      </w:r>
      <w:r>
        <w:t xml:space="preserve"> </w:t>
      </w:r>
      <w:r>
        <w:t xml:space="preserve">Geneva, Switzerland</w:t>
      </w:r>
    </w:p>
    <w:p>
      <w:pPr>
        <w:pStyle w:val="FirstParagraph"/>
      </w:pPr>
      <w:r>
        <w:t xml:space="preserve">49</w:t>
      </w:r>
    </w:p>
    <w:p>
      <w:pPr>
        <w:pStyle w:val="BodyText"/>
      </w:pPr>
      <w:r>
        <w:t xml:space="preserve">every day exceeded 1oC above the pre-industrial level. July and August 2023 were the hottest</w:t>
      </w:r>
      <w:r>
        <w:t xml:space="preserve"> </w:t>
      </w:r>
      <w:r>
        <w:t xml:space="preserve">two months on record, and the boreal summer (June to August) was the warmest ever</w:t>
      </w:r>
      <w:r>
        <w:t xml:space="preserve"> </w:t>
      </w:r>
      <w:r>
        <w:t xml:space="preserve">recorded. From June to December 2023 each month was warmer than the corresponding</w:t>
      </w:r>
      <w:r>
        <w:t xml:space="preserve"> </w:t>
      </w:r>
      <w:r>
        <w:t xml:space="preserve">month in any previous year, as shown in Figure 5, which shows global surface air</w:t>
      </w:r>
      <w:r>
        <w:t xml:space="preserve"> </w:t>
      </w:r>
      <w:r>
        <w:t xml:space="preserve">temperature anomalies relative to 1991–2020 for over 80 years (174).</w:t>
      </w:r>
      <w:r>
        <w:br/>
      </w:r>
      <w:r>
        <w:t xml:space="preserve">Table 6 shows that while the short-term evolution of global surface temperature is expected to</w:t>
      </w:r>
      <w:r>
        <w:t xml:space="preserve"> </w:t>
      </w:r>
      <w:r>
        <w:t xml:space="preserve">be similar across all representative concentration pathways (RCP), within only a few decades</w:t>
      </w:r>
      <w:r>
        <w:t xml:space="preserve"> </w:t>
      </w:r>
      <w:r>
        <w:t xml:space="preserve">from now it displays striking differences depending on the intensity of global mitigation</w:t>
      </w:r>
      <w:r>
        <w:t xml:space="preserve"> </w:t>
      </w:r>
      <w:r>
        <w:t xml:space="preserve">action in the coming years, between, on the one hand, a relatively contained climate change in</w:t>
      </w:r>
      <w:r>
        <w:t xml:space="preserve"> </w:t>
      </w:r>
      <w:r>
        <w:t xml:space="preserve">trajectories compatible with RCP2.6 or below and, on the other hand, a potentially very large</w:t>
      </w:r>
      <w:r>
        <w:t xml:space="preserve"> </w:t>
      </w:r>
      <w:r>
        <w:t xml:space="preserve">average global temperature increase with GHG trajectories above RCP4.5, which will</w:t>
      </w:r>
      <w:r>
        <w:t xml:space="preserve"> </w:t>
      </w:r>
      <w:r>
        <w:t xml:space="preserve">translate into still much stronger local and global impacts and increasing risks to cross tipping</w:t>
      </w:r>
      <w:r>
        <w:t xml:space="preserve"> </w:t>
      </w:r>
      <w:r>
        <w:t xml:space="preserve">points of the Earth climate system.</w:t>
      </w:r>
      <w:r>
        <w:br/>
      </w:r>
      <w:r>
        <w:t xml:space="preserve">Table 6: Changes in the global surface temperature relative to 1850-1900 for different RCPs</w:t>
      </w:r>
    </w:p>
    <w:p>
      <w:pPr>
        <w:pStyle w:val="BodyText"/>
      </w:pPr>
      <w:r>
        <w:t xml:space="preserve">Best</w:t>
      </w:r>
      <w:r>
        <w:t xml:space="preserve"> </w:t>
      </w:r>
      <w:r>
        <w:t xml:space="preserve">estimate</w:t>
      </w:r>
      <w:r>
        <w:t xml:space="preserve"> </w:t>
      </w:r>
      <w:r>
        <w:t xml:space="preserve">of</w:t>
      </w:r>
      <w:r>
        <w:t xml:space="preserve"> </w:t>
      </w:r>
      <w:r>
        <w:t xml:space="preserve">near-term</w:t>
      </w:r>
      <w:r>
        <w:t xml:space="preserve"> </w:t>
      </w:r>
      <w:r>
        <w:t xml:space="preserve">temperature increase (2021-2040)</w:t>
      </w:r>
      <w:r>
        <w:t xml:space="preserve"> </w:t>
      </w:r>
      <w:r>
        <w:t xml:space="preserve">(℃) [Very likely range]</w:t>
      </w:r>
      <w:r>
        <w:t xml:space="preserve"> </w:t>
      </w:r>
      <w:r>
        <w:t xml:space="preserve">Best</w:t>
      </w:r>
      <w:r>
        <w:t xml:space="preserve"> </w:t>
      </w:r>
      <w:r>
        <w:t xml:space="preserve">estimate</w:t>
      </w:r>
      <w:r>
        <w:t xml:space="preserve"> </w:t>
      </w:r>
      <w:r>
        <w:t xml:space="preserve">for</w:t>
      </w:r>
      <w:r>
        <w:t xml:space="preserve"> </w:t>
      </w:r>
      <w:r>
        <w:t xml:space="preserve">mid-term</w:t>
      </w:r>
      <w:r>
        <w:t xml:space="preserve"> </w:t>
      </w:r>
      <w:r>
        <w:t xml:space="preserve">temperature increase (2041-2060)</w:t>
      </w:r>
      <w:r>
        <w:t xml:space="preserve"> </w:t>
      </w:r>
      <w:r>
        <w:t xml:space="preserve">(℃) [Very likely range]</w:t>
      </w:r>
      <w:r>
        <w:t xml:space="preserve"> </w:t>
      </w:r>
      <w:r>
        <w:t xml:space="preserve">Best</w:t>
      </w:r>
      <w:r>
        <w:t xml:space="preserve"> </w:t>
      </w:r>
      <w:r>
        <w:t xml:space="preserve">estimate</w:t>
      </w:r>
      <w:r>
        <w:t xml:space="preserve"> </w:t>
      </w:r>
      <w:r>
        <w:t xml:space="preserve">for</w:t>
      </w:r>
      <w:r>
        <w:t xml:space="preserve"> </w:t>
      </w:r>
      <w:r>
        <w:t xml:space="preserve">long-term</w:t>
      </w:r>
      <w:r>
        <w:t xml:space="preserve"> </w:t>
      </w:r>
      <w:r>
        <w:t xml:space="preserve">temperature increase (2081-2100)</w:t>
      </w:r>
      <w:r>
        <w:t xml:space="preserve"> </w:t>
      </w:r>
      <w:r>
        <w:t xml:space="preserve">(℃) [Very likely range]</w:t>
      </w:r>
    </w:p>
    <w:p>
      <w:pPr>
        <w:pStyle w:val="BodyText"/>
      </w:pPr>
      <w:r>
        <w:t xml:space="preserve">RCP1.9</w:t>
      </w:r>
      <w:r>
        <w:t xml:space="preserve"> </w:t>
      </w:r>
      <w:r>
        <w:t xml:space="preserve">1.5 [1.2 - 1.7]</w:t>
      </w:r>
      <w:r>
        <w:t xml:space="preserve"> </w:t>
      </w:r>
      <w:r>
        <w:t xml:space="preserve">1.6 [1.2 - 2.0]</w:t>
      </w:r>
      <w:r>
        <w:t xml:space="preserve"> </w:t>
      </w:r>
      <w:r>
        <w:t xml:space="preserve">1.4 [1.0 - 1.8]</w:t>
      </w:r>
      <w:r>
        <w:t xml:space="preserve"> </w:t>
      </w:r>
      <w:r>
        <w:t xml:space="preserve">RCP2.6</w:t>
      </w:r>
      <w:r>
        <w:t xml:space="preserve"> </w:t>
      </w:r>
      <w:r>
        <w:t xml:space="preserve">1.5 [1.2 – 1.8]</w:t>
      </w:r>
      <w:r>
        <w:t xml:space="preserve"> </w:t>
      </w:r>
      <w:r>
        <w:t xml:space="preserve">1.7 [1.3 - 2.2]</w:t>
      </w:r>
      <w:r>
        <w:t xml:space="preserve"> </w:t>
      </w:r>
      <w:r>
        <w:t xml:space="preserve">1.8 [1.3 - 2.4]</w:t>
      </w:r>
      <w:r>
        <w:t xml:space="preserve"> </w:t>
      </w:r>
      <w:r>
        <w:t xml:space="preserve">RCP4.5</w:t>
      </w:r>
      <w:r>
        <w:t xml:space="preserve"> </w:t>
      </w:r>
      <w:r>
        <w:t xml:space="preserve">1.5 [1.2 - 1.8]</w:t>
      </w:r>
      <w:r>
        <w:t xml:space="preserve"> </w:t>
      </w:r>
      <w:r>
        <w:t xml:space="preserve">2.0 [1.6 - 2.5]</w:t>
      </w:r>
      <w:r>
        <w:t xml:space="preserve"> </w:t>
      </w:r>
      <w:r>
        <w:t xml:space="preserve">2.7 [2.1 - 3.5]</w:t>
      </w:r>
      <w:r>
        <w:t xml:space="preserve"> </w:t>
      </w:r>
      <w:r>
        <w:t xml:space="preserve">RCP7.0</w:t>
      </w:r>
      <w:r>
        <w:t xml:space="preserve"> </w:t>
      </w:r>
      <w:r>
        <w:t xml:space="preserve">1.5 [1.2 - 1.8]</w:t>
      </w:r>
      <w:r>
        <w:t xml:space="preserve"> </w:t>
      </w:r>
      <w:r>
        <w:t xml:space="preserve">2.1 [1.7 - 2.6]</w:t>
      </w:r>
      <w:r>
        <w:t xml:space="preserve"> </w:t>
      </w:r>
      <w:r>
        <w:t xml:space="preserve">3.6 [2.8 - 4.6]</w:t>
      </w:r>
      <w:r>
        <w:t xml:space="preserve"> </w:t>
      </w:r>
      <w:r>
        <w:t xml:space="preserve">RCP8.5</w:t>
      </w:r>
      <w:r>
        <w:t xml:space="preserve"> </w:t>
      </w:r>
      <w:r>
        <w:t xml:space="preserve">1.6 [1.3 - 1.9]</w:t>
      </w:r>
      <w:r>
        <w:t xml:space="preserve"> </w:t>
      </w:r>
      <w:r>
        <w:t xml:space="preserve">2.4 [1.9 - 3.0]</w:t>
      </w:r>
      <w:r>
        <w:t xml:space="preserve"> </w:t>
      </w:r>
      <w:r>
        <w:t xml:space="preserve">4.4 [3.3 - 5.7]</w:t>
      </w:r>
      <w:r>
        <w:t xml:space="preserve"> </w:t>
      </w:r>
      <w:r>
        <w:t xml:space="preserve">Note: The different Representative Concentration Pathways (RCP) are labelled after a possible range of radiative</w:t>
      </w:r>
      <w:r>
        <w:t xml:space="preserve"> </w:t>
      </w:r>
      <w:r>
        <w:t xml:space="preserve">forcing values (expressed in W/m2) in the year 2100.</w:t>
      </w:r>
      <w:r>
        <w:t xml:space="preserve"> </w:t>
      </w:r>
      <w:r>
        <w:t xml:space="preserve">Source: based on IPCC AR6 WG I (2021), Table SPM.1</w:t>
      </w:r>
      <w:r>
        <w:t xml:space="preserve"> </w:t>
      </w:r>
      <w:r>
        <w:t xml:space="preserve">The impacts of climate change are not distributed evenly across regions and social groups.</w:t>
      </w:r>
      <w:r>
        <w:t xml:space="preserve"> </w:t>
      </w:r>
      <w:r>
        <w:t xml:space="preserve">The communities that have historically contributed the least to global warming are</w:t>
      </w:r>
      <w:r>
        <w:t xml:space="preserve"> </w:t>
      </w:r>
      <w:r>
        <w:t xml:space="preserve">disproportionately affected. Vulnerable people, including the poor, women, children, the</w:t>
      </w:r>
      <w:r>
        <w:t xml:space="preserve"> </w:t>
      </w:r>
      <w:r>
        <w:t xml:space="preserve">elderly and Indigenous people, particularly in low-income countries and marginal</w:t>
      </w:r>
      <w:r>
        <w:t xml:space="preserve"> </w:t>
      </w:r>
      <w:r>
        <w:t xml:space="preserve">geographies, are most affected by the impacts of climate change including by water and food</w:t>
      </w:r>
      <w:r>
        <w:t xml:space="preserve"> </w:t>
      </w:r>
      <w:r>
        <w:t xml:space="preserve">insecurity and water-related extreme events such as floods and droughts. The most impacted</w:t>
      </w:r>
      <w:r>
        <w:t xml:space="preserve"> </w:t>
      </w:r>
      <w:r>
        <w:t xml:space="preserve">communities are in Africa, Asia, Central and South America, Small Islands and the Arctic</w:t>
      </w:r>
      <w:r>
        <w:t xml:space="preserve"> </w:t>
      </w:r>
      <w:r>
        <w:t xml:space="preserve">(175).</w:t>
      </w:r>
    </w:p>
    <w:p>
      <w:pPr>
        <w:pStyle w:val="Compact"/>
        <w:numPr>
          <w:ilvl w:val="0"/>
          <w:numId w:val="1045"/>
        </w:numPr>
      </w:pPr>
      <w:r>
        <w:t xml:space="preserve">https://climate.copernicus.eu/global-climate-highlights-2023</w:t>
      </w:r>
    </w:p>
    <w:p>
      <w:pPr>
        <w:pStyle w:val="Compact"/>
        <w:numPr>
          <w:ilvl w:val="0"/>
          <w:numId w:val="1045"/>
        </w:numPr>
      </w:pPr>
      <w:r>
        <w:t xml:space="preserve">IPCC, 2022: Climate Change 2022: Impacts, Adaptation and Vulnerability. Contribution of Working Group</w:t>
      </w:r>
      <w:r>
        <w:t xml:space="preserve"> </w:t>
      </w:r>
      <w:r>
        <w:t xml:space="preserve">II to the Sixth Assessment Report of the Intergovernmental Panel on Climate Change [H.-O. Pörtner, D.C.</w:t>
      </w:r>
      <w:r>
        <w:t xml:space="preserve"> </w:t>
      </w:r>
      <w:r>
        <w:t xml:space="preserve">Roberts, M. Tignor, E.S. Poloczanska, K. Mintenbeck, A. Alegría, M. Craig, S. Langsdorf, S. Löschke, V.</w:t>
      </w:r>
      <w:r>
        <w:t xml:space="preserve"> </w:t>
      </w:r>
      <w:r>
        <w:t xml:space="preserve">Möller, A. Okem, B. Rama (eds.)]. Cambridge University Press, Cambridge, UK and New York, NY, USA,</w:t>
      </w:r>
      <w:r>
        <w:t xml:space="preserve"> </w:t>
      </w:r>
      <w:r>
        <w:t xml:space="preserve">pp. 3–33, doi:10.1017/9781009325844.001</w:t>
      </w:r>
    </w:p>
    <w:p>
      <w:pPr>
        <w:pStyle w:val="FirstParagraph"/>
      </w:pPr>
      <w:r>
        <w:t xml:space="preserve">50</w:t>
      </w:r>
    </w:p>
    <w:p>
      <w:pPr>
        <w:pStyle w:val="BodyText"/>
      </w:pPr>
      <w:r>
        <w:t xml:space="preserve">Figure 6: Annual mean temperature change (℃) at different levels of global warming</w:t>
      </w:r>
    </w:p>
    <w:p>
      <w:pPr>
        <w:pStyle w:val="BodyText"/>
      </w:pPr>
      <w:r>
        <w:t xml:space="preserve">Source: IPCC AR6 WG I (2021) Figure SPM.5</w:t>
      </w:r>
      <w:r>
        <w:t xml:space="preserve"> </w:t>
      </w:r>
      <w:r>
        <w:t xml:space="preserve">With increasing GHG emissions, global warming will increase in all regions, but the pace of</w:t>
      </w:r>
      <w:r>
        <w:t xml:space="preserve"> </w:t>
      </w:r>
      <w:r>
        <w:t xml:space="preserve">change varies by region (Figure 6). Europe has been warming faster than any other continent,</w:t>
      </w:r>
      <w:r>
        <w:t xml:space="preserve"> </w:t>
      </w:r>
      <w:r>
        <w:t xml:space="preserve">at more than twice the rate of the global average over the past 30 years, with temperatures</w:t>
      </w:r>
      <w:r>
        <w:t xml:space="preserve"> </w:t>
      </w:r>
      <w:r>
        <w:t xml:space="preserve">increasing at an average rate of 0.5℃ per decade. Surface air temperature in Europe has</w:t>
      </w:r>
      <w:r>
        <w:t xml:space="preserve"> </w:t>
      </w:r>
      <w:r>
        <w:t xml:space="preserve">increased by 2.2℃ (five-year average up to 2023) above pre-industrial era, while the global</w:t>
      </w:r>
      <w:r>
        <w:t xml:space="preserve"> </w:t>
      </w:r>
      <w:r>
        <w:t xml:space="preserve">average for the same period is around 1.2℃ (176), and this trend is projected to continue in the</w:t>
      </w:r>
      <w:r>
        <w:t xml:space="preserve"> </w:t>
      </w:r>
      <w:r>
        <w:t xml:space="preserve">future (Figure 7), increasing the severity of impacts.</w:t>
      </w:r>
      <w:r>
        <w:br/>
      </w:r>
      <w:r>
        <w:t xml:space="preserve">The main risks associated with global warming for Europe are increased mortality and</w:t>
      </w:r>
      <w:r>
        <w:t xml:space="preserve"> </w:t>
      </w:r>
      <w:r>
        <w:t xml:space="preserve">morbidity of people due to heat stress, damages to species and ecosystems, expansion of fire-</w:t>
      </w:r>
      <w:r>
        <w:t xml:space="preserve"> </w:t>
      </w:r>
      <w:r>
        <w:t xml:space="preserve">prone areas, agricultural production losses, water scarcity impacting a wide range of users,</w:t>
      </w:r>
      <w:r>
        <w:t xml:space="preserve"> </w:t>
      </w:r>
      <w:r>
        <w:t xml:space="preserve">and risks associated with flooding. Impacts on socio-economic systems are projected to</w:t>
      </w:r>
      <w:r>
        <w:t xml:space="preserve"> </w:t>
      </w:r>
      <w:r>
        <w:t xml:space="preserve">intensify, including widespread damages to infrastructure and businesses. Beyond 2040 the</w:t>
      </w:r>
      <w:r>
        <w:t xml:space="preserve"> </w:t>
      </w:r>
      <w:r>
        <w:t xml:space="preserve">severity of impacts from climate change depends on the level of warming and can be multiple</w:t>
      </w:r>
      <w:r>
        <w:t xml:space="preserve"> </w:t>
      </w:r>
      <w:r>
        <w:t xml:space="preserve">times higher than currently observed. The level of risk in the future depends on the actions</w:t>
      </w:r>
      <w:r>
        <w:t xml:space="preserve"> </w:t>
      </w:r>
      <w:r>
        <w:t xml:space="preserve">taken in the near-term (177).</w:t>
      </w:r>
    </w:p>
    <w:p>
      <w:pPr>
        <w:pStyle w:val="Compact"/>
        <w:numPr>
          <w:ilvl w:val="0"/>
          <w:numId w:val="1046"/>
        </w:numPr>
      </w:pPr>
      <w:r>
        <w:t xml:space="preserve">Copernicus Climate Change Service (C3S), 2023: European State of the Climate 2022, Full report:</w:t>
      </w:r>
      <w:r>
        <w:t xml:space="preserve"> </w:t>
      </w:r>
      <w:r>
        <w:t xml:space="preserve">climate.copernicus.eu/ESOTC/2022.</w:t>
      </w:r>
      <w:r>
        <w:br/>
      </w:r>
    </w:p>
    <w:p>
      <w:pPr>
        <w:pStyle w:val="Compact"/>
        <w:numPr>
          <w:ilvl w:val="0"/>
          <w:numId w:val="1046"/>
        </w:numPr>
      </w:pPr>
      <w:r>
        <w:t xml:space="preserve">IPCC, 2022: Climate Change 2022: Impacts, Adaptation and Vulnerability. Contribution of Working Group</w:t>
      </w:r>
      <w:r>
        <w:t xml:space="preserve"> </w:t>
      </w:r>
      <w:r>
        <w:t xml:space="preserve">II to the Sixth Assessment Report of the Intergovernmental Panel on Climate Change [H.-O. Pörtner, D.C.</w:t>
      </w:r>
      <w:r>
        <w:t xml:space="preserve"> </w:t>
      </w:r>
      <w:r>
        <w:t xml:space="preserve">Roberts, M. Tignor, E.S. Poloczanska, K. Mintenbeck, A. Alegría, M. Craig, S. Langsdorf, S. Löschke, V.</w:t>
      </w:r>
      <w:r>
        <w:t xml:space="preserve"> </w:t>
      </w:r>
      <w:r>
        <w:t xml:space="preserve">Möller, A. Okem, B. Rama (eds.)]. Cambridge University Press, Cambridge, UK and New York, NY, USA,</w:t>
      </w:r>
      <w:r>
        <w:t xml:space="preserve"> </w:t>
      </w:r>
      <w:r>
        <w:t xml:space="preserve">pp. 3–33, doi:10.1017/9781009325844.001</w:t>
      </w:r>
    </w:p>
    <w:p>
      <w:pPr>
        <w:pStyle w:val="FirstParagraph"/>
      </w:pPr>
      <w:r>
        <w:t xml:space="preserve">51</w:t>
      </w:r>
    </w:p>
    <w:p>
      <w:pPr>
        <w:pStyle w:val="BodyText"/>
      </w:pPr>
      <w:r>
        <w:t xml:space="preserve">Figure 7: Changes in local annual average temperature and precipitation in Europe</w:t>
      </w:r>
    </w:p>
    <w:p>
      <w:pPr>
        <w:pStyle w:val="BodyText"/>
      </w:pPr>
      <w:r>
        <w:t xml:space="preserve">Note: Changes are from reference period (1981-2010), while the three global warming scenarios (1.5°C, 2°C, 3°C) are</w:t>
      </w:r>
      <w:r>
        <w:t xml:space="preserve"> </w:t>
      </w:r>
      <w:r>
        <w:t xml:space="preserve">defined compared to pre-industrial times.</w:t>
      </w:r>
      <w:r>
        <w:t xml:space="preserve"> </w:t>
      </w:r>
      <w:r>
        <w:t xml:space="preserve">Source: JRC PESETA IV final report (178)</w:t>
      </w:r>
      <w:r>
        <w:br/>
      </w:r>
      <w:r>
        <w:t xml:space="preserve">Climate change impacts human and natural systems in a number of ways, affecting</w:t>
      </w:r>
      <w:r>
        <w:t xml:space="preserve"> </w:t>
      </w:r>
      <w:r>
        <w:t xml:space="preserve">ecosystems, people, settlements and infrastructure, which will be discussed in the following</w:t>
      </w:r>
      <w:r>
        <w:t xml:space="preserve"> </w:t>
      </w:r>
      <w:r>
        <w:t xml:space="preserve">sections.</w:t>
      </w:r>
      <w:r>
        <w:t xml:space="preserve"> </w:t>
      </w:r>
      <w:r>
        <w:t xml:space="preserve">2</w:t>
      </w:r>
      <w:r>
        <w:t xml:space="preserve"> </w:t>
      </w:r>
      <w:r>
        <w:t xml:space="preserve">IMPACTS OF CLIMATE CHANGE</w:t>
      </w:r>
      <w:r>
        <w:br/>
      </w:r>
      <w:r>
        <w:t xml:space="preserve">2.1</w:t>
      </w:r>
      <w:r>
        <w:t xml:space="preserve"> </w:t>
      </w:r>
      <w:r>
        <w:t xml:space="preserve">Global impacts of climate change and risks of climate tipping points</w:t>
      </w:r>
      <w:r>
        <w:t xml:space="preserve"> </w:t>
      </w:r>
      <w:r>
        <w:t xml:space="preserve">2.1.1 A very wide range of impacts</w:t>
      </w:r>
      <w:r>
        <w:t xml:space="preserve"> </w:t>
      </w:r>
      <w:r>
        <w:t xml:space="preserve">Anthropogenic climate change has resulted in widespread and adverse impacts on humans and</w:t>
      </w:r>
      <w:r>
        <w:t xml:space="preserve"> </w:t>
      </w:r>
      <w:r>
        <w:t xml:space="preserve">nature across the globe, disproportionately affecting the most vulnerable people and systems.</w:t>
      </w:r>
      <w:r>
        <w:t xml:space="preserve"> </w:t>
      </w:r>
      <w:r>
        <w:t xml:space="preserve">Increasing frequency and intensity of extreme events have led to human mortality from heat,</w:t>
      </w:r>
      <w:r>
        <w:t xml:space="preserve"> </w:t>
      </w:r>
      <w:r>
        <w:t xml:space="preserve">increases in areas burnt by wildfires, adverse impacts from tropical cyclones due to sea-level</w:t>
      </w:r>
      <w:r>
        <w:t xml:space="preserve"> </w:t>
      </w:r>
      <w:r>
        <w:t xml:space="preserve">rise and the increase in intensity of precipitation. Ecosystems are being severely damaged and</w:t>
      </w:r>
      <w:r>
        <w:t xml:space="preserve"> </w:t>
      </w:r>
      <w:r>
        <w:t xml:space="preserve">climate change has driven species globally to shift polewards or to higher elevations, caused</w:t>
      </w:r>
      <w:r>
        <w:t xml:space="preserve"> </w:t>
      </w:r>
      <w:r>
        <w:t xml:space="preserve">mass mortality events of species on land and in the ocean and at least one species extinction</w:t>
      </w:r>
      <w:r>
        <w:t xml:space="preserve"> </w:t>
      </w:r>
      <w:r>
        <w:t xml:space="preserve">(see section 2.1.3). Climate change and biodiversity loss are interdependent and exacerbating</w:t>
      </w:r>
    </w:p>
    <w:p>
      <w:pPr>
        <w:pStyle w:val="Compact"/>
        <w:numPr>
          <w:ilvl w:val="0"/>
          <w:numId w:val="1047"/>
        </w:numPr>
      </w:pPr>
      <w:r>
        <w:t xml:space="preserve">Feyen L., Ciscar J.C., Gosling S., Ibarreta D., Soria A. (editors) (2020). Climate change impacts and</w:t>
      </w:r>
      <w:r>
        <w:t xml:space="preserve"> </w:t>
      </w:r>
      <w:r>
        <w:t xml:space="preserve">adaptation in Europe. JRC PESETA IV final report. EUR 30180EN, Publications Office of the European</w:t>
      </w:r>
      <w:r>
        <w:t xml:space="preserve"> </w:t>
      </w:r>
      <w:r>
        <w:t xml:space="preserve">Union, Luxembourg, ISBN 978-92-76-18123-1, doi:10.2760/171121, JRC119178.</w:t>
      </w:r>
    </w:p>
    <w:p>
      <w:pPr>
        <w:pStyle w:val="FirstParagraph"/>
      </w:pPr>
      <w:r>
        <w:t xml:space="preserve">52</w:t>
      </w:r>
    </w:p>
    <w:p>
      <w:pPr>
        <w:pStyle w:val="BodyText"/>
      </w:pPr>
      <w:r>
        <w:t xml:space="preserve">each other. Climate change is also reducing food and water security, affecting, in particular,</w:t>
      </w:r>
      <w:r>
        <w:t xml:space="preserve"> </w:t>
      </w:r>
      <w:r>
        <w:t xml:space="preserve">communities in Africa, Asia, Central and South America, Small Islands and Arctic. Human</w:t>
      </w:r>
      <w:r>
        <w:t xml:space="preserve"> </w:t>
      </w:r>
      <w:r>
        <w:t xml:space="preserve">physical and mental health is also adversely affected by climate change, including through</w:t>
      </w:r>
      <w:r>
        <w:t xml:space="preserve"> </w:t>
      </w:r>
      <w:r>
        <w:t xml:space="preserve">extreme heat events, increased occurrence of certain diseases, increased exposure to wildfire</w:t>
      </w:r>
      <w:r>
        <w:t xml:space="preserve"> </w:t>
      </w:r>
      <w:r>
        <w:t xml:space="preserve">smoke, dust and aeroallergens, trauma from extreme weather and climate events, and loss of</w:t>
      </w:r>
      <w:r>
        <w:t xml:space="preserve"> </w:t>
      </w:r>
      <w:r>
        <w:t xml:space="preserve">livelihoods and culture (179).</w:t>
      </w:r>
      <w:r>
        <w:t xml:space="preserve"> </w:t>
      </w:r>
      <w:r>
        <w:t xml:space="preserve">All of the above-mentioned impacts of climate change have implications for international</w:t>
      </w:r>
      <w:r>
        <w:t xml:space="preserve"> </w:t>
      </w:r>
      <w:r>
        <w:t xml:space="preserve">peace and security, including through potential migratory movements and displacement,</w:t>
      </w:r>
      <w:r>
        <w:t xml:space="preserve"> </w:t>
      </w:r>
      <w:r>
        <w:t xml:space="preserve">pandemics, social unrest, instability and insecurity (180). The impacts of climate change can be</w:t>
      </w:r>
      <w:r>
        <w:t xml:space="preserve"> </w:t>
      </w:r>
      <w:r>
        <w:t xml:space="preserve">important drivers of migration and displacement, which are strongly influenced by other</w:t>
      </w:r>
      <w:r>
        <w:t xml:space="preserve"> </w:t>
      </w:r>
      <w:r>
        <w:t xml:space="preserve">socio-economic processes. They often emerge when other forms of adaptation are insufficient</w:t>
      </w:r>
      <w:r>
        <w:t xml:space="preserve"> </w:t>
      </w:r>
      <w:r>
        <w:t xml:space="preserve">or not viable. Currently, most climate-change related migrations happen within countries.</w:t>
      </w:r>
      <w:r>
        <w:t xml:space="preserve"> </w:t>
      </w:r>
      <w:r>
        <w:t xml:space="preserve">Most common hazards that result in displacement include tropical cyclones, flooding, and</w:t>
      </w:r>
      <w:r>
        <w:t xml:space="preserve"> </w:t>
      </w:r>
      <w:r>
        <w:t xml:space="preserve">drought. With increasing warming, extreme events are projected to increase in frequency and</w:t>
      </w:r>
      <w:r>
        <w:t xml:space="preserve"> </w:t>
      </w:r>
      <w:r>
        <w:t xml:space="preserve">intensity, which might lead to more people being displaced, especially in most exposed</w:t>
      </w:r>
      <w:r>
        <w:t xml:space="preserve"> </w:t>
      </w:r>
      <w:r>
        <w:t xml:space="preserve">areas (181).</w:t>
      </w:r>
      <w:r>
        <w:t xml:space="preserve"> </w:t>
      </w:r>
      <w:r>
        <w:t xml:space="preserve">2.1.2 Climate tipping points</w:t>
      </w:r>
      <w:r>
        <w:t xml:space="preserve"> </w:t>
      </w:r>
      <w:r>
        <w:t xml:space="preserve">One of the biggest concerns and uncertainties associated with climate change is the triggering</w:t>
      </w:r>
      <w:r>
        <w:t xml:space="preserve"> </w:t>
      </w:r>
      <w:r>
        <w:t xml:space="preserve">of climate tipping points (Figure 8). Those are critical thresholds beyond which global or</w:t>
      </w:r>
      <w:r>
        <w:t xml:space="preserve"> </w:t>
      </w:r>
      <w:r>
        <w:t xml:space="preserve">regional climate reorganises from one stable state to another, which may lead to abrupt,</w:t>
      </w:r>
      <w:r>
        <w:t xml:space="preserve"> </w:t>
      </w:r>
      <w:r>
        <w:t xml:space="preserve">substantial, irreversible, and dangerous impacts for human and natural systems. Examples</w:t>
      </w:r>
      <w:r>
        <w:t xml:space="preserve"> </w:t>
      </w:r>
      <w:r>
        <w:t xml:space="preserve">include a sudden or substantial sea level rise, the release of greenhouse gases from a thawing</w:t>
      </w:r>
      <w:r>
        <w:t xml:space="preserve"> </w:t>
      </w:r>
      <w:r>
        <w:t xml:space="preserve">permafrost, and dieback of biodiverse biomes such as warm water corals or the Amazon</w:t>
      </w:r>
      <w:r>
        <w:t xml:space="preserve"> </w:t>
      </w:r>
      <w:r>
        <w:t xml:space="preserve">rainforest. Several tipping elements, defined as large-scale Earth system components, are now</w:t>
      </w:r>
      <w:r>
        <w:t xml:space="preserve"> </w:t>
      </w:r>
      <w:r>
        <w:t xml:space="preserve">increasingly unstable (182) and a recent study (183) found that the current level of global</w:t>
      </w:r>
      <w:r>
        <w:t xml:space="preserve"> </w:t>
      </w:r>
      <w:r>
        <w:t xml:space="preserve">warming already puts us at risk of crossing five tipping points. With any additional increment</w:t>
      </w:r>
      <w:r>
        <w:t xml:space="preserve"> </w:t>
      </w:r>
      <w:r>
        <w:t xml:space="preserve">of a degree of warming, this risk increases. Even within the Paris Agreement temperature</w:t>
      </w:r>
      <w:r>
        <w:t xml:space="preserve"> </w:t>
      </w:r>
      <w:r>
        <w:t xml:space="preserve">range of 1.5°C to below 2°C global warming, the world will be at risk of ten currently</w:t>
      </w:r>
    </w:p>
    <w:p>
      <w:pPr>
        <w:pStyle w:val="Compact"/>
        <w:numPr>
          <w:ilvl w:val="0"/>
          <w:numId w:val="1048"/>
        </w:numPr>
      </w:pPr>
      <w:r>
        <w:t xml:space="preserve">IPCC, 2022: Climate Change 2022: Impacts, Adaptation and Vulnerability. Contribution of Working Group</w:t>
      </w:r>
      <w:r>
        <w:t xml:space="preserve"> </w:t>
      </w:r>
      <w:r>
        <w:t xml:space="preserve">II to the Sixth Assessment Report of the Intergovernmental Panel on Climate Change [H.-O. Pörtner, D.C.</w:t>
      </w:r>
      <w:r>
        <w:t xml:space="preserve"> </w:t>
      </w:r>
      <w:r>
        <w:t xml:space="preserve">Roberts, M. Tignor, E.S. Poloczanska, K. Mintenbeck, A. Alegría, M. Craig, S. Langsdorf, S. Löschke, V.</w:t>
      </w:r>
      <w:r>
        <w:t xml:space="preserve"> </w:t>
      </w:r>
      <w:r>
        <w:t xml:space="preserve">Möller, A. Okem, B. Rama (eds.)]. Cambridge University Press, Cambridge, UK and New York, NY, USA,</w:t>
      </w:r>
      <w:r>
        <w:t xml:space="preserve"> </w:t>
      </w:r>
      <w:r>
        <w:t xml:space="preserve">pp. 3–33, doi:10.1017/9781009325844.001.</w:t>
      </w:r>
    </w:p>
    <w:p>
      <w:pPr>
        <w:pStyle w:val="Compact"/>
        <w:numPr>
          <w:ilvl w:val="0"/>
          <w:numId w:val="1048"/>
        </w:numPr>
      </w:pPr>
      <w:r>
        <w:t xml:space="preserve">Joint communication to the European Parliament and the Council: A new outlook on the climate and</w:t>
      </w:r>
      <w:r>
        <w:t xml:space="preserve"> </w:t>
      </w:r>
      <w:r>
        <w:t xml:space="preserve">security nexus: Addressing the impact of climate change and environmental degradation on peace, security</w:t>
      </w:r>
      <w:r>
        <w:t xml:space="preserve"> </w:t>
      </w:r>
      <w:r>
        <w:t xml:space="preserve">and defence. 28.6.2023.</w:t>
      </w:r>
    </w:p>
    <w:p>
      <w:pPr>
        <w:pStyle w:val="Compact"/>
        <w:numPr>
          <w:ilvl w:val="0"/>
          <w:numId w:val="1048"/>
        </w:numPr>
      </w:pPr>
      <w:r>
        <w:t xml:space="preserve">Cissé, G., R. McLeman, H. Adams, P. Aldunce, K. Bowen, D. Campbell-Lendrum, S. Clayton, K.L. Ebi, J.</w:t>
      </w:r>
      <w:r>
        <w:t xml:space="preserve"> </w:t>
      </w:r>
      <w:r>
        <w:t xml:space="preserve">Hess, C. Huang, Q. Liu, G. McGregor, J. Semenza, and M.C. Tirado, 2022: Health, Wellbeing, and the</w:t>
      </w:r>
      <w:r>
        <w:t xml:space="preserve"> </w:t>
      </w:r>
      <w:r>
        <w:t xml:space="preserve">Changing Structure of Communities. In: Climate Change 2022: Impacts, Adaptation and Vulnerability.</w:t>
      </w:r>
      <w:r>
        <w:t xml:space="preserve"> </w:t>
      </w:r>
      <w:r>
        <w:t xml:space="preserve">Contribution of Working Group II to the Sixth Assessment Report of the Intergovernmental Panel on</w:t>
      </w:r>
      <w:r>
        <w:t xml:space="preserve"> </w:t>
      </w:r>
      <w:r>
        <w:t xml:space="preserve">Climate Change [H.-O. Pörtner, D.C. Roberts, M. Tignor, E.S. Poloczanska, K. Mintenbeck, A. Alegría, M.</w:t>
      </w:r>
      <w:r>
        <w:t xml:space="preserve"> </w:t>
      </w:r>
      <w:r>
        <w:t xml:space="preserve">Craig, S. Langsdorf, S. Löschke, V. Möller, A. Okem, B. Rama (eds.)]. Cambridge University Press,</w:t>
      </w:r>
      <w:r>
        <w:t xml:space="preserve"> </w:t>
      </w:r>
      <w:r>
        <w:t xml:space="preserve">Cambridge, UK and New York, NY, USA, pp. 1041–1170, doi:10.1017/9781009325844.009.</w:t>
      </w:r>
    </w:p>
    <w:p>
      <w:pPr>
        <w:pStyle w:val="Compact"/>
        <w:numPr>
          <w:ilvl w:val="0"/>
          <w:numId w:val="1048"/>
        </w:numPr>
      </w:pPr>
      <w:r>
        <w:t xml:space="preserve">T. M. Lenton, J. Rockström, O. Gaffney, S. Rahmstorf, K. Richardson, W. Steffen, H. J. Schellnhuber,</w:t>
      </w:r>
      <w:r>
        <w:t xml:space="preserve"> </w:t>
      </w:r>
      <w:r>
        <w:t xml:space="preserve">Climate tipping points - too risky to bet against. Nature 575, 592–595 (2019).</w:t>
      </w:r>
    </w:p>
    <w:p>
      <w:pPr>
        <w:pStyle w:val="Compact"/>
        <w:numPr>
          <w:ilvl w:val="0"/>
          <w:numId w:val="1048"/>
        </w:numPr>
      </w:pPr>
      <w:r>
        <w:t xml:space="preserve">David I. Armstrong McKay et al., Exceeding 1.5°C global warming could trigger multiple climate tipping</w:t>
      </w:r>
      <w:r>
        <w:t xml:space="preserve"> </w:t>
      </w:r>
      <w:r>
        <w:t xml:space="preserve">points. Science 377, eabn7950 (2022). DOI:10.1126/science.abn7950.</w:t>
      </w:r>
    </w:p>
    <w:p>
      <w:pPr>
        <w:pStyle w:val="FirstParagraph"/>
      </w:pPr>
      <w:r>
        <w:t xml:space="preserve">53</w:t>
      </w:r>
    </w:p>
    <w:p>
      <w:pPr>
        <w:pStyle w:val="BodyText"/>
      </w:pPr>
      <w:r>
        <w:t xml:space="preserve">identified tipping points being triggered, including the collapse of the Greenland and West</w:t>
      </w:r>
      <w:r>
        <w:t xml:space="preserve"> </w:t>
      </w:r>
      <w:r>
        <w:t xml:space="preserve">Antarctic ice sheets, die-off of low-latitude coral reefs and widespread abrupt permafrost</w:t>
      </w:r>
      <w:r>
        <w:t xml:space="preserve"> </w:t>
      </w:r>
      <w:r>
        <w:t xml:space="preserve">thaw.</w:t>
      </w:r>
      <w:r>
        <w:t xml:space="preserve"> </w:t>
      </w:r>
      <w:r>
        <w:t xml:space="preserve">Figure 8: The location of climate tipping elements.</w:t>
      </w:r>
    </w:p>
    <w:p>
      <w:pPr>
        <w:pStyle w:val="BodyText"/>
      </w:pPr>
      <w:r>
        <w:t xml:space="preserve">Note: The location of climate tipping elements in the cryosphere (blue), biosphere (green), and ocean/atmosphere</w:t>
      </w:r>
      <w:r>
        <w:t xml:space="preserve"> </w:t>
      </w:r>
      <w:r>
        <w:t xml:space="preserve">(orange), and global warming levels at which their tipping points will likely be triggered.</w:t>
      </w:r>
      <w:r>
        <w:t xml:space="preserve"> </w:t>
      </w:r>
      <w:r>
        <w:t xml:space="preserve">Source: McKay et al. 2022 (184)</w:t>
      </w:r>
      <w:r>
        <w:t xml:space="preserve"> </w:t>
      </w:r>
      <w:r>
        <w:t xml:space="preserve">Due to large uncertainties in the timing of tipping points being triggered, some may occur</w:t>
      </w:r>
      <w:r>
        <w:t xml:space="preserve"> </w:t>
      </w:r>
      <w:r>
        <w:t xml:space="preserve">much sooner than previously estimated. One of such tipping elements is the Atlantic</w:t>
      </w:r>
      <w:r>
        <w:t xml:space="preserve"> </w:t>
      </w:r>
      <w:r>
        <w:t xml:space="preserve">Meridional Overturning Circulation (AMOC), the key overturning current system in the South</w:t>
      </w:r>
      <w:r>
        <w:t xml:space="preserve"> </w:t>
      </w:r>
      <w:r>
        <w:t xml:space="preserve">and North Atlantic oceans, that helps regulate the climate of the Northern Hemisphere. Its</w:t>
      </w:r>
      <w:r>
        <w:t xml:space="preserve"> </w:t>
      </w:r>
      <w:r>
        <w:t xml:space="preserve">collapse would have severe impact on the global climate system and could impact the stability</w:t>
      </w:r>
      <w:r>
        <w:t xml:space="preserve"> </w:t>
      </w:r>
      <w:r>
        <w:t xml:space="preserve">of other major tipping elements, including the Antarctic ice sheet, tropical monsoon system</w:t>
      </w:r>
      <w:r>
        <w:t xml:space="preserve"> </w:t>
      </w:r>
      <w:r>
        <w:t xml:space="preserve">and the Amazon rainforest. There is evidence that the strength of AMOC has been weakening</w:t>
      </w:r>
      <w:r>
        <w:t xml:space="preserve"> </w:t>
      </w:r>
      <w:r>
        <w:t xml:space="preserve">in the recent decades (185) (186) mainly as the result of the freshwater influx from the melting</w:t>
      </w:r>
      <w:r>
        <w:t xml:space="preserve"> </w:t>
      </w:r>
      <w:r>
        <w:t xml:space="preserve">of the Greenland Ice Sheet as well as increased river discharge into the Arctic Ocean due to</w:t>
      </w:r>
      <w:r>
        <w:t xml:space="preserve"> </w:t>
      </w:r>
      <w:r>
        <w:t xml:space="preserve">global warming. While the IPCC AR6 evaluated that an abrupt collapse before the end of the</w:t>
      </w:r>
      <w:r>
        <w:t xml:space="preserve"> </w:t>
      </w:r>
      <w:r>
        <w:t xml:space="preserve">century is unlikely to occur (187), recent research (188) suggests that it could actually occur</w:t>
      </w:r>
    </w:p>
    <w:p>
      <w:pPr>
        <w:pStyle w:val="Compact"/>
        <w:numPr>
          <w:ilvl w:val="0"/>
          <w:numId w:val="1049"/>
        </w:numPr>
      </w:pPr>
      <w:r>
        <w:t xml:space="preserve">David I. Armstrong McKay et al., Exceeding 1.5°C global warming could trigger multiple climate tipping</w:t>
      </w:r>
      <w:r>
        <w:t xml:space="preserve"> </w:t>
      </w:r>
      <w:r>
        <w:t xml:space="preserve">points. Science 377, eabn7950 (2022). DOI:10.1126/science.abn7950.</w:t>
      </w:r>
    </w:p>
    <w:p>
      <w:pPr>
        <w:pStyle w:val="Compact"/>
        <w:numPr>
          <w:ilvl w:val="0"/>
          <w:numId w:val="1049"/>
        </w:numPr>
      </w:pPr>
      <w:r>
        <w:t xml:space="preserve">Rahmstorf, S. et al. 2015. Exceptional twentieth-century slowdown in Atlantic Ocean overturning</w:t>
      </w:r>
      <w:r>
        <w:t xml:space="preserve"> </w:t>
      </w:r>
      <w:r>
        <w:t xml:space="preserve">circulation. Nature Climate Change 5, 475–480.</w:t>
      </w:r>
    </w:p>
    <w:p>
      <w:pPr>
        <w:pStyle w:val="Compact"/>
        <w:numPr>
          <w:ilvl w:val="0"/>
          <w:numId w:val="1049"/>
        </w:numPr>
      </w:pPr>
      <w:r>
        <w:t xml:space="preserve">Boers, N. 2021. Observation-based early-warning signals for a collapse of the Atlantic Meridional</w:t>
      </w:r>
      <w:r>
        <w:t xml:space="preserve"> </w:t>
      </w:r>
      <w:r>
        <w:t xml:space="preserve">Overturning Circulation. Nat. Clim. Chang. 11, 680–688. https://doi.org/10.1038/s41558-021-01097-4</w:t>
      </w:r>
    </w:p>
    <w:p>
      <w:pPr>
        <w:pStyle w:val="Compact"/>
        <w:numPr>
          <w:ilvl w:val="0"/>
          <w:numId w:val="1049"/>
        </w:numPr>
      </w:pPr>
      <w:r>
        <w:t xml:space="preserve">Fox-Kemper, B., H.T. Hewitt, C. Xiao, G. Aðalgeirsdóttir, S.S. Drijfhout, T.L. Edwards, N.R. Golledge, M.</w:t>
      </w:r>
      <w:r>
        <w:t xml:space="preserve"> </w:t>
      </w:r>
      <w:r>
        <w:t xml:space="preserve">Hemer, R.E. Kopp, G. Krinner, A. Mix, D. Notz, S. Nowicki, I.S. Nurhati, L. Ruiz, J.-B. Sallée, A.B.A.</w:t>
      </w:r>
      <w:r>
        <w:t xml:space="preserve"> </w:t>
      </w:r>
      <w:r>
        <w:t xml:space="preserve">Slangen, and Y. Yu, 2021: Ocean, Cryosphere and Sea Level Change. In Climate Change 2021: The</w:t>
      </w:r>
      <w:r>
        <w:t xml:space="preserve"> </w:t>
      </w:r>
      <w:r>
        <w:t xml:space="preserve">Physical Science Basis. Contribution of Working Group I to the Sixth Assessment Report of the</w:t>
      </w:r>
      <w:r>
        <w:t xml:space="preserve"> </w:t>
      </w:r>
      <w:r>
        <w:t xml:space="preserve">Intergovernmental Panel on Climate Change [Masson-Delmotte, V., P. Zhai, A. Pirani, S.L. Connors, C.</w:t>
      </w:r>
      <w:r>
        <w:t xml:space="preserve"> </w:t>
      </w:r>
      <w:r>
        <w:t xml:space="preserve">Péan, S. Berger, N. Caud, Y. Chen, L. Goldfarb, M.I. Gomis, M. Huang, K. Leitzell, E. Lonnoy,</w:t>
      </w:r>
    </w:p>
    <w:p>
      <w:pPr>
        <w:pStyle w:val="FirstParagraph"/>
      </w:pPr>
      <w:r>
        <w:t xml:space="preserve">54</w:t>
      </w:r>
    </w:p>
    <w:p>
      <w:pPr>
        <w:pStyle w:val="BodyText"/>
      </w:pPr>
      <w:r>
        <w:t xml:space="preserve">much earlier, with a central estimate of 2050 (95% confidence interval between 2025-2095)</w:t>
      </w:r>
      <w:r>
        <w:t xml:space="preserve"> </w:t>
      </w:r>
      <w:r>
        <w:t xml:space="preserve">under current projections of future greenhouse gas emissions. If greenhouse gas emissions are</w:t>
      </w:r>
      <w:r>
        <w:t xml:space="preserve"> </w:t>
      </w:r>
      <w:r>
        <w:t xml:space="preserve">not urgently reduced, the expected tipping point could therefore be triggered much earlier</w:t>
      </w:r>
      <w:r>
        <w:t xml:space="preserve"> </w:t>
      </w:r>
      <w:r>
        <w:t xml:space="preserve">than previously estimated, with catastrophic impacts around the world, including on rain</w:t>
      </w:r>
      <w:r>
        <w:t xml:space="preserve"> </w:t>
      </w:r>
      <w:r>
        <w:t xml:space="preserve">patterns in Asia, South America and Africa, increased storm weather and decrease in</w:t>
      </w:r>
      <w:r>
        <w:t xml:space="preserve"> </w:t>
      </w:r>
      <w:r>
        <w:t xml:space="preserve">temperatures in Europe and increased sea level rise on the eastern coast of North America.</w:t>
      </w:r>
      <w:r>
        <w:t xml:space="preserve"> </w:t>
      </w:r>
      <w:r>
        <w:t xml:space="preserve">Reaching one climate tipping point could also result in triggering other ones with potentially</w:t>
      </w:r>
      <w:r>
        <w:t xml:space="preserve"> </w:t>
      </w:r>
      <w:r>
        <w:t xml:space="preserve">catastrophic impacts (Figure 9). Crossing multiple tipping points would have implications for</w:t>
      </w:r>
      <w:r>
        <w:t xml:space="preserve"> </w:t>
      </w:r>
      <w:r>
        <w:t xml:space="preserve">socio-economic and ecological systems in a timespan that is too short for them to adapt,</w:t>
      </w:r>
      <w:r>
        <w:t xml:space="preserve"> </w:t>
      </w:r>
      <w:r>
        <w:t xml:space="preserve">which could cause severe impacts. Regional impacts of crossing individual tipping points</w:t>
      </w:r>
      <w:r>
        <w:t xml:space="preserve"> </w:t>
      </w:r>
      <w:r>
        <w:t xml:space="preserve">include extreme temperatures, droughts, wildfires, and unprecedented weather, while globally</w:t>
      </w:r>
      <w:r>
        <w:t xml:space="preserve"> </w:t>
      </w:r>
      <w:r>
        <w:t xml:space="preserve">they could result in a release of a significant amount of greenhouse gases, causing climate</w:t>
      </w:r>
      <w:r>
        <w:t xml:space="preserve"> </w:t>
      </w:r>
      <w:r>
        <w:t xml:space="preserve">feedback loops and fast sea-level rise, leading to the global climate less suitable for human</w:t>
      </w:r>
      <w:r>
        <w:t xml:space="preserve"> </w:t>
      </w:r>
      <w:r>
        <w:t xml:space="preserve">existence (189).</w:t>
      </w:r>
    </w:p>
    <w:p>
      <w:pPr>
        <w:pStyle w:val="BodyText"/>
      </w:pPr>
      <w:r>
        <w:t xml:space="preserve">J.B.R. Matthews, T.K. Maycock, T. Waterfield, O. Yelekçi, R. Yu, and B. Zhou (eds.)]. Cambridge</w:t>
      </w:r>
      <w:r>
        <w:t xml:space="preserve"> </w:t>
      </w:r>
      <w:r>
        <w:t xml:space="preserve">University Press, Cambridge, United Kingdom and New York, NY, USA, pp. 1211–1362,</w:t>
      </w:r>
      <w:r>
        <w:t xml:space="preserve"> </w:t>
      </w:r>
      <w:r>
        <w:t xml:space="preserve">doi:10.1017/9781009157896.011.</w:t>
      </w:r>
      <w:r>
        <w:t xml:space="preserve"> </w:t>
      </w:r>
      <w:r>
        <w:t xml:space="preserve">(188) Ditlevsen P and Ditlevsen S. 2023. 2023. Waiting for a forthcoming collapse of the Atlantic meridional</w:t>
      </w:r>
      <w:r>
        <w:t xml:space="preserve"> </w:t>
      </w:r>
      <w:r>
        <w:t xml:space="preserve">overturning circulation. Nature Communications: 12 (4245).</w:t>
      </w:r>
      <w:r>
        <w:br/>
      </w:r>
      <w:r>
        <w:t xml:space="preserve">(189)</w:t>
      </w:r>
      <w:r>
        <w:t xml:space="preserve"> </w:t>
      </w:r>
      <w:r>
        <w:t xml:space="preserve">OECD,</w:t>
      </w:r>
      <w:r>
        <w:t xml:space="preserve"> </w:t>
      </w:r>
      <w:r>
        <w:t xml:space="preserve">Climate</w:t>
      </w:r>
      <w:r>
        <w:t xml:space="preserve"> </w:t>
      </w:r>
      <w:r>
        <w:t xml:space="preserve">Tipping</w:t>
      </w:r>
      <w:r>
        <w:t xml:space="preserve"> </w:t>
      </w:r>
      <w:r>
        <w:t xml:space="preserve">Points</w:t>
      </w:r>
      <w:r>
        <w:t xml:space="preserve"> </w:t>
      </w:r>
      <w:r>
        <w:t xml:space="preserve">–</w:t>
      </w:r>
      <w:r>
        <w:t xml:space="preserve"> </w:t>
      </w:r>
      <w:r>
        <w:t xml:space="preserve">Insights</w:t>
      </w:r>
      <w:r>
        <w:t xml:space="preserve"> </w:t>
      </w:r>
      <w:r>
        <w:t xml:space="preserve">for</w:t>
      </w:r>
      <w:r>
        <w:t xml:space="preserve"> </w:t>
      </w:r>
      <w:r>
        <w:t xml:space="preserve">Effective</w:t>
      </w:r>
      <w:r>
        <w:t xml:space="preserve"> </w:t>
      </w:r>
      <w:r>
        <w:t xml:space="preserve">Policy</w:t>
      </w:r>
      <w:r>
        <w:t xml:space="preserve"> </w:t>
      </w:r>
      <w:r>
        <w:t xml:space="preserve">Action.</w:t>
      </w:r>
      <w:r>
        <w:t xml:space="preserve"> </w:t>
      </w:r>
      <w:r>
        <w:t xml:space="preserve">2022.</w:t>
      </w:r>
      <w:r>
        <w:t xml:space="preserve"> </w:t>
      </w:r>
      <w:r>
        <w:t xml:space="preserve">https://doi.org/10.1787/abc5a69e-en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Figure 9: The connectivity of tipping points</w:t>
      </w:r>
    </w:p>
    <w:p>
      <w:pPr>
        <w:pStyle w:val="BodyText"/>
      </w:pPr>
      <w:r>
        <w:t xml:space="preserve">Source: Lenton et al (2019) (190).</w:t>
      </w:r>
      <w:r>
        <w:br/>
      </w:r>
      <w:r>
        <w:t xml:space="preserve">2.1.3 Impacts on ecosystems and biodiversity</w:t>
      </w:r>
      <w:r>
        <w:t xml:space="preserve"> </w:t>
      </w:r>
      <w:r>
        <w:t xml:space="preserve">Climate change is one of the five main drivers of global biodiversity loss, together with</w:t>
      </w:r>
      <w:r>
        <w:t xml:space="preserve"> </w:t>
      </w:r>
      <w:r>
        <w:t xml:space="preserve">change of land and sea use, direct exploitation, pollution and invasive alien species (191). This</w:t>
      </w:r>
      <w:r>
        <w:t xml:space="preserve"> </w:t>
      </w:r>
      <w:r>
        <w:t xml:space="preserve">fact seems to be known among respondents in the Public Consultation. The loss of</w:t>
      </w:r>
      <w:r>
        <w:t xml:space="preserve"> </w:t>
      </w:r>
      <w:r>
        <w:t xml:space="preserve">biodiversity and natural habitats was ranked at the first place both by individuals (77%) and</w:t>
      </w:r>
      <w:r>
        <w:t xml:space="preserve"> </w:t>
      </w:r>
      <w:r>
        <w:t xml:space="preserve">organisations (42%) on the question of which effects of climate change were most concerning</w:t>
      </w:r>
      <w:r>
        <w:t xml:space="preserve"> </w:t>
      </w:r>
      <w:r>
        <w:t xml:space="preserve">for respondents.</w:t>
      </w:r>
    </w:p>
    <w:p>
      <w:pPr>
        <w:pStyle w:val="Compact"/>
        <w:numPr>
          <w:ilvl w:val="0"/>
          <w:numId w:val="1050"/>
        </w:numPr>
      </w:pPr>
      <w:r>
        <w:t xml:space="preserve">T. M. Lenton, J. Rockström, O. Gaffney, S. Rahmstorf, K. Richardson, W. Steffen, H. J. Schellnhuber,</w:t>
      </w:r>
      <w:r>
        <w:t xml:space="preserve"> </w:t>
      </w:r>
      <w:r>
        <w:t xml:space="preserve">Climate tipping points - too risky to bet against. Nature 575, 592–595 (2019).</w:t>
      </w:r>
    </w:p>
    <w:p>
      <w:pPr>
        <w:pStyle w:val="Compact"/>
        <w:numPr>
          <w:ilvl w:val="0"/>
          <w:numId w:val="1050"/>
        </w:numPr>
      </w:pPr>
      <w:r>
        <w:t xml:space="preserve">PBES (2019) Global assessment report on biodiversity and ecosystem services of the Intergovernmental</w:t>
      </w:r>
      <w:r>
        <w:t xml:space="preserve"> </w:t>
      </w:r>
      <w:r>
        <w:t xml:space="preserve">Science-Policy</w:t>
      </w:r>
      <w:r>
        <w:t xml:space="preserve"> </w:t>
      </w:r>
      <w:r>
        <w:t xml:space="preserve">Platform</w:t>
      </w:r>
      <w:r>
        <w:t xml:space="preserve"> </w:t>
      </w:r>
      <w:r>
        <w:t xml:space="preserve">on</w:t>
      </w:r>
      <w:r>
        <w:t xml:space="preserve"> </w:t>
      </w:r>
      <w:r>
        <w:t xml:space="preserve">Biodiversity</w:t>
      </w:r>
      <w:r>
        <w:t xml:space="preserve"> </w:t>
      </w:r>
      <w:r>
        <w:t xml:space="preserve">and</w:t>
      </w:r>
      <w:r>
        <w:t xml:space="preserve"> </w:t>
      </w:r>
      <w:r>
        <w:t xml:space="preserve">Ecosystem</w:t>
      </w:r>
      <w:r>
        <w:t xml:space="preserve"> </w:t>
      </w:r>
      <w:r>
        <w:t xml:space="preserve">Services.</w:t>
      </w:r>
      <w:r>
        <w:t xml:space="preserve"> </w:t>
      </w:r>
      <w:r>
        <w:t xml:space="preserve">Zenodo.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https://doi.org/10.5281/ZENODO.3831673</w:t>
      </w:r>
    </w:p>
    <w:p>
      <w:pPr>
        <w:pStyle w:val="FirstParagraph"/>
      </w:pPr>
      <w:r>
        <w:t xml:space="preserve">56</w:t>
      </w:r>
    </w:p>
    <w:p>
      <w:pPr>
        <w:pStyle w:val="BodyText"/>
      </w:pPr>
      <w:r>
        <w:t xml:space="preserve">Terrestrial and freshwater ecosystems are adversely affected by climate change, which</w:t>
      </w:r>
      <w:r>
        <w:t xml:space="preserve"> </w:t>
      </w:r>
      <w:r>
        <w:t xml:space="preserve">impacts their ranges, phenology, physiology and morphology. Local population extinctions</w:t>
      </w:r>
      <w:r>
        <w:t xml:space="preserve"> </w:t>
      </w:r>
      <w:r>
        <w:t xml:space="preserve">due to climate change have been widespread, particularly affecting tropical regions and</w:t>
      </w:r>
      <w:r>
        <w:t xml:space="preserve"> </w:t>
      </w:r>
      <w:r>
        <w:t xml:space="preserve">freshwater habitats. Many species are shifting their ranges to higher latitudes or elevations,</w:t>
      </w:r>
      <w:r>
        <w:t xml:space="preserve"> </w:t>
      </w:r>
      <w:r>
        <w:t xml:space="preserve">altering community make-up. Particularly in northern latitudes exotic species can adapt to</w:t>
      </w:r>
      <w:r>
        <w:t xml:space="preserve"> </w:t>
      </w:r>
      <w:r>
        <w:t xml:space="preserve">climate change better than native ones, leading to potential new invasive species. Water</w:t>
      </w:r>
      <w:r>
        <w:t xml:space="preserve"> </w:t>
      </w:r>
      <w:r>
        <w:t xml:space="preserve">temperature of rivers and lakes has increased, and the extent and duration of ice cover has</w:t>
      </w:r>
      <w:r>
        <w:t xml:space="preserve"> </w:t>
      </w:r>
      <w:r>
        <w:t xml:space="preserve">decreased in past decades. With warming, primary productivity generally increased and</w:t>
      </w:r>
      <w:r>
        <w:t xml:space="preserve"> </w:t>
      </w:r>
      <w:r>
        <w:t xml:space="preserve">dissolved oxygen concentrations declined, affecting ecosystems. Climate change also</w:t>
      </w:r>
      <w:r>
        <w:t xml:space="preserve"> </w:t>
      </w:r>
      <w:r>
        <w:t xml:space="preserve">increases the wildlife disease severity, outbreak frequency and emergence of novel vectors</w:t>
      </w:r>
      <w:r>
        <w:t xml:space="preserve"> </w:t>
      </w:r>
      <w:r>
        <w:t xml:space="preserve">and diseases in new areas. Severity and extent of outbreaks of forest insect pests have</w:t>
      </w:r>
      <w:r>
        <w:t xml:space="preserve"> </w:t>
      </w:r>
      <w:r>
        <w:t xml:space="preserve">increased in the northern North America and northern Eurasia, and climate change is fostering</w:t>
      </w:r>
      <w:r>
        <w:t xml:space="preserve"> </w:t>
      </w:r>
      <w:r>
        <w:t xml:space="preserve">spread of invasive alien species, with ever increasing damages and costs (192). Climate change</w:t>
      </w:r>
      <w:r>
        <w:t xml:space="preserve"> </w:t>
      </w:r>
      <w:r>
        <w:t xml:space="preserve">induced increases in area burned by wildfire, increasing tree mortality and biome shifts in</w:t>
      </w:r>
      <w:r>
        <w:t xml:space="preserve"> </w:t>
      </w:r>
      <w:r>
        <w:t xml:space="preserve">tropical, temperate and boreal ecosystems, are further damaging ecologic integrity.</w:t>
      </w:r>
      <w:r>
        <w:br/>
      </w:r>
      <w:r>
        <w:t xml:space="preserve">Ecosystems provide various services critical for human health, wellbeing and livelihoods,</w:t>
      </w:r>
      <w:r>
        <w:t xml:space="preserve"> </w:t>
      </w:r>
      <w:r>
        <w:t xml:space="preserve">including climate regulation, food and water provision, provision of medicine and other</w:t>
      </w:r>
      <w:r>
        <w:t xml:space="preserve"> </w:t>
      </w:r>
      <w:r>
        <w:t xml:space="preserve">materials, water retention, protection against droughts, floods, urban heat and desertification,</w:t>
      </w:r>
      <w:r>
        <w:t xml:space="preserve"> </w:t>
      </w:r>
      <w:r>
        <w:t xml:space="preserve">and pollination, which are already negatively affected by climate change. Increasing global</w:t>
      </w:r>
      <w:r>
        <w:t xml:space="preserve"> </w:t>
      </w:r>
      <w:r>
        <w:t xml:space="preserve">warming levels will increase negative impacts on ecosystems, including increasing risk of</w:t>
      </w:r>
      <w:r>
        <w:t xml:space="preserve"> </w:t>
      </w:r>
      <w:r>
        <w:t xml:space="preserve">species extinction, biome shifts and increase in area burned by wildfires. Ecosystems also</w:t>
      </w:r>
      <w:r>
        <w:t xml:space="preserve"> </w:t>
      </w:r>
      <w:r>
        <w:t xml:space="preserve">remove carbon from the atmosphere and represent a carbon stock of more than four times the</w:t>
      </w:r>
      <w:r>
        <w:t xml:space="preserve"> </w:t>
      </w:r>
      <w:r>
        <w:t xml:space="preserve">amount of carbon currently in the atmosphere. Processes related to climate change including</w:t>
      </w:r>
      <w:r>
        <w:t xml:space="preserve"> </w:t>
      </w:r>
      <w:r>
        <w:t xml:space="preserve">wildfires, tree mortality, peatland drying and permafrost thaw, turn those ecosystems from a</w:t>
      </w:r>
      <w:r>
        <w:t xml:space="preserve"> </w:t>
      </w:r>
      <w:r>
        <w:t xml:space="preserve">carbon sink into a carbon source by releasing the carbon stored in those ecosystems into the</w:t>
      </w:r>
      <w:r>
        <w:t xml:space="preserve"> </w:t>
      </w:r>
      <w:r>
        <w:t xml:space="preserve">atmosphere, exacerbating positive climate feedbacks (193)(194). However, it is important to</w:t>
      </w:r>
      <w:r>
        <w:t xml:space="preserve"> </w:t>
      </w:r>
      <w:r>
        <w:t xml:space="preserve">clarify that the effects of climate change are often worsen by human intervention, through</w:t>
      </w:r>
      <w:r>
        <w:t xml:space="preserve"> </w:t>
      </w:r>
      <w:r>
        <w:t xml:space="preserve">unsustainable practices and natural resources depletion. For example, intensive forestry</w:t>
      </w:r>
      <w:r>
        <w:t xml:space="preserve"> </w:t>
      </w:r>
      <w:r>
        <w:t xml:space="preserve">practices (clear-cuts, monoculture plantations) exacerbate the risks of extreme weather events,</w:t>
      </w:r>
      <w:r>
        <w:t xml:space="preserve"> </w:t>
      </w:r>
      <w:r>
        <w:t xml:space="preserve">such as wildfires and floods (195) (196).</w:t>
      </w:r>
    </w:p>
    <w:p>
      <w:pPr>
        <w:pStyle w:val="Compact"/>
        <w:numPr>
          <w:ilvl w:val="0"/>
          <w:numId w:val="1051"/>
        </w:numPr>
      </w:pPr>
      <w:r>
        <w:t xml:space="preserve">IPBES assessment on invasive alien species and their control (2023)</w:t>
      </w:r>
    </w:p>
    <w:p>
      <w:pPr>
        <w:pStyle w:val="Compact"/>
        <w:numPr>
          <w:ilvl w:val="0"/>
          <w:numId w:val="1051"/>
        </w:numPr>
      </w:pPr>
      <w:r>
        <w:t xml:space="preserve">Parmesan, C., M.D. Morecroft, Y. Trisurat, R. Adrian, G.Z. Anshari, A. Arneth, Q. Gao, P. Gonzalez, R.</w:t>
      </w:r>
      <w:r>
        <w:t xml:space="preserve"> </w:t>
      </w:r>
      <w:r>
        <w:t xml:space="preserve">Harris, J. Price, N. Stevens, and G.H. Talukdarr, 2022: Terrestrial and Freshwater Ecosystems and Their</w:t>
      </w:r>
      <w:r>
        <w:t xml:space="preserve"> </w:t>
      </w:r>
      <w:r>
        <w:t xml:space="preserve">Services. In: Climate Change 2022: Impacts, Adaptation and Vulnerability. Contribution of Working Group</w:t>
      </w:r>
      <w:r>
        <w:t xml:space="preserve"> </w:t>
      </w:r>
      <w:r>
        <w:t xml:space="preserve">II to the Sixth Assessment Report of the Intergovernmental Panel on Climate Change [H.-O. Pörtner, D.C.</w:t>
      </w:r>
      <w:r>
        <w:t xml:space="preserve"> </w:t>
      </w:r>
      <w:r>
        <w:t xml:space="preserve">Roberts, M. Tignor, E.S. Poloczanska, K. Mintenbeck, A. Alegría, M. Craig, S. Langsdorf, S. Löschke, V.</w:t>
      </w:r>
      <w:r>
        <w:t xml:space="preserve"> </w:t>
      </w:r>
      <w:r>
        <w:t xml:space="preserve">Möller, A. Okem, B. Rama (eds.)]. Cambridge University Press, Cambridge, UK and New York, NY, USA,</w:t>
      </w:r>
      <w:r>
        <w:t xml:space="preserve"> </w:t>
      </w:r>
      <w:r>
        <w:t xml:space="preserve">pp. 197–377, doi:10.1017/9781009325844.004.</w:t>
      </w:r>
    </w:p>
    <w:p>
      <w:pPr>
        <w:pStyle w:val="Compact"/>
        <w:numPr>
          <w:ilvl w:val="0"/>
          <w:numId w:val="1051"/>
        </w:numPr>
      </w:pPr>
      <w:r>
        <w:t xml:space="preserve">United Nations Environment Programme (2021). Making Peace with Nature: A scientific blueprint to tackle</w:t>
      </w:r>
      <w:r>
        <w:t xml:space="preserve"> </w:t>
      </w:r>
      <w:r>
        <w:t xml:space="preserve">the climate, biodiversity and pollution emergencies. Nairobi. https://www.unep.org/resources/making-peace-</w:t>
      </w:r>
      <w:r>
        <w:t xml:space="preserve"> </w:t>
      </w:r>
      <w:r>
        <w:t xml:space="preserve">natur</w:t>
      </w:r>
    </w:p>
    <w:p>
      <w:pPr>
        <w:pStyle w:val="Compact"/>
        <w:numPr>
          <w:ilvl w:val="0"/>
          <w:numId w:val="1051"/>
        </w:numPr>
      </w:pPr>
      <w:r>
        <w:t xml:space="preserve">Robbie S.H. Johnson, Younes Alila (2023) Nonstationary stochastic paired watershed approach:</w:t>
      </w:r>
      <w:r>
        <w:t xml:space="preserve"> </w:t>
      </w:r>
      <w:r>
        <w:t xml:space="preserve">Investigating forest harvesting effects on floods in two large, nested, and snow-dominated watersheds in</w:t>
      </w:r>
      <w:r>
        <w:t xml:space="preserve"> </w:t>
      </w:r>
      <w:r>
        <w:t xml:space="preserve">British Columbia, Canada, Journal of Hydrology, Volume 625, Part A, 129970, ISSN 0022-1694,</w:t>
      </w:r>
      <w:r>
        <w:t xml:space="preserve"> </w:t>
      </w:r>
      <w:r>
        <w:t xml:space="preserve">https://doi.org/10.1016/j.jhydrol.2023.129970</w:t>
      </w:r>
      <w:r>
        <w:br/>
      </w:r>
    </w:p>
    <w:p>
      <w:pPr>
        <w:pStyle w:val="Compact"/>
        <w:numPr>
          <w:ilvl w:val="0"/>
          <w:numId w:val="1051"/>
        </w:numPr>
      </w:pPr>
      <w:r>
        <w:t xml:space="preserve">Lindenmayer, D.B., Kooyman, R.M., Taylor, C. et al. Recent Australian wildfires made worse by logging</w:t>
      </w:r>
      <w:r>
        <w:t xml:space="preserve"> </w:t>
      </w:r>
      <w:r>
        <w:t xml:space="preserve">and</w:t>
      </w:r>
      <w:r>
        <w:t xml:space="preserve"> </w:t>
      </w:r>
      <w:r>
        <w:t xml:space="preserve">associated</w:t>
      </w:r>
      <w:r>
        <w:t xml:space="preserve"> </w:t>
      </w:r>
      <w:r>
        <w:t xml:space="preserve">forest</w:t>
      </w:r>
      <w:r>
        <w:t xml:space="preserve"> </w:t>
      </w:r>
      <w:r>
        <w:t xml:space="preserve">management. Nature</w:t>
      </w:r>
      <w:r>
        <w:t xml:space="preserve"> </w:t>
      </w:r>
      <w:r>
        <w:t xml:space="preserve">Ecology</w:t>
      </w:r>
      <w:r>
        <w:t xml:space="preserve"> </w:t>
      </w:r>
      <w:r>
        <w:t xml:space="preserve">and</w:t>
      </w:r>
      <w:r>
        <w:t xml:space="preserve"> </w:t>
      </w:r>
      <w:r>
        <w:t xml:space="preserve">Evolution 4,</w:t>
      </w:r>
      <w:r>
        <w:t xml:space="preserve"> </w:t>
      </w:r>
      <w:r>
        <w:t xml:space="preserve">898–900</w:t>
      </w:r>
      <w:r>
        <w:t xml:space="preserve"> </w:t>
      </w:r>
      <w:r>
        <w:t xml:space="preserve">(2020).</w:t>
      </w:r>
      <w:r>
        <w:t xml:space="preserve"> </w:t>
      </w:r>
      <w:r>
        <w:t xml:space="preserve">https://doi.org/10.1038/s41559-020-1195-5</w:t>
      </w:r>
    </w:p>
    <w:p>
      <w:pPr>
        <w:pStyle w:val="FirstParagraph"/>
      </w:pPr>
      <w:r>
        <w:t xml:space="preserve">57</w:t>
      </w:r>
    </w:p>
    <w:p>
      <w:pPr>
        <w:pStyle w:val="BodyText"/>
      </w:pPr>
      <w:r>
        <w:t xml:space="preserve">Wildfires pose risk to people and ecosystems, they are becoming more frequent and intense at</w:t>
      </w:r>
      <w:r>
        <w:t xml:space="preserve"> </w:t>
      </w:r>
      <w:r>
        <w:t xml:space="preserve">the global scale, and their likelihood is projected to further increase by the end of the century.</w:t>
      </w:r>
      <w:r>
        <w:t xml:space="preserve"> </w:t>
      </w:r>
      <w:r>
        <w:t xml:space="preserve">They result from complex interactions between climate, land-use and land management</w:t>
      </w:r>
      <w:r>
        <w:t xml:space="preserve"> </w:t>
      </w:r>
      <w:r>
        <w:t xml:space="preserve">practices, and demographics, and while some risks can be reduced with appropriate</w:t>
      </w:r>
      <w:r>
        <w:t xml:space="preserve"> </w:t>
      </w:r>
      <w:r>
        <w:t xml:space="preserve">management, including ecosystem restoration, the risk posed by wildfires cannot be entirely</w:t>
      </w:r>
      <w:r>
        <w:t xml:space="preserve"> </w:t>
      </w:r>
      <w:r>
        <w:t xml:space="preserve">eliminated. Climate change increases the frequency and magnitude of dangerous fire weather</w:t>
      </w:r>
      <w:r>
        <w:t xml:space="preserve"> </w:t>
      </w:r>
      <w:r>
        <w:t xml:space="preserve">through increased drought, heat, decreased humidity, dry lighting, and strong winds. Wildfires</w:t>
      </w:r>
      <w:r>
        <w:t xml:space="preserve"> </w:t>
      </w:r>
      <w:r>
        <w:t xml:space="preserve">affect the global carbon cycle by releasing CO2 into the atmosphere, further exacerbating</w:t>
      </w:r>
      <w:r>
        <w:t xml:space="preserve"> </w:t>
      </w:r>
      <w:r>
        <w:t xml:space="preserve">global warming. They cause loss of lives and livelihoods, impact health, devastate ecosystems</w:t>
      </w:r>
      <w:r>
        <w:t xml:space="preserve"> </w:t>
      </w:r>
      <w:r>
        <w:t xml:space="preserve">and degrade watersheds. Increased fire frequency can have catastrophic impacts on</w:t>
      </w:r>
      <w:r>
        <w:t xml:space="preserve"> </w:t>
      </w:r>
      <w:r>
        <w:t xml:space="preserve">biodiversity in fire-sensitive ecosystems and is especially damaging for long-lived plant</w:t>
      </w:r>
      <w:r>
        <w:t xml:space="preserve"> </w:t>
      </w:r>
      <w:r>
        <w:t xml:space="preserve">species. The impacts of wildfires can be long-lasting, including in biodiversity hotspots,</w:t>
      </w:r>
      <w:r>
        <w:t xml:space="preserve"> </w:t>
      </w:r>
      <w:r>
        <w:t xml:space="preserve">which might never fully recover. Very frequent fires can eliminate woody plant species which</w:t>
      </w:r>
      <w:r>
        <w:t xml:space="preserve"> </w:t>
      </w:r>
      <w:r>
        <w:t xml:space="preserve">are replaced with herbaceous and often annual species, or invasives weeds. Fire also changes</w:t>
      </w:r>
      <w:r>
        <w:t xml:space="preserve"> </w:t>
      </w:r>
      <w:r>
        <w:t xml:space="preserve">soil properties and increases soil erosion (197). The recent wildfires in Greece, followed by</w:t>
      </w:r>
      <w:r>
        <w:t xml:space="preserve"> </w:t>
      </w:r>
      <w:r>
        <w:t xml:space="preserve">massive floods, are an example of how the loss of forest due to fires weakened the water</w:t>
      </w:r>
      <w:r>
        <w:t xml:space="preserve"> </w:t>
      </w:r>
      <w:r>
        <w:t xml:space="preserve">retention capacity of soils, leading to dramatic consequences.</w:t>
      </w:r>
      <w:r>
        <w:br/>
      </w:r>
      <w:r>
        <w:t xml:space="preserve">Climate change is also altering the physical and chemical characteristics of the ocean,</w:t>
      </w:r>
      <w:r>
        <w:t xml:space="preserve"> </w:t>
      </w:r>
      <w:r>
        <w:t xml:space="preserve">affecting ocean and coastal species and ecosystems in every region. The seas and ocean are</w:t>
      </w:r>
      <w:r>
        <w:t xml:space="preserve"> </w:t>
      </w:r>
      <w:r>
        <w:t xml:space="preserve">one of the greatest sources of biodiversity and food, they regulate the climate, and are a major</w:t>
      </w:r>
      <w:r>
        <w:t xml:space="preserve"> </w:t>
      </w:r>
      <w:r>
        <w:t xml:space="preserve">carbon sink (198). Warming, acidification and deoxygenation are changing the distribution and</w:t>
      </w:r>
      <w:r>
        <w:t xml:space="preserve"> </w:t>
      </w:r>
      <w:r>
        <w:t xml:space="preserve">abundance of species populations, altering ecological communities and leading to habitat loss</w:t>
      </w:r>
      <w:r>
        <w:t xml:space="preserve"> </w:t>
      </w:r>
      <w:r>
        <w:t xml:space="preserve">and/or damage, population declines, increased risks of species extirpations and extinctions</w:t>
      </w:r>
      <w:r>
        <w:t xml:space="preserve"> </w:t>
      </w:r>
      <w:r>
        <w:t xml:space="preserve">and the rearrangement of marine food webs.</w:t>
      </w:r>
      <w:r>
        <w:br/>
      </w:r>
      <w:r>
        <w:t xml:space="preserve">The uptake of CO2 in the sea is the cause of ocean acidification. Change in pH affects</w:t>
      </w:r>
      <w:r>
        <w:t xml:space="preserve"> </w:t>
      </w:r>
      <w:r>
        <w:t xml:space="preserve">biological processes such as the primary production and reduces the carbonate available for</w:t>
      </w:r>
      <w:r>
        <w:t xml:space="preserve"> </w:t>
      </w:r>
      <w:r>
        <w:t xml:space="preserve">the calcification of marine calcifying organisms such as shellfish and plankton. Changes in</w:t>
      </w:r>
      <w:r>
        <w:t xml:space="preserve"> </w:t>
      </w:r>
      <w:r>
        <w:t xml:space="preserve">marine primary production will have an impact on the global carbon cycle and the absorption</w:t>
      </w:r>
      <w:r>
        <w:t xml:space="preserve"> </w:t>
      </w:r>
      <w:r>
        <w:t xml:space="preserve">of atmospheric CO2 in the ocean and reduce oceans capacity to mitigate climate change.</w:t>
      </w:r>
      <w:r>
        <w:t xml:space="preserve"> </w:t>
      </w:r>
      <w:r>
        <w:t xml:space="preserve">These rapid chemical changes are an added pressure on marine ecosystems (199) and affect</w:t>
      </w:r>
      <w:r>
        <w:t xml:space="preserve"> </w:t>
      </w:r>
      <w:r>
        <w:t xml:space="preserve">food production from shellfish aquaculture and fisheries in some oceanic regions.</w:t>
      </w:r>
      <w:r>
        <w:t xml:space="preserve"> </w:t>
      </w:r>
      <w:r>
        <w:t xml:space="preserve">Marine heatwaves are increasing in frequency, duration and intensity and result in mass</w:t>
      </w:r>
      <w:r>
        <w:t xml:space="preserve"> </w:t>
      </w:r>
      <w:r>
        <w:t xml:space="preserve">mortalities of open-ocean, coastal and shelf-sea ecosystems including coral reefs, kelp forests</w:t>
      </w:r>
      <w:r>
        <w:t xml:space="preserve"> </w:t>
      </w:r>
      <w:r>
        <w:t xml:space="preserve">and mangroves. Climate change driven impacts are affecting industries, causing economic</w:t>
      </w:r>
      <w:r>
        <w:t xml:space="preserve"> </w:t>
      </w:r>
      <w:r>
        <w:t xml:space="preserve">losses, impacting physical and mental health and altering cultural and recreational activities</w:t>
      </w:r>
      <w:r>
        <w:t xml:space="preserve"> </w:t>
      </w:r>
      <w:r>
        <w:t xml:space="preserve">around the world (200). In 2023 global average sea surface temperatures reached record levels</w:t>
      </w:r>
    </w:p>
    <w:p>
      <w:pPr>
        <w:pStyle w:val="Compact"/>
        <w:numPr>
          <w:ilvl w:val="0"/>
          <w:numId w:val="1052"/>
        </w:numPr>
      </w:pPr>
      <w:r>
        <w:t xml:space="preserve">United Nations Environment Programme (2022). Spreading like Wildfire – The Rising Threat of</w:t>
      </w:r>
      <w:r>
        <w:t xml:space="preserve"> </w:t>
      </w:r>
      <w:r>
        <w:t xml:space="preserve">Extraordinary Landscape Fires. A UNEP Rapid Response Assessment. Nairobi</w:t>
      </w:r>
    </w:p>
    <w:p>
      <w:pPr>
        <w:pStyle w:val="Compact"/>
        <w:numPr>
          <w:ilvl w:val="0"/>
          <w:numId w:val="1052"/>
        </w:numPr>
      </w:pPr>
      <w:r>
        <w:t xml:space="preserve">Report from the Commission to the European Parliament and the Council on the implementation of the</w:t>
      </w:r>
      <w:r>
        <w:t xml:space="preserve"> </w:t>
      </w:r>
      <w:r>
        <w:t xml:space="preserve">Marine Strategy Framework Directive (Directive 2008/56/EC) COM (2020) 259.</w:t>
      </w:r>
    </w:p>
    <w:p>
      <w:pPr>
        <w:pStyle w:val="Compact"/>
        <w:numPr>
          <w:ilvl w:val="0"/>
          <w:numId w:val="1052"/>
        </w:numPr>
      </w:pPr>
      <w:r>
        <w:t xml:space="preserve">EEA, 2020, Ocean acidification. Indicator, European Environment Agency</w:t>
      </w:r>
    </w:p>
    <w:p>
      <w:pPr>
        <w:pStyle w:val="Compact"/>
        <w:numPr>
          <w:ilvl w:val="0"/>
          <w:numId w:val="1052"/>
        </w:numPr>
      </w:pPr>
      <w:r>
        <w:t xml:space="preserve">Cooley, S., D. Schoeman, L. Bopp, P. Boyd, S. Donner, D.Y. Ghebrehiwet, S.-I. Ito, W. Kiessling, P.</w:t>
      </w:r>
      <w:r>
        <w:t xml:space="preserve"> </w:t>
      </w:r>
      <w:r>
        <w:t xml:space="preserve">Martinetto, E. Ojea, M.-F. Racault, B. Rost, and M. Skern-Mauritzen, 2022: Oceans and Coastal Ecosystems</w:t>
      </w:r>
      <w:r>
        <w:t xml:space="preserve"> </w:t>
      </w:r>
      <w:r>
        <w:t xml:space="preserve">and Their Services. In: Climate Change 2022: Impacts, Adaptation and Vulnerability. Contribution of</w:t>
      </w:r>
      <w:r>
        <w:t xml:space="preserve"> </w:t>
      </w:r>
      <w:r>
        <w:t xml:space="preserve">Working Group II to the Sixth Assessment Report of the Intergovernmental Panel on Climate Change [H.-O.</w:t>
      </w:r>
      <w:r>
        <w:t xml:space="preserve"> </w:t>
      </w:r>
      <w:r>
        <w:t xml:space="preserve">Pörtner, D.C. Roberts, M. Tignor, E.S. Poloczanska, K. Mintenbeck, A. Alegría, M. Craig, S. Langsdorf, S.</w:t>
      </w:r>
    </w:p>
    <w:p>
      <w:pPr>
        <w:pStyle w:val="FirstParagraph"/>
      </w:pPr>
      <w:r>
        <w:t xml:space="preserve">58</w:t>
      </w:r>
    </w:p>
    <w:p>
      <w:pPr>
        <w:pStyle w:val="BodyText"/>
      </w:pPr>
      <w:r>
        <w:t xml:space="preserve">for the time of year every month from April to December. In the boreal summer, marine heat</w:t>
      </w:r>
      <w:r>
        <w:t xml:space="preserve"> </w:t>
      </w:r>
      <w:r>
        <w:t xml:space="preserve">waves affected large sectors of the North Atlantic, parts of the North Pacific and Indian</w:t>
      </w:r>
      <w:r>
        <w:t xml:space="preserve"> </w:t>
      </w:r>
      <w:r>
        <w:t xml:space="preserve">Oceans, around New Zealand, the Gulf of Mexico, the Caribbean and the Mediterranean,</w:t>
      </w:r>
      <w:r>
        <w:t xml:space="preserve"> </w:t>
      </w:r>
      <w:r>
        <w:t xml:space="preserve">causing significant and devastating impacts on ocean ecosystems. Antarctic sea ice reached</w:t>
      </w:r>
      <w:r>
        <w:t xml:space="preserve"> </w:t>
      </w:r>
      <w:r>
        <w:t xml:space="preserve">record low extends for the corresponding month in 8 months of 2023 (201) (202).</w:t>
      </w:r>
      <w:r>
        <w:t xml:space="preserve"> </w:t>
      </w:r>
      <w:r>
        <w:t xml:space="preserve">In the North-East Atlantic region, the OSPAR Convention identified climate change as</w:t>
      </w:r>
      <w:r>
        <w:t xml:space="preserve"> </w:t>
      </w:r>
      <w:r>
        <w:t xml:space="preserve">causing fundamental and possibly irreversible changes to the oceans including a significant</w:t>
      </w:r>
      <w:r>
        <w:t xml:space="preserve"> </w:t>
      </w:r>
      <w:r>
        <w:t xml:space="preserve">risk for productivity and the long-term viability of marine ecosystems. Among the objectives</w:t>
      </w:r>
      <w:r>
        <w:t xml:space="preserve"> </w:t>
      </w:r>
      <w:r>
        <w:t xml:space="preserve">described in the Strategy of the OSPAR Commission for the Protection of the Marine</w:t>
      </w:r>
      <w:r>
        <w:t xml:space="preserve"> </w:t>
      </w:r>
      <w:r>
        <w:t xml:space="preserve">Environment of the North-East Atlantic 2030, one of them is to achieve seas resilient to the</w:t>
      </w:r>
      <w:r>
        <w:t xml:space="preserve"> </w:t>
      </w:r>
      <w:r>
        <w:t xml:space="preserve">impacts of climate change and ocean acidification.</w:t>
      </w:r>
      <w:r>
        <w:br/>
      </w:r>
      <w:r>
        <w:t xml:space="preserve">Biodiversity hotspots, which are areas of exceptional biodiversity and/or high endemism, are</w:t>
      </w:r>
      <w:r>
        <w:t xml:space="preserve"> </w:t>
      </w:r>
      <w:r>
        <w:t xml:space="preserve">already affected by climate change. Climate change impacts are compounded by other</w:t>
      </w:r>
      <w:r>
        <w:t xml:space="preserve"> </w:t>
      </w:r>
      <w:r>
        <w:t xml:space="preserve">anthropogenic impacts, including habitat loss and fragmentation, over-exploitation and</w:t>
      </w:r>
      <w:r>
        <w:t xml:space="preserve"> </w:t>
      </w:r>
      <w:r>
        <w:t xml:space="preserve">pollution, which reduce ecosystem resilience. The risk of species extinction increases with</w:t>
      </w:r>
      <w:r>
        <w:t xml:space="preserve"> </w:t>
      </w:r>
      <w:r>
        <w:t xml:space="preserve">global warming and is particularly high for endemic species in biodiversity hotspots on</w:t>
      </w:r>
      <w:r>
        <w:t xml:space="preserve"> </w:t>
      </w:r>
      <w:r>
        <w:t xml:space="preserve">islands, on mountains and in the ocean (203).</w:t>
      </w:r>
      <w:r>
        <w:t xml:space="preserve"> </w:t>
      </w:r>
      <w:r>
        <w:t xml:space="preserve">2.1.3.1 Estimated impacts of biodiversity loss and ecosystem degradation on economy</w:t>
      </w:r>
      <w:r>
        <w:t xml:space="preserve"> </w:t>
      </w:r>
      <w:r>
        <w:t xml:space="preserve">and human health</w:t>
      </w:r>
      <w:r>
        <w:br/>
      </w:r>
      <w:r>
        <w:t xml:space="preserve">The impacts of climate change on biodiversity also have severe consequences for prosperity</w:t>
      </w:r>
      <w:r>
        <w:t xml:space="preserve"> </w:t>
      </w:r>
      <w:r>
        <w:t xml:space="preserve">and well-being: the impacts of climate change on biodiversity undermine the ability to build a</w:t>
      </w:r>
      <w:r>
        <w:t xml:space="preserve"> </w:t>
      </w:r>
      <w:r>
        <w:t xml:space="preserve">sustainable future based on healthy, functioning ecosystems. The economic importance of</w:t>
      </w:r>
      <w:r>
        <w:t xml:space="preserve"> </w:t>
      </w:r>
      <w:r>
        <w:t xml:space="preserve">biodiversity has become a consensus, even within the largest international economic financial</w:t>
      </w:r>
      <w:r>
        <w:t xml:space="preserve"> </w:t>
      </w:r>
      <w:r>
        <w:t xml:space="preserve">institutions, such as the OECD (204), the World Bank (205) or the World Economic</w:t>
      </w:r>
      <w:r>
        <w:t xml:space="preserve"> </w:t>
      </w:r>
      <w:r>
        <w:t xml:space="preserve">Forum (206).</w:t>
      </w:r>
      <w:r>
        <w:br/>
      </w:r>
      <w:r>
        <w:t xml:space="preserve">The World Economic Forum considers that US $44 trillion of economic value generation –</w:t>
      </w:r>
      <w:r>
        <w:t xml:space="preserve"> </w:t>
      </w:r>
      <w:r>
        <w:t xml:space="preserve">over half the world’s total GDP – is moderately or highly dependent on nature and its</w:t>
      </w:r>
    </w:p>
    <w:p>
      <w:pPr>
        <w:pStyle w:val="BodyText"/>
      </w:pPr>
      <w:r>
        <w:t xml:space="preserve">Löschke, V. Möller, A. Okem, B. Rama (eds.)]. Cambridge University Press, Cambridge, UK and New</w:t>
      </w:r>
      <w:r>
        <w:t xml:space="preserve"> </w:t>
      </w:r>
      <w:r>
        <w:t xml:space="preserve">York, NY, USA, pp. 379–550, doi:10.1017/9781009325844.005</w:t>
      </w:r>
      <w:r>
        <w:t xml:space="preserve"> </w:t>
      </w:r>
      <w:r>
        <w:t xml:space="preserve">(201) https://climate.copernicus.eu/global-climate-highlights-2023</w:t>
      </w:r>
      <w:r>
        <w:t xml:space="preserve"> </w:t>
      </w:r>
      <w:r>
        <w:t xml:space="preserve">(202) https://wmo.int/publication-series/provisional-state-of-global-climate-2023</w:t>
      </w:r>
      <w:r>
        <w:t xml:space="preserve"> </w:t>
      </w:r>
      <w:r>
        <w:t xml:space="preserve">(203) Costello, M.J., M.M. Vale, W. Kiessling, S. Maharaj, J. Price, and G.H. Talukdar, 2022: Cross-Chapter</w:t>
      </w:r>
      <w:r>
        <w:t xml:space="preserve"> </w:t>
      </w:r>
      <w:r>
        <w:t xml:space="preserve">Paper 1: Biodiversity Hotspots. In: Climate Change 2022: Impacts, Adaptation and Vulnerability.</w:t>
      </w:r>
      <w:r>
        <w:t xml:space="preserve"> </w:t>
      </w:r>
      <w:r>
        <w:t xml:space="preserve">Contribution of Working Group II to the Sixth Assessment Report of the Intergovernmental Panel on</w:t>
      </w:r>
      <w:r>
        <w:t xml:space="preserve"> </w:t>
      </w:r>
      <w:r>
        <w:t xml:space="preserve">Climate Change [H.-O. Pörtner, D.C. Roberts, M. Tignor, E.S. Poloczanska, K. Mintenbeck, A. Alegría, M.</w:t>
      </w:r>
      <w:r>
        <w:t xml:space="preserve"> </w:t>
      </w:r>
      <w:r>
        <w:t xml:space="preserve">Craig, S. Langsdorf, S. Löschke, V. Möller, A. Okem, B. Rama (eds.)]. Cambridge University Press,</w:t>
      </w:r>
      <w:r>
        <w:t xml:space="preserve"> </w:t>
      </w:r>
      <w:r>
        <w:t xml:space="preserve">Cambridge, UK and New York, NY, USA, pp. 2123–2161, doi:10.1017/9781009325844.018.</w:t>
      </w:r>
      <w:r>
        <w:t xml:space="preserve"> </w:t>
      </w:r>
      <w:r>
        <w:t xml:space="preserve">(204) OECD (2019) ’Biodiversity: Finance and the Economic and Business Case for Action’. URL:</w:t>
      </w:r>
      <w:r>
        <w:t xml:space="preserve"> </w:t>
      </w:r>
      <w:r>
        <w:t xml:space="preserve">https://www.oecd.org/env/resources/biodiversity/biodiversity-finance-and-the-economic-and-business-case-</w:t>
      </w:r>
      <w:r>
        <w:t xml:space="preserve"> </w:t>
      </w:r>
      <w:r>
        <w:t xml:space="preserve">for-action.htm</w:t>
      </w:r>
      <w:r>
        <w:t xml:space="preserve"> </w:t>
      </w:r>
      <w:r>
        <w:t xml:space="preserve">(205) World Bank (2021). The Economic Case for Nature: A Global Earth-Economy Model to Assess</w:t>
      </w:r>
      <w:r>
        <w:t xml:space="preserve"> </w:t>
      </w:r>
      <w:r>
        <w:t xml:space="preserve">Development Policy Pathways. Available at: http://hdl.handle.net/10986/35882.</w:t>
      </w:r>
      <w:r>
        <w:br/>
      </w:r>
      <w:r>
        <w:t xml:space="preserve">(206) World Economic Forum (2023). The Global Risks Report 2023. Geneva, WEF.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services, especially sectors such as construction, agriculture, and food and beverages (207).</w:t>
      </w:r>
      <w:r>
        <w:t xml:space="preserve"> </w:t>
      </w:r>
      <w:r>
        <w:t xml:space="preserve">The European Central Bank considers that nearly 75% of all bank loans in the euro area are to</w:t>
      </w:r>
      <w:r>
        <w:t xml:space="preserve"> </w:t>
      </w:r>
      <w:r>
        <w:t xml:space="preserve">companies that are highly dependent on at least one ecosystem service, and that an integrated</w:t>
      </w:r>
      <w:r>
        <w:t xml:space="preserve"> </w:t>
      </w:r>
      <w:r>
        <w:t xml:space="preserve">approach to climate and nature is critical because they are interconnected and amplify the</w:t>
      </w:r>
      <w:r>
        <w:t xml:space="preserve"> </w:t>
      </w:r>
      <w:r>
        <w:t xml:space="preserve">effects of physical and transition risks (208). Studies carried out at national level are</w:t>
      </w:r>
      <w:r>
        <w:t xml:space="preserve"> </w:t>
      </w:r>
      <w:r>
        <w:t xml:space="preserve">converging on the same conclusions: for example, 42% of the value of securities held by</w:t>
      </w:r>
      <w:r>
        <w:t xml:space="preserve"> </w:t>
      </w:r>
      <w:r>
        <w:t xml:space="preserve">French financial institutions (209) and 44% of French gross value added appears to be</w:t>
      </w:r>
      <w:r>
        <w:t xml:space="preserve"> </w:t>
      </w:r>
      <w:r>
        <w:t xml:space="preserve">‘heavily’</w:t>
      </w:r>
      <w:r>
        <w:t xml:space="preserve"> </w:t>
      </w:r>
      <w:r>
        <w:t xml:space="preserve">or</w:t>
      </w:r>
      <w:r>
        <w:t xml:space="preserve"> </w:t>
      </w:r>
      <w:r>
        <w:t xml:space="preserve">‘very heavily’</w:t>
      </w:r>
      <w:r>
        <w:t xml:space="preserve"> </w:t>
      </w:r>
      <w:r>
        <w:t xml:space="preserve">dependent on natural capital (210).</w:t>
      </w:r>
      <w:r>
        <w:t xml:space="preserve"> </w:t>
      </w:r>
      <w:r>
        <w:t xml:space="preserve">Because of the economy’s dependence on the state of biodiversity, the impacts of climate</w:t>
      </w:r>
      <w:r>
        <w:t xml:space="preserve"> </w:t>
      </w:r>
      <w:r>
        <w:t xml:space="preserve">change on biodiversity have major economic consequences. In 2020, the Global Futures</w:t>
      </w:r>
      <w:r>
        <w:t xml:space="preserve"> </w:t>
      </w:r>
      <w:r>
        <w:t xml:space="preserve">report by WWF estimated the economic costs of inaction on climate and ecological crises to</w:t>
      </w:r>
      <w:r>
        <w:t xml:space="preserve"> </w:t>
      </w:r>
      <w:r>
        <w:t xml:space="preserve">around USD 10 trillion in GDP by 2050 (211). By modelling changes in the average abundance</w:t>
      </w:r>
      <w:r>
        <w:t xml:space="preserve"> </w:t>
      </w:r>
      <w:r>
        <w:t xml:space="preserve">of terrestrial species as an indicator of biodiversity and estimating biodiversity loss using a</w:t>
      </w:r>
      <w:r>
        <w:t xml:space="preserve"> </w:t>
      </w:r>
      <w:r>
        <w:t xml:space="preserve">function that relates expenditure to temperature change, the OECD estimated that the impacts</w:t>
      </w:r>
      <w:r>
        <w:t xml:space="preserve"> </w:t>
      </w:r>
      <w:r>
        <w:t xml:space="preserve">of climate change on biodiversity would entail significant costs for EU countries, ranging</w:t>
      </w:r>
      <w:r>
        <w:t xml:space="preserve"> </w:t>
      </w:r>
      <w:r>
        <w:t xml:space="preserve">from 0.5% to 1.1% of GDP, for RCP6.0 and RCP8.5, respectively (212). A systematic</w:t>
      </w:r>
      <w:r>
        <w:t xml:space="preserve"> </w:t>
      </w:r>
      <w:r>
        <w:t xml:space="preserve">assessment of the climate change impacts on European forests and its capacity to deliver</w:t>
      </w:r>
      <w:r>
        <w:t xml:space="preserve"> </w:t>
      </w:r>
      <w:r>
        <w:t xml:space="preserve">ecosystem services show significant welfare losses in all forest European regions, when</w:t>
      </w:r>
      <w:r>
        <w:t xml:space="preserve"> </w:t>
      </w:r>
      <w:r>
        <w:t xml:space="preserve">considering cultural values, carbon sequestration and wood forest products (213). Despite these</w:t>
      </w:r>
      <w:r>
        <w:t xml:space="preserve"> </w:t>
      </w:r>
      <w:r>
        <w:t xml:space="preserve">figures, there are still very large gaps in the evaluation of the economics costs associated to</w:t>
      </w:r>
      <w:r>
        <w:t xml:space="preserve"> </w:t>
      </w:r>
      <w:r>
        <w:t xml:space="preserve">the climate change impacts on biodiversity, starting with estimates of physical impacts, and</w:t>
      </w:r>
      <w:r>
        <w:t xml:space="preserve"> </w:t>
      </w:r>
      <w:r>
        <w:t xml:space="preserve">including all aspects of the economic valuation of biodiversity and ecosystem services (214).</w:t>
      </w:r>
      <w:r>
        <w:br/>
      </w:r>
      <w:r>
        <w:t xml:space="preserve">The latest IPBES report on invasive species (215) estimates that the yearly cost of invasive</w:t>
      </w:r>
      <w:r>
        <w:t xml:space="preserve"> </w:t>
      </w:r>
      <w:r>
        <w:t xml:space="preserve">species in the global economy is already near EUR 400 billion. The authors underline that</w:t>
      </w:r>
    </w:p>
    <w:p>
      <w:pPr>
        <w:pStyle w:val="Compact"/>
        <w:numPr>
          <w:ilvl w:val="0"/>
          <w:numId w:val="1053"/>
        </w:numPr>
      </w:pPr>
      <w:r>
        <w:t xml:space="preserve">WEF (2020) Nature Risk Rising: Why the Crisis Engulfing Nature Matters for Business and the Economy.</w:t>
      </w:r>
      <w:r>
        <w:t xml:space="preserve"> </w:t>
      </w:r>
      <w:r>
        <w:t xml:space="preserve">URL: https://www3.weforum.org/docs/WEF_New_Nature_Economy_Report_2020.pdf</w:t>
      </w:r>
    </w:p>
    <w:p>
      <w:pPr>
        <w:pStyle w:val="Compact"/>
        <w:numPr>
          <w:ilvl w:val="0"/>
          <w:numId w:val="1053"/>
        </w:numPr>
      </w:pPr>
      <w:r>
        <w:t xml:space="preserve">European Central Bank (2023) The economy and banks need nature to survive. Available at:</w:t>
      </w:r>
      <w:r>
        <w:t xml:space="preserve"> </w:t>
      </w:r>
      <w:r>
        <w:t xml:space="preserve">https://www.ecb.europa.eu/press/blog/date/2023/html/ecb.blog230608~5cffb7c349.en.html</w:t>
      </w:r>
    </w:p>
    <w:p>
      <w:pPr>
        <w:pStyle w:val="Compact"/>
        <w:numPr>
          <w:ilvl w:val="0"/>
          <w:numId w:val="1053"/>
        </w:numPr>
      </w:pPr>
      <w:r>
        <w:t xml:space="preserve">Svartzman, R. et al. (2021) ‘A “Silent Spring” for the Financial System? Exploring Biodiversity-Related</w:t>
      </w:r>
      <w:r>
        <w:t xml:space="preserve"> </w:t>
      </w:r>
      <w:r>
        <w:t xml:space="preserve">Financial Risks in France’, SSRN Electronic Journal [Preprint]. URL: https://doi.org/10.2139/ssrn.4028442.</w:t>
      </w:r>
    </w:p>
    <w:p>
      <w:pPr>
        <w:pStyle w:val="Compact"/>
        <w:numPr>
          <w:ilvl w:val="0"/>
          <w:numId w:val="1053"/>
        </w:numPr>
      </w:pPr>
      <w:r>
        <w:t xml:space="preserve">Bouchet, V. et al. (2021) Évaluations économiques des services rendus par la biodiversité. DG Trésor. URL:</w:t>
      </w:r>
      <w:r>
        <w:t xml:space="preserve"> </w:t>
      </w:r>
      <w:r>
        <w:t xml:space="preserve">https://www.tresor.economie.gouv.fr/Articles/2021/12/09/evaluations-economiques-des-services-rendus-</w:t>
      </w:r>
      <w:r>
        <w:t xml:space="preserve"> </w:t>
      </w:r>
      <w:r>
        <w:t xml:space="preserve">par-la-biodiversite</w:t>
      </w:r>
    </w:p>
    <w:p>
      <w:pPr>
        <w:pStyle w:val="Compact"/>
        <w:numPr>
          <w:ilvl w:val="0"/>
          <w:numId w:val="1053"/>
        </w:numPr>
      </w:pPr>
      <w:r>
        <w:t xml:space="preserve">Johnson, J.A., et al. 2020. Global Futures : modelling the global economic impacts of environmental change</w:t>
      </w:r>
      <w:r>
        <w:t xml:space="preserve"> </w:t>
      </w:r>
      <w:r>
        <w:t xml:space="preserve">to support policy-making. Technical Report, January 2020. URL: https://www.wwf.org.uk/globalfutures</w:t>
      </w:r>
    </w:p>
    <w:p>
      <w:pPr>
        <w:pStyle w:val="Compact"/>
        <w:numPr>
          <w:ilvl w:val="0"/>
          <w:numId w:val="1053"/>
        </w:numPr>
      </w:pPr>
      <w:r>
        <w:t xml:space="preserve">OECD</w:t>
      </w:r>
    </w:p>
    <w:p>
      <w:pPr>
        <w:pStyle w:val="Compact"/>
        <w:numPr>
          <w:ilvl w:val="0"/>
          <w:numId w:val="1053"/>
        </w:numPr>
      </w:pPr>
      <w:r>
        <w:t xml:space="preserve">The</w:t>
      </w:r>
      <w:r>
        <w:t xml:space="preserve"> </w:t>
      </w:r>
      <w:r>
        <w:t xml:space="preserve">Economic</w:t>
      </w:r>
      <w:r>
        <w:t xml:space="preserve"> </w:t>
      </w:r>
      <w:r>
        <w:t xml:space="preserve">Consequences</w:t>
      </w:r>
      <w:r>
        <w:t xml:space="preserve"> </w:t>
      </w:r>
      <w:r>
        <w:t xml:space="preserve">of</w:t>
      </w:r>
      <w:r>
        <w:t xml:space="preserve"> </w:t>
      </w:r>
      <w:r>
        <w:t xml:space="preserve">Climate</w:t>
      </w:r>
      <w:r>
        <w:t xml:space="preserve"> </w:t>
      </w:r>
      <w:r>
        <w:t xml:space="preserve">Change.</w:t>
      </w:r>
      <w:r>
        <w:t xml:space="preserve"> </w:t>
      </w:r>
      <w:r>
        <w:t xml:space="preserve">OECD.</w:t>
      </w:r>
      <w:r>
        <w:t xml:space="preserve"> </w:t>
      </w:r>
      <w:r>
        <w:t xml:space="preserve">URL:</w:t>
      </w:r>
      <w:r>
        <w:t xml:space="preserve"> </w:t>
      </w:r>
      <w:r>
        <w:t xml:space="preserve">https://doi.org/10.1787/9789264235410-en.</w:t>
      </w:r>
    </w:p>
    <w:p>
      <w:pPr>
        <w:pStyle w:val="Compact"/>
        <w:numPr>
          <w:ilvl w:val="0"/>
          <w:numId w:val="1053"/>
        </w:numPr>
      </w:pPr>
      <w:r>
        <w:t xml:space="preserve">Ding, H. et al. (2016) ‘Valuing climate change impacts on European forest ecosystems’, Ecosystem</w:t>
      </w:r>
      <w:r>
        <w:t xml:space="preserve"> </w:t>
      </w:r>
      <w:r>
        <w:t xml:space="preserve">Services, 18, pp. 141–153. Available at: https://doi.org/10.1016/j.ecoser.2016.02.039.</w:t>
      </w:r>
    </w:p>
    <w:p>
      <w:pPr>
        <w:pStyle w:val="Compact"/>
        <w:numPr>
          <w:ilvl w:val="0"/>
          <w:numId w:val="1053"/>
        </w:numPr>
      </w:pPr>
      <w:r>
        <w:t xml:space="preserve">COACCH (2018). The Economic Cost of Climate Change in Europe: Synthesis Report on State of</w:t>
      </w:r>
      <w:r>
        <w:t xml:space="preserve"> </w:t>
      </w:r>
      <w:r>
        <w:t xml:space="preserve">Knowledge and Key Research Gaps. Policy brief by the COACCH project. Available at:</w:t>
      </w:r>
      <w:r>
        <w:t xml:space="preserve"> </w:t>
      </w:r>
      <w:r>
        <w:t xml:space="preserve">https://www.ecologic.eu/sites/default/files/publication/2018/2811-coacch-review-synthesis-updated-june-</w:t>
      </w:r>
      <w:r>
        <w:t xml:space="preserve"> </w:t>
      </w:r>
      <w:r>
        <w:t xml:space="preserve">2018.pdf</w:t>
      </w:r>
    </w:p>
    <w:p>
      <w:pPr>
        <w:pStyle w:val="Compact"/>
        <w:numPr>
          <w:ilvl w:val="0"/>
          <w:numId w:val="1053"/>
        </w:numPr>
      </w:pPr>
      <w:r>
        <w:t xml:space="preserve">IPBES (2023) Summary for Policymakers of the Thematic Assessment Report on Invasive Alien Species</w:t>
      </w:r>
      <w:r>
        <w:t xml:space="preserve"> </w:t>
      </w:r>
      <w:r>
        <w:t xml:space="preserve">and their Control of the Intergovernmental Science-Policy Platform on Biodiversity and Ecosystem</w:t>
      </w:r>
      <w:r>
        <w:t xml:space="preserve"> </w:t>
      </w:r>
      <w:r>
        <w:t xml:space="preserve">Services. Roy, H. E., Pauchard, A., Stoett, P., Renard Truong, T., Bacher, S., Galil, B. S., Hulme, P. E.,</w:t>
      </w:r>
      <w:r>
        <w:t xml:space="preserve"> </w:t>
      </w:r>
      <w:r>
        <w:t xml:space="preserve">Ikeda, T., Sankaran, K. V., McGeoch, M. A., Meyerson, L. A., Nuñez, M. A., Ordonez, A., Rahlao, S. J.,</w:t>
      </w:r>
    </w:p>
    <w:p>
      <w:pPr>
        <w:pStyle w:val="FirstParagraph"/>
      </w:pPr>
      <w:r>
        <w:t xml:space="preserve">60</w:t>
      </w:r>
    </w:p>
    <w:p>
      <w:pPr>
        <w:pStyle w:val="BodyText"/>
      </w:pPr>
      <w:r>
        <w:t xml:space="preserve">invasive species play a key role in 60% of the extinctions of plants and animals, and they are</w:t>
      </w:r>
      <w:r>
        <w:t xml:space="preserve"> </w:t>
      </w:r>
      <w:r>
        <w:t xml:space="preserve">the sole responsible of 16% of the documented global extinctions.</w:t>
      </w:r>
      <w:r>
        <w:t xml:space="preserve"> </w:t>
      </w:r>
      <w:r>
        <w:t xml:space="preserve">By altering the composition and functioning of ecosystems, climate change impacts on</w:t>
      </w:r>
      <w:r>
        <w:t xml:space="preserve"> </w:t>
      </w:r>
      <w:r>
        <w:t xml:space="preserve">biodiversity have also serious health consequences. Climate change affects the health of</w:t>
      </w:r>
      <w:r>
        <w:t xml:space="preserve"> </w:t>
      </w:r>
      <w:r>
        <w:t xml:space="preserve">ecosystems, influencing shifts in the distribution of plants, viruses, animals, and even human</w:t>
      </w:r>
      <w:r>
        <w:t xml:space="preserve"> </w:t>
      </w:r>
      <w:r>
        <w:t xml:space="preserve">settlements. This can create increased opportunities for animals to spread diseases and for</w:t>
      </w:r>
      <w:r>
        <w:t xml:space="preserve"> </w:t>
      </w:r>
      <w:r>
        <w:t xml:space="preserve">viruses to spill over to humans (216). In Europe, global warming is facilitating the spreading</w:t>
      </w:r>
      <w:r>
        <w:t xml:space="preserve"> </w:t>
      </w:r>
      <w:r>
        <w:t xml:space="preserve">of a number of diseases transmitted by mosquitoes such as zika fever, dengue and</w:t>
      </w:r>
      <w:r>
        <w:t xml:space="preserve"> </w:t>
      </w:r>
      <w:r>
        <w:t xml:space="preserve">chikungunya and transmitted by tick such as Lyme’s disease, thus exposing new populations</w:t>
      </w:r>
      <w:r>
        <w:t xml:space="preserve"> </w:t>
      </w:r>
      <w:r>
        <w:t xml:space="preserve">and regions for extended period to these diseases (217). Human health can also be affected by</w:t>
      </w:r>
      <w:r>
        <w:t xml:space="preserve"> </w:t>
      </w:r>
      <w:r>
        <w:t xml:space="preserve">reduced ecosystem services, such as the loss of food, medicine and livelihoods provided by</w:t>
      </w:r>
      <w:r>
        <w:t xml:space="preserve"> </w:t>
      </w:r>
      <w:r>
        <w:t xml:space="preserve">nature, or by the direct consequences of climate change on ecosystems. For instance, wildfire</w:t>
      </w:r>
      <w:r>
        <w:t xml:space="preserve"> </w:t>
      </w:r>
      <w:r>
        <w:t xml:space="preserve">smoke impacts human health more than fine particles from other sources, including</w:t>
      </w:r>
      <w:r>
        <w:t xml:space="preserve"> </w:t>
      </w:r>
      <w:r>
        <w:t xml:space="preserve">automobiles emissions (218). Zoonotic diseases are also a consequence of the combination of</w:t>
      </w:r>
      <w:r>
        <w:t xml:space="preserve"> </w:t>
      </w:r>
      <w:r>
        <w:t xml:space="preserve">biodiversity loss and climate change. Further warming will impact all forms of zoonoses be it</w:t>
      </w:r>
      <w:r>
        <w:t xml:space="preserve"> </w:t>
      </w:r>
      <w:r>
        <w:t xml:space="preserve">water, food, vector, rodent, or airborne origin and will also increase the emergence of novel</w:t>
      </w:r>
      <w:r>
        <w:t xml:space="preserve"> </w:t>
      </w:r>
      <w:r>
        <w:t xml:space="preserve">infections with pandemic potential (219).</w:t>
      </w:r>
      <w:r>
        <w:t xml:space="preserve"> </w:t>
      </w:r>
      <w:r>
        <w:t xml:space="preserve">Since biodiversity underpins functions and services that are essential to agriculture, forestry</w:t>
      </w:r>
      <w:r>
        <w:t xml:space="preserve"> </w:t>
      </w:r>
      <w:r>
        <w:t xml:space="preserve">and fisheries, climate change impacts on biodiversity threatens food security, water security</w:t>
      </w:r>
      <w:r>
        <w:t xml:space="preserve"> </w:t>
      </w:r>
      <w:r>
        <w:t xml:space="preserve">and economic stability. At EU level, the ecosystem services provided by the Natura 2000</w:t>
      </w:r>
      <w:r>
        <w:t xml:space="preserve"> </w:t>
      </w:r>
      <w:r>
        <w:t xml:space="preserve">network alone are estimated to have a value of EUR 200-300 billion per year (220). In France,</w:t>
      </w:r>
      <w:r>
        <w:t xml:space="preserve"> </w:t>
      </w:r>
      <w:r>
        <w:t xml:space="preserve">pioneering work on estimating the cost of inaction on climate change has shown that the</w:t>
      </w:r>
      <w:r>
        <w:t xml:space="preserve"> </w:t>
      </w:r>
      <w:r>
        <w:t xml:space="preserve">upper limit of the impact of biodiversity loss on economic activity could be up to EUR 80</w:t>
      </w:r>
      <w:r>
        <w:t xml:space="preserve"> </w:t>
      </w:r>
      <w:r>
        <w:t xml:space="preserve">billion and hundreds of thousands of direct jobs (221).</w:t>
      </w:r>
      <w:r>
        <w:br/>
      </w:r>
      <w:r>
        <w:t xml:space="preserve">As regards food systems, climate change impacts on biodiversity leads to multiple deleterious</w:t>
      </w:r>
      <w:r>
        <w:t xml:space="preserve"> </w:t>
      </w:r>
      <w:r>
        <w:t xml:space="preserve">consequences. In agriculture, climate change contributes significantly to the decline in density</w:t>
      </w:r>
      <w:r>
        <w:t xml:space="preserve"> </w:t>
      </w:r>
      <w:r>
        <w:t xml:space="preserve">and diversity of pollinators, thus reducing the pollination efficiency of crop species (222). Such</w:t>
      </w:r>
    </w:p>
    <w:p>
      <w:pPr>
        <w:pStyle w:val="BodyText"/>
      </w:pPr>
      <w:r>
        <w:t xml:space="preserve">Schwindt, E., Seebens, H., Sheppard, A. W., and Vandvik, V. (eds.). IPBES secretariat, Bonn, Germany.</w:t>
      </w:r>
      <w:r>
        <w:t xml:space="preserve"> </w:t>
      </w:r>
      <w:r>
        <w:t xml:space="preserve">https://doi.org/10.5281/zenodo.7430692</w:t>
      </w:r>
      <w:r>
        <w:t xml:space="preserve"> </w:t>
      </w:r>
      <w:r>
        <w:t xml:space="preserve">(216) WHO</w:t>
      </w:r>
      <w:r>
        <w:t xml:space="preserve"> </w:t>
      </w:r>
      <w:r>
        <w:t xml:space="preserve">(2021)</w:t>
      </w:r>
      <w:r>
        <w:t xml:space="preserve"> </w:t>
      </w:r>
      <w:r>
        <w:t xml:space="preserve">Nature,</w:t>
      </w:r>
      <w:r>
        <w:t xml:space="preserve"> </w:t>
      </w:r>
      <w:r>
        <w:t xml:space="preserve">biodiversity</w:t>
      </w:r>
      <w:r>
        <w:t xml:space="preserve"> </w:t>
      </w:r>
      <w:r>
        <w:t xml:space="preserve">and</w:t>
      </w:r>
      <w:r>
        <w:t xml:space="preserve"> </w:t>
      </w:r>
      <w:r>
        <w:t xml:space="preserve">health:</w:t>
      </w:r>
      <w:r>
        <w:t xml:space="preserve"> </w:t>
      </w:r>
      <w:r>
        <w:t xml:space="preserve">an</w:t>
      </w:r>
      <w:r>
        <w:t xml:space="preserve"> </w:t>
      </w:r>
      <w:r>
        <w:t xml:space="preserve">overview</w:t>
      </w:r>
      <w:r>
        <w:t xml:space="preserve"> </w:t>
      </w:r>
      <w:r>
        <w:t xml:space="preserve">of</w:t>
      </w:r>
      <w:r>
        <w:t xml:space="preserve"> </w:t>
      </w:r>
      <w:r>
        <w:t xml:space="preserve">interconnections.</w:t>
      </w:r>
      <w:r>
        <w:t xml:space="preserve"> </w:t>
      </w:r>
      <w:r>
        <w:t xml:space="preserve">URL:</w:t>
      </w:r>
      <w:r>
        <w:t xml:space="preserve"> </w:t>
      </w:r>
      <w:r>
        <w:t xml:space="preserve">https://www.who.int/europe/publications/i/item/9789289055581</w:t>
      </w:r>
      <w:r>
        <w:t xml:space="preserve"> </w:t>
      </w:r>
      <w:r>
        <w:t xml:space="preserve">(217) Semenza, J.C. and Paz, S. (2021) ‘Climate change and infectious disease in Europe: Impact, projection and</w:t>
      </w:r>
      <w:r>
        <w:t xml:space="preserve"> </w:t>
      </w:r>
      <w:r>
        <w:t xml:space="preserve">adaptation’,</w:t>
      </w:r>
      <w:r>
        <w:t xml:space="preserve"> </w:t>
      </w:r>
      <w:r>
        <w:t xml:space="preserve">The</w:t>
      </w:r>
      <w:r>
        <w:t xml:space="preserve"> </w:t>
      </w:r>
      <w:r>
        <w:t xml:space="preserve">Lancet</w:t>
      </w:r>
      <w:r>
        <w:t xml:space="preserve"> </w:t>
      </w:r>
      <w:r>
        <w:t xml:space="preserve">Regional</w:t>
      </w:r>
      <w:r>
        <w:t xml:space="preserve"> </w:t>
      </w:r>
      <w:r>
        <w:t xml:space="preserve">Health</w:t>
      </w:r>
      <w:r>
        <w:t xml:space="preserve"> </w:t>
      </w:r>
      <w:r>
        <w:t xml:space="preserve">-</w:t>
      </w:r>
      <w:r>
        <w:t xml:space="preserve"> </w:t>
      </w:r>
      <w:r>
        <w:t xml:space="preserve">Europe,</w:t>
      </w:r>
      <w:r>
        <w:t xml:space="preserve"> </w:t>
      </w:r>
      <w:r>
        <w:t xml:space="preserve">9,</w:t>
      </w:r>
      <w:r>
        <w:t xml:space="preserve"> </w:t>
      </w:r>
      <w:r>
        <w:t xml:space="preserve">p. </w:t>
      </w:r>
      <w:r>
        <w:t xml:space="preserve"> </w:t>
      </w:r>
      <w:r>
        <w:t xml:space="preserve">100230.</w:t>
      </w:r>
      <w:r>
        <w:t xml:space="preserve"> </w:t>
      </w:r>
      <w:r>
        <w:t xml:space="preserve">URL:</w:t>
      </w:r>
      <w:r>
        <w:t xml:space="preserve"> </w:t>
      </w:r>
      <w:r>
        <w:t xml:space="preserve">https://doi.org/10.1016/j.lanepe.2021.100230.</w:t>
      </w:r>
      <w:r>
        <w:t xml:space="preserve"> </w:t>
      </w:r>
      <w:r>
        <w:t xml:space="preserve">(218) Aguilera, R. et al. (2021) ‘Wildfire smoke impacts respiratory health more than fine particles from other</w:t>
      </w:r>
      <w:r>
        <w:t xml:space="preserve"> </w:t>
      </w:r>
      <w:r>
        <w:t xml:space="preserve">sources: observational evidence from Southern California’, Nature Communications, 12(1), p. 1493.</w:t>
      </w:r>
      <w:r>
        <w:t xml:space="preserve"> </w:t>
      </w:r>
      <w:r>
        <w:t xml:space="preserve">Available at: https://doi.org/10.1038/s41467-021-21708-0.</w:t>
      </w:r>
      <w:r>
        <w:t xml:space="preserve"> </w:t>
      </w:r>
      <w:r>
        <w:t xml:space="preserve">(219) The Lancet Infectious Diseases (2023), Twin threats: climate change and zoonoses, Volume 23, Issue 1,</w:t>
      </w:r>
      <w:r>
        <w:t xml:space="preserve"> </w:t>
      </w:r>
      <w:r>
        <w:t xml:space="preserve">Page 1, ISSN 1473-3099, https://doi.org/10.1016/S1473-3099(22)00817-9.</w:t>
      </w:r>
      <w:r>
        <w:t xml:space="preserve"> </w:t>
      </w:r>
      <w:r>
        <w:t xml:space="preserve">(220) European Commission. Directorate General for the Environment. (2013) The economic benefits of the</w:t>
      </w:r>
      <w:r>
        <w:t xml:space="preserve"> </w:t>
      </w:r>
      <w:r>
        <w:t xml:space="preserve">Natura 2000 network :synthesis report. Available at: https://data.europa.eu/doi/10.2779/41957.</w:t>
      </w:r>
      <w:r>
        <w:t xml:space="preserve"> </w:t>
      </w:r>
      <w:r>
        <w:t xml:space="preserve">(221) Delahais, A. and Robinet, A. (2023) The cost of inaction on climate change: what do we know? France</w:t>
      </w:r>
      <w:r>
        <w:t xml:space="preserve"> </w:t>
      </w:r>
      <w:r>
        <w:t xml:space="preserve">Stratégie. Available at: https://www.strategie.gouv.fr/english-articles/cost-inaction-climate-change-what-do-</w:t>
      </w:r>
      <w:r>
        <w:t xml:space="preserve"> </w:t>
      </w:r>
      <w:r>
        <w:t xml:space="preserve">we-know</w:t>
      </w:r>
      <w:r>
        <w:t xml:space="preserve"> </w:t>
      </w:r>
      <w:r>
        <w:t xml:space="preserve">(222) Marshman, J., Blay-Palmer, A. and Landman, K. (2019) ‘Anthropocene Crisis: Climate Change, Pollinators,</w:t>
      </w:r>
      <w:r>
        <w:t xml:space="preserve"> </w:t>
      </w:r>
      <w:r>
        <w:t xml:space="preserve">and Food Security’, Environments, 6(2), p. 22. URL: https://doi.org/10.3390/environments6020022.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impacts can have costly consequences as EUR 15 billion of annual agricultural output is</w:t>
      </w:r>
      <w:r>
        <w:t xml:space="preserve"> </w:t>
      </w:r>
      <w:r>
        <w:t xml:space="preserve">directly attributed to pollination in the EU (223). Climate change would increase the</w:t>
      </w:r>
      <w:r>
        <w:t xml:space="preserve"> </w:t>
      </w:r>
      <w:r>
        <w:t xml:space="preserve">prevalence of insect pests exacerbating yield loss of crops: in Europe, the accelerating</w:t>
      </w:r>
      <w:r>
        <w:t xml:space="preserve"> </w:t>
      </w:r>
      <w:r>
        <w:t xml:space="preserve">northward migration of agro-climatic zones (224) might be accompanied with an increasing</w:t>
      </w:r>
      <w:r>
        <w:t xml:space="preserve"> </w:t>
      </w:r>
      <w:r>
        <w:t xml:space="preserve">spread of pest species and diseases, and mounting severity and economic impacts of</w:t>
      </w:r>
      <w:r>
        <w:t xml:space="preserve"> </w:t>
      </w:r>
      <w:r>
        <w:t xml:space="preserve">outbreaks (225). Livestock sectors would also be heavily impacted, directly through animal</w:t>
      </w:r>
      <w:r>
        <w:t xml:space="preserve"> </w:t>
      </w:r>
      <w:r>
        <w:t xml:space="preserve">diseases and indirectly through decreased feed availability and quality (226), or increased</w:t>
      </w:r>
      <w:r>
        <w:t xml:space="preserve"> </w:t>
      </w:r>
      <w:r>
        <w:t xml:space="preserve">attacks on livestock by predators driven to human-dominated areas in search of food (227). In</w:t>
      </w:r>
      <w:r>
        <w:t xml:space="preserve"> </w:t>
      </w:r>
      <w:r>
        <w:t xml:space="preserve">marine ecosystems, global warming threats food security, as loss of fish habitats is modifying</w:t>
      </w:r>
      <w:r>
        <w:t xml:space="preserve"> </w:t>
      </w:r>
      <w:r>
        <w:t xml:space="preserve">the distribution and productivity of both marine and freshwater species thus affecting the</w:t>
      </w:r>
      <w:r>
        <w:t xml:space="preserve"> </w:t>
      </w:r>
      <w:r>
        <w:t xml:space="preserve">sustainability of fisheries and populations dependent on them (228). In particular, loss of coral</w:t>
      </w:r>
      <w:r>
        <w:t xml:space="preserve"> </w:t>
      </w:r>
      <w:r>
        <w:t xml:space="preserve">reefs does not only mean loss of one of the most biodiverse ecosystems but will also have a</w:t>
      </w:r>
      <w:r>
        <w:t xml:space="preserve"> </w:t>
      </w:r>
      <w:r>
        <w:t xml:space="preserve">huge impact on people. Tens of millions of people depend on coral reefs for protein and other</w:t>
      </w:r>
      <w:r>
        <w:t xml:space="preserve"> </w:t>
      </w:r>
      <w:r>
        <w:t xml:space="preserve">services, and almost 500 million people, or 8% of the world’s population, live within 100 km</w:t>
      </w:r>
      <w:r>
        <w:t xml:space="preserve"> </w:t>
      </w:r>
      <w:r>
        <w:t xml:space="preserve">of a reef (229).</w:t>
      </w:r>
      <w:r>
        <w:t xml:space="preserve"> </w:t>
      </w:r>
      <w:r>
        <w:t xml:space="preserve">2.2</w:t>
      </w:r>
      <w:r>
        <w:t xml:space="preserve"> </w:t>
      </w:r>
      <w:r>
        <w:t xml:space="preserve">Impacts on selected most vulnerable regions</w:t>
      </w:r>
      <w:r>
        <w:t xml:space="preserve"> </w:t>
      </w:r>
      <w:r>
        <w:t xml:space="preserve">Not all the regions are equally affected by climate change. Risk, as a potential for adverse</w:t>
      </w:r>
      <w:r>
        <w:t xml:space="preserve"> </w:t>
      </w:r>
      <w:r>
        <w:t xml:space="preserve">consequences, results from interactions between climate hazards, vulnerability, and exposure.</w:t>
      </w:r>
      <w:r>
        <w:t xml:space="preserve"> </w:t>
      </w:r>
      <w:r>
        <w:t xml:space="preserve">There are geographical, social and contextual determinants of vulnerability, and so</w:t>
      </w:r>
      <w:r>
        <w:t xml:space="preserve"> </w:t>
      </w:r>
      <w:r>
        <w:t xml:space="preserve">vulnerability differs across geographies, but also between and within societies and</w:t>
      </w:r>
      <w:r>
        <w:t xml:space="preserve"> </w:t>
      </w:r>
      <w:r>
        <w:t xml:space="preserve">communities (Figure 10). Communities most vulnerable to climate change are located in</w:t>
      </w:r>
      <w:r>
        <w:t xml:space="preserve"> </w:t>
      </w:r>
      <w:r>
        <w:t xml:space="preserve">West-, Central- and East Africa, South Asia, Central and South America and Small Island</w:t>
      </w:r>
      <w:r>
        <w:t xml:space="preserve"> </w:t>
      </w:r>
      <w:r>
        <w:t xml:space="preserve">Developing States and the Arctic (230). Three of these most vulnerable regions are described in</w:t>
      </w:r>
      <w:r>
        <w:t xml:space="preserve"> </w:t>
      </w:r>
      <w:r>
        <w:t xml:space="preserve">more detail below.</w:t>
      </w:r>
    </w:p>
    <w:p>
      <w:pPr>
        <w:pStyle w:val="Compact"/>
        <w:numPr>
          <w:ilvl w:val="0"/>
          <w:numId w:val="1054"/>
        </w:numPr>
      </w:pPr>
      <w:r>
        <w:t xml:space="preserve">Potts S., et al. (2015) Status and trends of European pollinators. Key findings of the STEP project. Pensoft</w:t>
      </w:r>
      <w:r>
        <w:t xml:space="preserve"> </w:t>
      </w:r>
      <w:r>
        <w:t xml:space="preserve">Publishers, Sofia. URL: http://step-project.net/img/uplf/STEP%20brochure%20online-1.pdf</w:t>
      </w:r>
    </w:p>
    <w:p>
      <w:pPr>
        <w:pStyle w:val="Compact"/>
        <w:numPr>
          <w:ilvl w:val="0"/>
          <w:numId w:val="1054"/>
        </w:numPr>
      </w:pPr>
      <w:r>
        <w:t xml:space="preserve">Ceglar, A. et al. (2019) ‘Observed Northward Migration of Agro‐Climate Zones in Europe Will Further</w:t>
      </w:r>
      <w:r>
        <w:t xml:space="preserve"> </w:t>
      </w:r>
      <w:r>
        <w:t xml:space="preserve">Accelerate</w:t>
      </w:r>
      <w:r>
        <w:t xml:space="preserve"> </w:t>
      </w:r>
      <w:r>
        <w:t xml:space="preserve">Under</w:t>
      </w:r>
      <w:r>
        <w:t xml:space="preserve"> </w:t>
      </w:r>
      <w:r>
        <w:t xml:space="preserve">Climate</w:t>
      </w:r>
      <w:r>
        <w:t xml:space="preserve"> </w:t>
      </w:r>
      <w:r>
        <w:t xml:space="preserve">Change’,</w:t>
      </w:r>
      <w:r>
        <w:t xml:space="preserve"> </w:t>
      </w:r>
      <w:r>
        <w:t xml:space="preserve">Earth’s</w:t>
      </w:r>
      <w:r>
        <w:t xml:space="preserve"> </w:t>
      </w:r>
      <w:r>
        <w:t xml:space="preserve">Future,</w:t>
      </w:r>
      <w:r>
        <w:t xml:space="preserve"> </w:t>
      </w:r>
      <w:r>
        <w:t xml:space="preserve">7(9),</w:t>
      </w:r>
      <w:r>
        <w:t xml:space="preserve"> </w:t>
      </w:r>
      <w:r>
        <w:t xml:space="preserve">pp. </w:t>
      </w:r>
      <w:r>
        <w:t xml:space="preserve"> </w:t>
      </w:r>
      <w:r>
        <w:t xml:space="preserve">1088–1101.</w:t>
      </w:r>
      <w:r>
        <w:t xml:space="preserve"> </w:t>
      </w:r>
      <w:r>
        <w:t xml:space="preserve">URL:</w:t>
      </w:r>
      <w:r>
        <w:t xml:space="preserve"> </w:t>
      </w:r>
      <w:r>
        <w:t xml:space="preserve">https://doi.org/10.1029/2019EF001178.</w:t>
      </w:r>
    </w:p>
    <w:p>
      <w:pPr>
        <w:pStyle w:val="Compact"/>
        <w:numPr>
          <w:ilvl w:val="0"/>
          <w:numId w:val="1054"/>
        </w:numPr>
      </w:pPr>
      <w:r>
        <w:t xml:space="preserve">Skendžić, S. et al. (2021) ‘The Impact of Climate Change on Agricultural Insect Pests’, Insects, 12(5), p. </w:t>
      </w:r>
    </w:p>
    <w:p>
      <w:pPr>
        <w:pStyle w:val="Compact"/>
        <w:numPr>
          <w:ilvl w:val="0"/>
          <w:numId w:val="1055"/>
        </w:numPr>
      </w:pPr>
      <w:r>
        <w:t xml:space="preserve">URL : https://doi.org/10.3390/insects12050440.</w:t>
      </w:r>
    </w:p>
    <w:p>
      <w:pPr>
        <w:pStyle w:val="Compact"/>
        <w:numPr>
          <w:ilvl w:val="0"/>
          <w:numId w:val="1056"/>
        </w:numPr>
      </w:pPr>
      <w:r>
        <w:t xml:space="preserve">Godde, C.M. et al. (2021) ‘Impacts of climate change on the livestock food supply chain; a review of the</w:t>
      </w:r>
      <w:r>
        <w:t xml:space="preserve"> </w:t>
      </w:r>
      <w:r>
        <w:t xml:space="preserve">evidence’, Global Food Security, 28, p. 100488. URL: https://doi.org/10.1016/j.gfs.2020.100488.</w:t>
      </w:r>
      <w:r>
        <w:br/>
      </w:r>
    </w:p>
    <w:p>
      <w:pPr>
        <w:pStyle w:val="Compact"/>
        <w:numPr>
          <w:ilvl w:val="0"/>
          <w:numId w:val="1056"/>
        </w:numPr>
      </w:pPr>
      <w:r>
        <w:t xml:space="preserve">Abrahms, B. (2021). Human-wildlife conflict under climate change. Science, 373(6554), 484–485.</w:t>
      </w:r>
      <w:r>
        <w:t xml:space="preserve"> </w:t>
      </w:r>
      <w:r>
        <w:t xml:space="preserve">https://doi.org/10.1126/science.abj4216</w:t>
      </w:r>
    </w:p>
    <w:p>
      <w:pPr>
        <w:pStyle w:val="Compact"/>
        <w:numPr>
          <w:ilvl w:val="0"/>
          <w:numId w:val="1056"/>
        </w:numPr>
      </w:pPr>
      <w:r>
        <w:t xml:space="preserve">Salvatteci, R. et al. (2022) ‘Smaller fish species in a warm and oxygen-poor Humboldt Current system’,</w:t>
      </w:r>
      <w:r>
        <w:t xml:space="preserve"> </w:t>
      </w:r>
      <w:r>
        <w:t xml:space="preserve">Science, 375(6576), pp. 101–104. URL : https://doi.org/10.1126/science.abj0270.</w:t>
      </w:r>
    </w:p>
    <w:p>
      <w:pPr>
        <w:pStyle w:val="Compact"/>
        <w:numPr>
          <w:ilvl w:val="0"/>
          <w:numId w:val="1056"/>
        </w:numPr>
      </w:pPr>
      <w:r>
        <w:t xml:space="preserve">Veron, J.E.N. et al. (2009) ‘The coral reef crisis: The critical importance of&lt;350ppm CO2’, Marine</w:t>
      </w:r>
      <w:r>
        <w:t xml:space="preserve"> </w:t>
      </w:r>
      <w:r>
        <w:t xml:space="preserve">Pollution Bulletin, 58(10), pp. 1428–1436. https://doi.org/10.1016/j.marpolbul.2009.09.009.</w:t>
      </w:r>
    </w:p>
    <w:p>
      <w:pPr>
        <w:pStyle w:val="Compact"/>
        <w:numPr>
          <w:ilvl w:val="0"/>
          <w:numId w:val="1056"/>
        </w:numPr>
      </w:pPr>
      <w:r>
        <w:t xml:space="preserve">IPCC, 2022: Summary for Policymakers [H.-O. Pörtner, D.C. Roberts, E.S. Poloczanska, K. Mintenbeck,</w:t>
      </w:r>
      <w:r>
        <w:t xml:space="preserve"> </w:t>
      </w:r>
      <w:r>
        <w:t xml:space="preserve">M. Tignor, A. Alegría, M. Craig, S. Langsdorf, S. Löschke, V. Möller, A. Okem (eds.)]. In: Climate Change</w:t>
      </w:r>
      <w:r>
        <w:t xml:space="preserve"> </w:t>
      </w:r>
      <w:r>
        <w:t xml:space="preserve">2022: Impacts, Adaptation and Vulnerability. Contribution of Working Group II to the Sixth Assessment</w:t>
      </w:r>
      <w:r>
        <w:t xml:space="preserve"> </w:t>
      </w:r>
      <w:r>
        <w:t xml:space="preserve">Report of the Intergovernmental Panel on Climate Change [H.-O. Pörtner, D.C. Roberts, M. Tignor, E.S.</w:t>
      </w:r>
      <w:r>
        <w:t xml:space="preserve"> </w:t>
      </w:r>
      <w:r>
        <w:t xml:space="preserve">Poloczanska, K. Mintenbeck, A. Alegría, M. Craig, S. Langsdorf, S. Löschke, V. Möller, A. Okem, B. Rama</w:t>
      </w:r>
      <w:r>
        <w:t xml:space="preserve"> </w:t>
      </w:r>
      <w:r>
        <w:t xml:space="preserve">(eds.)]. Cambridge University Press, Cambridge, UK and New York, NY, USA, pp. 3–33,</w:t>
      </w:r>
      <w:r>
        <w:t xml:space="preserve"> </w:t>
      </w:r>
      <w:r>
        <w:t xml:space="preserve">doi:10.1017/9781009325844.001</w:t>
      </w:r>
    </w:p>
    <w:p>
      <w:pPr>
        <w:pStyle w:val="FirstParagraph"/>
      </w:pPr>
      <w:r>
        <w:t xml:space="preserve">62</w:t>
      </w:r>
    </w:p>
    <w:p>
      <w:pPr>
        <w:pStyle w:val="BodyText"/>
      </w:pPr>
      <w:r>
        <w:t xml:space="preserve">Figure 10: Map of human vulnerability.</w:t>
      </w:r>
    </w:p>
    <w:p>
      <w:pPr>
        <w:pStyle w:val="BodyText"/>
      </w:pPr>
      <w:r>
        <w:t xml:space="preserve">Source: IPCC AR6 WG II (2022). Figure TS.7</w:t>
      </w:r>
      <w:r>
        <w:t xml:space="preserve"> </w:t>
      </w:r>
      <w:r>
        <w:t xml:space="preserve">2.2.1 Africa</w:t>
      </w:r>
      <w:r>
        <w:t xml:space="preserve"> </w:t>
      </w:r>
      <w:r>
        <w:t xml:space="preserve">African countries are highly vulnerable to anthropogenic climate change and are already</w:t>
      </w:r>
      <w:r>
        <w:t xml:space="preserve"> </w:t>
      </w:r>
      <w:r>
        <w:t xml:space="preserve">experiencing adverse and widespread negative impacts. Climate change has caused a loss of</w:t>
      </w:r>
      <w:r>
        <w:t xml:space="preserve"> </w:t>
      </w:r>
      <w:r>
        <w:t xml:space="preserve">biodiversity, reduced water availability and food security and led to the loss of life, and with</w:t>
      </w:r>
      <w:r>
        <w:t xml:space="preserve"> </w:t>
      </w:r>
      <w:r>
        <w:t xml:space="preserve">increasing global warming the impacts are projected to intensify. Heat waves, drought and</w:t>
      </w:r>
      <w:r>
        <w:t xml:space="preserve"> </w:t>
      </w:r>
      <w:r>
        <w:t xml:space="preserve">marine heatwaves have increased in frequency and intensity due to climate change (231).</w:t>
      </w:r>
      <w:r>
        <w:t xml:space="preserve"> </w:t>
      </w:r>
      <w:r>
        <w:t xml:space="preserve">Africa has been warming more rapidly than the global average, and northern Africa has a</w:t>
      </w:r>
      <w:r>
        <w:t xml:space="preserve"> </w:t>
      </w:r>
      <w:r>
        <w:t xml:space="preserve">higher warming trend compared to other African regions. The number of extreme warm days</w:t>
      </w:r>
      <w:r>
        <w:t xml:space="preserve"> </w:t>
      </w:r>
      <w:r>
        <w:t xml:space="preserve">has been increasing over continental Africa. The rate of sea-level rise along African coasts is</w:t>
      </w:r>
      <w:r>
        <w:t xml:space="preserve"> </w:t>
      </w:r>
      <w:r>
        <w:t xml:space="preserve">above the global mean, particularly along the Red Sea and south-west Indian Ocean. Relative</w:t>
      </w:r>
      <w:r>
        <w:t xml:space="preserve"> </w:t>
      </w:r>
      <w:r>
        <w:t xml:space="preserve">sea-level rise is projected to continue, affecting the frequency and severity of coastal flooding.</w:t>
      </w:r>
      <w:r>
        <w:t xml:space="preserve"> </w:t>
      </w:r>
      <w:r>
        <w:t xml:space="preserve">Climate change has also affected glaciers in equatorial East Africa, which are retreating at a</w:t>
      </w:r>
      <w:r>
        <w:t xml:space="preserve"> </w:t>
      </w:r>
      <w:r>
        <w:t xml:space="preserve">rate faster than the global mean, and some are projected to disappear by 2030. Extreme and</w:t>
      </w:r>
      <w:r>
        <w:t xml:space="preserve"> </w:t>
      </w:r>
      <w:r>
        <w:t xml:space="preserve">high-impact events attributed to climate change were observed in Africa in the past years,</w:t>
      </w:r>
      <w:r>
        <w:t xml:space="preserve"> </w:t>
      </w:r>
      <w:r>
        <w:t xml:space="preserve">including extreme floods in South Sudan, and flooding in Niger, Congo, Benin, and Nigeria,</w:t>
      </w:r>
    </w:p>
    <w:p>
      <w:pPr>
        <w:pStyle w:val="BodyText"/>
      </w:pPr>
      <w:r>
        <w:t xml:space="preserve">(231)Trisos, C.H., I.O. Adelekan, E. Totin, A. Ayanlade, J. Efitre, A. Gemeda, K. Kalaba, C. Lennard, C.</w:t>
      </w:r>
      <w:r>
        <w:t xml:space="preserve"> </w:t>
      </w:r>
      <w:r>
        <w:t xml:space="preserve">Masao, Y. Mgaya, G. Ngaruiya, D. Olago, N.P. Simpson, and S. Zakieldeen, 2022: Africa. In: Climate</w:t>
      </w:r>
      <w:r>
        <w:t xml:space="preserve"> </w:t>
      </w:r>
      <w:r>
        <w:t xml:space="preserve">Change 2022: Impacts, Adaptation and Vulnerability. Contribution of Working Group II to the Sixth</w:t>
      </w:r>
      <w:r>
        <w:t xml:space="preserve"> </w:t>
      </w:r>
      <w:r>
        <w:t xml:space="preserve">Assessment Report of the Intergovernmental Panel on Climate Change [H.-O. Pörtner, D.C. Roberts, M.</w:t>
      </w:r>
      <w:r>
        <w:t xml:space="preserve"> </w:t>
      </w:r>
      <w:r>
        <w:t xml:space="preserve">Tignor, E.S. Poloczanska, K. Mintenbeck, A. Alegría, M. Craig, S. Langsdorf, S. Löschke, V. Möller, A.</w:t>
      </w:r>
      <w:r>
        <w:t xml:space="preserve"> </w:t>
      </w:r>
      <w:r>
        <w:t xml:space="preserve">Okem, B. Rama (eds.)]. Cambridge University Press, Cambridge, UK and New York, NY, USA, pp. 1285–</w:t>
      </w:r>
      <w:r>
        <w:t xml:space="preserve"> </w:t>
      </w:r>
      <w:r>
        <w:t xml:space="preserve">1455, doi:10.1017/9781009325844.011.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where it contributed to the spread of cholera. In 2021 Somalia experienced persistent drought</w:t>
      </w:r>
      <w:r>
        <w:t xml:space="preserve"> </w:t>
      </w:r>
      <w:r>
        <w:t xml:space="preserve">conditions, affecting more than 3.2 million people and displacing 169 000 people. The same</w:t>
      </w:r>
      <w:r>
        <w:t xml:space="preserve"> </w:t>
      </w:r>
      <w:r>
        <w:t xml:space="preserve">year Madagascar experienced the worst drought in 40 years, causing 70% of the population of</w:t>
      </w:r>
      <w:r>
        <w:t xml:space="preserve"> </w:t>
      </w:r>
      <w:r>
        <w:t xml:space="preserve">southern Madagascar to lack access to basic drinking water (232). In 2022, eastern Africa</w:t>
      </w:r>
      <w:r>
        <w:t xml:space="preserve"> </w:t>
      </w:r>
      <w:r>
        <w:t xml:space="preserve">experienced the fifth consecutive year of below average rainfall during the wet season,</w:t>
      </w:r>
      <w:r>
        <w:t xml:space="preserve"> </w:t>
      </w:r>
      <w:r>
        <w:t xml:space="preserve">exposing an estimated 37 million people to acute food insecurity due to drought and other</w:t>
      </w:r>
      <w:r>
        <w:t xml:space="preserve"> </w:t>
      </w:r>
      <w:r>
        <w:t xml:space="preserve">shocks (233). In March 2023, Tropical Cyclone Freddy caused extreme rainfall and flooding in</w:t>
      </w:r>
      <w:r>
        <w:t xml:space="preserve"> </w:t>
      </w:r>
      <w:r>
        <w:t xml:space="preserve">Mozambique and Malawi. At least 844 fatalities were reported and over 659 000 people were</w:t>
      </w:r>
      <w:r>
        <w:t xml:space="preserve"> </w:t>
      </w:r>
      <w:r>
        <w:t xml:space="preserve">internal displaced. Fatalities were also reported in Madagascar and Zimbabwe. The heatwaves</w:t>
      </w:r>
      <w:r>
        <w:t xml:space="preserve"> </w:t>
      </w:r>
      <w:r>
        <w:t xml:space="preserve">in the summer of 2023 affected North Africa, while the Greater Horn of Africa saw unusually</w:t>
      </w:r>
      <w:r>
        <w:t xml:space="preserve"> </w:t>
      </w:r>
      <w:r>
        <w:t xml:space="preserve">large rainfalls amounts during the Gu rain season, displacing at least 1.4 million people, in</w:t>
      </w:r>
      <w:r>
        <w:t xml:space="preserve"> </w:t>
      </w:r>
      <w:r>
        <w:t xml:space="preserve">addition to the 2.7 million who were displace due to five consequitive seasons of drought. In</w:t>
      </w:r>
      <w:r>
        <w:t xml:space="preserve"> </w:t>
      </w:r>
      <w:r>
        <w:t xml:space="preserve">September 2023 Libya experienced extreme rainfall that caused devastating flooding and</w:t>
      </w:r>
      <w:r>
        <w:t xml:space="preserve"> </w:t>
      </w:r>
      <w:r>
        <w:t xml:space="preserve">heavy loss of life with 4345 confirmed deaths and more than 8500 people still missing (234)</w:t>
      </w:r>
      <w:r>
        <w:t xml:space="preserve"> </w:t>
      </w:r>
      <w:r>
        <w:t xml:space="preserve">(235).</w:t>
      </w:r>
      <w:r>
        <w:br/>
      </w:r>
      <w:r>
        <w:t xml:space="preserve">With increasing global warming, mean temperature is projected to increase across Africa, and</w:t>
      </w:r>
      <w:r>
        <w:t xml:space="preserve"> </w:t>
      </w:r>
      <w:r>
        <w:t xml:space="preserve">temperatures extremes will increase over most of the continent. Eastern Sahel, eastern Africa</w:t>
      </w:r>
      <w:r>
        <w:t xml:space="preserve"> </w:t>
      </w:r>
      <w:r>
        <w:t xml:space="preserve">and central Africa are projected to receive increased mean annual rainfall, while it is projected</w:t>
      </w:r>
      <w:r>
        <w:t xml:space="preserve"> </w:t>
      </w:r>
      <w:r>
        <w:t xml:space="preserve">to decrease in southwestern and southern Africa and coastal northern Africa, which are</w:t>
      </w:r>
      <w:r>
        <w:t xml:space="preserve"> </w:t>
      </w:r>
      <w:r>
        <w:t xml:space="preserve">projected to experience increased meteorological and agricultural drought. For most of the</w:t>
      </w:r>
      <w:r>
        <w:t xml:space="preserve"> </w:t>
      </w:r>
      <w:r>
        <w:t xml:space="preserve">continent, except northern and southwestern Africa, increased frequency and intensity of</w:t>
      </w:r>
      <w:r>
        <w:t xml:space="preserve"> </w:t>
      </w:r>
      <w:r>
        <w:t xml:space="preserve">heavy precipitation is projected. With increasing climate change, reductions in economic</w:t>
      </w:r>
      <w:r>
        <w:t xml:space="preserve"> </w:t>
      </w:r>
      <w:r>
        <w:t xml:space="preserve">growth are projected for low- and middle-income countries.</w:t>
      </w:r>
      <w:r>
        <w:t xml:space="preserve"> </w:t>
      </w:r>
      <w:r>
        <w:t xml:space="preserve">IPCC WG II (2022) identified key risks for Africa (Figure 11) as species extinction and</w:t>
      </w:r>
      <w:r>
        <w:t xml:space="preserve"> </w:t>
      </w:r>
      <w:r>
        <w:t xml:space="preserve">damage to ecosystems, reduced food production, reduced water security, reduced energy</w:t>
      </w:r>
      <w:r>
        <w:t xml:space="preserve"> </w:t>
      </w:r>
      <w:r>
        <w:t xml:space="preserve">security, reduced economic growth and increased poverty, increased disease, mortality and</w:t>
      </w:r>
      <w:r>
        <w:t xml:space="preserve"> </w:t>
      </w:r>
      <w:r>
        <w:t xml:space="preserve">morbidity, damage to critical infrastructure and human settlements due to extreme events and</w:t>
      </w:r>
      <w:r>
        <w:t xml:space="preserve"> </w:t>
      </w:r>
      <w:r>
        <w:t xml:space="preserve">loss of natural and cultural heritage. At 1.5℃ global warming, all of the listed risks will</w:t>
      </w:r>
      <w:r>
        <w:t xml:space="preserve"> </w:t>
      </w:r>
      <w:r>
        <w:t xml:space="preserve">transition to high, and some become very high at below 2℃ global warming. At 1.5℃ a 9%</w:t>
      </w:r>
      <w:r>
        <w:t xml:space="preserve"> </w:t>
      </w:r>
      <w:r>
        <w:t xml:space="preserve">decline is maize yield is projected in West Africa and 20-60% reduction in wheat yield in</w:t>
      </w:r>
      <w:r>
        <w:t xml:space="preserve"> </w:t>
      </w:r>
      <w:r>
        <w:t xml:space="preserve">southern and northern Africa. Coffee and tea production in east Africa is projected to decline,</w:t>
      </w:r>
      <w:r>
        <w:t xml:space="preserve"> </w:t>
      </w:r>
      <w:r>
        <w:t xml:space="preserve">as well as sorghum production in west Africa. A more than 12% decline in marine fisheries is</w:t>
      </w:r>
      <w:r>
        <w:t xml:space="preserve"> </w:t>
      </w:r>
      <w:r>
        <w:t xml:space="preserve">projected for west Africa at 1.5℃ global warming, which could expose millions of people to</w:t>
      </w:r>
      <w:r>
        <w:t xml:space="preserve"> </w:t>
      </w:r>
      <w:r>
        <w:t xml:space="preserve">nutritional deficiencies. Climate change also increases the incidence of vector-borne diseases</w:t>
      </w:r>
      <w:r>
        <w:t xml:space="preserve"> </w:t>
      </w:r>
      <w:r>
        <w:t xml:space="preserve">including malaria (east and southern Africa), dengue and zika (north, east and southern</w:t>
      </w:r>
      <w:r>
        <w:t xml:space="preserve"> </w:t>
      </w:r>
      <w:r>
        <w:t xml:space="preserve">Africa). Decreased crop yields could expose millions of people to malnutrition, particularly in</w:t>
      </w:r>
      <w:r>
        <w:t xml:space="preserve"> </w:t>
      </w:r>
      <w:r>
        <w:t xml:space="preserve">central, eastern and western Africa. Heatwaves are projected to cause more than 15 additional</w:t>
      </w:r>
      <w:r>
        <w:t xml:space="preserve"> </w:t>
      </w:r>
      <w:r>
        <w:t xml:space="preserve">deaths per 100 000 people per year in parts of western, eastern and northern Africa.</w:t>
      </w:r>
    </w:p>
    <w:p>
      <w:pPr>
        <w:pStyle w:val="Compact"/>
        <w:numPr>
          <w:ilvl w:val="0"/>
          <w:numId w:val="1057"/>
        </w:numPr>
      </w:pPr>
      <w:r>
        <w:t xml:space="preserve">World Meteorological Organization: State of the Climate in Africa 2021 (WMO-No. 1300). 2022. Chair,</w:t>
      </w:r>
      <w:r>
        <w:t xml:space="preserve"> </w:t>
      </w:r>
      <w:r>
        <w:t xml:space="preserve">Publications Board, WMO, Geneva, Switzerland, ISBN 978-92-63-11300-9</w:t>
      </w:r>
    </w:p>
    <w:p>
      <w:pPr>
        <w:pStyle w:val="Compact"/>
        <w:numPr>
          <w:ilvl w:val="0"/>
          <w:numId w:val="1057"/>
        </w:numPr>
      </w:pPr>
      <w:r>
        <w:t xml:space="preserve">World Meteorological Organization (2023): State of the Global Climate 2022 (WMO-No. 1316). ISBN:</w:t>
      </w:r>
      <w:r>
        <w:t xml:space="preserve"> </w:t>
      </w:r>
      <w:r>
        <w:t xml:space="preserve">978-92-63-11316-0.</w:t>
      </w:r>
    </w:p>
    <w:p>
      <w:pPr>
        <w:pStyle w:val="Compact"/>
        <w:numPr>
          <w:ilvl w:val="0"/>
          <w:numId w:val="1057"/>
        </w:numPr>
      </w:pPr>
      <w:r>
        <w:t xml:space="preserve">https://public.wmo.int/en/media/news/storm-daniel-leads-extreme-rain-and-floods-mediterranean-heavy-</w:t>
      </w:r>
      <w:r>
        <w:t xml:space="preserve"> </w:t>
      </w:r>
      <w:r>
        <w:t xml:space="preserve">loss-of-life-libya</w:t>
      </w:r>
      <w:r>
        <w:br/>
      </w:r>
    </w:p>
    <w:p>
      <w:pPr>
        <w:pStyle w:val="Compact"/>
        <w:numPr>
          <w:ilvl w:val="0"/>
          <w:numId w:val="1057"/>
        </w:numPr>
      </w:pPr>
      <w:r>
        <w:t xml:space="preserve">https://wmo.int/files/provisional-state-of-global-climate-2023</w:t>
      </w:r>
    </w:p>
    <w:p>
      <w:pPr>
        <w:pStyle w:val="FirstParagraph"/>
      </w:pPr>
      <w:r>
        <w:t xml:space="preserve">64</w:t>
      </w:r>
    </w:p>
    <w:p>
      <w:pPr>
        <w:pStyle w:val="BodyText"/>
      </w:pPr>
      <w:r>
        <w:t xml:space="preserve">Figure 11: Key risks for Africa increase with increasing global warming.</w:t>
      </w:r>
    </w:p>
    <w:p>
      <w:pPr>
        <w:pStyle w:val="BodyText"/>
      </w:pPr>
      <w:r>
        <w:t xml:space="preserve">Source: IPCC AR6 WG II (2022). Figure 9.6</w:t>
      </w:r>
      <w:r>
        <w:t xml:space="preserve"> </w:t>
      </w:r>
      <w:r>
        <w:t xml:space="preserve">Climate change impacts health, livelihoods and food security of different communities and</w:t>
      </w:r>
      <w:r>
        <w:t xml:space="preserve"> </w:t>
      </w:r>
      <w:r>
        <w:t xml:space="preserve">social groups in Africa differently, depending on their social, cultural and geographical</w:t>
      </w:r>
      <w:r>
        <w:t xml:space="preserve"> </w:t>
      </w:r>
      <w:r>
        <w:t xml:space="preserve">context. The vulnerability of individuals to the impacts of climate change interacts with non-</w:t>
      </w:r>
      <w:r>
        <w:t xml:space="preserve"> </w:t>
      </w:r>
      <w:r>
        <w:t xml:space="preserve">climatic processes, including socio-economic processes. The most vulnerable groups include</w:t>
      </w:r>
      <w:r>
        <w:t xml:space="preserve"> </w:t>
      </w:r>
      <w:r>
        <w:t xml:space="preserve">pastoralists, fishing communities, small scale farmers and urban settlement residents. Women</w:t>
      </w:r>
      <w:r>
        <w:t xml:space="preserve"> </w:t>
      </w:r>
      <w:r>
        <w:t xml:space="preserve">are disproportionately affected by the impacts of climate change. Refugees and Internally</w:t>
      </w:r>
      <w:r>
        <w:t xml:space="preserve"> </w:t>
      </w:r>
      <w:r>
        <w:t xml:space="preserve">Displaced People are also particularly affected. Some of the most vulnerable regions in Africa</w:t>
      </w:r>
      <w:r>
        <w:t xml:space="preserve"> </w:t>
      </w:r>
      <w:r>
        <w:t xml:space="preserve">are the arid and semi-arid countries in the Sahelian belt and the greater Horn of Africa (236).</w:t>
      </w:r>
      <w:r>
        <w:br/>
      </w:r>
      <w:r>
        <w:t xml:space="preserve">2.2.2 Small Islands</w:t>
      </w:r>
      <w:r>
        <w:t xml:space="preserve"> </w:t>
      </w:r>
      <w:r>
        <w:t xml:space="preserve">Small islands are adversely affected by increasing temperature, sea-level rise, heavy</w:t>
      </w:r>
      <w:r>
        <w:t xml:space="preserve"> </w:t>
      </w:r>
      <w:r>
        <w:t xml:space="preserve">precipitation, increasing intensity of tropical cyclones, storm surges, droughts and coral</w:t>
      </w:r>
    </w:p>
    <w:p>
      <w:pPr>
        <w:pStyle w:val="Compact"/>
        <w:numPr>
          <w:ilvl w:val="0"/>
          <w:numId w:val="1058"/>
        </w:numPr>
      </w:pPr>
      <w:r>
        <w:t xml:space="preserve">Trisos, C.H., I.O. Adelekan, E. Totin, A. Ayanlade, J. Efitre, A. Gemeda, K. Kalaba, C. Lennard, C. Masao,</w:t>
      </w:r>
      <w:r>
        <w:t xml:space="preserve"> </w:t>
      </w:r>
      <w:r>
        <w:t xml:space="preserve">Y. Mgaya, G. Ngaruiya, D. Olago, N.P. Simpson, and S. Zakieldeen, 2022: Africa. In: Climate Change</w:t>
      </w:r>
      <w:r>
        <w:t xml:space="preserve"> </w:t>
      </w:r>
      <w:r>
        <w:t xml:space="preserve">2022: Impacts, Adaptation and Vulnerability. Contribution of Working Group II to the Sixth Assessment</w:t>
      </w:r>
      <w:r>
        <w:t xml:space="preserve"> </w:t>
      </w:r>
      <w:r>
        <w:t xml:space="preserve">Report of the Intergovernmental Panel on Climate Change [H.-O. Pörtner, D.C. Roberts, M. Tignor, E.S.</w:t>
      </w:r>
      <w:r>
        <w:t xml:space="preserve"> </w:t>
      </w:r>
      <w:r>
        <w:t xml:space="preserve">Poloczanska, K. Mintenbeck, A. Alegría, M. Craig, S. Langsdorf, S. Löschke, V. Möller, A. Okem, B. Rama</w:t>
      </w:r>
      <w:r>
        <w:t xml:space="preserve"> </w:t>
      </w:r>
      <w:r>
        <w:t xml:space="preserve">(eds.)]. Cambridge University Press, Cambridge, UK and New York, NY, USA, pp. 1285–1455,</w:t>
      </w:r>
      <w:r>
        <w:t xml:space="preserve"> </w:t>
      </w:r>
      <w:r>
        <w:t xml:space="preserve">doi:10.1017/9781009325844.011.</w:t>
      </w:r>
    </w:p>
    <w:p>
      <w:pPr>
        <w:pStyle w:val="FirstParagraph"/>
      </w:pPr>
      <w:r>
        <w:t xml:space="preserve">65</w:t>
      </w:r>
    </w:p>
    <w:p>
      <w:pPr>
        <w:pStyle w:val="BodyText"/>
      </w:pPr>
      <w:r>
        <w:t xml:space="preserve">bleaching. Climate change is already negatively impacting their ecosystems, infrastructure</w:t>
      </w:r>
      <w:r>
        <w:t xml:space="preserve"> </w:t>
      </w:r>
      <w:r>
        <w:t xml:space="preserve">and settlements, health and well-being, water and food security, economy and culture (237).</w:t>
      </w:r>
      <w:r>
        <w:t xml:space="preserve"> </w:t>
      </w:r>
      <w:r>
        <w:t xml:space="preserve">The intensity and intensification rates of tropical cyclones have increased in the past decades.</w:t>
      </w:r>
      <w:r>
        <w:t xml:space="preserve"> </w:t>
      </w:r>
      <w:r>
        <w:t xml:space="preserve">They are threatening human life, settlements and infrastructure of small islands. In the past</w:t>
      </w:r>
      <w:r>
        <w:t xml:space="preserve"> </w:t>
      </w:r>
      <w:r>
        <w:t xml:space="preserve">years, most Caribbean islands were affected by at least one tropical cyclone of category 4 or</w:t>
      </w:r>
      <w:r>
        <w:t xml:space="preserve"> </w:t>
      </w:r>
      <w:r>
        <w:t xml:space="preserve">5. In 2017 for example, Tropical Cyclone Maria (category 5) adversely affected Dominica,</w:t>
      </w:r>
      <w:r>
        <w:t xml:space="preserve"> </w:t>
      </w:r>
      <w:r>
        <w:t xml:space="preserve">Saint Croix and Puerto Rico, causing over 3 000 casualties in Puerto Rico and Dominica</w:t>
      </w:r>
      <w:r>
        <w:t xml:space="preserve"> </w:t>
      </w:r>
      <w:r>
        <w:t xml:space="preserve">alone. The economic losses amounted to USD 69.39 billion in Puerto Rico. Dominica saw its</w:t>
      </w:r>
      <w:r>
        <w:t xml:space="preserve"> </w:t>
      </w:r>
      <w:r>
        <w:t xml:space="preserve">vegetation eradicated, 95% of houses destroyed and complete destruction of agriculture.</w:t>
      </w:r>
      <w:r>
        <w:t xml:space="preserve"> </w:t>
      </w:r>
      <w:r>
        <w:t xml:space="preserve">Economic losses amounted to 224% of its GDP (238).</w:t>
      </w:r>
      <w:r>
        <w:t xml:space="preserve"> </w:t>
      </w:r>
      <w:r>
        <w:t xml:space="preserve">Small islands are among the most threatened on the planet by water insecurity. The reduction</w:t>
      </w:r>
      <w:r>
        <w:t xml:space="preserve"> </w:t>
      </w:r>
      <w:r>
        <w:t xml:space="preserve">on freshwater volume due to sea level rise and drought threatens freshwater stress, which</w:t>
      </w:r>
      <w:r>
        <w:t xml:space="preserve"> </w:t>
      </w:r>
      <w:r>
        <w:t xml:space="preserve">increases with increasing global warming.</w:t>
      </w:r>
      <w:r>
        <w:br/>
      </w:r>
      <w:r>
        <w:t xml:space="preserve">Small islands, particularly those in the Pacific and Indian Ocean have experienced coral</w:t>
      </w:r>
      <w:r>
        <w:t xml:space="preserve"> </w:t>
      </w:r>
      <w:r>
        <w:t xml:space="preserve">bleaching and loss of coral abundance, which are increasing. It is projected that above 1.5℃</w:t>
      </w:r>
      <w:r>
        <w:t xml:space="preserve"> </w:t>
      </w:r>
      <w:r>
        <w:t xml:space="preserve">global warming 70-90% of reef building corals will be lost and at 2℃ global warming the loss</w:t>
      </w:r>
      <w:r>
        <w:t xml:space="preserve"> </w:t>
      </w:r>
      <w:r>
        <w:t xml:space="preserve">will increase to 99%, severely affecting multiple ecosystem services important to small island</w:t>
      </w:r>
      <w:r>
        <w:t xml:space="preserve"> </w:t>
      </w:r>
      <w:r>
        <w:t xml:space="preserve">communities.</w:t>
      </w:r>
      <w:r>
        <w:br/>
      </w:r>
      <w:r>
        <w:t xml:space="preserve">Projected changes in wave climate superimposed on sea-level rise will increase coastal</w:t>
      </w:r>
      <w:r>
        <w:t xml:space="preserve"> </w:t>
      </w:r>
      <w:r>
        <w:t xml:space="preserve">flooding in small islands, which is a major concern, as a significant part of their population</w:t>
      </w:r>
      <w:r>
        <w:t xml:space="preserve"> </w:t>
      </w:r>
      <w:r>
        <w:t xml:space="preserve">lives in the low-elevation coastal zone. It is projected that the frequency, extent, duration and</w:t>
      </w:r>
      <w:r>
        <w:t xml:space="preserve"> </w:t>
      </w:r>
      <w:r>
        <w:t xml:space="preserve">consequences of coastal flooding will significantly increase from 2050.</w:t>
      </w:r>
      <w:r>
        <w:t xml:space="preserve"> </w:t>
      </w:r>
      <w:r>
        <w:t xml:space="preserve">IPCC WG II (2022) identified key risks for small islands as: loss of marine and coastal</w:t>
      </w:r>
      <w:r>
        <w:t xml:space="preserve"> </w:t>
      </w:r>
      <w:r>
        <w:t xml:space="preserve">biodiversity and ecosystem services, submergence of reef islands, loss of terrestrial</w:t>
      </w:r>
      <w:r>
        <w:t xml:space="preserve"> </w:t>
      </w:r>
      <w:r>
        <w:t xml:space="preserve">biodiversity and ecosystem services, water insecurity, destruction of settlements and</w:t>
      </w:r>
      <w:r>
        <w:t xml:space="preserve"> </w:t>
      </w:r>
      <w:r>
        <w:t xml:space="preserve">infrastructure, degradation of human health and well-being, economic decline and livelihood</w:t>
      </w:r>
      <w:r>
        <w:t xml:space="preserve"> </w:t>
      </w:r>
      <w:r>
        <w:t xml:space="preserve">failure and loss of cultural resources and heritage, all resulting in the reduced habitability of</w:t>
      </w:r>
      <w:r>
        <w:t xml:space="preserve"> </w:t>
      </w:r>
      <w:r>
        <w:t xml:space="preserve">islands (239).</w:t>
      </w:r>
    </w:p>
    <w:p>
      <w:pPr>
        <w:pStyle w:val="Compact"/>
        <w:numPr>
          <w:ilvl w:val="0"/>
          <w:numId w:val="1059"/>
        </w:numPr>
      </w:pPr>
      <w:r>
        <w:t xml:space="preserve">Mycoo, M., M.Wairiu, D. Campbell, V. Duvat, Y. Golbuu, S. Maharaj, J. Nalau, P. Nunn, J. Pinnegar, and</w:t>
      </w:r>
      <w:r>
        <w:t xml:space="preserve"> </w:t>
      </w:r>
      <w:r>
        <w:t xml:space="preserve">O.Warrick, 2022: Small Islands. In: Climate Change 2022: Impacts, Adaptation and Vulnerability.</w:t>
      </w:r>
      <w:r>
        <w:t xml:space="preserve"> </w:t>
      </w:r>
      <w:r>
        <w:t xml:space="preserve">Contribution of Working Group II to the Sixth Assessment Report of the Intergovernmental Panel on</w:t>
      </w:r>
      <w:r>
        <w:t xml:space="preserve"> </w:t>
      </w:r>
      <w:r>
        <w:t xml:space="preserve">Climate Change [H.-O. Pörtner, D.C. Roberts, M. Tignor, E.S. Poloczanska, K. Mintenbeck, A. Alegría, M.</w:t>
      </w:r>
      <w:r>
        <w:t xml:space="preserve"> </w:t>
      </w:r>
      <w:r>
        <w:t xml:space="preserve">Craig, S. Langsdorf, S. Löschke, V. Möller, A. Okem, B. Rama (eds.)]. Cambridge University Press,</w:t>
      </w:r>
      <w:r>
        <w:t xml:space="preserve"> </w:t>
      </w:r>
      <w:r>
        <w:t xml:space="preserve">Cambridge, UK and New York, NY, USA, pp. 2043–2121, doi:10.1017/9781009325844.017.</w:t>
      </w:r>
    </w:p>
    <w:p>
      <w:pPr>
        <w:pStyle w:val="Compact"/>
        <w:numPr>
          <w:ilvl w:val="0"/>
          <w:numId w:val="1059"/>
        </w:numPr>
      </w:pPr>
      <w:r>
        <w:t xml:space="preserve">World Meteorological Organization: Notable Tropical Cyclones | World Meteorological Organization</w:t>
      </w:r>
      <w:r>
        <w:t xml:space="preserve"> </w:t>
      </w:r>
      <w:r>
        <w:t xml:space="preserve">(wmo.int). Accessed 29.6.2023.</w:t>
      </w:r>
    </w:p>
    <w:p>
      <w:pPr>
        <w:pStyle w:val="Compact"/>
        <w:numPr>
          <w:ilvl w:val="0"/>
          <w:numId w:val="1059"/>
        </w:numPr>
      </w:pPr>
      <w:r>
        <w:t xml:space="preserve">Mycoo, M., M.Wairiu, D. Campbell, V. Duvat, Y. Golbuu, S. Maharaj, J. Nalau, P. Nunn, J. Pinnegar, and</w:t>
      </w:r>
      <w:r>
        <w:t xml:space="preserve"> </w:t>
      </w:r>
      <w:r>
        <w:t xml:space="preserve">O.Warrick, 2022: Small Islands. In: Climate Change 2022: Impacts, Adaptation and Vulnerability.</w:t>
      </w:r>
      <w:r>
        <w:t xml:space="preserve"> </w:t>
      </w:r>
      <w:r>
        <w:t xml:space="preserve">Contribution of Working Group II to the Sixth Assessment Report of the Intergovernmental Panel on</w:t>
      </w:r>
      <w:r>
        <w:t xml:space="preserve"> </w:t>
      </w:r>
      <w:r>
        <w:t xml:space="preserve">Climate Change [H.-O. Pörtner, D.C. Roberts, M. Tignor, E.S. Poloczanska, K. Mintenbeck, A. Alegría, M.</w:t>
      </w:r>
      <w:r>
        <w:t xml:space="preserve"> </w:t>
      </w:r>
      <w:r>
        <w:t xml:space="preserve">Craig, S. Langsdorf, S. Löschke, V. Möller, A. Okem, B. Rama (eds.)]. Cambridge University Press,</w:t>
      </w:r>
      <w:r>
        <w:t xml:space="preserve"> </w:t>
      </w:r>
      <w:r>
        <w:t xml:space="preserve">Cambridge, UK and New York, NY, USA, pp. 2043–2121, doi:10.1017/9781009325844.017.</w:t>
      </w:r>
    </w:p>
    <w:p>
      <w:pPr>
        <w:pStyle w:val="FirstParagraph"/>
      </w:pPr>
      <w:r>
        <w:t xml:space="preserve">66</w:t>
      </w:r>
    </w:p>
    <w:p>
      <w:pPr>
        <w:pStyle w:val="BodyText"/>
      </w:pPr>
      <w:r>
        <w:t xml:space="preserve">2.2.3 Asia</w:t>
      </w:r>
      <w:r>
        <w:t xml:space="preserve"> </w:t>
      </w:r>
      <w:r>
        <w:t xml:space="preserve">Surface air temperature has been increasing across Asia, increasing the likelihood of</w:t>
      </w:r>
      <w:r>
        <w:t xml:space="preserve"> </w:t>
      </w:r>
      <w:r>
        <w:t xml:space="preserve">heatwaves, droughts, sand and dust storms, impacting the monsoon circulation, floods in</w:t>
      </w:r>
      <w:r>
        <w:t xml:space="preserve"> </w:t>
      </w:r>
      <w:r>
        <w:t xml:space="preserve">monsoon regions and melting of glaciers. Ecosystems are negatively impacted by global</w:t>
      </w:r>
      <w:r>
        <w:t xml:space="preserve"> </w:t>
      </w:r>
      <w:r>
        <w:t xml:space="preserve">warming, changes in precipitation, permafrost thawing and extreme events, which interplay</w:t>
      </w:r>
      <w:r>
        <w:t xml:space="preserve"> </w:t>
      </w:r>
      <w:r>
        <w:t xml:space="preserve">with non-climatic factors, increasing their vulnerability.</w:t>
      </w:r>
      <w:r>
        <w:br/>
      </w:r>
      <w:r>
        <w:t xml:space="preserve">Coastal communities in Asia are affected by the sea level rise and ocean acidification,</w:t>
      </w:r>
      <w:r>
        <w:t xml:space="preserve"> </w:t>
      </w:r>
      <w:r>
        <w:t xml:space="preserve">affecting the multiple ecosystem services important for their lives and livelihoods. Urban</w:t>
      </w:r>
      <w:r>
        <w:t xml:space="preserve"> </w:t>
      </w:r>
      <w:r>
        <w:t xml:space="preserve">residents are also affected by climate change due to extreme events, including due to urban</w:t>
      </w:r>
      <w:r>
        <w:t xml:space="preserve"> </w:t>
      </w:r>
      <w:r>
        <w:t xml:space="preserve">heat-island effect.</w:t>
      </w:r>
      <w:r>
        <w:br/>
      </w:r>
      <w:r>
        <w:t xml:space="preserve">Water supply and demand have been affected by climatic and non-climaxing factors, leading</w:t>
      </w:r>
      <w:r>
        <w:t xml:space="preserve"> </w:t>
      </w:r>
      <w:r>
        <w:t xml:space="preserve">to water stress conditions in most of Asia, which are projected to intensify with increasing</w:t>
      </w:r>
      <w:r>
        <w:t xml:space="preserve"> </w:t>
      </w:r>
      <w:r>
        <w:t xml:space="preserve">global warming. Hotter summers and decreased precipitation are increasing energy demand,</w:t>
      </w:r>
      <w:r>
        <w:t xml:space="preserve"> </w:t>
      </w:r>
      <w:r>
        <w:t xml:space="preserve">and winter savings do not compensate for the increased summer demand. Climate change is</w:t>
      </w:r>
      <w:r>
        <w:t xml:space="preserve"> </w:t>
      </w:r>
      <w:r>
        <w:t xml:space="preserve">also affecting food production in Asia and risks are projected to increase with increasing</w:t>
      </w:r>
      <w:r>
        <w:t xml:space="preserve"> </w:t>
      </w:r>
      <w:r>
        <w:t xml:space="preserve">global warming, which negatively affects fisheries, aquaculture, crop production and livestock</w:t>
      </w:r>
      <w:r>
        <w:t xml:space="preserve"> </w:t>
      </w:r>
      <w:r>
        <w:t xml:space="preserve">production, increasing food insecurity. Climate change is already causing economic losses</w:t>
      </w:r>
      <w:r>
        <w:t xml:space="preserve"> </w:t>
      </w:r>
      <w:r>
        <w:t xml:space="preserve">including through damage to infrastructure, disruptions in services and trade.</w:t>
      </w:r>
      <w:r>
        <w:br/>
      </w:r>
      <w:r>
        <w:t xml:space="preserve">Climate change is affecting health and wellbeing of people across Asia, through heatwaves,</w:t>
      </w:r>
      <w:r>
        <w:t xml:space="preserve"> </w:t>
      </w:r>
      <w:r>
        <w:t xml:space="preserve">flooding, droughts and air pollution, increasing vector- and water-borne diseases,</w:t>
      </w:r>
      <w:r>
        <w:t xml:space="preserve"> </w:t>
      </w:r>
      <w:r>
        <w:t xml:space="preserve">undernutrition, mental health disorders and allergy related illness (240).</w:t>
      </w:r>
      <w:r>
        <w:br/>
      </w:r>
      <w:r>
        <w:t xml:space="preserve">Extreme events, including tropical cyclones, heavy precipitation and flooding, droughts,</w:t>
      </w:r>
      <w:r>
        <w:t xml:space="preserve"> </w:t>
      </w:r>
      <w:r>
        <w:t xml:space="preserve">heatwaves and wildfires, are increasing in frequency and intensity. Flood and storm events</w:t>
      </w:r>
      <w:r>
        <w:t xml:space="preserve"> </w:t>
      </w:r>
      <w:r>
        <w:t xml:space="preserve">attributable to climate change resulted in thousands of fatalities, millions of people affected</w:t>
      </w:r>
      <w:r>
        <w:t xml:space="preserve"> </w:t>
      </w:r>
      <w:r>
        <w:t xml:space="preserve">and causing significant economic damages in the past years. In 2022 the record-breaking</w:t>
      </w:r>
      <w:r>
        <w:t xml:space="preserve"> </w:t>
      </w:r>
      <w:r>
        <w:t xml:space="preserve">rainfall led to extensive flooding in Pakistan, causing more than 1 700 deaths and affecting 33</w:t>
      </w:r>
      <w:r>
        <w:t xml:space="preserve"> </w:t>
      </w:r>
      <w:r>
        <w:t xml:space="preserve">million people. Economic damages were estimated to amount to US $30 billion (241) (242). In</w:t>
      </w:r>
      <w:r>
        <w:t xml:space="preserve"> </w:t>
      </w:r>
      <w:r>
        <w:t xml:space="preserve">May 2023, an intense tropical cyclone Mocha triggered 1.7 million displacements across the</w:t>
      </w:r>
      <w:r>
        <w:t xml:space="preserve"> </w:t>
      </w:r>
      <w:r>
        <w:t xml:space="preserve">sub-region from Sir Lanka to Myanmar, and through India and Bangladesh. Only in</w:t>
      </w:r>
      <w:r>
        <w:t xml:space="preserve"> </w:t>
      </w:r>
      <w:r>
        <w:t xml:space="preserve">Myanmar, 148 lives were lost. The cyclone contributed to acute food insecurity in the</w:t>
      </w:r>
      <w:r>
        <w:t xml:space="preserve"> </w:t>
      </w:r>
      <w:r>
        <w:t xml:space="preserve">region (243).</w:t>
      </w:r>
    </w:p>
    <w:p>
      <w:pPr>
        <w:pStyle w:val="Compact"/>
        <w:numPr>
          <w:ilvl w:val="0"/>
          <w:numId w:val="1060"/>
        </w:numPr>
      </w:pPr>
      <w:r>
        <w:t xml:space="preserve">Shaw, R., Y. Luo, T.S. Cheong, S. Abdul Halim, S. Chaturvedi, M. Hashizume, G.E. Insarov, Y. Ishikawa,</w:t>
      </w:r>
      <w:r>
        <w:t xml:space="preserve"> </w:t>
      </w:r>
      <w:r>
        <w:t xml:space="preserve">M. Jafari, A. Kitoh, J. Pulhin, C. Singh, K. Vasant, and Z. Zhang, 2022: Asia. In: Climate Change 2022:</w:t>
      </w:r>
      <w:r>
        <w:t xml:space="preserve"> </w:t>
      </w:r>
      <w:r>
        <w:t xml:space="preserve">Impacts, Adaptation and Vulnerability. Contribution of Working Group II to the Sixth Assessment Report of</w:t>
      </w:r>
      <w:r>
        <w:t xml:space="preserve"> </w:t>
      </w:r>
      <w:r>
        <w:t xml:space="preserve">the Intergovernmental Panel on Climate Change [H.-O. Pörtner, D.C. Roberts, M. Tignor, E.S. Poloczanska,</w:t>
      </w:r>
      <w:r>
        <w:t xml:space="preserve"> </w:t>
      </w:r>
      <w:r>
        <w:t xml:space="preserve">K. Mintenbeck, A. Alegría, M. Craig, S. Langsdorf, S. Löschke, V. Möller, A. Okem, B. Rama (eds.)].</w:t>
      </w:r>
      <w:r>
        <w:t xml:space="preserve"> </w:t>
      </w:r>
      <w:r>
        <w:t xml:space="preserve">Cambridge University Press, Cambridge, UK and New York, NY, USA, pp. 1457–1579,</w:t>
      </w:r>
      <w:r>
        <w:t xml:space="preserve"> </w:t>
      </w:r>
      <w:r>
        <w:t xml:space="preserve">doi:10.1017/9781009325844.012</w:t>
      </w:r>
    </w:p>
    <w:p>
      <w:pPr>
        <w:pStyle w:val="Compact"/>
        <w:numPr>
          <w:ilvl w:val="0"/>
          <w:numId w:val="1060"/>
        </w:numPr>
      </w:pPr>
      <w:r>
        <w:t xml:space="preserve">World Meteorological Organization (2023): State of the Global Climate 2022 (WMO-No. 1316). ISBN:</w:t>
      </w:r>
      <w:r>
        <w:t xml:space="preserve"> </w:t>
      </w:r>
      <w:r>
        <w:t xml:space="preserve">978-92-63-11316-0.</w:t>
      </w:r>
    </w:p>
    <w:p>
      <w:pPr>
        <w:pStyle w:val="Compact"/>
        <w:numPr>
          <w:ilvl w:val="0"/>
          <w:numId w:val="1060"/>
        </w:numPr>
      </w:pPr>
      <w:r>
        <w:t xml:space="preserve">World Meteorological Organization (2022) State of the Climate in Asia 2021 (WMO-No. 1303). IBSN:</w:t>
      </w:r>
      <w:r>
        <w:t xml:space="preserve"> </w:t>
      </w:r>
      <w:r>
        <w:t xml:space="preserve">978-92063-11303-0.</w:t>
      </w:r>
    </w:p>
    <w:p>
      <w:pPr>
        <w:pStyle w:val="Compact"/>
        <w:numPr>
          <w:ilvl w:val="0"/>
          <w:numId w:val="1060"/>
        </w:numPr>
      </w:pPr>
      <w:r>
        <w:t xml:space="preserve">https://wmo.int/files/provisional-state-of-global-climate-2023</w:t>
      </w:r>
    </w:p>
    <w:p>
      <w:pPr>
        <w:pStyle w:val="FirstParagraph"/>
      </w:pPr>
      <w:r>
        <w:t xml:space="preserve">67</w:t>
      </w:r>
    </w:p>
    <w:p>
      <w:pPr>
        <w:pStyle w:val="BodyText"/>
      </w:pPr>
      <w:r>
        <w:t xml:space="preserve">Vulnerability of population to climate change differs by geography and socio-economic</w:t>
      </w:r>
      <w:r>
        <w:t xml:space="preserve"> </w:t>
      </w:r>
      <w:r>
        <w:t xml:space="preserve">context (Figure 12). Communities in semiarid, glacier-fed river basins and mega deltas are</w:t>
      </w:r>
      <w:r>
        <w:t xml:space="preserve"> </w:t>
      </w:r>
      <w:r>
        <w:t xml:space="preserve">particularly affected by climate change. Bangladesh is one of the world’s most vulnerable</w:t>
      </w:r>
      <w:r>
        <w:t xml:space="preserve"> </w:t>
      </w:r>
      <w:r>
        <w:t xml:space="preserve">countries to climate risks, including due to frequent floods, cyclones, droughts, heat waves</w:t>
      </w:r>
      <w:r>
        <w:t xml:space="preserve"> </w:t>
      </w:r>
      <w:r>
        <w:t xml:space="preserve">and storm surges. Agro-based economies, including India and Pakistan, are also particularly</w:t>
      </w:r>
      <w:r>
        <w:t xml:space="preserve"> </w:t>
      </w:r>
      <w:r>
        <w:t xml:space="preserve">vulnerable to extreme climatic condition.</w:t>
      </w:r>
      <w:r>
        <w:t xml:space="preserve"> </w:t>
      </w:r>
      <w:r>
        <w:t xml:space="preserve">Figure 12: Key risks related to climate change in Asia.</w:t>
      </w:r>
    </w:p>
    <w:p>
      <w:pPr>
        <w:pStyle w:val="BodyText"/>
      </w:pPr>
      <w:r>
        <w:t xml:space="preserve">Source: IPCC AR6 WG II (2022). Figure FAQ 10.1.1</w:t>
      </w:r>
      <w:r>
        <w:t xml:space="preserve"> </w:t>
      </w:r>
      <w:r>
        <w:t xml:space="preserve">Different social groups are differentially affected by the impacts of climate change, and</w:t>
      </w:r>
      <w:r>
        <w:t xml:space="preserve"> </w:t>
      </w:r>
      <w:r>
        <w:t xml:space="preserve">women, Indigenous people, older and low-income groups are disproportionately affected. The</w:t>
      </w:r>
      <w:r>
        <w:t xml:space="preserve"> </w:t>
      </w:r>
      <w:r>
        <w:t xml:space="preserve">poor are among the most vulnerable, and in Asia, approximately 400 million people live in</w:t>
      </w:r>
      <w:r>
        <w:t xml:space="preserve"> </w:t>
      </w:r>
      <w:r>
        <w:t xml:space="preserve">extreme poverty, and more than a quarter of the population lives below the poverty line of US</w:t>
      </w:r>
      <w:r>
        <w:t xml:space="preserve"> </w:t>
      </w:r>
      <w:r>
        <w:t xml:space="preserve">$3.20 per day. Particularly in Southern Asia, a large share of the population also lacks access</w:t>
      </w:r>
      <w:r>
        <w:t xml:space="preserve"> </w:t>
      </w:r>
      <w:r>
        <w:t xml:space="preserve">to basic services (244).</w:t>
      </w:r>
    </w:p>
    <w:p>
      <w:pPr>
        <w:pStyle w:val="Compact"/>
        <w:numPr>
          <w:ilvl w:val="0"/>
          <w:numId w:val="1061"/>
        </w:numPr>
      </w:pPr>
      <w:r>
        <w:t xml:space="preserve">Shaw, R., Y. Luo, T.S. Cheong, S. Abdul Halim, S. Chaturvedi, M. Hashizume, G.E. Insarov, Y. Ishikawa,</w:t>
      </w:r>
      <w:r>
        <w:t xml:space="preserve"> </w:t>
      </w:r>
      <w:r>
        <w:t xml:space="preserve">M. Jafari, A. Kitoh, J. Pulhin, C. Singh, K. Vasant, and Z. Zhang, 2022: Asia. In: Climate Change 2022:</w:t>
      </w:r>
      <w:r>
        <w:t xml:space="preserve"> </w:t>
      </w:r>
      <w:r>
        <w:t xml:space="preserve">Impacts, Adaptation and Vulnerability. Contribution of Working Group II to the Sixth Assessment Report of</w:t>
      </w:r>
      <w:r>
        <w:t xml:space="preserve"> </w:t>
      </w:r>
      <w:r>
        <w:t xml:space="preserve">the Intergovernmental Panel on Climate Change [H.-O. Pörtner, D.C. Roberts, M. Tignor, E.S. Poloczanska,</w:t>
      </w:r>
      <w:r>
        <w:t xml:space="preserve"> </w:t>
      </w:r>
      <w:r>
        <w:t xml:space="preserve">K. Mintenbeck, A. Alegría, M. Craig, S. Langsdorf, S. Löschke, V. Möller, A. Okem, B. Rama (eds.)].</w:t>
      </w:r>
      <w:r>
        <w:t xml:space="preserve"> </w:t>
      </w:r>
      <w:r>
        <w:t xml:space="preserve">Cambridge University Press, Cambridge, UK and New York, NY, USA, pp. 1457–1579,</w:t>
      </w:r>
      <w:r>
        <w:t xml:space="preserve"> </w:t>
      </w:r>
      <w:r>
        <w:t xml:space="preserve">doi:10.1017/9781009325844.012</w:t>
      </w:r>
    </w:p>
    <w:p>
      <w:pPr>
        <w:pStyle w:val="FirstParagraph"/>
      </w:pPr>
      <w:r>
        <w:t xml:space="preserve">68</w:t>
      </w:r>
    </w:p>
    <w:p>
      <w:pPr>
        <w:pStyle w:val="BodyText"/>
      </w:pPr>
      <w:r>
        <w:t xml:space="preserve">2.3</w:t>
      </w:r>
      <w:r>
        <w:t xml:space="preserve"> </w:t>
      </w:r>
      <w:r>
        <w:t xml:space="preserve">Impacts in the EU</w:t>
      </w:r>
      <w:r>
        <w:br/>
      </w:r>
      <w:r>
        <w:t xml:space="preserve">Climate change is affecting people and ecosystems in Europe. All European regions have</w:t>
      </w:r>
      <w:r>
        <w:t xml:space="preserve"> </w:t>
      </w:r>
      <w:r>
        <w:t xml:space="preserve">already experienced increases in extreme weather events, increases in mean temperature and</w:t>
      </w:r>
      <w:r>
        <w:t xml:space="preserve"> </w:t>
      </w:r>
      <w:r>
        <w:t xml:space="preserve">extreme heat and decreases in cold spells (245). Record high annual temperatures were</w:t>
      </w:r>
      <w:r>
        <w:t xml:space="preserve"> </w:t>
      </w:r>
      <w:r>
        <w:t xml:space="preserve">registered in Western Europe in 2022, with record glacier melting in the European Alps</w:t>
      </w:r>
      <w:r>
        <w:t xml:space="preserve"> </w:t>
      </w:r>
      <w:r>
        <w:t xml:space="preserve">(246)(247), the second lowest river flow on record and the second largest wildfire burnt area on</w:t>
      </w:r>
      <w:r>
        <w:t xml:space="preserve"> </w:t>
      </w:r>
      <w:r>
        <w:t xml:space="preserve">record. Droughts affected large areas of Europe in the spring and in the summer, and</w:t>
      </w:r>
      <w:r>
        <w:t xml:space="preserve"> </w:t>
      </w:r>
      <w:r>
        <w:t xml:space="preserve">exceptional heatwaves occurred in much of Europe in 2022 (248). Further, in the summer of</w:t>
      </w:r>
      <w:r>
        <w:t xml:space="preserve"> </w:t>
      </w:r>
      <w:r>
        <w:t xml:space="preserve">2023 (June-August) the heatwaves yet again broke temperature records in several locations,</w:t>
      </w:r>
      <w:r>
        <w:t xml:space="preserve"> </w:t>
      </w:r>
      <w:r>
        <w:t xml:space="preserve">while record heat was also registered in the United States and in Asia. A recent study found</w:t>
      </w:r>
      <w:r>
        <w:t xml:space="preserve"> </w:t>
      </w:r>
      <w:r>
        <w:t xml:space="preserve">that such heatwaves would have been extremely unlikely without anthropogenic climate</w:t>
      </w:r>
      <w:r>
        <w:t xml:space="preserve"> </w:t>
      </w:r>
      <w:r>
        <w:t xml:space="preserve">change, and such maximum temperatures would have been virtually impossible to occur (249).</w:t>
      </w:r>
      <w:r>
        <w:t xml:space="preserve"> </w:t>
      </w:r>
      <w:r>
        <w:t xml:space="preserve">Overall, 2023 was the second warmest year for Europe, after 2020. Temperatures were above</w:t>
      </w:r>
      <w:r>
        <w:t xml:space="preserve"> </w:t>
      </w:r>
      <w:r>
        <w:t xml:space="preserve">average for 11 months, and September was the warmest September ever recorded, with</w:t>
      </w:r>
      <w:r>
        <w:t xml:space="preserve"> </w:t>
      </w:r>
      <w:r>
        <w:t xml:space="preserve">temperatures exceeding the 1991-2020 average by 2.52°C. Europe experienced significant</w:t>
      </w:r>
      <w:r>
        <w:t xml:space="preserve"> </w:t>
      </w:r>
      <w:r>
        <w:t xml:space="preserve">wildfires, storms, and flooding. Heavy or record-breaking precipitation occurred in Italy,</w:t>
      </w:r>
      <w:r>
        <w:t xml:space="preserve"> </w:t>
      </w:r>
      <w:r>
        <w:t xml:space="preserve">Norway, Sweden and Slovenia, causing significant floods, while storms and associated</w:t>
      </w:r>
      <w:r>
        <w:t xml:space="preserve"> </w:t>
      </w:r>
      <w:r>
        <w:t xml:space="preserve">flooding affected Greece, parts of northern and western Europe and the Iberian</w:t>
      </w:r>
      <w:r>
        <w:t xml:space="preserve"> </w:t>
      </w:r>
      <w:r>
        <w:t xml:space="preserve">Peninsula (250). Greece in particular experienced devastating wildfires, resulting in loss of life</w:t>
      </w:r>
      <w:r>
        <w:t xml:space="preserve"> </w:t>
      </w:r>
      <w:r>
        <w:t xml:space="preserve">and evacuations (251).</w:t>
      </w:r>
      <w:r>
        <w:t xml:space="preserve"> </w:t>
      </w:r>
      <w:r>
        <w:t xml:space="preserve">Climate change affects all the regions in the world and therefore impacts Europe directly and</w:t>
      </w:r>
      <w:r>
        <w:t xml:space="preserve"> </w:t>
      </w:r>
      <w:r>
        <w:t xml:space="preserve">indirectly. It affects sectors and supply chains relevant for Europe including through impacts</w:t>
      </w:r>
      <w:r>
        <w:t xml:space="preserve"> </w:t>
      </w:r>
      <w:r>
        <w:t xml:space="preserve">on ecosystems, people (e.g., migration and displacement), financial flows and trade. This has</w:t>
      </w:r>
      <w:r>
        <w:t xml:space="preserve"> </w:t>
      </w:r>
      <w:r>
        <w:t xml:space="preserve">implications for food supply, security, and health and wellbeing. The impacts of climate</w:t>
      </w:r>
      <w:r>
        <w:t xml:space="preserve"> </w:t>
      </w:r>
      <w:r>
        <w:t xml:space="preserve">change vary between and within regions (Figure 13), with southern regions experiencing the</w:t>
      </w:r>
      <w:r>
        <w:t xml:space="preserve"> </w:t>
      </w:r>
      <w:r>
        <w:t xml:space="preserve">most severe effects, while northern and central regions could experience limited positive</w:t>
      </w:r>
      <w:r>
        <w:t xml:space="preserve"> </w:t>
      </w:r>
      <w:r>
        <w:t xml:space="preserve">impacts at lower levels of warming, alongside negative impacts. Above 2℃ of global</w:t>
      </w:r>
      <w:r>
        <w:t xml:space="preserve"> </w:t>
      </w:r>
      <w:r>
        <w:t xml:space="preserve">warming, mean precipitation is projected to increase in northern Europe in the winter and</w:t>
      </w:r>
      <w:r>
        <w:t xml:space="preserve"> </w:t>
      </w:r>
      <w:r>
        <w:t xml:space="preserve">decrease in the summer in the Mediterranean region. An increase in precipitation extremes is</w:t>
      </w:r>
      <w:r>
        <w:t xml:space="preserve"> </w:t>
      </w:r>
      <w:r>
        <w:t xml:space="preserve">projected for all regions except for the Mediterranean. Pluvial flooding is projected to</w:t>
      </w:r>
      <w:r>
        <w:t xml:space="preserve"> </w:t>
      </w:r>
      <w:r>
        <w:t xml:space="preserve">increase above 1.5℃ global warming level. The highest winter warming is projected to be</w:t>
      </w:r>
      <w:r>
        <w:t xml:space="preserve"> </w:t>
      </w:r>
      <w:r>
        <w:t xml:space="preserve">experienced by northern Europe and the biggest summer warming by the Mediterranean</w:t>
      </w:r>
      <w:r>
        <w:t xml:space="preserve"> </w:t>
      </w:r>
      <w:r>
        <w:t xml:space="preserve">region. The Mediterranean region is projected to be the most affected by droughts. Sea</w:t>
      </w:r>
    </w:p>
    <w:p>
      <w:pPr>
        <w:pStyle w:val="Compact"/>
        <w:numPr>
          <w:ilvl w:val="0"/>
          <w:numId w:val="1062"/>
        </w:numPr>
      </w:pPr>
      <w:r>
        <w:t xml:space="preserve">Ranasinghe, R., at al., 2021: Climate Change Information for Regional Impact and for Risk Assessment. In:</w:t>
      </w:r>
      <w:r>
        <w:t xml:space="preserve"> </w:t>
      </w:r>
      <w:r>
        <w:t xml:space="preserve">Climate Change 2021: The Physical Science Basis. Contribution of Working Group I to the Sixth</w:t>
      </w:r>
      <w:r>
        <w:t xml:space="preserve"> </w:t>
      </w:r>
      <w:r>
        <w:t xml:space="preserve">Assessment Report of the Intergovernmental Panel on Climate Change. Cambridge University Press,</w:t>
      </w:r>
      <w:r>
        <w:t xml:space="preserve"> </w:t>
      </w:r>
      <w:r>
        <w:t xml:space="preserve">Cambridge.</w:t>
      </w:r>
      <w:r>
        <w:br/>
      </w:r>
    </w:p>
    <w:p>
      <w:pPr>
        <w:pStyle w:val="Compact"/>
        <w:numPr>
          <w:ilvl w:val="0"/>
          <w:numId w:val="1062"/>
        </w:numPr>
      </w:pPr>
      <w:r>
        <w:t xml:space="preserve">World Meteorological Organization (WMO). 2022. State of the Global Climate 2022 (WMO-No. 1316).</w:t>
      </w:r>
      <w:r>
        <w:t xml:space="preserve"> </w:t>
      </w:r>
      <w:r>
        <w:t xml:space="preserve">ISBN: 978-92-63-11316-0</w:t>
      </w:r>
    </w:p>
    <w:p>
      <w:pPr>
        <w:pStyle w:val="Compact"/>
        <w:numPr>
          <w:ilvl w:val="0"/>
          <w:numId w:val="1062"/>
        </w:numPr>
      </w:pPr>
      <w:r>
        <w:t xml:space="preserve">World Meteorological Organization (2023): State of the Climate in Europe 2022. ISBN 978-92-63-11320-7</w:t>
      </w:r>
    </w:p>
    <w:p>
      <w:pPr>
        <w:pStyle w:val="Compact"/>
        <w:numPr>
          <w:ilvl w:val="0"/>
          <w:numId w:val="1062"/>
        </w:numPr>
      </w:pPr>
      <w:r>
        <w:t xml:space="preserve">Copernicus Climate Change Service (C3S), 2023: European State of the Climate 2022, Full report:</w:t>
      </w:r>
      <w:r>
        <w:t xml:space="preserve"> </w:t>
      </w:r>
      <w:r>
        <w:t xml:space="preserve">climate.copernicus.eu/ESOTC/2022</w:t>
      </w:r>
    </w:p>
    <w:p>
      <w:pPr>
        <w:pStyle w:val="Compact"/>
        <w:numPr>
          <w:ilvl w:val="0"/>
          <w:numId w:val="1062"/>
        </w:numPr>
      </w:pPr>
      <w:r>
        <w:t xml:space="preserve">Zachariah M. et al 2023. Extreme heat in North America, Europe and China in July 2023 made much more</w:t>
      </w:r>
      <w:r>
        <w:t xml:space="preserve"> </w:t>
      </w:r>
      <w:r>
        <w:t xml:space="preserve">likely by climate change. Grantham Institute for Climate Change. https://doi.org/10.25561/105549</w:t>
      </w:r>
    </w:p>
    <w:p>
      <w:pPr>
        <w:pStyle w:val="Compact"/>
        <w:numPr>
          <w:ilvl w:val="0"/>
          <w:numId w:val="1062"/>
        </w:numPr>
      </w:pPr>
      <w:r>
        <w:t xml:space="preserve">https://climate.copernicus.eu/global-climate-highlights-2023</w:t>
      </w:r>
    </w:p>
    <w:p>
      <w:pPr>
        <w:pStyle w:val="Compact"/>
        <w:numPr>
          <w:ilvl w:val="0"/>
          <w:numId w:val="1062"/>
        </w:numPr>
      </w:pPr>
      <w:r>
        <w:t xml:space="preserve">https://atmosphere.copernicus.eu/2023-year-intense-global-wildfire-activity</w:t>
      </w:r>
    </w:p>
    <w:p>
      <w:pPr>
        <w:pStyle w:val="FirstParagraph"/>
      </w:pPr>
      <w:r>
        <w:t xml:space="preserve">69</w:t>
      </w:r>
    </w:p>
    <w:p>
      <w:pPr>
        <w:pStyle w:val="BodyText"/>
      </w:pPr>
      <w:r>
        <w:t xml:space="preserve">surface warming and acidification have been observed over the past decades and are projected</w:t>
      </w:r>
      <w:r>
        <w:t xml:space="preserve"> </w:t>
      </w:r>
      <w:r>
        <w:t xml:space="preserve">to continue. Relative sea level rise has occurred along European coastlines and it is projected</w:t>
      </w:r>
      <w:r>
        <w:t xml:space="preserve"> </w:t>
      </w:r>
      <w:r>
        <w:t xml:space="preserve">to continue regardless of the warming level (252). Extreme sea-level events will increase in</w:t>
      </w:r>
      <w:r>
        <w:t xml:space="preserve"> </w:t>
      </w:r>
      <w:r>
        <w:t xml:space="preserve">frequency and intensity, resulting in coastal flooding, and the retreat in shorelines along sandy</w:t>
      </w:r>
      <w:r>
        <w:t xml:space="preserve"> </w:t>
      </w:r>
      <w:r>
        <w:t xml:space="preserve">coasts will continue (253).</w:t>
      </w:r>
    </w:p>
    <w:p>
      <w:pPr>
        <w:pStyle w:val="Compact"/>
        <w:numPr>
          <w:ilvl w:val="0"/>
          <w:numId w:val="1063"/>
        </w:numPr>
      </w:pPr>
      <w:r>
        <w:t xml:space="preserve">Ranasinghe, R., A.C. Ruane, R. Vautard, N. Arnell, E. Coppola, F.A. Cruz, S. Dessai, A.S. Islam, M.</w:t>
      </w:r>
      <w:r>
        <w:t xml:space="preserve"> </w:t>
      </w:r>
      <w:r>
        <w:t xml:space="preserve">Rahimi, D. Ruiz Carrascal, J. Sillmann, M.B. Sylla, C. Tebaldi, W. Wang and R. Zaaboul, 2021: Climate</w:t>
      </w:r>
      <w:r>
        <w:t xml:space="preserve"> </w:t>
      </w:r>
      <w:r>
        <w:t xml:space="preserve">Change Information for Regional Impact and for Risk Assessment. In: Climate Change 2021: The Physical</w:t>
      </w:r>
      <w:r>
        <w:t xml:space="preserve"> </w:t>
      </w:r>
      <w:r>
        <w:t xml:space="preserve">Science Basis. Contribution of Working Group I to the Sixth Assessment Report of the Intergovernmental</w:t>
      </w:r>
      <w:r>
        <w:t xml:space="preserve"> </w:t>
      </w:r>
      <w:r>
        <w:t xml:space="preserve">Panel on Climate Change. [Masson-Delmotte, V., P. Zhai, A. Pirani, S. L. Connors, C. Péan, S. Berger, N.</w:t>
      </w:r>
      <w:r>
        <w:t xml:space="preserve"> </w:t>
      </w:r>
      <w:r>
        <w:t xml:space="preserve">Caud, Y. Chen, L. Goldfarb, M. I. Gomis, M. Huang, K. Leitzell, E. Lonnoy, J. B. R. Matthews, T. K.</w:t>
      </w:r>
      <w:r>
        <w:t xml:space="preserve"> </w:t>
      </w:r>
      <w:r>
        <w:t xml:space="preserve">Maycock, T. Waterfield, O. Yelekçi, R. Yu and B. Zhou (eds.)]. Cambridge University Press, Cambridge.</w:t>
      </w:r>
    </w:p>
    <w:p>
      <w:pPr>
        <w:pStyle w:val="Compact"/>
        <w:numPr>
          <w:ilvl w:val="0"/>
          <w:numId w:val="1063"/>
        </w:numPr>
      </w:pPr>
      <w:r>
        <w:t xml:space="preserve">IPCC AR6 WG I. 2021. Regional fact sheet – Europe.</w:t>
      </w:r>
    </w:p>
    <w:p>
      <w:pPr>
        <w:pStyle w:val="FirstParagraph"/>
      </w:pPr>
      <w:r>
        <w:t xml:space="preserve">70</w:t>
      </w:r>
    </w:p>
    <w:p>
      <w:pPr>
        <w:pStyle w:val="BodyText"/>
      </w:pPr>
      <w:r>
        <w:t xml:space="preserve">Figure 13: Observed and projected climate change impacts for different regions of Europe</w:t>
      </w:r>
    </w:p>
    <w:p>
      <w:pPr>
        <w:pStyle w:val="BodyText"/>
      </w:pPr>
      <w:r>
        <w:t xml:space="preserve">Source: IPCC AR6 WG I (2021): Regional Factsheet Europe</w:t>
      </w:r>
      <w:r>
        <w:t xml:space="preserve"> </w:t>
      </w:r>
      <w:r>
        <w:t xml:space="preserve">IPCC AR6 WG II (2022) (254) identified four key risks for Europe: i) heat, which will impact</w:t>
      </w:r>
      <w:r>
        <w:t xml:space="preserve"> </w:t>
      </w:r>
      <w:r>
        <w:t xml:space="preserve">human health and ecosystems; ii) loss in agricultural production; iii) water scarcity; and iv)</w:t>
      </w:r>
    </w:p>
    <w:p>
      <w:pPr>
        <w:pStyle w:val="Compact"/>
        <w:numPr>
          <w:ilvl w:val="0"/>
          <w:numId w:val="1064"/>
        </w:numPr>
      </w:pPr>
      <w:r>
        <w:t xml:space="preserve">Bednar-Friedl, B., R. Biesbroek, D.N. Schmidt, P. Alexander, K.Y. Børsheim, J. Carnicer, E.</w:t>
      </w:r>
      <w:r>
        <w:t xml:space="preserve"> </w:t>
      </w:r>
      <w:r>
        <w:t xml:space="preserve">Georgopoulou, M. Haasnoot, G. Le Cozannet, P. Lionello, O. Lipka, C. Möllmann, V. Muccione, T.</w:t>
      </w:r>
      <w:r>
        <w:t xml:space="preserve"> </w:t>
      </w:r>
      <w:r>
        <w:t xml:space="preserve">Mustonen, D. Piepenburg, and L.Whitmarsh, 2022: Europe. In: Climate Change 2022: Impacts, Adaptation</w:t>
      </w:r>
      <w:r>
        <w:t xml:space="preserve"> </w:t>
      </w:r>
      <w:r>
        <w:t xml:space="preserve">and Vulnerability. Contribution of Working Group II to the Sixth Assessment Report of the</w:t>
      </w:r>
      <w:r>
        <w:t xml:space="preserve"> </w:t>
      </w:r>
      <w:r>
        <w:t xml:space="preserve">Intergovernmental Panel on Climate Change [H.-O. Pörtner, D.C. Roberts, M. Tignor, E.S. Poloczanska, K.</w:t>
      </w:r>
      <w:r>
        <w:t xml:space="preserve"> </w:t>
      </w:r>
      <w:r>
        <w:t xml:space="preserve">Mintenbeck, A. Alegría, M. Craig, S. Langsdorf, S. Löschke, V. Möller, A. Okem, B. Rama (eds.)].</w:t>
      </w:r>
      <w:r>
        <w:t xml:space="preserve"> </w:t>
      </w:r>
      <w:r>
        <w:t xml:space="preserve">Cambridge University Press, Cambridge, UK and New York, NY, USA, pp. 1817–1927,</w:t>
      </w:r>
      <w:r>
        <w:t xml:space="preserve"> </w:t>
      </w:r>
      <w:r>
        <w:t xml:space="preserve">doi:10.1017/9781009325844.015.</w:t>
      </w:r>
    </w:p>
    <w:p>
      <w:pPr>
        <w:pStyle w:val="FirstParagraph"/>
      </w:pPr>
      <w:r>
        <w:t xml:space="preserve">71</w:t>
      </w:r>
    </w:p>
    <w:p>
      <w:pPr>
        <w:pStyle w:val="BodyText"/>
      </w:pPr>
      <w:r>
        <w:t xml:space="preserve">flooding (Figure 14). Risks are more severe at 2°C of global warming compared to 1.5°C.</w:t>
      </w:r>
      <w:r>
        <w:t xml:space="preserve"> </w:t>
      </w:r>
      <w:r>
        <w:t xml:space="preserve">While the EU has higher adaptive capacity compared to other regions of the world, there are</w:t>
      </w:r>
      <w:r>
        <w:t xml:space="preserve"> </w:t>
      </w:r>
      <w:r>
        <w:t xml:space="preserve">limits to adaptation and staying within 1.5℃ would increase EU’s ability to adapt to climate</w:t>
      </w:r>
      <w:r>
        <w:t xml:space="preserve"> </w:t>
      </w:r>
      <w:r>
        <w:t xml:space="preserve">change.</w:t>
      </w:r>
    </w:p>
    <w:p>
      <w:pPr>
        <w:pStyle w:val="BodyText"/>
      </w:pPr>
      <w:r>
        <w:t xml:space="preserve">Figure 14: Key risks for Europe under low to medium adaptation</w:t>
      </w:r>
    </w:p>
    <w:p>
      <w:pPr>
        <w:pStyle w:val="BodyText"/>
      </w:pPr>
      <w:r>
        <w:t xml:space="preserve">Source: IPCC AR6 WG II (2022). Figure 13.28.</w:t>
      </w:r>
      <w:r>
        <w:t xml:space="preserve"> </w:t>
      </w:r>
      <w:r>
        <w:t xml:space="preserve">Climate change impacts different social groups differently, with poor households being</w:t>
      </w:r>
      <w:r>
        <w:t xml:space="preserve"> </w:t>
      </w:r>
      <w:r>
        <w:t xml:space="preserve">disproportionately affected due to their lower capacity to adapt and recover from impacts.</w:t>
      </w:r>
      <w:r>
        <w:t xml:space="preserve"> </w:t>
      </w:r>
      <w:r>
        <w:t xml:space="preserve">Traditional lifestyles, for example Sámi reindeer herding, are also threatened by climate</w:t>
      </w:r>
      <w:r>
        <w:t xml:space="preserve"> </w:t>
      </w:r>
      <w:r>
        <w:t xml:space="preserve">change including due to unstable ice conditions, extreme weather conditions, more frequent</w:t>
      </w:r>
      <w:r>
        <w:t xml:space="preserve"> </w:t>
      </w:r>
      <w:r>
        <w:t xml:space="preserve">forest fires and changes in plant composition.</w:t>
      </w:r>
      <w:r>
        <w:t xml:space="preserve"> </w:t>
      </w:r>
      <w:r>
        <w:t xml:space="preserve">The results of the recent Public consultation on the EU climate target for 2040 revealed that</w:t>
      </w:r>
      <w:r>
        <w:t xml:space="preserve"> </w:t>
      </w:r>
      <w:r>
        <w:t xml:space="preserve">the effects of climate change that are of most concern to the respondents (in decreasing order):</w:t>
      </w:r>
      <w:r>
        <w:t xml:space="preserve"> </w:t>
      </w:r>
      <w:r>
        <w:t xml:space="preserve">i) the loss of biodiversity and natural habitats; ii) damage from natural hazards (floods,</w:t>
      </w:r>
      <w:r>
        <w:t xml:space="preserve"> </w:t>
      </w:r>
      <w:r>
        <w:t xml:space="preserve">wildfires, droughts, etc.) and rising sea levels; iii) loss of life due to natural hazards such as</w:t>
      </w:r>
      <w:r>
        <w:t xml:space="preserve"> </w:t>
      </w:r>
      <w:r>
        <w:t xml:space="preserve">heatwaves, floods, droughts or wildfires; iv) varying capacity of different social groups to</w:t>
      </w:r>
      <w:r>
        <w:t xml:space="preserve"> </w:t>
      </w:r>
      <w:r>
        <w:t xml:space="preserve">adapt (e.g. older people, persons with disabilities, displaced persons, low income households</w:t>
      </w:r>
      <w:r>
        <w:t xml:space="preserve"> </w:t>
      </w:r>
      <w:r>
        <w:t xml:space="preserve">and other vulnerable groups); v) spread of new diseases (e.g. malaria) and pandemics; vi) a</w:t>
      </w:r>
      <w:r>
        <w:t xml:space="preserve"> </w:t>
      </w:r>
      <w:r>
        <w:t xml:space="preserve">change of landscape and forests in areas they relate to or live in; vii) having to face changes in</w:t>
      </w:r>
      <w:r>
        <w:t xml:space="preserve"> </w:t>
      </w:r>
      <w:r>
        <w:t xml:space="preserve">their private lives or activities; viii) increasing material losses to their properties; ix) loss of</w:t>
      </w:r>
      <w:r>
        <w:t xml:space="preserve"> </w:t>
      </w:r>
      <w:r>
        <w:t xml:space="preserve">job or income due to changes in the sector in which they work.</w:t>
      </w:r>
      <w:r>
        <w:t xml:space="preserve"> </w:t>
      </w:r>
      <w:r>
        <w:t xml:space="preserve">The hazards induced by climate change that the respondents fear most are (in decreasing</w:t>
      </w:r>
      <w:r>
        <w:t xml:space="preserve"> </w:t>
      </w:r>
      <w:r>
        <w:t xml:space="preserve">order) i) heatwaves, ii) droughts, iii) lack of water, iv) floods and intense rain, v) wildfires, vi)</w:t>
      </w:r>
      <w:r>
        <w:t xml:space="preserve"> </w:t>
      </w:r>
      <w:r>
        <w:t xml:space="preserve">windstorms, and vii) rising sea levels.</w:t>
      </w:r>
      <w:r>
        <w:br/>
      </w:r>
      <w:r>
        <w:t xml:space="preserve">Most of the respondents believe that the main climate change related impacts on society in</w:t>
      </w:r>
      <w:r>
        <w:t xml:space="preserve"> </w:t>
      </w:r>
      <w:r>
        <w:t xml:space="preserve">their country in the next 20 years will be i) natural disasters (e.g. fires, droughts or floods),</w:t>
      </w:r>
      <w:r>
        <w:t xml:space="preserve"> </w:t>
      </w:r>
      <w:r>
        <w:t xml:space="preserve">followed by ii) negative impacts on food production and iii) migration or refugee movements</w:t>
      </w:r>
      <w:r>
        <w:t xml:space="preserve"> </w:t>
      </w:r>
      <w:r>
        <w:t xml:space="preserve">due to climate change and environmental crises.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2.3.1 Health</w:t>
      </w:r>
      <w:r>
        <w:t xml:space="preserve"> </w:t>
      </w:r>
      <w:r>
        <w:t xml:space="preserve">Climate change is already affecting the health and well-being of people in Europe. The</w:t>
      </w:r>
      <w:r>
        <w:t xml:space="preserve"> </w:t>
      </w:r>
      <w:r>
        <w:t xml:space="preserve">record-breaking heatwave in the summer of 2022 resulted more than 60 000 (255) fatalities in</w:t>
      </w:r>
      <w:r>
        <w:t xml:space="preserve"> </w:t>
      </w:r>
      <w:r>
        <w:t xml:space="preserve">Europe. The number of days with extreme heat stress has been increasing (Figure 15) and</w:t>
      </w:r>
      <w:r>
        <w:t xml:space="preserve"> </w:t>
      </w:r>
      <w:r>
        <w:t xml:space="preserve">heatvawes are projected to further increase in intensity and frequency (Figure 16). They</w:t>
      </w:r>
      <w:r>
        <w:t xml:space="preserve"> </w:t>
      </w:r>
      <w:r>
        <w:t xml:space="preserve">present a major health threat, exposing around 100 million Europeans per year to intense</w:t>
      </w:r>
      <w:r>
        <w:t xml:space="preserve"> </w:t>
      </w:r>
      <w:r>
        <w:t xml:space="preserve">heatwaves at 1.5℃ of global warming, 170 million per year at 2℃ and almost 300 million at</w:t>
      </w:r>
      <w:r>
        <w:t xml:space="preserve"> </w:t>
      </w:r>
      <w:r>
        <w:t xml:space="preserve">3℃ global warming, or more than half of European population. While Southern Europe will</w:t>
      </w:r>
      <w:r>
        <w:t xml:space="preserve"> </w:t>
      </w:r>
      <w:r>
        <w:t xml:space="preserve">continue to be most affected by intense heatwaves, Western and Central Europe will also be</w:t>
      </w:r>
      <w:r>
        <w:t xml:space="preserve"> </w:t>
      </w:r>
      <w:r>
        <w:t xml:space="preserve">impacted. Urban heat islands effect will increase urban temperatures, exposing an increasing</w:t>
      </w:r>
      <w:r>
        <w:t xml:space="preserve"> </w:t>
      </w:r>
      <w:r>
        <w:t xml:space="preserve">number of people to extreme heat (256). Heat affects the elderly, pregnant women, children,</w:t>
      </w:r>
      <w:r>
        <w:t xml:space="preserve"> </w:t>
      </w:r>
      <w:r>
        <w:t xml:space="preserve">socially isolated people and those with pre-existing medical conditions the most (257).</w:t>
      </w:r>
    </w:p>
    <w:p>
      <w:pPr>
        <w:pStyle w:val="Compact"/>
        <w:numPr>
          <w:ilvl w:val="0"/>
          <w:numId w:val="1065"/>
        </w:numPr>
      </w:pPr>
      <w:r>
        <w:t xml:space="preserve">Ballester, J., Quijal-Zamorano, M., Méndez Turrubiates, R.F. et al. Heat-related mortality in Europe during</w:t>
      </w:r>
      <w:r>
        <w:t xml:space="preserve"> </w:t>
      </w:r>
      <w:r>
        <w:t xml:space="preserve">the summer of 2022. Nature Medicine 29, 1857–1866 (2023). https://doi.org/10.1038/s41591-023-02419-z</w:t>
      </w:r>
    </w:p>
    <w:p>
      <w:pPr>
        <w:pStyle w:val="Compact"/>
        <w:numPr>
          <w:ilvl w:val="0"/>
          <w:numId w:val="1065"/>
        </w:numPr>
      </w:pPr>
      <w:r>
        <w:t xml:space="preserve">Feyen L., Ciscar J.C., Gosling S., Ibarreta D., Soria A. (editors) (2020). Climate change impacts and</w:t>
      </w:r>
      <w:r>
        <w:t xml:space="preserve"> </w:t>
      </w:r>
      <w:r>
        <w:t xml:space="preserve">adaptation in Europe. JRC PESETA IV final report. EUR 30180EN, Publications Office of the European</w:t>
      </w:r>
      <w:r>
        <w:t xml:space="preserve"> </w:t>
      </w:r>
      <w:r>
        <w:t xml:space="preserve">Union, Luxembourg, ISBN 978-92-76-18123-1, doi:10.2760/171121, JRC119178</w:t>
      </w:r>
    </w:p>
    <w:p>
      <w:pPr>
        <w:pStyle w:val="Compact"/>
        <w:numPr>
          <w:ilvl w:val="0"/>
          <w:numId w:val="1065"/>
        </w:numPr>
      </w:pPr>
      <w:r>
        <w:t xml:space="preserve">Bednar-Friedl, B., R. Biesbroek, D.N. Schmidt, P. Alexander, K.Y. Børsheim, J. Carnicer, E.</w:t>
      </w:r>
      <w:r>
        <w:t xml:space="preserve"> </w:t>
      </w:r>
      <w:r>
        <w:t xml:space="preserve">Georgopoulou, M. Haasnoot, G. Le Cozannet, P. Lionello, O. Lipka, C. Möllmann, V. Muccione, T.</w:t>
      </w:r>
      <w:r>
        <w:t xml:space="preserve"> </w:t>
      </w:r>
      <w:r>
        <w:t xml:space="preserve">Mustonen, D. Piepenburg, and L.Whitmarsh, 2022: Europe. In: Climate Change 2022: Impacts, Adaptation</w:t>
      </w:r>
      <w:r>
        <w:t xml:space="preserve"> </w:t>
      </w:r>
      <w:r>
        <w:t xml:space="preserve">and Vulnerability. Contribution of Working Group II to the Sixth Assessment Report of the</w:t>
      </w:r>
      <w:r>
        <w:t xml:space="preserve"> </w:t>
      </w:r>
      <w:r>
        <w:t xml:space="preserve">Intergovernmental Panel on Climate Change [H.-O. Pörtner, D.C. Roberts, M. Tignor, E.S. Poloczanska, K.</w:t>
      </w:r>
      <w:r>
        <w:t xml:space="preserve"> </w:t>
      </w:r>
      <w:r>
        <w:t xml:space="preserve">Mintenbeck, A. Alegría, M. Craig, S. Langsdorf, S. Löschke, V. Möller, A. Okem, B. Rama (eds.)].</w:t>
      </w:r>
      <w:r>
        <w:t xml:space="preserve"> </w:t>
      </w:r>
      <w:r>
        <w:t xml:space="preserve">Cambridge University Press, Cambridge, UK and New York, NY, USA, pp. 1817–1927,</w:t>
      </w:r>
      <w:r>
        <w:t xml:space="preserve"> </w:t>
      </w:r>
      <w:r>
        <w:t xml:space="preserve">doi:10.1017/9781009325844.015.</w:t>
      </w:r>
    </w:p>
    <w:p>
      <w:pPr>
        <w:pStyle w:val="FirstParagraph"/>
      </w:pPr>
      <w:r>
        <w:t xml:space="preserve">73</w:t>
      </w:r>
    </w:p>
    <w:p>
      <w:pPr>
        <w:pStyle w:val="BodyText"/>
      </w:pPr>
      <w:r>
        <w:t xml:space="preserve">Figure 15: Percentage of days with extreme heat stress for Southern Europe</w:t>
      </w:r>
    </w:p>
    <w:p>
      <w:pPr>
        <w:pStyle w:val="BodyText"/>
      </w:pPr>
      <w:r>
        <w:t xml:space="preserve">Note: Percentage of July days with extreme heat stress index for Southern Europe, from 1950 to 2023.</w:t>
      </w:r>
      <w:r>
        <w:t xml:space="preserve"> </w:t>
      </w:r>
      <w:r>
        <w:t xml:space="preserve">Source: ERA5-HEAT. Credit: C3S/ECMWF.</w:t>
      </w:r>
      <w:r>
        <w:t xml:space="preserve"> </w:t>
      </w:r>
      <w:r>
        <w:t xml:space="preserve">Today heat stress causes more deaths in Europe than all other extreme weather-related events</w:t>
      </w:r>
      <w:r>
        <w:t xml:space="preserve"> </w:t>
      </w:r>
      <w:r>
        <w:t xml:space="preserve">(cold, flooding, storm, wildfire) combined (258) (259). Mortality from long-lasting heatwaves</w:t>
      </w:r>
      <w:r>
        <w:t xml:space="preserve"> </w:t>
      </w:r>
      <w:r>
        <w:t xml:space="preserve">has increased particularly strongly in central and eastern Europe since the 1950s (260) (261).</w:t>
      </w:r>
      <w:r>
        <w:t xml:space="preserve"> </w:t>
      </w:r>
      <w:r>
        <w:t xml:space="preserve">Other extreme events, including floods, wildfires and windstorms also represent major health</w:t>
      </w:r>
      <w:r>
        <w:t xml:space="preserve"> </w:t>
      </w:r>
      <w:r>
        <w:t xml:space="preserve">risks, and are projected to increase in frequency and intensity, affecting an increasing number</w:t>
      </w:r>
      <w:r>
        <w:t xml:space="preserve"> </w:t>
      </w:r>
      <w:r>
        <w:t xml:space="preserve">of Europeans.</w:t>
      </w:r>
    </w:p>
    <w:p>
      <w:pPr>
        <w:pStyle w:val="Compact"/>
        <w:numPr>
          <w:ilvl w:val="0"/>
          <w:numId w:val="1066"/>
        </w:numPr>
      </w:pPr>
      <w:r>
        <w:t xml:space="preserve">European Academies’ Science Advisory Council, EASAC (2019) The imperative of climate action to</w:t>
      </w:r>
      <w:r>
        <w:t xml:space="preserve"> </w:t>
      </w:r>
      <w:r>
        <w:t xml:space="preserve">protect human health in Europe. EASAC policy report 38.</w:t>
      </w:r>
    </w:p>
    <w:p>
      <w:pPr>
        <w:pStyle w:val="Compact"/>
        <w:numPr>
          <w:ilvl w:val="0"/>
          <w:numId w:val="1066"/>
        </w:numPr>
      </w:pPr>
      <w:r>
        <w:t xml:space="preserve">Zhao Q., Guo Y., Ye T., Gasparrini A., Tong S., Overcenco A. 2021. Global, regional, and national burden</w:t>
      </w:r>
      <w:r>
        <w:t xml:space="preserve"> </w:t>
      </w:r>
      <w:r>
        <w:t xml:space="preserve">of mortality associated with non-optimal ambient temperatures from 2000 to 2019: a three-stage modelling</w:t>
      </w:r>
      <w:r>
        <w:t xml:space="preserve"> </w:t>
      </w:r>
      <w:r>
        <w:t xml:space="preserve">study. The Lancet Planetary Health. 5(7) 415-235. /doi.org/10.1016/S2542-5196(21)00081-4</w:t>
      </w:r>
    </w:p>
    <w:p>
      <w:pPr>
        <w:pStyle w:val="Compact"/>
        <w:numPr>
          <w:ilvl w:val="0"/>
          <w:numId w:val="1066"/>
        </w:numPr>
      </w:pPr>
      <w:r>
        <w:t xml:space="preserve">Lorenz, R., Stalhandske, Z., &amp; Fischer, E. M. (2019). Detection of a climate change signal in extreme heat,</w:t>
      </w:r>
      <w:r>
        <w:t xml:space="preserve"> </w:t>
      </w:r>
      <w:r>
        <w:t xml:space="preserve">heat stress, and cold in Europe from observations. Geophysical Research Letters, 46, 8363–8374.</w:t>
      </w:r>
    </w:p>
    <w:p>
      <w:pPr>
        <w:pStyle w:val="Compact"/>
        <w:numPr>
          <w:ilvl w:val="0"/>
          <w:numId w:val="1066"/>
        </w:numPr>
      </w:pPr>
      <w:r>
        <w:t xml:space="preserve">van Daalen K.R. et al. 2022. The 2022 Europe report of the Lancet Countdown on health and climate</w:t>
      </w:r>
      <w:r>
        <w:t xml:space="preserve"> </w:t>
      </w:r>
      <w:r>
        <w:t xml:space="preserve">change:</w:t>
      </w:r>
      <w:r>
        <w:t xml:space="preserve"> </w:t>
      </w:r>
      <w:r>
        <w:t xml:space="preserve">towards</w:t>
      </w:r>
      <w:r>
        <w:t xml:space="preserve"> </w:t>
      </w:r>
      <w:r>
        <w:t xml:space="preserve">a</w:t>
      </w:r>
      <w:r>
        <w:t xml:space="preserve"> </w:t>
      </w:r>
      <w:r>
        <w:t xml:space="preserve">climate</w:t>
      </w:r>
      <w:r>
        <w:t xml:space="preserve"> </w:t>
      </w:r>
      <w:r>
        <w:t xml:space="preserve">resilient</w:t>
      </w:r>
      <w:r>
        <w:t xml:space="preserve"> </w:t>
      </w:r>
      <w:r>
        <w:t xml:space="preserve">future.</w:t>
      </w:r>
      <w:r>
        <w:t xml:space="preserve"> </w:t>
      </w:r>
      <w:r>
        <w:t xml:space="preserve">The</w:t>
      </w:r>
      <w:r>
        <w:t xml:space="preserve"> </w:t>
      </w:r>
      <w:r>
        <w:t xml:space="preserve">Lancet</w:t>
      </w:r>
      <w:r>
        <w:t xml:space="preserve"> </w:t>
      </w:r>
      <w:r>
        <w:t xml:space="preserve">Public</w:t>
      </w:r>
      <w:r>
        <w:t xml:space="preserve"> </w:t>
      </w:r>
      <w:r>
        <w:t xml:space="preserve">Health.</w:t>
      </w:r>
      <w:r>
        <w:t xml:space="preserve"> </w:t>
      </w:r>
      <w:r>
        <w:t xml:space="preserve">7(11)</w:t>
      </w:r>
      <w:r>
        <w:t xml:space="preserve"> </w:t>
      </w:r>
      <w:r>
        <w:t xml:space="preserve">942-965.</w:t>
      </w:r>
      <w:r>
        <w:t xml:space="preserve"> </w:t>
      </w:r>
      <w:r>
        <w:t xml:space="preserve">https://doi.org/10.1016/S2468-2667(22)00197-9</w:t>
      </w:r>
    </w:p>
    <w:p>
      <w:pPr>
        <w:pStyle w:val="FirstParagraph"/>
      </w:pPr>
      <w:r>
        <w:t xml:space="preserve">74</w:t>
      </w:r>
    </w:p>
    <w:p>
      <w:pPr>
        <w:pStyle w:val="BodyText"/>
      </w:pPr>
      <w:r>
        <w:t xml:space="preserve">Figure 16: Projected heat stress for Europe</w:t>
      </w:r>
    </w:p>
    <w:p>
      <w:pPr>
        <w:pStyle w:val="BodyText"/>
      </w:pPr>
      <w:r>
        <w:t xml:space="preserve">Source: IPCC AR6 WG II (2022). Figure 13.23.</w:t>
      </w:r>
      <w:r>
        <w:t xml:space="preserve"> </w:t>
      </w:r>
      <w:r>
        <w:t xml:space="preserve">Air pollution is the largest environmental health risk in Europe and increases the incidence of</w:t>
      </w:r>
      <w:r>
        <w:t xml:space="preserve"> </w:t>
      </w:r>
      <w:r>
        <w:t xml:space="preserve">a range of diseases, including respiratory and cardiovascular diseases. Air pollutnts include</w:t>
      </w:r>
      <w:r>
        <w:t xml:space="preserve"> </w:t>
      </w:r>
      <w:r>
        <w:t xml:space="preserve">short-lived reactive gases such as ozone, and particulate matter (PM), which is a wide range</w:t>
      </w:r>
      <w:r>
        <w:t xml:space="preserve"> </w:t>
      </w:r>
      <w:r>
        <w:t xml:space="preserve">of particles suspended in the atmosphere and dangerous for human health. Methane, a</w:t>
      </w:r>
      <w:r>
        <w:t xml:space="preserve"> </w:t>
      </w:r>
      <w:r>
        <w:t xml:space="preserve">powerful short-lived climate forcer is a precursor of ozone, an important air pollutant. Human</w:t>
      </w:r>
      <w:r>
        <w:t xml:space="preserve"> </w:t>
      </w:r>
      <w:r>
        <w:t xml:space="preserve">activities that release GHG in the atmosphere also lead to the increase in concentration of</w:t>
      </w:r>
      <w:r>
        <w:t xml:space="preserve"> </w:t>
      </w:r>
      <w:r>
        <w:t xml:space="preserve">ozone and PM in the atmosphere. It is estimated that in 2015 approximately 391 000 of</w:t>
      </w:r>
      <w:r>
        <w:t xml:space="preserve"> </w:t>
      </w:r>
      <w:r>
        <w:t xml:space="preserve">Europeans (EU+UK) died prematurely due to long-term exposure to PM2.5 (262). Climate</w:t>
      </w:r>
    </w:p>
    <w:p>
      <w:pPr>
        <w:pStyle w:val="Compact"/>
        <w:numPr>
          <w:ilvl w:val="0"/>
          <w:numId w:val="1067"/>
        </w:numPr>
      </w:pPr>
      <w:r>
        <w:t xml:space="preserve">European Environment Agency, 2018. Unequal exposure and unequal impacts: social vulnerability</w:t>
      </w:r>
      <w:r>
        <w:br/>
      </w:r>
      <w:r>
        <w:t xml:space="preserve">to air pollution, noise and extreme temperatures in Europe. EEA Report No 22/2018.</w:t>
      </w:r>
    </w:p>
    <w:p>
      <w:pPr>
        <w:pStyle w:val="FirstParagraph"/>
      </w:pPr>
      <w:r>
        <w:t xml:space="preserve">75</w:t>
      </w:r>
    </w:p>
    <w:p>
      <w:pPr>
        <w:pStyle w:val="BodyText"/>
      </w:pPr>
      <w:r>
        <w:t xml:space="preserve">change can increase air pollution through extreme heat, desert dust, increases in wildfire due</w:t>
      </w:r>
      <w:r>
        <w:t xml:space="preserve"> </w:t>
      </w:r>
      <w:r>
        <w:t xml:space="preserve">to increases in temperature and changes in precipitation patterns (263). Mortalities due to</w:t>
      </w:r>
      <w:r>
        <w:t xml:space="preserve"> </w:t>
      </w:r>
      <w:r>
        <w:t xml:space="preserve">exposure to PM2.5 are projected to increase by 73% at 2.5℃ global warming levels in</w:t>
      </w:r>
      <w:r>
        <w:t xml:space="preserve"> </w:t>
      </w:r>
      <w:r>
        <w:t xml:space="preserve">Europe. Premature mortalities from near-surface ozone exposure are also projected to increase</w:t>
      </w:r>
      <w:r>
        <w:t xml:space="preserve"> </w:t>
      </w:r>
      <w:r>
        <w:t xml:space="preserve">in Western, Central and Southern Europe and decrease in Northern Europe. Southern Europe</w:t>
      </w:r>
      <w:r>
        <w:t xml:space="preserve"> </w:t>
      </w:r>
      <w:r>
        <w:t xml:space="preserve">is projected to be particularly affected by reduced air quality due to wildfires. Indoor air</w:t>
      </w:r>
      <w:r>
        <w:t xml:space="preserve"> </w:t>
      </w:r>
      <w:r>
        <w:t xml:space="preserve">quality could also be decreased due to projected increases in flood risks and heavy</w:t>
      </w:r>
      <w:r>
        <w:t xml:space="preserve"> </w:t>
      </w:r>
      <w:r>
        <w:t xml:space="preserve">precipitation leading to mould and dampness (264).</w:t>
      </w:r>
      <w:r>
        <w:br/>
      </w:r>
      <w:r>
        <w:t xml:space="preserve">Changing climatic conditions in Europe have already facilitated outbreaks of vector-borne</w:t>
      </w:r>
      <w:r>
        <w:t xml:space="preserve"> </w:t>
      </w:r>
      <w:r>
        <w:t xml:space="preserve">climate sensitive infectious diseases including chikungunya, dengue, and West Nile fever.</w:t>
      </w:r>
      <w:r>
        <w:t xml:space="preserve"> </w:t>
      </w:r>
      <w:r>
        <w:t xml:space="preserve">Thick-borne Lyme disease and encephalitis are projected to expand in geographical range</w:t>
      </w:r>
      <w:r>
        <w:t xml:space="preserve"> </w:t>
      </w:r>
      <w:r>
        <w:t xml:space="preserve">further north and to higher elevations. Water-borne and food-borne disease outbreaks have</w:t>
      </w:r>
      <w:r>
        <w:t xml:space="preserve"> </w:t>
      </w:r>
      <w:r>
        <w:t xml:space="preserve">occurred due to extreme precipitation events and higher temperatures, and the risk is projected</w:t>
      </w:r>
      <w:r>
        <w:t xml:space="preserve"> </w:t>
      </w:r>
      <w:r>
        <w:t xml:space="preserve">to increase with increasing warming (265).</w:t>
      </w:r>
      <w:r>
        <w:t xml:space="preserve"> </w:t>
      </w:r>
      <w:r>
        <w:t xml:space="preserve">Climate change contributes to the spread of some allergenic plants and the earlier start and</w:t>
      </w:r>
      <w:r>
        <w:t xml:space="preserve"> </w:t>
      </w:r>
      <w:r>
        <w:t xml:space="preserve">extension of the pollen season. The concentrations of air-borne pollen are projected to</w:t>
      </w:r>
      <w:r>
        <w:t xml:space="preserve"> </w:t>
      </w:r>
      <w:r>
        <w:t xml:space="preserve">increase across Europe. This could increase the prevalence of allergies.</w:t>
      </w:r>
      <w:r>
        <w:t xml:space="preserve"> </w:t>
      </w:r>
      <w:r>
        <w:t xml:space="preserve">Climate change related events also impact the mental health of Europeans. Extreme weather</w:t>
      </w:r>
      <w:r>
        <w:t xml:space="preserve"> </w:t>
      </w:r>
      <w:r>
        <w:t xml:space="preserve">events have been linked to post-traumatic stress disorder, anxiety, and depression (266).</w:t>
      </w:r>
      <w:r>
        <w:t xml:space="preserve"> </w:t>
      </w:r>
      <w:r>
        <w:t xml:space="preserve">2.3.2 Water stress and scarcity</w:t>
      </w:r>
      <w:r>
        <w:t xml:space="preserve"> </w:t>
      </w:r>
      <w:r>
        <w:t xml:space="preserve">Water scarcity is already affecting many regions in Europe and currently around 11% of the</w:t>
      </w:r>
      <w:r>
        <w:t xml:space="preserve"> </w:t>
      </w:r>
      <w:r>
        <w:t xml:space="preserve">population in the European Union and the United Kingdom are living in water scarce regions.</w:t>
      </w:r>
      <w:r>
        <w:t xml:space="preserve"> </w:t>
      </w:r>
      <w:r>
        <w:t xml:space="preserve">Southern Europe is particularly affected, and it is projected that the conditions of water</w:t>
      </w:r>
    </w:p>
    <w:p>
      <w:pPr>
        <w:pStyle w:val="Compact"/>
        <w:numPr>
          <w:ilvl w:val="0"/>
          <w:numId w:val="1068"/>
        </w:numPr>
      </w:pPr>
      <w:r>
        <w:t xml:space="preserve">WMO</w:t>
      </w:r>
      <w:r>
        <w:t xml:space="preserve"> </w:t>
      </w:r>
      <w:r>
        <w:t xml:space="preserve">Bulletin:</w:t>
      </w:r>
      <w:r>
        <w:t xml:space="preserve"> </w:t>
      </w:r>
      <w:r>
        <w:t xml:space="preserve">heatwaves</w:t>
      </w:r>
      <w:r>
        <w:t xml:space="preserve"> </w:t>
      </w:r>
      <w:r>
        <w:t xml:space="preserve">worsen</w:t>
      </w:r>
      <w:r>
        <w:t xml:space="preserve"> </w:t>
      </w:r>
      <w:r>
        <w:t xml:space="preserve">air</w:t>
      </w:r>
      <w:r>
        <w:t xml:space="preserve"> </w:t>
      </w:r>
      <w:r>
        <w:t xml:space="preserve">quality</w:t>
      </w:r>
      <w:r>
        <w:t xml:space="preserve"> </w:t>
      </w:r>
      <w:r>
        <w:t xml:space="preserve">and</w:t>
      </w:r>
      <w:r>
        <w:t xml:space="preserve"> </w:t>
      </w:r>
      <w:r>
        <w:t xml:space="preserve">pollution.</w:t>
      </w:r>
    </w:p>
    <w:p>
      <w:pPr>
        <w:pStyle w:val="Compact"/>
        <w:numPr>
          <w:ilvl w:val="0"/>
          <w:numId w:val="1069"/>
        </w:numPr>
      </w:pPr>
      <w:r>
        <w:t xml:space="preserve">September</w:t>
      </w:r>
    </w:p>
    <w:p>
      <w:pPr>
        <w:pStyle w:val="Compact"/>
        <w:numPr>
          <w:ilvl w:val="0"/>
          <w:numId w:val="1069"/>
        </w:numPr>
      </w:pPr>
      <w:r>
        <w:t xml:space="preserve">URL:</w:t>
      </w:r>
      <w:r>
        <w:t xml:space="preserve"> </w:t>
      </w:r>
      <w:r>
        <w:t xml:space="preserve">https://public.wmo.int/en/media/press-release/wmo-bulletin-heatwaves-worsen-air-quality-and-pollution</w:t>
      </w:r>
    </w:p>
    <w:p>
      <w:pPr>
        <w:pStyle w:val="Compact"/>
        <w:numPr>
          <w:ilvl w:val="0"/>
          <w:numId w:val="1070"/>
        </w:numPr>
      </w:pPr>
      <w:r>
        <w:t xml:space="preserve">Bednar-Friedl, B., R. Biesbroek, D.N. Schmidt, P. Alexander, K.Y. Børsheim, J. Carnicer, E.</w:t>
      </w:r>
      <w:r>
        <w:t xml:space="preserve"> </w:t>
      </w:r>
      <w:r>
        <w:t xml:space="preserve">Georgopoulou, M. Haasnoot, G. Le Cozannet, P. Lionello, O. Lipka, C. Möllmann, V. Muccione, T.</w:t>
      </w:r>
      <w:r>
        <w:t xml:space="preserve"> </w:t>
      </w:r>
      <w:r>
        <w:t xml:space="preserve">Mustonen, D. Piepenburg, and L.Whitmarsh, 2022: Europe. In: Climate Change 2022: Impacts, Adaptation</w:t>
      </w:r>
      <w:r>
        <w:t xml:space="preserve"> </w:t>
      </w:r>
      <w:r>
        <w:t xml:space="preserve">and Vulnerability. Contribution of Working Group II to the Sixth Assessment Report of the</w:t>
      </w:r>
      <w:r>
        <w:t xml:space="preserve"> </w:t>
      </w:r>
      <w:r>
        <w:t xml:space="preserve">Intergovernmental Panel on Climate Change [H.-O. Pörtner, D.C. Roberts, M. Tignor, E.S. Poloczanska, K.</w:t>
      </w:r>
      <w:r>
        <w:t xml:space="preserve"> </w:t>
      </w:r>
      <w:r>
        <w:t xml:space="preserve">Mintenbeck, A. Alegría, M. Craig, S. Langsdorf, S. Löschke, V. Möller, A. Okem, B. Rama (eds.)].</w:t>
      </w:r>
      <w:r>
        <w:t xml:space="preserve"> </w:t>
      </w:r>
      <w:r>
        <w:t xml:space="preserve">Cambridge University Press, Cambridge, UK and New York, NY, USA, pp. 1817–1927,</w:t>
      </w:r>
      <w:r>
        <w:t xml:space="preserve"> </w:t>
      </w:r>
      <w:r>
        <w:t xml:space="preserve">doi:10.1017/9781009325844.015.</w:t>
      </w:r>
    </w:p>
    <w:p>
      <w:pPr>
        <w:pStyle w:val="Compact"/>
        <w:numPr>
          <w:ilvl w:val="0"/>
          <w:numId w:val="1070"/>
        </w:numPr>
      </w:pPr>
      <w:r>
        <w:t xml:space="preserve">J.C. Semenza and S. Paz. 2021. Climate change and infectious disease in Europe: Impacts, projection and</w:t>
      </w:r>
      <w:r>
        <w:t xml:space="preserve"> </w:t>
      </w:r>
      <w:r>
        <w:t xml:space="preserve">adaptation. The Lancet Regional Health. Volume 9, 100230.</w:t>
      </w:r>
    </w:p>
    <w:p>
      <w:pPr>
        <w:pStyle w:val="Compact"/>
        <w:numPr>
          <w:ilvl w:val="0"/>
          <w:numId w:val="1070"/>
        </w:numPr>
      </w:pPr>
      <w:r>
        <w:t xml:space="preserve">Bednar-Friedl, B., R. Biesbroek, D.N. Schmidt, P. Alexander, K.Y. Børsheim, J. Carnicer, E.</w:t>
      </w:r>
      <w:r>
        <w:t xml:space="preserve"> </w:t>
      </w:r>
      <w:r>
        <w:t xml:space="preserve">Georgopoulou, M. Haasnoot, G. Le Cozannet, P. Lionello, O. Lipka, C. Möllmann, V. Muccione, T.</w:t>
      </w:r>
      <w:r>
        <w:t xml:space="preserve"> </w:t>
      </w:r>
      <w:r>
        <w:t xml:space="preserve">Mustonen, D. Piepenburg, and L.Whitmarsh, 2022: Europe. In: Climate Change 2022: Impacts, Adaptation</w:t>
      </w:r>
      <w:r>
        <w:t xml:space="preserve"> </w:t>
      </w:r>
      <w:r>
        <w:t xml:space="preserve">and Vulnerability. Contribution of Working Group II to the Sixth Assessment Report of the</w:t>
      </w:r>
      <w:r>
        <w:t xml:space="preserve"> </w:t>
      </w:r>
      <w:r>
        <w:t xml:space="preserve">Intergovernmental Panel on Climate Change [H.-O. Pörtner, D.C. Roberts, M. Tignor, E.S. Poloczanska, K.</w:t>
      </w:r>
      <w:r>
        <w:t xml:space="preserve"> </w:t>
      </w:r>
      <w:r>
        <w:t xml:space="preserve">Mintenbeck, A. Alegría, M. Craig, S. Langsdorf, S. Löschke, V. Möller, A. Okem, B. Rama (eds.)].</w:t>
      </w:r>
      <w:r>
        <w:t xml:space="preserve"> </w:t>
      </w:r>
      <w:r>
        <w:t xml:space="preserve">Cambridge University Press, Cambridge, UK and New York, NY, USA, pp. 1817–1927,</w:t>
      </w:r>
      <w:r>
        <w:t xml:space="preserve"> </w:t>
      </w:r>
      <w:r>
        <w:t xml:space="preserve">doi:10.1017/9781009325844.015.</w:t>
      </w:r>
    </w:p>
    <w:p>
      <w:pPr>
        <w:pStyle w:val="FirstParagraph"/>
      </w:pPr>
      <w:r>
        <w:t xml:space="preserve">76</w:t>
      </w:r>
    </w:p>
    <w:p>
      <w:pPr>
        <w:pStyle w:val="BodyText"/>
      </w:pPr>
      <w:r>
        <w:t xml:space="preserve">scarcity will increase in particular in regions that are already experiencing it (267). In 2022 a</w:t>
      </w:r>
      <w:r>
        <w:t xml:space="preserve"> </w:t>
      </w:r>
      <w:r>
        <w:t xml:space="preserve">significant and prolonged drought affected much of Europe, especially during spring and</w:t>
      </w:r>
      <w:r>
        <w:t xml:space="preserve"> </w:t>
      </w:r>
      <w:r>
        <w:t xml:space="preserve">summer and contributed to numerous wildfires, affected ecosystems and society (268)(269). The</w:t>
      </w:r>
      <w:r>
        <w:t xml:space="preserve"> </w:t>
      </w:r>
      <w:r>
        <w:t xml:space="preserve">European Environment Agency estimates that water stress (i.e. when the demand for water</w:t>
      </w:r>
      <w:r>
        <w:t xml:space="preserve"> </w:t>
      </w:r>
      <w:r>
        <w:t xml:space="preserve">exceeds the available amount during a certain period or when poor quality restricts its use)</w:t>
      </w:r>
      <w:r>
        <w:t xml:space="preserve"> </w:t>
      </w:r>
      <w:r>
        <w:t xml:space="preserve">affects 20% of the European territory and 30 % of the European population on average every</w:t>
      </w:r>
      <w:r>
        <w:t xml:space="preserve"> </w:t>
      </w:r>
      <w:r>
        <w:t xml:space="preserve">year, while droughts cause economic damage of up to EUR 9 billion annually and additional</w:t>
      </w:r>
      <w:r>
        <w:t xml:space="preserve"> </w:t>
      </w:r>
      <w:r>
        <w:t xml:space="preserve">unquantified damage to ecosystems and their services (270).</w:t>
      </w:r>
      <w:r>
        <w:t xml:space="preserve"> </w:t>
      </w:r>
      <w:r>
        <w:t xml:space="preserve">Water scarcity does not only affect the water sector, but also other interconnected sectors,</w:t>
      </w:r>
      <w:r>
        <w:t xml:space="preserve"> </w:t>
      </w:r>
      <w:r>
        <w:t xml:space="preserve">including agriculture, energy, fluvial transport and industry. Extraction of water amplifies</w:t>
      </w:r>
      <w:r>
        <w:t xml:space="preserve"> </w:t>
      </w:r>
      <w:r>
        <w:t xml:space="preserve">pressure on water resources and water dependent ecosystems. In Southern Europe,</w:t>
      </w:r>
      <w:r>
        <w:t xml:space="preserve"> </w:t>
      </w:r>
      <w:r>
        <w:t xml:space="preserve">agriculture, public water supply and tourism represent the key pressures on water resource</w:t>
      </w:r>
      <w:r>
        <w:t xml:space="preserve"> </w:t>
      </w:r>
      <w:r>
        <w:t xml:space="preserve">availability (271).</w:t>
      </w:r>
      <w:r>
        <w:br/>
      </w:r>
      <w:r>
        <w:t xml:space="preserve">In 2022 river discharge was the second lowest on record across all of Europe, and it came</w:t>
      </w:r>
      <w:r>
        <w:t xml:space="preserve"> </w:t>
      </w:r>
      <w:r>
        <w:t xml:space="preserve">after five consecutive years of below-average river flows. The affected area was the largest on</w:t>
      </w:r>
      <w:r>
        <w:t xml:space="preserve"> </w:t>
      </w:r>
      <w:r>
        <w:t xml:space="preserve">record, and 63% of all European rivers had below-average discharge (272). The low water</w:t>
      </w:r>
      <w:r>
        <w:t xml:space="preserve"> </w:t>
      </w:r>
      <w:r>
        <w:t xml:space="preserve">levels on the River Po affected agricultural production and allowed the intrusion of saltwater</w:t>
      </w:r>
      <w:r>
        <w:t xml:space="preserve"> </w:t>
      </w:r>
      <w:r>
        <w:t xml:space="preserve">40 km inland, which impacted river ecosystems (273). The flow patterns of the rivers are</w:t>
      </w:r>
      <w:r>
        <w:t xml:space="preserve"> </w:t>
      </w:r>
      <w:r>
        <w:t xml:space="preserve">affected also by the shrinking of glaciers and snow cover in the Alps, which has been</w:t>
      </w:r>
      <w:r>
        <w:t xml:space="preserve"> </w:t>
      </w:r>
      <w:r>
        <w:t xml:space="preserve">happening since the 19th century as the result of increasing temperature and changes in</w:t>
      </w:r>
      <w:r>
        <w:t xml:space="preserve"> </w:t>
      </w:r>
      <w:r>
        <w:t xml:space="preserve">precipitation patterns. In winters high rainfall causes higher water discharges, increasing flood</w:t>
      </w:r>
      <w:r>
        <w:t xml:space="preserve"> </w:t>
      </w:r>
      <w:r>
        <w:t xml:space="preserve">risks. Lower extent and mass of glaciers and snow decrease the inflow of water into the rivers,</w:t>
      </w:r>
      <w:r>
        <w:t xml:space="preserve"> </w:t>
      </w:r>
      <w:r>
        <w:t xml:space="preserve">particularly during spring and summer. The flow of Rhône River for example, has decreased</w:t>
      </w:r>
      <w:r>
        <w:t xml:space="preserve"> </w:t>
      </w:r>
      <w:r>
        <w:t xml:space="preserve">significantly in the past 60 years and is projected to decrease further. The flows of some of its</w:t>
      </w:r>
      <w:r>
        <w:t xml:space="preserve"> </w:t>
      </w:r>
      <w:r>
        <w:t xml:space="preserve">tributaries have already been reduced by 30-40%. Climate change is projected to further</w:t>
      </w:r>
      <w:r>
        <w:t xml:space="preserve"> </w:t>
      </w:r>
      <w:r>
        <w:t xml:space="preserve">decrease river discharges (274). Due to reduced river flow and sea level rise, seawater is</w:t>
      </w:r>
      <w:r>
        <w:t xml:space="preserve"> </w:t>
      </w:r>
      <w:r>
        <w:t xml:space="preserve">projected to intrude estuaries further upstream in the summer. These changes have major</w:t>
      </w:r>
      <w:r>
        <w:t xml:space="preserve"> </w:t>
      </w:r>
      <w:r>
        <w:t xml:space="preserve">impacts on water quality, energy generation, agriculture, forestry, tourism, and ecosystems.</w:t>
      </w:r>
      <w:r>
        <w:t xml:space="preserve"> </w:t>
      </w:r>
      <w:r>
        <w:t xml:space="preserve">The risk of water scarcity for Europe increases with higher global warming, and Southern</w:t>
      </w:r>
      <w:r>
        <w:t xml:space="preserve"> </w:t>
      </w:r>
      <w:r>
        <w:t xml:space="preserve">Europe will be exposed to more persistent droughts. For Southern Europe at 2℃ global</w:t>
      </w:r>
      <w:r>
        <w:t xml:space="preserve"> </w:t>
      </w:r>
      <w:r>
        <w:t xml:space="preserve">warming level, a 54% increase in population facing at least moderate levels of water shortage</w:t>
      </w:r>
    </w:p>
    <w:p>
      <w:pPr>
        <w:pStyle w:val="Compact"/>
        <w:numPr>
          <w:ilvl w:val="0"/>
          <w:numId w:val="1071"/>
        </w:numPr>
      </w:pPr>
      <w:r>
        <w:t xml:space="preserve">Feyen L., Ciscar J.C., Gosling S., Ibarreta D., Soria A. (editors) (2020). Climate change impacts and</w:t>
      </w:r>
      <w:r>
        <w:t xml:space="preserve"> </w:t>
      </w:r>
      <w:r>
        <w:t xml:space="preserve">adaptation in Europe. JRC PESETA IV final report. EUR 30180EN, Publications Office of the European</w:t>
      </w:r>
      <w:r>
        <w:t xml:space="preserve"> </w:t>
      </w:r>
      <w:r>
        <w:t xml:space="preserve">Union, Luxembourg, ISBN 978-92-76-18123-1, doi:10.2760/171121, JRC119178</w:t>
      </w:r>
    </w:p>
    <w:p>
      <w:pPr>
        <w:pStyle w:val="Compact"/>
        <w:numPr>
          <w:ilvl w:val="0"/>
          <w:numId w:val="1071"/>
        </w:numPr>
      </w:pPr>
      <w:r>
        <w:t xml:space="preserve">World Meteorological Organization (WMO). 2023. State of the Climate in Europe 2022 (WMO-No. 1320).</w:t>
      </w:r>
    </w:p>
    <w:p>
      <w:pPr>
        <w:pStyle w:val="Compact"/>
        <w:numPr>
          <w:ilvl w:val="0"/>
          <w:numId w:val="1071"/>
        </w:numPr>
      </w:pPr>
      <w:r>
        <w:t xml:space="preserve">Copernicus Climate Change Service (C3S), 2023: European State of the Climate 2022, Full report:</w:t>
      </w:r>
      <w:r>
        <w:t xml:space="preserve"> </w:t>
      </w:r>
      <w:r>
        <w:t xml:space="preserve">climate.copernicus.eu/ESOTC/2022</w:t>
      </w:r>
    </w:p>
    <w:p>
      <w:pPr>
        <w:pStyle w:val="Compact"/>
        <w:numPr>
          <w:ilvl w:val="0"/>
          <w:numId w:val="1071"/>
        </w:numPr>
      </w:pPr>
      <w:r>
        <w:t xml:space="preserve">European Environment Agency, 2021. Water resources across Europe — confronting water stress: an</w:t>
      </w:r>
      <w:r>
        <w:t xml:space="preserve"> </w:t>
      </w:r>
      <w:r>
        <w:t xml:space="preserve">updated assessment. EEA Report No 12/2021.</w:t>
      </w:r>
    </w:p>
    <w:p>
      <w:pPr>
        <w:pStyle w:val="Compact"/>
        <w:numPr>
          <w:ilvl w:val="0"/>
          <w:numId w:val="1071"/>
        </w:numPr>
      </w:pPr>
      <w:r>
        <w:t xml:space="preserve">European Environment Agency, 2021. Water resources across Europe — confronting water stress: an</w:t>
      </w:r>
      <w:r>
        <w:t xml:space="preserve"> </w:t>
      </w:r>
      <w:r>
        <w:t xml:space="preserve">updated assessment. EEA Report No 12/2021.</w:t>
      </w:r>
    </w:p>
    <w:p>
      <w:pPr>
        <w:pStyle w:val="Compact"/>
        <w:numPr>
          <w:ilvl w:val="0"/>
          <w:numId w:val="1071"/>
        </w:numPr>
      </w:pPr>
      <w:r>
        <w:t xml:space="preserve">Copernicus Climate Change Service (C3S).</w:t>
      </w:r>
    </w:p>
    <w:p>
      <w:pPr>
        <w:pStyle w:val="Compact"/>
        <w:numPr>
          <w:ilvl w:val="0"/>
          <w:numId w:val="1071"/>
        </w:numPr>
      </w:pPr>
      <w:r>
        <w:t xml:space="preserve">World Meteorological Organization (2023): State of the Climate in Europe 2022. ISBN 978-92-63-11320-7</w:t>
      </w:r>
      <w:r>
        <w:t xml:space="preserve"> </w:t>
      </w:r>
      <w:r>
        <w:t xml:space="preserve">(274)https://www.eaurmc.fr/jcms/pro_118307/fr/les-debits-d-etiage-du-rhone-en-baisse-sous-l-effet-du-</w:t>
      </w:r>
      <w:r>
        <w:t xml:space="preserve"> </w:t>
      </w:r>
      <w:r>
        <w:t xml:space="preserve">changement-climatique [Accessed on 2.8.2023].</w:t>
      </w:r>
    </w:p>
    <w:p>
      <w:pPr>
        <w:pStyle w:val="FirstParagraph"/>
      </w:pPr>
      <w:r>
        <w:t xml:space="preserve">77</w:t>
      </w:r>
    </w:p>
    <w:p>
      <w:pPr>
        <w:pStyle w:val="BodyText"/>
      </w:pPr>
      <w:r>
        <w:t xml:space="preserve">is projected. At 3℃ global warming, water scarcity will become more widespread and severe,</w:t>
      </w:r>
      <w:r>
        <w:t xml:space="preserve"> </w:t>
      </w:r>
      <w:r>
        <w:t xml:space="preserve">and affect currently non water scarce areas of Western and Central Europe (275). Southern and</w:t>
      </w:r>
      <w:r>
        <w:t xml:space="preserve"> </w:t>
      </w:r>
      <w:r>
        <w:t xml:space="preserve">south-western Europe is projected to be most affected, and river discharge reductions could</w:t>
      </w:r>
      <w:r>
        <w:t xml:space="preserve"> </w:t>
      </w:r>
      <w:r>
        <w:t xml:space="preserve">reach 40% in the summer in some basins. Drought frequency is projected to double over</w:t>
      </w:r>
      <w:r>
        <w:t xml:space="preserve"> </w:t>
      </w:r>
      <w:r>
        <w:t xml:space="preserve">nearly a quarter of the Mediterranean and a third of the Atlantic region.</w:t>
      </w:r>
      <w:r>
        <w:br/>
      </w:r>
      <w:r>
        <w:t xml:space="preserve">In addition to the effects of climate change on water resources, in many European river</w:t>
      </w:r>
      <w:r>
        <w:t xml:space="preserve"> </w:t>
      </w:r>
      <w:r>
        <w:t xml:space="preserve">basins, water is over-abstracted, which impacts ecological processes, or it is returned to</w:t>
      </w:r>
      <w:r>
        <w:t xml:space="preserve"> </w:t>
      </w:r>
      <w:r>
        <w:t xml:space="preserve">surface water and groundwater with significant levels of pollution. Groundwater is often seen</w:t>
      </w:r>
      <w:r>
        <w:t xml:space="preserve"> </w:t>
      </w:r>
      <w:r>
        <w:t xml:space="preserve">as a solution to replace other freshwater sources, but over-exploitation has negative impacts</w:t>
      </w:r>
      <w:r>
        <w:t xml:space="preserve"> </w:t>
      </w:r>
      <w:r>
        <w:t xml:space="preserve">on the future availability of water and on biodiversity (276).</w:t>
      </w:r>
      <w:r>
        <w:br/>
      </w:r>
      <w:r>
        <w:t xml:space="preserve">2.3.3 Flood risks</w:t>
      </w:r>
      <w:r>
        <w:br/>
      </w:r>
      <w:r>
        <w:t xml:space="preserve">Risk of coastal and river floods in Europe is projected to increase substantially over the 21st</w:t>
      </w:r>
      <w:r>
        <w:t xml:space="preserve"> </w:t>
      </w:r>
      <w:r>
        <w:t xml:space="preserve">century. Bosello and Leon (277) find that coastal damages from sea-level rise and riverine</w:t>
      </w:r>
      <w:r>
        <w:t xml:space="preserve"> </w:t>
      </w:r>
      <w:r>
        <w:t xml:space="preserve">flooding are the main sources of GDP losses as a result of climate change, amounting to more</w:t>
      </w:r>
      <w:r>
        <w:t xml:space="preserve"> </w:t>
      </w:r>
      <w:r>
        <w:t xml:space="preserve">than 70% of all climate change related losses in the EU.</w:t>
      </w:r>
      <w:r>
        <w:t xml:space="preserve"> </w:t>
      </w:r>
      <w:r>
        <w:t xml:space="preserve">2.3.3.1 Coastal flooding</w:t>
      </w:r>
      <w:r>
        <w:t xml:space="preserve"> </w:t>
      </w:r>
      <w:r>
        <w:t xml:space="preserve">Sea level rise is already affecting European coastal areas, and compounded by storm surges,</w:t>
      </w:r>
      <w:r>
        <w:t xml:space="preserve"> </w:t>
      </w:r>
      <w:r>
        <w:t xml:space="preserve">rainfall and river runoff, risks of coastal flooding in Europe’s low-lying coasts will increase</w:t>
      </w:r>
      <w:r>
        <w:t xml:space="preserve"> </w:t>
      </w:r>
      <w:r>
        <w:t xml:space="preserve">with increasing global warming and affect an increasing number of people, particularly</w:t>
      </w:r>
      <w:r>
        <w:t xml:space="preserve"> </w:t>
      </w:r>
      <w:r>
        <w:t xml:space="preserve">beyond 2040 (278). It is estimated that without mitigation, 2.2 million people in the EU</w:t>
      </w:r>
      <w:r>
        <w:t xml:space="preserve"> </w:t>
      </w:r>
      <w:r>
        <w:t xml:space="preserve">and UK could be exposed to coastal flooding by the end of the century. Moderate mitigation</w:t>
      </w:r>
      <w:r>
        <w:t xml:space="preserve"> </w:t>
      </w:r>
      <w:r>
        <w:t xml:space="preserve">action could reduce the damages by half and reduce the exposed population to 1.4 million</w:t>
      </w:r>
      <w:r>
        <w:t xml:space="preserve"> </w:t>
      </w:r>
      <w:r>
        <w:t xml:space="preserve">people per year. Adaptation action such as rising dykes would reduce exposed population and</w:t>
      </w:r>
      <w:r>
        <w:t xml:space="preserve"> </w:t>
      </w:r>
      <w:r>
        <w:t xml:space="preserve">damages by 60% and 90% respectively by 2100. Other solutions are also available, such as</w:t>
      </w:r>
      <w:r>
        <w:t xml:space="preserve"> </w:t>
      </w:r>
      <w:r>
        <w:t xml:space="preserve">green infrastructures/nature-based solutions (e.g. give rivers more space during floods,</w:t>
      </w:r>
      <w:r>
        <w:t xml:space="preserve"> </w:t>
      </w:r>
      <w:r>
        <w:t xml:space="preserve">restoring reefs, marshes or dunes), often more cost-efficient and with lower environmental</w:t>
      </w:r>
    </w:p>
    <w:p>
      <w:pPr>
        <w:pStyle w:val="Compact"/>
        <w:numPr>
          <w:ilvl w:val="0"/>
          <w:numId w:val="1072"/>
        </w:numPr>
      </w:pPr>
      <w:r>
        <w:t xml:space="preserve">Bednar-Friedl, B., R. Biesbroek, D.N. Schmidt, P. Alexander, K.Y. Børsheim, J. Carnicer, E.</w:t>
      </w:r>
      <w:r>
        <w:t xml:space="preserve"> </w:t>
      </w:r>
      <w:r>
        <w:t xml:space="preserve">Georgopoulou, M. Haasnoot, G. Le Cozannet, P. Lionello, O. Lipka, C. Möllmann, V. Muccione, T.</w:t>
      </w:r>
      <w:r>
        <w:t xml:space="preserve"> </w:t>
      </w:r>
      <w:r>
        <w:t xml:space="preserve">Mustonen, D. Piepenburg, and L.Whitmarsh, 2022: Europe. In: Climate Change 2022: Impacts, Adaptation</w:t>
      </w:r>
      <w:r>
        <w:t xml:space="preserve"> </w:t>
      </w:r>
      <w:r>
        <w:t xml:space="preserve">and Vulnerability. Contribution of Working Group II to the Sixth Assessment Report of the</w:t>
      </w:r>
      <w:r>
        <w:t xml:space="preserve"> </w:t>
      </w:r>
      <w:r>
        <w:t xml:space="preserve">Intergovernmental Panel on Climate Change [H.-O. Pörtner, D.C. Roberts, M. Tignor, E.S. Poloczanska, K.</w:t>
      </w:r>
      <w:r>
        <w:t xml:space="preserve"> </w:t>
      </w:r>
      <w:r>
        <w:t xml:space="preserve">Mintenbeck, A. Alegría, M. Craig, S. Langsdorf, S. Löschke, V. Möller, A. Okem, B. Rama (eds.)].</w:t>
      </w:r>
      <w:r>
        <w:t xml:space="preserve"> </w:t>
      </w:r>
      <w:r>
        <w:t xml:space="preserve">Cambridge University Press, Cambridge, UK and New York, NY, USA, pp. 1817–1927,</w:t>
      </w:r>
      <w:r>
        <w:t xml:space="preserve"> </w:t>
      </w:r>
      <w:r>
        <w:t xml:space="preserve">doi:10.1017/9781009325844.015.</w:t>
      </w:r>
    </w:p>
    <w:p>
      <w:pPr>
        <w:pStyle w:val="Compact"/>
        <w:numPr>
          <w:ilvl w:val="0"/>
          <w:numId w:val="1072"/>
        </w:numPr>
      </w:pPr>
      <w:r>
        <w:t xml:space="preserve">EEA (2021): Water resources across Europe — confronting water stress: an updated assessment, report</w:t>
      </w:r>
      <w:r>
        <w:t xml:space="preserve"> </w:t>
      </w:r>
      <w:r>
        <w:t xml:space="preserve">12/2021. Luxembourg: Publications Office of the European Union</w:t>
      </w:r>
    </w:p>
    <w:p>
      <w:pPr>
        <w:pStyle w:val="Compact"/>
        <w:numPr>
          <w:ilvl w:val="0"/>
          <w:numId w:val="1072"/>
        </w:numPr>
      </w:pPr>
      <w:r>
        <w:t xml:space="preserve">Bosello F. and Leon C.J. 2022. Climate change impacts in the EU: new evidence from recent research.</w:t>
      </w:r>
      <w:r>
        <w:t xml:space="preserve"> </w:t>
      </w:r>
      <w:r>
        <w:t xml:space="preserve">EAERE Magazine, 16 Spring 2022 – Climate Impacts and Adaptation</w:t>
      </w:r>
    </w:p>
    <w:p>
      <w:pPr>
        <w:pStyle w:val="Compact"/>
        <w:numPr>
          <w:ilvl w:val="0"/>
          <w:numId w:val="1072"/>
        </w:numPr>
      </w:pPr>
      <w:r>
        <w:t xml:space="preserve">Bednar-Friedl, B., R. Biesbroek, D.N. Schmidt, P. Alexander, K.Y. Børsheim, J. Carnicer, E.</w:t>
      </w:r>
      <w:r>
        <w:t xml:space="preserve"> </w:t>
      </w:r>
      <w:r>
        <w:t xml:space="preserve">Georgopoulou, M. Haasnoot, G. Le Cozannet, P. Lionello, O. Lipka, C. Möllmann, V. Muccione, T.</w:t>
      </w:r>
      <w:r>
        <w:t xml:space="preserve"> </w:t>
      </w:r>
      <w:r>
        <w:t xml:space="preserve">Mustonen, D. Piepenburg, and L.Whitmarsh, 2022: Europe. In: Climate Change 2022: Impacts, Adaptation</w:t>
      </w:r>
      <w:r>
        <w:t xml:space="preserve"> </w:t>
      </w:r>
      <w:r>
        <w:t xml:space="preserve">and Vulnerability. Contribution of Working Group II to the Sixth Assessment Report of the</w:t>
      </w:r>
      <w:r>
        <w:t xml:space="preserve"> </w:t>
      </w:r>
      <w:r>
        <w:t xml:space="preserve">Intergovernmental Panel on Climate Change [H.-O. Pörtner, D.C. Roberts, M. Tignor, E.S. Poloczanska, K.</w:t>
      </w:r>
      <w:r>
        <w:t xml:space="preserve"> </w:t>
      </w:r>
      <w:r>
        <w:t xml:space="preserve">Mintenbeck, A. Alegría, M. Craig, S. Langsdorf, S. Löschke, V. Möller, A. Okem, B. Rama (eds.)].</w:t>
      </w:r>
      <w:r>
        <w:t xml:space="preserve"> </w:t>
      </w:r>
      <w:r>
        <w:t xml:space="preserve">Cambridge University Press, Cambridge, UK and New York, NY, USA, pp. 1817–1927,</w:t>
      </w:r>
      <w:r>
        <w:t xml:space="preserve"> </w:t>
      </w:r>
      <w:r>
        <w:t xml:space="preserve">doi:10.1017/9781009325844.015.</w:t>
      </w:r>
    </w:p>
    <w:p>
      <w:pPr>
        <w:pStyle w:val="FirstParagraph"/>
      </w:pPr>
      <w:r>
        <w:t xml:space="preserve">78</w:t>
      </w:r>
    </w:p>
    <w:p>
      <w:pPr>
        <w:pStyle w:val="BodyText"/>
      </w:pPr>
      <w:r>
        <w:t xml:space="preserve">impact, and come with many co-benefits including for biodiversity and human health and</w:t>
      </w:r>
      <w:r>
        <w:t xml:space="preserve"> </w:t>
      </w:r>
      <w:r>
        <w:t xml:space="preserve">well-being (279).</w:t>
      </w:r>
      <w:r>
        <w:t xml:space="preserve"> </w:t>
      </w:r>
      <w:r>
        <w:t xml:space="preserve">2.3.3.2 Riverine and pluvial flooding</w:t>
      </w:r>
      <w:r>
        <w:t xml:space="preserve"> </w:t>
      </w:r>
      <w:r>
        <w:t xml:space="preserve">Climate change affects the frequency and intensity of climate and weather extremes, including</w:t>
      </w:r>
      <w:r>
        <w:t xml:space="preserve"> </w:t>
      </w:r>
      <w:r>
        <w:t xml:space="preserve">heavy precipitation. River flood hazards have increased in the Western and Central Europe in</w:t>
      </w:r>
      <w:r>
        <w:t xml:space="preserve"> </w:t>
      </w:r>
      <w:r>
        <w:t xml:space="preserve">the past decades and decreased in Southern Europe. In Europe, the past three decades had the</w:t>
      </w:r>
      <w:r>
        <w:t xml:space="preserve"> </w:t>
      </w:r>
      <w:r>
        <w:t xml:space="preserve">largest number of floods in the past 500 years, affecting an increasing number of people and</w:t>
      </w:r>
      <w:r>
        <w:t xml:space="preserve"> </w:t>
      </w:r>
      <w:r>
        <w:t xml:space="preserve">causing economic damages.</w:t>
      </w:r>
      <w:r>
        <w:br/>
      </w:r>
      <w:r>
        <w:t xml:space="preserve">River flood hazards are projected to continue to increase in Central and Western Europe and</w:t>
      </w:r>
      <w:r>
        <w:t xml:space="preserve"> </w:t>
      </w:r>
      <w:r>
        <w:t xml:space="preserve">decrease in Northern and Southern Europe. Overall, damages from river flooding are</w:t>
      </w:r>
      <w:r>
        <w:t xml:space="preserve"> </w:t>
      </w:r>
      <w:r>
        <w:t xml:space="preserve">projected to increase with continued warming.</w:t>
      </w:r>
      <w:r>
        <w:t xml:space="preserve"> </w:t>
      </w:r>
      <w:r>
        <w:t xml:space="preserve">Pluvial flooding and flash floods constitute the majority of flood events in Europe and have</w:t>
      </w:r>
      <w:r>
        <w:t xml:space="preserve"> </w:t>
      </w:r>
      <w:r>
        <w:t xml:space="preserve">caused considerable impacts, including loss of human life and economic and non-economic</w:t>
      </w:r>
      <w:r>
        <w:t xml:space="preserve"> </w:t>
      </w:r>
      <w:r>
        <w:t xml:space="preserve">damages. With increasing global warming, the risk of pluvial flooding and flash floods are</w:t>
      </w:r>
      <w:r>
        <w:t xml:space="preserve"> </w:t>
      </w:r>
      <w:r>
        <w:t xml:space="preserve">also projected to increase (280).</w:t>
      </w:r>
      <w:r>
        <w:t xml:space="preserve"> </w:t>
      </w:r>
      <w:r>
        <w:t xml:space="preserve">2.3.4 Infrastructure: Impacts on energy systems, transport systems and tourism</w:t>
      </w:r>
      <w:r>
        <w:t xml:space="preserve"> </w:t>
      </w:r>
      <w:r>
        <w:t xml:space="preserve">2.3.4.1 Energy systems</w:t>
      </w:r>
      <w:r>
        <w:br/>
      </w:r>
      <w:r>
        <w:t xml:space="preserve">Climate extremes and changes in weather patterns are already impacting energy systems in</w:t>
      </w:r>
      <w:r>
        <w:t xml:space="preserve"> </w:t>
      </w:r>
      <w:r>
        <w:t xml:space="preserve">Europe. The most relevant long-term trends from an energy system perspective are changes in</w:t>
      </w:r>
      <w:r>
        <w:t xml:space="preserve"> </w:t>
      </w:r>
      <w:r>
        <w:t xml:space="preserve">ambient temperature and water inflow patterns and availability. Extreme events, including</w:t>
      </w:r>
      <w:r>
        <w:t xml:space="preserve"> </w:t>
      </w:r>
      <w:r>
        <w:t xml:space="preserve">heat waves, heavy precipitation events, storms and extreme sea level also impact energy</w:t>
      </w:r>
      <w:r>
        <w:t xml:space="preserve"> </w:t>
      </w:r>
      <w:r>
        <w:t xml:space="preserve">systems (281), by increasing the risk of damaging critical energy infrastructure (282). In recent</w:t>
      </w:r>
      <w:r>
        <w:t xml:space="preserve"> </w:t>
      </w:r>
      <w:r>
        <w:t xml:space="preserve">years, parts of Europe have experienced reductions and interruptions of power supply due to</w:t>
      </w:r>
      <w:r>
        <w:t xml:space="preserve"> </w:t>
      </w:r>
      <w:r>
        <w:t xml:space="preserve">water-cooling constrains on power plants during exceptionally dry or hot years, an increase in</w:t>
      </w:r>
      <w:r>
        <w:t xml:space="preserve"> </w:t>
      </w:r>
      <w:r>
        <w:t xml:space="preserve">the number of days where energy demand for cooling increases (known as cooling-days) and</w:t>
      </w:r>
      <w:r>
        <w:t xml:space="preserve"> </w:t>
      </w:r>
      <w:r>
        <w:t xml:space="preserve">decrease in heating-days (283).</w:t>
      </w:r>
    </w:p>
    <w:p>
      <w:pPr>
        <w:pStyle w:val="Compact"/>
        <w:numPr>
          <w:ilvl w:val="0"/>
          <w:numId w:val="1073"/>
        </w:numPr>
      </w:pPr>
      <w:r>
        <w:t xml:space="preserve">European Commission (2020) Nature-Based Solutions for Flood Mitigation and Coastal Resilience Analysis</w:t>
      </w:r>
      <w:r>
        <w:t xml:space="preserve"> </w:t>
      </w:r>
      <w:r>
        <w:t xml:space="preserve">of EU-funded Projects. Luxembourg: Publications Office of the European Union.</w:t>
      </w:r>
      <w:r>
        <w:t xml:space="preserve"> </w:t>
      </w:r>
      <w:r>
        <w:t xml:space="preserve">(280)Bednar-Friedl, B., R. Biesbroek, D.N. Schmidt, P. Alexander, K.Y. Børsheim, J. Carnicer, E. Georgopoulou,</w:t>
      </w:r>
      <w:r>
        <w:t xml:space="preserve"> </w:t>
      </w:r>
      <w:r>
        <w:t xml:space="preserve">M. Haasnoot, G. Le Cozannet, P. Lionello, O. Lipka, C. Möllmann, V. Muccione, T. Mustonen, D.</w:t>
      </w:r>
      <w:r>
        <w:t xml:space="preserve"> </w:t>
      </w:r>
      <w:r>
        <w:t xml:space="preserve">Piepenburg, and L.Whitmarsh, 2022: Europe. In: Climate Change 2022: Impacts, Adaptation and</w:t>
      </w:r>
      <w:r>
        <w:t xml:space="preserve"> </w:t>
      </w:r>
      <w:r>
        <w:t xml:space="preserve">Vulnerability. Contribution of Working Group II to the Sixth Assessment Report of the Intergovernmental</w:t>
      </w:r>
      <w:r>
        <w:t xml:space="preserve"> </w:t>
      </w:r>
      <w:r>
        <w:t xml:space="preserve">Panel on Climate Change [H.-O. Pörtner, D.C. Roberts, M. Tignor, E.S. Poloczanska, K. Mintenbeck, A.</w:t>
      </w:r>
      <w:r>
        <w:t xml:space="preserve"> </w:t>
      </w:r>
      <w:r>
        <w:t xml:space="preserve">Alegría, M. Craig, S. Langsdorf, S. Löschke, V. Möller, A. Okem, B. Rama (eds.)]. Cambridge University</w:t>
      </w:r>
      <w:r>
        <w:t xml:space="preserve"> </w:t>
      </w:r>
      <w:r>
        <w:t xml:space="preserve">Press, Cambridge, UK and New York, NY, USA, pp. 1817–1927, doi:10.1017/9781009325844.015.</w:t>
      </w:r>
    </w:p>
    <w:p>
      <w:pPr>
        <w:pStyle w:val="Compact"/>
        <w:numPr>
          <w:ilvl w:val="0"/>
          <w:numId w:val="1073"/>
        </w:numPr>
      </w:pPr>
      <w:r>
        <w:t xml:space="preserve">Troccoli (2018). Weather &amp; climate services for the energy industry. DOI:10.1007/978-3-319-68418-5</w:t>
      </w:r>
    </w:p>
    <w:p>
      <w:pPr>
        <w:pStyle w:val="Compact"/>
        <w:numPr>
          <w:ilvl w:val="0"/>
          <w:numId w:val="1073"/>
        </w:numPr>
      </w:pPr>
      <w:r>
        <w:t xml:space="preserve">Varianou Mikellidou et al. (2018). Energy critical infrastructures at risk from climate change: A state of the</w:t>
      </w:r>
      <w:r>
        <w:t xml:space="preserve"> </w:t>
      </w:r>
      <w:r>
        <w:t xml:space="preserve">art review.</w:t>
      </w:r>
    </w:p>
    <w:p>
      <w:pPr>
        <w:pStyle w:val="Compact"/>
        <w:numPr>
          <w:ilvl w:val="0"/>
          <w:numId w:val="1073"/>
        </w:numPr>
      </w:pPr>
      <w:r>
        <w:t xml:space="preserve">Bednar-Friedl, B., R. Biesbroek, D.N. Schmidt, P. Alexander, K.Y. Børsheim, J. Carnicer, E.</w:t>
      </w:r>
      <w:r>
        <w:t xml:space="preserve"> </w:t>
      </w:r>
      <w:r>
        <w:t xml:space="preserve">Georgopoulou, M. Haasnoot, G. Le Cozannet, P. Lionello, O. Lipka, C. Möllmann, V. Muccione, T.</w:t>
      </w:r>
      <w:r>
        <w:t xml:space="preserve"> </w:t>
      </w:r>
      <w:r>
        <w:t xml:space="preserve">Mustonen, D. Piepenburg, and L.Whitmarsh, 2022: Europe. In: Climate Change 2022: Impacts, Adaptation</w:t>
      </w:r>
      <w:r>
        <w:t xml:space="preserve"> </w:t>
      </w:r>
      <w:r>
        <w:t xml:space="preserve">and Vulnerability. Contribution of Working Group II to the Sixth Assessment Report of the</w:t>
      </w:r>
      <w:r>
        <w:t xml:space="preserve"> </w:t>
      </w:r>
      <w:r>
        <w:t xml:space="preserve">Intergovernmental Panel on Climate Change [H.-O. Pörtner, D.C. Roberts, M. Tignor, E.S. Poloczanska, K.</w:t>
      </w:r>
    </w:p>
    <w:p>
      <w:pPr>
        <w:pStyle w:val="FirstParagraph"/>
      </w:pPr>
      <w:r>
        <w:t xml:space="preserve">79</w:t>
      </w:r>
    </w:p>
    <w:p>
      <w:pPr>
        <w:pStyle w:val="BodyText"/>
      </w:pPr>
      <w:r>
        <w:t xml:space="preserve">The IPCC projects an increase in mean precipitation in Northern Europe, increase of river</w:t>
      </w:r>
      <w:r>
        <w:t xml:space="preserve"> </w:t>
      </w:r>
      <w:r>
        <w:t xml:space="preserve">flooding in Western and Central Europe and increased aridity and ecological droughts in the</w:t>
      </w:r>
      <w:r>
        <w:t xml:space="preserve"> </w:t>
      </w:r>
      <w:r>
        <w:t xml:space="preserve">Mediterranean area. Water availability is set to increase in northern Europe and decrease in</w:t>
      </w:r>
      <w:r>
        <w:t xml:space="preserve"> </w:t>
      </w:r>
      <w:r>
        <w:t xml:space="preserve">southern Europe with marked seasonal differences.</w:t>
      </w:r>
      <w:r>
        <w:br/>
      </w:r>
      <w:r>
        <w:t xml:space="preserve">Thermal power plants (powered by fossil fuel, biomass or nuclear fuel) often rely on large</w:t>
      </w:r>
      <w:r>
        <w:t xml:space="preserve"> </w:t>
      </w:r>
      <w:r>
        <w:t xml:space="preserve">quantities of water for cooling. Thermal plants can suffer from reductions in generation in the</w:t>
      </w:r>
      <w:r>
        <w:t xml:space="preserve"> </w:t>
      </w:r>
      <w:r>
        <w:t xml:space="preserve">event of decreases in cooling water availability and increases in cooling water temperature.</w:t>
      </w:r>
      <w:r>
        <w:t xml:space="preserve"> </w:t>
      </w:r>
      <w:r>
        <w:t xml:space="preserve">Modelling shows that climate change can decrease usable water capacity for thermoelectric</w:t>
      </w:r>
      <w:r>
        <w:t xml:space="preserve"> </w:t>
      </w:r>
      <w:r>
        <w:t xml:space="preserve">power plants in certain regions of Europe by more than 15% in some cases by the midlle of</w:t>
      </w:r>
      <w:r>
        <w:t xml:space="preserve"> </w:t>
      </w:r>
      <w:r>
        <w:t xml:space="preserve">the century (284). The effects can range from a decrease in power plant reliability, for instance</w:t>
      </w:r>
      <w:r>
        <w:t xml:space="preserve"> </w:t>
      </w:r>
      <w:r>
        <w:t xml:space="preserve">with extreme events leading to unplanned shutdowns and curtailments (285), to a reduction of</w:t>
      </w:r>
      <w:r>
        <w:t xml:space="preserve"> </w:t>
      </w:r>
      <w:r>
        <w:t xml:space="preserve">performance and generation capacity of turbines (286) due to a reduction of volume or increase</w:t>
      </w:r>
      <w:r>
        <w:t xml:space="preserve"> </w:t>
      </w:r>
      <w:r>
        <w:t xml:space="preserve">in temperature of cooling water (287).</w:t>
      </w:r>
      <w:r>
        <w:br/>
      </w:r>
      <w:r>
        <w:t xml:space="preserve">By definition, hydropower plants generate electricity from water streamflow or water</w:t>
      </w:r>
      <w:r>
        <w:t xml:space="preserve"> </w:t>
      </w:r>
      <w:r>
        <w:t xml:space="preserve">reservoirs. Variation in rainfall, snowfall, and snow and glacier melt will change inflow</w:t>
      </w:r>
      <w:r>
        <w:t xml:space="preserve"> </w:t>
      </w:r>
      <w:r>
        <w:t xml:space="preserve">patterns and affect plant productivity, resilience and reliability. Reduced availability of water</w:t>
      </w:r>
      <w:r>
        <w:t xml:space="preserve"> </w:t>
      </w:r>
      <w:r>
        <w:t xml:space="preserve">leads to reduced electricity generation, while increased streamflow above regulating capacity</w:t>
      </w:r>
      <w:r>
        <w:t xml:space="preserve"> </w:t>
      </w:r>
      <w:r>
        <w:t xml:space="preserve">can affect the functioning of hydropower plants. In case of hydropower used for flexibility</w:t>
      </w:r>
      <w:r>
        <w:t xml:space="preserve"> </w:t>
      </w:r>
      <w:r>
        <w:t xml:space="preserve">services, such as pumped hydro-storage technology, reliability of dispatching might also be</w:t>
      </w:r>
      <w:r>
        <w:t xml:space="preserve"> </w:t>
      </w:r>
      <w:r>
        <w:t xml:space="preserve">negatively affected by the increased variability of weather patterns. In a 2℃ scenario, water</w:t>
      </w:r>
      <w:r>
        <w:t xml:space="preserve"> </w:t>
      </w:r>
      <w:r>
        <w:t xml:space="preserve">resource and hydro production increases by 2050 in Northern Europe, while Southern Europe</w:t>
      </w:r>
      <w:r>
        <w:t xml:space="preserve"> </w:t>
      </w:r>
      <w:r>
        <w:t xml:space="preserve">experiences the opposite trend (288).</w:t>
      </w:r>
      <w:r>
        <w:br/>
      </w:r>
      <w:r>
        <w:t xml:space="preserve">Wind and PV do not rely on water for cooling or producing electricity and, at EU scale, they</w:t>
      </w:r>
      <w:r>
        <w:t xml:space="preserve"> </w:t>
      </w:r>
      <w:r>
        <w:t xml:space="preserve">are little impacted by climate change. The variation of wind energy potential linked to</w:t>
      </w:r>
      <w:r>
        <w:t xml:space="preserve"> </w:t>
      </w:r>
      <w:r>
        <w:t xml:space="preserve">changes in wind availability is less than 5% overall (289), (290) while studies have shown that</w:t>
      </w:r>
      <w:r>
        <w:t xml:space="preserve"> </w:t>
      </w:r>
      <w:r>
        <w:t xml:space="preserve">the projected range of variation for solar irradiance and temperature increase will only</w:t>
      </w:r>
      <w:r>
        <w:t xml:space="preserve"> </w:t>
      </w:r>
      <w:r>
        <w:t xml:space="preserve">marginally impact the PV potential in EU (291). However, uncertainty still exists (292) on the</w:t>
      </w:r>
    </w:p>
    <w:p>
      <w:pPr>
        <w:pStyle w:val="BodyText"/>
      </w:pPr>
      <w:r>
        <w:t xml:space="preserve">Mintenbeck, A. Alegría, M. Craig, S. Langsdorf, S. Löschke, V. Möller, A. Okem, B. Rama (eds.)].</w:t>
      </w:r>
      <w:r>
        <w:t xml:space="preserve"> </w:t>
      </w:r>
      <w:r>
        <w:t xml:space="preserve">Cambridge University Press, Cambridge, UK and New York, NY, USA, pp. 1817–1927,</w:t>
      </w:r>
      <w:r>
        <w:t xml:space="preserve"> </w:t>
      </w:r>
      <w:r>
        <w:t xml:space="preserve">doi:10.1017/9781009325844.015.</w:t>
      </w:r>
      <w:r>
        <w:t xml:space="preserve"> </w:t>
      </w:r>
      <w:r>
        <w:t xml:space="preserve">(284) EEA (2019). Adaptation challenges and opportunities for the European energy system.</w:t>
      </w:r>
      <w:r>
        <w:t xml:space="preserve"> </w:t>
      </w:r>
      <w:r>
        <w:t xml:space="preserve">(285) Reuters (2018). France’s EDF halts four nuclear reactors due to heatwave’.</w:t>
      </w:r>
      <w:r>
        <w:t xml:space="preserve"> </w:t>
      </w:r>
      <w:r>
        <w:t xml:space="preserve">(286) Van Vliet, M. T. H., et al. (2016b),</w:t>
      </w:r>
      <w:r>
        <w:t xml:space="preserve"> </w:t>
      </w:r>
      <w:r>
        <w:t xml:space="preserve">‘Multi-model assessment of</w:t>
      </w:r>
      <w:r>
        <w:t xml:space="preserve"> </w:t>
      </w:r>
      <w:r>
        <w:t xml:space="preserve">global hydropower and cooling water discharge potential under climate change’</w:t>
      </w:r>
      <w:r>
        <w:t xml:space="preserve">.</w:t>
      </w:r>
      <w:r>
        <w:t xml:space="preserve"> </w:t>
      </w:r>
      <w:r>
        <w:t xml:space="preserve">(287) Van Vliet, M. T. H., et al. (2016c).</w:t>
      </w:r>
      <w:r>
        <w:t xml:space="preserve"> </w:t>
      </w:r>
      <w:r>
        <w:t xml:space="preserve">‘Power-generation system vulnerability and adaptation to changes in</w:t>
      </w:r>
      <w:r>
        <w:t xml:space="preserve"> </w:t>
      </w:r>
      <w:r>
        <w:t xml:space="preserve">climate and water resources.</w:t>
      </w:r>
      <w:r>
        <w:t xml:space="preserve"> </w:t>
      </w:r>
      <w:r>
        <w:t xml:space="preserve">(288) JRC (2018). Seasonal impacts of climate change on electricity production : JRC PESETA IV project</w:t>
      </w:r>
      <w:r>
        <w:t xml:space="preserve"> </w:t>
      </w:r>
      <w:r>
        <w:t xml:space="preserve">(289) Moemken, J. et al. (2018). Future changes of wind speed and wind energy potentials in EURO-CORDEX</w:t>
      </w:r>
      <w:r>
        <w:t xml:space="preserve"> </w:t>
      </w:r>
      <w:r>
        <w:t xml:space="preserve">ensemble simulations</w:t>
      </w:r>
      <w:r>
        <w:t xml:space="preserve"> </w:t>
      </w:r>
      <w:r>
        <w:t xml:space="preserve">(290) Scott Hosking, J., et al., (2018). Changes in European wind energy generation potential within a 1.5 °C</w:t>
      </w:r>
      <w:r>
        <w:t xml:space="preserve"> </w:t>
      </w:r>
      <w:r>
        <w:t xml:space="preserve">warmer world’</w:t>
      </w:r>
      <w:r>
        <w:t xml:space="preserve"> </w:t>
      </w:r>
      <w:r>
        <w:t xml:space="preserve">(291) Jerez. S., et al. (2015). The impact of climate change on photovoltaic power generation in Europe</w:t>
      </w:r>
      <w:r>
        <w:t xml:space="preserve"> </w:t>
      </w:r>
      <w:r>
        <w:t xml:space="preserve">(292) Yang et al. (2021). Climate Change and Renewable Energy Generation in Europe—Long-Term Impact</w:t>
      </w:r>
      <w:r>
        <w:t xml:space="preserve"> </w:t>
      </w:r>
      <w:r>
        <w:t xml:space="preserve">Assessment on Solar and Wind Energy Using High-Resolution Future Climate Data and Considering</w:t>
      </w:r>
      <w:r>
        <w:t xml:space="preserve"> </w:t>
      </w:r>
      <w:r>
        <w:t xml:space="preserve">Climate Uncertainties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spatial and temporal distribution of variations of wind availability and solar irradiance, which</w:t>
      </w:r>
      <w:r>
        <w:t xml:space="preserve"> </w:t>
      </w:r>
      <w:r>
        <w:t xml:space="preserve">can generate higher variation of PV and wind potential at the local level.</w:t>
      </w:r>
      <w:r>
        <w:br/>
      </w:r>
      <w:r>
        <w:t xml:space="preserve">The spatial availability of biomass supply for bioenergy is also impacted by climate change:</w:t>
      </w:r>
      <w:r>
        <w:t xml:space="preserve"> </w:t>
      </w:r>
      <w:r>
        <w:t xml:space="preserve">climate change allows warm‑adapted tree species and warm‑season crops to expand</w:t>
      </w:r>
      <w:r>
        <w:t xml:space="preserve"> </w:t>
      </w:r>
      <w:r>
        <w:t xml:space="preserve">northwards in Europe, whereas southern Europe is projected to experience a decline in its</w:t>
      </w:r>
      <w:r>
        <w:t xml:space="preserve"> </w:t>
      </w:r>
      <w:r>
        <w:t xml:space="preserve">suitability for forest growth as a result of increasing heat and water stress and scaricity (293).</w:t>
      </w:r>
      <w:r>
        <w:br/>
      </w:r>
      <w:r>
        <w:t xml:space="preserve">The electricity grid, which will increase in size and importance as increasing renewables leads</w:t>
      </w:r>
      <w:r>
        <w:t xml:space="preserve"> </w:t>
      </w:r>
      <w:r>
        <w:t xml:space="preserve">to wider distribution of electricity supply, will be significantly impacted by extreme weather</w:t>
      </w:r>
      <w:r>
        <w:t xml:space="preserve"> </w:t>
      </w:r>
      <w:r>
        <w:t xml:space="preserve">events: heavy snowfall and icing can create ice sleeves around power line conductors,</w:t>
      </w:r>
      <w:r>
        <w:t xml:space="preserve"> </w:t>
      </w:r>
      <w:r>
        <w:t xml:space="preserve">windstorms, wildfires can cause trees to fall on overhead lines, heatwaves can create electric</w:t>
      </w:r>
      <w:r>
        <w:t xml:space="preserve"> </w:t>
      </w:r>
      <w:r>
        <w:t xml:space="preserve">faults in electricity cables (294). Due to climate change alone, and in the absence of adaptation,</w:t>
      </w:r>
      <w:r>
        <w:t xml:space="preserve"> </w:t>
      </w:r>
      <w:r>
        <w:t xml:space="preserve">analysis shows that damages could triple by the 2020s, multiply six-fold by mid-century, and</w:t>
      </w:r>
      <w:r>
        <w:t xml:space="preserve"> </w:t>
      </w:r>
      <w:r>
        <w:t xml:space="preserve">amount to more than 10 times by the end of the century (295), considerably increasing the cost</w:t>
      </w:r>
      <w:r>
        <w:t xml:space="preserve"> </w:t>
      </w:r>
      <w:r>
        <w:t xml:space="preserve">of the energy system.</w:t>
      </w:r>
      <w:r>
        <w:br/>
      </w:r>
      <w:r>
        <w:t xml:space="preserve">Climate change will also modify the final energy demand in the building sector. An increase</w:t>
      </w:r>
      <w:r>
        <w:t xml:space="preserve"> </w:t>
      </w:r>
      <w:r>
        <w:t xml:space="preserve">in temperature reduces the demand for heating, while increasing the demand for cooling (296).</w:t>
      </w:r>
      <w:r>
        <w:t xml:space="preserve"> </w:t>
      </w:r>
      <w:r>
        <w:t xml:space="preserve">Given that in the EU, heating demand is larger than cooling demand, the overall energy</w:t>
      </w:r>
      <w:r>
        <w:t xml:space="preserve"> </w:t>
      </w:r>
      <w:r>
        <w:t xml:space="preserve">demand will decrease, with this change being minor (5%) in the short term and becoming</w:t>
      </w:r>
      <w:r>
        <w:t xml:space="preserve"> </w:t>
      </w:r>
      <w:r>
        <w:t xml:space="preserve">more prominent only in the second half of the century (297). In cold countries, a decrease of</w:t>
      </w:r>
      <w:r>
        <w:t xml:space="preserve"> </w:t>
      </w:r>
      <w:r>
        <w:t xml:space="preserve">total energy demand occurs, while warm countries will experience an increase of overall</w:t>
      </w:r>
      <w:r>
        <w:t xml:space="preserve"> </w:t>
      </w:r>
      <w:r>
        <w:t xml:space="preserve">energy demand and an increase in peak electricity demand due to cooling (298).</w:t>
      </w:r>
      <w:r>
        <w:br/>
      </w:r>
      <w:r>
        <w:t xml:space="preserve">The overall impact of climate change on the energy system will not simply be the sum of the</w:t>
      </w:r>
      <w:r>
        <w:t xml:space="preserve"> </w:t>
      </w:r>
      <w:r>
        <w:t xml:space="preserve">impacts applied to each energy technology separately. It will result from the interactions</w:t>
      </w:r>
      <w:r>
        <w:t xml:space="preserve"> </w:t>
      </w:r>
      <w:r>
        <w:t xml:space="preserve">between the extreme events and long-term trends applied to a dynamic system.</w:t>
      </w:r>
      <w:r>
        <w:br/>
      </w:r>
      <w:r>
        <w:t xml:space="preserve">Accounting for the impact of climate change in the design of power plants and energy</w:t>
      </w:r>
      <w:r>
        <w:t xml:space="preserve"> </w:t>
      </w:r>
      <w:r>
        <w:t xml:space="preserve">infrastructure is an appropriate adaptation measure to limit potential future damage, minimise</w:t>
      </w:r>
      <w:r>
        <w:t xml:space="preserve"> </w:t>
      </w:r>
      <w:r>
        <w:t xml:space="preserve">costs, and ensure the security of power supply. Projections that include adaptation options,</w:t>
      </w:r>
      <w:r>
        <w:t xml:space="preserve"> </w:t>
      </w:r>
      <w:r>
        <w:t xml:space="preserve">such as faster development of wind and PV, extension of transmission lines and flexibilities,</w:t>
      </w:r>
      <w:r>
        <w:t xml:space="preserve"> </w:t>
      </w:r>
      <w:r>
        <w:t xml:space="preserve">and innovation in cooling technology have shown to increase the share of EU power</w:t>
      </w:r>
      <w:r>
        <w:t xml:space="preserve"> </w:t>
      </w:r>
      <w:r>
        <w:t xml:space="preserve">capacities that are unaffected by climate change, and decrease the cost of electricity for</w:t>
      </w:r>
      <w:r>
        <w:t xml:space="preserve"> </w:t>
      </w:r>
      <w:r>
        <w:t xml:space="preserve">customers (299).</w:t>
      </w:r>
    </w:p>
    <w:p>
      <w:pPr>
        <w:pStyle w:val="Compact"/>
        <w:numPr>
          <w:ilvl w:val="0"/>
          <w:numId w:val="1074"/>
        </w:numPr>
      </w:pPr>
      <w:r>
        <w:t xml:space="preserve">EEA (2017). Climate change adaptation and disaster risk reduction in Europe: enhancing coherence of the</w:t>
      </w:r>
      <w:r>
        <w:t xml:space="preserve"> </w:t>
      </w:r>
      <w:r>
        <w:t xml:space="preserve">knowledge base, policies and practices</w:t>
      </w:r>
    </w:p>
    <w:p>
      <w:pPr>
        <w:pStyle w:val="Compact"/>
        <w:numPr>
          <w:ilvl w:val="0"/>
          <w:numId w:val="1074"/>
        </w:numPr>
      </w:pPr>
      <w:r>
        <w:t xml:space="preserve">Khatoon, N. (2023). Heatwave Triggers Unprecedented Power Cuts in Malta: A Deep Dive. Accessed on</w:t>
      </w:r>
      <w:r>
        <w:t xml:space="preserve"> </w:t>
      </w:r>
      <w:r>
        <w:t xml:space="preserve">26-7-2023</w:t>
      </w:r>
    </w:p>
    <w:p>
      <w:pPr>
        <w:pStyle w:val="Compact"/>
        <w:numPr>
          <w:ilvl w:val="0"/>
          <w:numId w:val="1074"/>
        </w:numPr>
      </w:pPr>
      <w:r>
        <w:t xml:space="preserve">Forzieri et al (2018), Escalating impacts of climate extremes on critical infrastructures in Europe, Global</w:t>
      </w:r>
      <w:r>
        <w:t xml:space="preserve"> </w:t>
      </w:r>
      <w:r>
        <w:t xml:space="preserve">Environmental Change 48, 97–107</w:t>
      </w:r>
      <w:r>
        <w:br/>
      </w:r>
    </w:p>
    <w:p>
      <w:pPr>
        <w:pStyle w:val="Compact"/>
        <w:numPr>
          <w:ilvl w:val="0"/>
          <w:numId w:val="1074"/>
        </w:numPr>
      </w:pPr>
      <w:r>
        <w:t xml:space="preserve">EEA (2019). Heating and cooling degree days (CLIM 047).</w:t>
      </w:r>
    </w:p>
    <w:p>
      <w:pPr>
        <w:pStyle w:val="Compact"/>
        <w:numPr>
          <w:ilvl w:val="0"/>
          <w:numId w:val="1074"/>
        </w:numPr>
      </w:pPr>
      <w:r>
        <w:t xml:space="preserve">JRC (2019). Assessment of the impact of climate change on residential energy demand for heating and</w:t>
      </w:r>
      <w:r>
        <w:t xml:space="preserve"> </w:t>
      </w:r>
      <w:r>
        <w:t xml:space="preserve">cooling</w:t>
      </w:r>
    </w:p>
    <w:p>
      <w:pPr>
        <w:pStyle w:val="Compact"/>
        <w:numPr>
          <w:ilvl w:val="0"/>
          <w:numId w:val="1074"/>
        </w:numPr>
      </w:pPr>
      <w:r>
        <w:t xml:space="preserve">Damm, A., et al. (2017) “Impacts of +2 °C global warming on electricity demand in Europe”.</w:t>
      </w:r>
    </w:p>
    <w:p>
      <w:pPr>
        <w:pStyle w:val="Compact"/>
        <w:numPr>
          <w:ilvl w:val="0"/>
          <w:numId w:val="1074"/>
        </w:numPr>
      </w:pPr>
      <w:r>
        <w:t xml:space="preserve">JRC (2018). Seasonal impacts of climate change on electricity production: JRC PESETA IV project.</w:t>
      </w:r>
    </w:p>
    <w:p>
      <w:pPr>
        <w:pStyle w:val="FirstParagraph"/>
      </w:pPr>
      <w:r>
        <w:t xml:space="preserve">81</w:t>
      </w:r>
    </w:p>
    <w:p>
      <w:pPr>
        <w:pStyle w:val="BodyText"/>
      </w:pPr>
      <w:r>
        <w:t xml:space="preserve">An integrated approach involving the private sector and EU and national policymakers will be</w:t>
      </w:r>
      <w:r>
        <w:t xml:space="preserve"> </w:t>
      </w:r>
      <w:r>
        <w:t xml:space="preserve">crucial to strengthen the energy market and policy framework to limit the impact of climate</w:t>
      </w:r>
      <w:r>
        <w:t xml:space="preserve"> </w:t>
      </w:r>
      <w:r>
        <w:t xml:space="preserve">change on the power system and ensure the development of a decarbonised, secure, climate-</w:t>
      </w:r>
      <w:r>
        <w:t xml:space="preserve"> </w:t>
      </w:r>
      <w:r>
        <w:t xml:space="preserve">resilient and cost-efficient EU energy system.</w:t>
      </w:r>
      <w:r>
        <w:br/>
      </w:r>
      <w:r>
        <w:t xml:space="preserve">2.3.4.2 Transport</w:t>
      </w:r>
      <w:r>
        <w:br/>
      </w:r>
      <w:r>
        <w:t xml:space="preserve">Climate change affect the transport sector through multiple impacts, including heatwaves, sea</w:t>
      </w:r>
      <w:r>
        <w:t xml:space="preserve"> </w:t>
      </w:r>
      <w:r>
        <w:t xml:space="preserve">level rise, floodings, wildfires, changes in precipitation, and other extreme weather events, all</w:t>
      </w:r>
      <w:r>
        <w:t xml:space="preserve"> </w:t>
      </w:r>
      <w:r>
        <w:t xml:space="preserve">of which impact transport infrastructures, operations and travel behaviour (Figure 17).</w:t>
      </w:r>
      <w:r>
        <w:t xml:space="preserve"> </w:t>
      </w:r>
      <w:r>
        <w:t xml:space="preserve">Climate change is also projected to impact passenger and freight transport due to shifts in</w:t>
      </w:r>
      <w:r>
        <w:t xml:space="preserve"> </w:t>
      </w:r>
      <w:r>
        <w:t xml:space="preserve">tourism and agricultural production (300)(301).</w:t>
      </w:r>
      <w:r>
        <w:br/>
      </w:r>
      <w:r>
        <w:t xml:space="preserve">In Europe, the transport sector has already been affected by heatwaves, which caused road</w:t>
      </w:r>
      <w:r>
        <w:t xml:space="preserve"> </w:t>
      </w:r>
      <w:r>
        <w:t xml:space="preserve">melting and railway asset failures, and by extreme precipitation, floods and landslides which</w:t>
      </w:r>
      <w:r>
        <w:t xml:space="preserve"> </w:t>
      </w:r>
      <w:r>
        <w:t xml:space="preserve">damaged roads, railways and other infrastructure. With increasing warming, the risks are</w:t>
      </w:r>
      <w:r>
        <w:t xml:space="preserve"> </w:t>
      </w:r>
      <w:r>
        <w:t xml:space="preserve">projected to increase. In Northern Europe the higher number of freezing and thawing cycles of</w:t>
      </w:r>
      <w:r>
        <w:t xml:space="preserve"> </w:t>
      </w:r>
      <w:r>
        <w:t xml:space="preserve">construction materials increases risks to transport infrastructure (302).</w:t>
      </w:r>
      <w:r>
        <w:br/>
      </w:r>
      <w:r>
        <w:t xml:space="preserve">Railway transport can be affected by climate change in a variety of ways, which cause</w:t>
      </w:r>
      <w:r>
        <w:t xml:space="preserve"> </w:t>
      </w:r>
      <w:r>
        <w:t xml:space="preserve">disruption of railway operations and damage to infrastructure. Negative impacts of climate-</w:t>
      </w:r>
      <w:r>
        <w:t xml:space="preserve"> </w:t>
      </w:r>
      <w:r>
        <w:t xml:space="preserve">related events on railways include railway rail buckling, rail flooding, expansion of swing</w:t>
      </w:r>
      <w:r>
        <w:t xml:space="preserve"> </w:t>
      </w:r>
      <w:r>
        <w:t xml:space="preserve">bridges, damage to electrical equipment due to overheating, bridge scour, pavement</w:t>
      </w:r>
      <w:r>
        <w:t xml:space="preserve"> </w:t>
      </w:r>
      <w:r>
        <w:t xml:space="preserve">deterioration, damage related to coastal erosion and damage of sea walls (303).</w:t>
      </w:r>
      <w:r>
        <w:t xml:space="preserve"> </w:t>
      </w:r>
      <w:r>
        <w:t xml:space="preserve">Port operations in parts of Northern, Western and Central Europe might be disrupted by sea</w:t>
      </w:r>
      <w:r>
        <w:t xml:space="preserve"> </w:t>
      </w:r>
      <w:r>
        <w:t xml:space="preserve">level rise, while ports in the Mediterranean could be affected by changes in wave agitation,</w:t>
      </w:r>
      <w:r>
        <w:t xml:space="preserve"> </w:t>
      </w:r>
      <w:r>
        <w:t xml:space="preserve">particularly beyond 2℃ global warming level (304).</w:t>
      </w:r>
    </w:p>
    <w:p>
      <w:pPr>
        <w:pStyle w:val="Compact"/>
        <w:numPr>
          <w:ilvl w:val="0"/>
          <w:numId w:val="1075"/>
        </w:numPr>
      </w:pPr>
      <w:r>
        <w:t xml:space="preserve">Gossling S., Neger C., Steiger R., and Bell R. (2023). Weather, climate change, and transport: a review.</w:t>
      </w:r>
      <w:r>
        <w:t xml:space="preserve"> </w:t>
      </w:r>
      <w:r>
        <w:t xml:space="preserve">Natural Hazards. DOI: 10.1007/s11069-023-06054-2</w:t>
      </w:r>
    </w:p>
    <w:p>
      <w:pPr>
        <w:pStyle w:val="Compact"/>
        <w:numPr>
          <w:ilvl w:val="0"/>
          <w:numId w:val="1075"/>
        </w:numPr>
      </w:pPr>
      <w:r>
        <w:t xml:space="preserve">Koetse and Rietvels (2009). The impact of climate change and weather on transport: An overview of</w:t>
      </w:r>
      <w:r>
        <w:t xml:space="preserve"> </w:t>
      </w:r>
      <w:r>
        <w:t xml:space="preserve">empirical findings. Transport Research Part D: Transport and Environment. 14(3): 205-221.</w:t>
      </w:r>
    </w:p>
    <w:p>
      <w:pPr>
        <w:pStyle w:val="Compact"/>
        <w:numPr>
          <w:ilvl w:val="0"/>
          <w:numId w:val="1075"/>
        </w:numPr>
      </w:pPr>
      <w:r>
        <w:t xml:space="preserve">Bednar-Friedl, B., R. Biesbroek, D.N. Schmidt, P. Alexander, K.Y. Børsheim, J. Carnicer, E. Georgopoulou,</w:t>
      </w:r>
      <w:r>
        <w:t xml:space="preserve"> </w:t>
      </w:r>
      <w:r>
        <w:t xml:space="preserve">M. Haasnoot, G. Le Cozannet, P. Lionello, O. Lipka, C. Möllmann, V. Muccione, T. Mustonen, D.</w:t>
      </w:r>
      <w:r>
        <w:t xml:space="preserve"> </w:t>
      </w:r>
      <w:r>
        <w:t xml:space="preserve">Piepenburg, and L.Whitmarsh, 2022: Europe. In: Climate Change 2022: Impacts, Adaptation and</w:t>
      </w:r>
      <w:r>
        <w:t xml:space="preserve"> </w:t>
      </w:r>
      <w:r>
        <w:t xml:space="preserve">Vulnerability. Contribution of Working Group II to the Sixth Assessment Report of the Intergovernmental</w:t>
      </w:r>
      <w:r>
        <w:t xml:space="preserve"> </w:t>
      </w:r>
      <w:r>
        <w:t xml:space="preserve">Panel on Climate Change [H.-O. Pörtner, D.C. Roberts, M. Tignor, E.S. Poloczanska, K. Mintenbeck, A.</w:t>
      </w:r>
      <w:r>
        <w:t xml:space="preserve"> </w:t>
      </w:r>
      <w:r>
        <w:t xml:space="preserve">Alegría, M. Craig, S. Langsdorf, S. Löschke, V. Möller, A. Okem, B. Rama (eds.)]. Cambridge University</w:t>
      </w:r>
      <w:r>
        <w:t xml:space="preserve"> </w:t>
      </w:r>
      <w:r>
        <w:t xml:space="preserve">Press, Cambridge, UK and New York, NY, USA, pp. 1817–1927, doi:10.1017/9781009325844.015.</w:t>
      </w:r>
    </w:p>
    <w:p>
      <w:pPr>
        <w:pStyle w:val="Compact"/>
        <w:numPr>
          <w:ilvl w:val="0"/>
          <w:numId w:val="1075"/>
        </w:numPr>
      </w:pPr>
      <w:r>
        <w:t xml:space="preserve">Kostianaia E.A. and Kostianoy A. 2023. Railway Transport Adaptation Strategies to Climate Change at</w:t>
      </w:r>
      <w:r>
        <w:t xml:space="preserve"> </w:t>
      </w:r>
      <w:r>
        <w:t xml:space="preserve">High Latitudes: A Review of Experience from Canada, Sweden and China. Transport and</w:t>
      </w:r>
      <w:r>
        <w:t xml:space="preserve"> </w:t>
      </w:r>
      <w:r>
        <w:t xml:space="preserve">Telecommunication. 24(2):180-194.</w:t>
      </w:r>
    </w:p>
    <w:p>
      <w:pPr>
        <w:pStyle w:val="Compact"/>
        <w:numPr>
          <w:ilvl w:val="0"/>
          <w:numId w:val="1075"/>
        </w:numPr>
      </w:pPr>
      <w:r>
        <w:t xml:space="preserve">Bednar-Friedl, B., R. Biesbroek, D.N. Schmidt, P. Alexander, K.Y. Børsheim, J. Carnicer, E.</w:t>
      </w:r>
      <w:r>
        <w:t xml:space="preserve"> </w:t>
      </w:r>
      <w:r>
        <w:t xml:space="preserve">Georgopoulou, M. Haasnoot, G. Le Cozannet, P. Lionello, O. Lipka, C. Möllmann, V. Muccione, T.</w:t>
      </w:r>
      <w:r>
        <w:t xml:space="preserve"> </w:t>
      </w:r>
      <w:r>
        <w:t xml:space="preserve">Mustonen, D. Piepenburg, and L.Whitmarsh, 2022: Europe. In: Climate Change 2022: Impacts, Adaptation</w:t>
      </w:r>
      <w:r>
        <w:t xml:space="preserve"> </w:t>
      </w:r>
      <w:r>
        <w:t xml:space="preserve">and Vulnerability. Contribution of Working Group II to the Sixth Assessment Report of the</w:t>
      </w:r>
      <w:r>
        <w:t xml:space="preserve"> </w:t>
      </w:r>
      <w:r>
        <w:t xml:space="preserve">Intergovernmental Panel on Climate Change [H.-O. Pörtner, D.C. Roberts, M. Tignor, E.S. Poloczanska, K.</w:t>
      </w:r>
      <w:r>
        <w:t xml:space="preserve"> </w:t>
      </w:r>
      <w:r>
        <w:t xml:space="preserve">Mintenbeck, A. Alegría, M. Craig, S. Langsdorf, S. Löschke, V. Möller, A. Okem, B. Rama (eds.)].</w:t>
      </w:r>
      <w:r>
        <w:t xml:space="preserve"> </w:t>
      </w:r>
      <w:r>
        <w:t xml:space="preserve">Cambridge University Press, Cambridge, UK and New York, NY, USA, pp. 1817–1927,</w:t>
      </w:r>
      <w:r>
        <w:t xml:space="preserve"> </w:t>
      </w:r>
      <w:r>
        <w:t xml:space="preserve">doi:10.1017/9781009325844.015.</w:t>
      </w:r>
    </w:p>
    <w:p>
      <w:pPr>
        <w:pStyle w:val="FirstParagraph"/>
      </w:pPr>
      <w:r>
        <w:t xml:space="preserve">82</w:t>
      </w:r>
    </w:p>
    <w:p>
      <w:pPr>
        <w:pStyle w:val="BodyText"/>
      </w:pPr>
      <w:r>
        <w:t xml:space="preserve">Climate change impacts inland waterways, which are vulnerable to extreme events including</w:t>
      </w:r>
      <w:r>
        <w:t xml:space="preserve"> </w:t>
      </w:r>
      <w:r>
        <w:t xml:space="preserve">drought and flooding (305). Low-water-level days present the most significant disruption in</w:t>
      </w:r>
      <w:r>
        <w:t xml:space="preserve"> </w:t>
      </w:r>
      <w:r>
        <w:t xml:space="preserve">inland navigation in Europe and cause significant economic impacts (306).</w:t>
      </w:r>
      <w:r>
        <w:br/>
      </w:r>
      <w:r>
        <w:t xml:space="preserve">Road traffic can be affected by high temperatures causing degradation of road surfaces,</w:t>
      </w:r>
      <w:r>
        <w:t xml:space="preserve"> </w:t>
      </w:r>
      <w:r>
        <w:t xml:space="preserve">flooding of infrastructure, closure of roads due to wildfire and wildfire smoke, and other</w:t>
      </w:r>
      <w:r>
        <w:t xml:space="preserve"> </w:t>
      </w:r>
      <w:r>
        <w:t xml:space="preserve">extremes (307).</w:t>
      </w:r>
      <w:r>
        <w:br/>
      </w:r>
      <w:r>
        <w:t xml:space="preserve">Air travel could be affected by climate change through multiple pathways, including poor</w:t>
      </w:r>
      <w:r>
        <w:t xml:space="preserve"> </w:t>
      </w:r>
      <w:r>
        <w:t xml:space="preserve">visibility, strong winds, and heavy precipitation. Airports are also impacted by inundation</w:t>
      </w:r>
      <w:r>
        <w:t xml:space="preserve"> </w:t>
      </w:r>
      <w:r>
        <w:t xml:space="preserve">from sea level rise and storm surges. Raising temperatures could reduce lift generation in</w:t>
      </w:r>
      <w:r>
        <w:t xml:space="preserve"> </w:t>
      </w:r>
      <w:r>
        <w:t xml:space="preserve">planes and affect air travel in Europe, (308) and reduce maximum take-off total weight,</w:t>
      </w:r>
      <w:r>
        <w:t xml:space="preserve"> </w:t>
      </w:r>
      <w:r>
        <w:t xml:space="preserve">payload and climb rate. The projected changes in the North Atlantic jet stream could increase</w:t>
      </w:r>
      <w:r>
        <w:t xml:space="preserve"> </w:t>
      </w:r>
      <w:r>
        <w:t xml:space="preserve">clear-air turbulence in the transatlantic flight corridor, and impact flight times and fuel</w:t>
      </w:r>
      <w:r>
        <w:t xml:space="preserve"> </w:t>
      </w:r>
      <w:r>
        <w:t xml:space="preserve">consumption. Changing weather patterns might result in the need to increase maintenance</w:t>
      </w:r>
      <w:r>
        <w:t xml:space="preserve"> </w:t>
      </w:r>
      <w:r>
        <w:t xml:space="preserve">intervals and improve inspection methods to detect risks (309).</w:t>
      </w:r>
    </w:p>
    <w:p>
      <w:pPr>
        <w:pStyle w:val="Compact"/>
        <w:numPr>
          <w:ilvl w:val="0"/>
          <w:numId w:val="1076"/>
        </w:numPr>
      </w:pPr>
      <w:r>
        <w:t xml:space="preserve">Koetse and Rietvels. 2009. The impact of climate change and weather on transport: An overview of</w:t>
      </w:r>
      <w:r>
        <w:t xml:space="preserve"> </w:t>
      </w:r>
      <w:r>
        <w:t xml:space="preserve">empirical findings. Transport Research Part D: Transport and Environment. 14(3): 205-221.</w:t>
      </w:r>
    </w:p>
    <w:p>
      <w:pPr>
        <w:pStyle w:val="Compact"/>
        <w:numPr>
          <w:ilvl w:val="0"/>
          <w:numId w:val="1076"/>
        </w:numPr>
      </w:pPr>
      <w:r>
        <w:t xml:space="preserve">A. Christodoulou, P. Christidis, B. Bisselink. Forecasting the impacts of climate change on inland</w:t>
      </w:r>
      <w:r>
        <w:t xml:space="preserve"> </w:t>
      </w:r>
      <w:r>
        <w:t xml:space="preserve">waterways. Transportation Research Part D: Transport and Environment; Volume 82, May 2020.</w:t>
      </w:r>
    </w:p>
    <w:p>
      <w:pPr>
        <w:pStyle w:val="Compact"/>
        <w:numPr>
          <w:ilvl w:val="0"/>
          <w:numId w:val="1076"/>
        </w:numPr>
      </w:pPr>
      <w:r>
        <w:t xml:space="preserve">Gossling S., Neger C., Steiger R., and Bell R. 2023. Weather, climate change, and transport: a review.</w:t>
      </w:r>
      <w:r>
        <w:t xml:space="preserve"> </w:t>
      </w:r>
      <w:r>
        <w:t xml:space="preserve">Natural Hazards. DOI: 10.1007/s11069-023-06054-2</w:t>
      </w:r>
    </w:p>
    <w:p>
      <w:pPr>
        <w:pStyle w:val="Compact"/>
        <w:numPr>
          <w:ilvl w:val="0"/>
          <w:numId w:val="1076"/>
        </w:numPr>
      </w:pPr>
      <w:r>
        <w:t xml:space="preserve">Bednar-Friedl, B., R. Biesbroek, D.N. Schmidt, P. Alexander, K.Y. Børsheim, J. Carnicer, E. Georgopoulou,</w:t>
      </w:r>
      <w:r>
        <w:t xml:space="preserve"> </w:t>
      </w:r>
      <w:r>
        <w:t xml:space="preserve">M. Haasnoot, G. Le Cozannet, P. Lionello, O. Lipka, C. Möllmann, V. Muccione, T. Mustonen, D.</w:t>
      </w:r>
      <w:r>
        <w:t xml:space="preserve"> </w:t>
      </w:r>
      <w:r>
        <w:t xml:space="preserve">Piepenburg, and L.Whitmarsh, 2022: Europe. In: Climate Change 2022: Impacts, Adaptation and</w:t>
      </w:r>
      <w:r>
        <w:t xml:space="preserve"> </w:t>
      </w:r>
      <w:r>
        <w:t xml:space="preserve">Vulnerability. Contribution of Working Group II to the Sixth Assessment Report of the Intergovernmental</w:t>
      </w:r>
      <w:r>
        <w:t xml:space="preserve"> </w:t>
      </w:r>
      <w:r>
        <w:t xml:space="preserve">Panel on Climate Change [H.-O. Pörtner, D.C. Roberts, M. Tignor, E.S. Poloczanska, K. Mintenbeck, A.</w:t>
      </w:r>
      <w:r>
        <w:t xml:space="preserve"> </w:t>
      </w:r>
      <w:r>
        <w:t xml:space="preserve">Alegría, M. Craig, S. Langsdorf, S. Löschke, V. Möller, A. Okem, B. Rama (eds.)]. Cambridge University</w:t>
      </w:r>
      <w:r>
        <w:t xml:space="preserve"> </w:t>
      </w:r>
      <w:r>
        <w:t xml:space="preserve">Press, Cambridge, UK and New York, NY, USA, pp. 1817–1927, doi:10.1017/9781009325844.015</w:t>
      </w:r>
    </w:p>
    <w:p>
      <w:pPr>
        <w:pStyle w:val="Compact"/>
        <w:numPr>
          <w:ilvl w:val="0"/>
          <w:numId w:val="1076"/>
        </w:numPr>
      </w:pPr>
      <w:r>
        <w:t xml:space="preserve">Gossling S., Neger C., Steiger R., and Bell R. 2023. Weather, climate change, and transport: a review.</w:t>
      </w:r>
      <w:r>
        <w:t xml:space="preserve"> </w:t>
      </w:r>
      <w:r>
        <w:t xml:space="preserve">Natural Hazards. DOI: 10.1007/s11069-023-06054-2</w:t>
      </w:r>
    </w:p>
    <w:p>
      <w:pPr>
        <w:pStyle w:val="FirstParagraph"/>
      </w:pPr>
      <w:r>
        <w:t xml:space="preserve">83</w:t>
      </w:r>
    </w:p>
    <w:p>
      <w:pPr>
        <w:pStyle w:val="BodyText"/>
      </w:pPr>
      <w:r>
        <w:t xml:space="preserve">Figure 17: Examples of climate change impacts on transport</w:t>
      </w:r>
    </w:p>
    <w:p>
      <w:pPr>
        <w:pStyle w:val="BodyText"/>
      </w:pPr>
      <w:r>
        <w:t xml:space="preserve">Source: UNECE-WMO (310)</w:t>
      </w:r>
      <w:r>
        <w:t xml:space="preserve"> </w:t>
      </w:r>
      <w:r>
        <w:t xml:space="preserve">2.3.4.3 Tourism</w:t>
      </w:r>
      <w:r>
        <w:br/>
      </w:r>
      <w:r>
        <w:t xml:space="preserve">The tourism industry in Europe is a significant contributor to GDP and it is already affected</w:t>
      </w:r>
      <w:r>
        <w:t xml:space="preserve"> </w:t>
      </w:r>
      <w:r>
        <w:t xml:space="preserve">by the impacts of climate change, particularly by changes in snow-cover duration and depth,</w:t>
      </w:r>
      <w:r>
        <w:t xml:space="preserve"> </w:t>
      </w:r>
      <w:r>
        <w:t xml:space="preserve">and hotter summers. It is estimated that Southern Europe is already experiencing economic</w:t>
      </w:r>
      <w:r>
        <w:t xml:space="preserve"> </w:t>
      </w:r>
      <w:r>
        <w:t xml:space="preserve">losses, while the rest of Europe is experiencing smaller gains from the impact of climate</w:t>
      </w:r>
      <w:r>
        <w:t xml:space="preserve"> </w:t>
      </w:r>
      <w:r>
        <w:t xml:space="preserve">change on tourism.</w:t>
      </w:r>
      <w:r>
        <w:br/>
      </w:r>
      <w:r>
        <w:t xml:space="preserve">Increasing global warming will affect mountain resorts due to increasing need for</w:t>
      </w:r>
      <w:r>
        <w:t xml:space="preserve"> </w:t>
      </w:r>
      <w:r>
        <w:t xml:space="preserve">snowmaking and decreasing stability of ropeway transport due to permafrost degradation in</w:t>
      </w:r>
      <w:r>
        <w:t xml:space="preserve"> </w:t>
      </w:r>
      <w:r>
        <w:t xml:space="preserve">high altitude areas. Summer tourism could be positively affected by higher temperatures in</w:t>
      </w:r>
      <w:r>
        <w:t xml:space="preserve"> </w:t>
      </w:r>
      <w:r>
        <w:t xml:space="preserve">Northern Europe, with the opposite trend in southern Europe. Coastal erosion and inundation</w:t>
      </w:r>
      <w:r>
        <w:t xml:space="preserve"> </w:t>
      </w:r>
      <w:r>
        <w:t xml:space="preserve">risk due to sea-level rise could decrease the amenity of European beaches (311). A JRC</w:t>
      </w:r>
      <w:r>
        <w:t xml:space="preserve"> </w:t>
      </w:r>
      <w:r>
        <w:t xml:space="preserve">study (312) also finds a clear north-south pattern in future tourism demand changes, with</w:t>
      </w:r>
      <w:r>
        <w:t xml:space="preserve"> </w:t>
      </w:r>
      <w:r>
        <w:t xml:space="preserve">northern regions experiencing gains and southern regions experiencing significant reductions.</w:t>
      </w:r>
      <w:r>
        <w:t xml:space="preserve"> </w:t>
      </w:r>
      <w:r>
        <w:t xml:space="preserve">This trend is projected to increase with increasing global warming.</w:t>
      </w:r>
    </w:p>
    <w:p>
      <w:pPr>
        <w:pStyle w:val="Compact"/>
        <w:numPr>
          <w:ilvl w:val="0"/>
          <w:numId w:val="1077"/>
        </w:numPr>
      </w:pPr>
      <w:r>
        <w:t xml:space="preserve">UNECE-WMO. Climate Change Impacts and Adaptation for Transport Networks and Nodes.</w:t>
      </w:r>
      <w:r>
        <w:t xml:space="preserve"> </w:t>
      </w:r>
      <w:r>
        <w:t xml:space="preserve">https://unfccc.int/sites/default/files/resource/2.12UNECE-WMO_CCImpact_Transport.pdf (accessed in</w:t>
      </w:r>
      <w:r>
        <w:t xml:space="preserve"> </w:t>
      </w:r>
      <w:r>
        <w:t xml:space="preserve">July 2023)</w:t>
      </w:r>
      <w:r>
        <w:t xml:space="preserve"> </w:t>
      </w:r>
      <w:r>
        <w:t xml:space="preserve">(311)Bednar-Friedl, B., R. Biesbroek, D.N. Schmidt, P. Alexander, K.Y. Børsheim, J. Carnicer, E. Georgopoulou,</w:t>
      </w:r>
      <w:r>
        <w:t xml:space="preserve"> </w:t>
      </w:r>
      <w:r>
        <w:t xml:space="preserve">M. Haasnoot, G. Le Cozannet, P. Lionello, O. Lipka, C. Möllmann, V. Muccione, T. Mustonen, D.</w:t>
      </w:r>
      <w:r>
        <w:t xml:space="preserve"> </w:t>
      </w:r>
      <w:r>
        <w:t xml:space="preserve">Piepenburg, and L.Whitmarsh, 2022: Europe. In: Climate Change 2022: Impacts, Adaptation and</w:t>
      </w:r>
      <w:r>
        <w:t xml:space="preserve"> </w:t>
      </w:r>
      <w:r>
        <w:t xml:space="preserve">Vulnerability. Contribution of Working Group II to the Sixth Assessment Report of the Intergovernmental</w:t>
      </w:r>
      <w:r>
        <w:t xml:space="preserve"> </w:t>
      </w:r>
      <w:r>
        <w:t xml:space="preserve">Panel on Climate Change [H.-O. Pörtner, D.C. Roberts, M. Tignor, E.S. Poloczanska, K. Mintenbeck, A.</w:t>
      </w:r>
      <w:r>
        <w:t xml:space="preserve"> </w:t>
      </w:r>
      <w:r>
        <w:t xml:space="preserve">Alegría, M. Craig, S. Langsdorf, S. Löschke, V. Möller, A. Okem, B. Rama (eds.)]. Cambridge University</w:t>
      </w:r>
      <w:r>
        <w:t xml:space="preserve"> </w:t>
      </w:r>
      <w:r>
        <w:t xml:space="preserve">Press, Cambridge, UK and New York, NY, USA, pp. 1817–1927, doi:10.1017/9781009325844.015</w:t>
      </w:r>
    </w:p>
    <w:p>
      <w:pPr>
        <w:pStyle w:val="Compact"/>
        <w:numPr>
          <w:ilvl w:val="0"/>
          <w:numId w:val="1077"/>
        </w:numPr>
      </w:pPr>
      <w:r>
        <w:t xml:space="preserve">Matei, N.A., García-León, D., Dosio, A., Batista e Silva, F., Ribeiro Barranco, R., Císcar Martínez, J.C.,</w:t>
      </w:r>
      <w:r>
        <w:t xml:space="preserve"> </w:t>
      </w:r>
      <w:r>
        <w:t xml:space="preserve">Regional impact of climate change on European tourism demand, Publications Office of the European</w:t>
      </w:r>
      <w:r>
        <w:t xml:space="preserve"> </w:t>
      </w:r>
      <w:r>
        <w:t xml:space="preserve">Union, Luxembourg, 2023, doi:10.2760/899611, JRC131508</w:t>
      </w:r>
    </w:p>
    <w:p>
      <w:pPr>
        <w:pStyle w:val="FirstParagraph"/>
      </w:pPr>
      <w:r>
        <w:t xml:space="preserve">84</w:t>
      </w:r>
    </w:p>
    <w:p>
      <w:pPr>
        <w:pStyle w:val="BodyText"/>
      </w:pPr>
      <w:r>
        <w:t xml:space="preserve">2.3.5 Impact of Climate Change on the Land system</w:t>
      </w:r>
      <w:r>
        <w:br/>
      </w:r>
      <w:r>
        <w:t xml:space="preserve">Agriculture and forestry sectors are highly exposed to climate change but also crucial for</w:t>
      </w:r>
      <w:r>
        <w:t xml:space="preserve"> </w:t>
      </w:r>
      <w:r>
        <w:t xml:space="preserve">providing essential services. Decreasing the negative impacts of agriculture, forestry and</w:t>
      </w:r>
      <w:r>
        <w:t xml:space="preserve"> </w:t>
      </w:r>
      <w:r>
        <w:t xml:space="preserve">fisheries on the environment, and enhancing sustainable production and management of</w:t>
      </w:r>
      <w:r>
        <w:t xml:space="preserve"> </w:t>
      </w:r>
      <w:r>
        <w:t xml:space="preserve">natural resources that is resilient to climate change has become a priority across European</w:t>
      </w:r>
      <w:r>
        <w:t xml:space="preserve"> </w:t>
      </w:r>
      <w:r>
        <w:t xml:space="preserve">policies, including the Common Agricultural Policy (CAP) (European Commission 2021;</w:t>
      </w:r>
      <w:r>
        <w:t xml:space="preserve"> </w:t>
      </w:r>
      <w:r>
        <w:t xml:space="preserve">Alliance 2018), and the European Green Deal (313).</w:t>
      </w:r>
      <w:r>
        <w:t xml:space="preserve"> </w:t>
      </w:r>
      <w:r>
        <w:t xml:space="preserve">The future development of the land sector is afflicted with large uncertainties. Future</w:t>
      </w:r>
      <w:r>
        <w:t xml:space="preserve"> </w:t>
      </w:r>
      <w:r>
        <w:t xml:space="preserve">conditions will be affected by climate change and natural disturbances. Climate change</w:t>
      </w:r>
      <w:r>
        <w:t xml:space="preserve"> </w:t>
      </w:r>
      <w:r>
        <w:t xml:space="preserve">impacts agriculture and forestry sectors, predominantly negatively (e.g., from lower rainfall,</w:t>
      </w:r>
      <w:r>
        <w:t xml:space="preserve"> </w:t>
      </w:r>
      <w:r>
        <w:t xml:space="preserve">increasing variability, extreme heat and pests) but also with some positive impacts (e.g. from</w:t>
      </w:r>
      <w:r>
        <w:t xml:space="preserve"> </w:t>
      </w:r>
      <w:r>
        <w:t xml:space="preserve">CO2 fertilisation, extended growing seasons and new crops in some latitudes), which</w:t>
      </w:r>
      <w:r>
        <w:t xml:space="preserve"> </w:t>
      </w:r>
      <w:r>
        <w:t xml:space="preserve">however, do not counterbalance the negative impacts. Extreme events affect production of</w:t>
      </w:r>
      <w:r>
        <w:t xml:space="preserve"> </w:t>
      </w:r>
      <w:r>
        <w:t xml:space="preserve">biomass and food both directly and indirectly, as well as negatively impact the potential to</w:t>
      </w:r>
      <w:r>
        <w:t xml:space="preserve"> </w:t>
      </w:r>
      <w:r>
        <w:t xml:space="preserve">mitigate climate change.</w:t>
      </w:r>
      <w:r>
        <w:t xml:space="preserve"> </w:t>
      </w:r>
      <w:r>
        <w:t xml:space="preserve">Effects of climate change on agriculture and forestry have been studied extensively although</w:t>
      </w:r>
      <w:r>
        <w:t xml:space="preserve"> </w:t>
      </w:r>
      <w:r>
        <w:t xml:space="preserve">models that have still severe limitations, as many aspects are not included. Yet an overall</w:t>
      </w:r>
      <w:r>
        <w:t xml:space="preserve"> </w:t>
      </w:r>
      <w:r>
        <w:t xml:space="preserve">picture emerges. European agriculture is already affected by climate change, including by</w:t>
      </w:r>
      <w:r>
        <w:t xml:space="preserve"> </w:t>
      </w:r>
      <w:r>
        <w:t xml:space="preserve">water stress and scarcity, heat, dry conditions, and extreme weather. Increasing global</w:t>
      </w:r>
      <w:r>
        <w:t xml:space="preserve"> </w:t>
      </w:r>
      <w:r>
        <w:t xml:space="preserve">warming will increase the risk of crop failure and decreased pasture quality, as well as making</w:t>
      </w:r>
      <w:r>
        <w:t xml:space="preserve"> </w:t>
      </w:r>
      <w:r>
        <w:t xml:space="preserve">production increasingly unpredictable. The effects differ strongly depending on the types of</w:t>
      </w:r>
      <w:r>
        <w:t xml:space="preserve"> </w:t>
      </w:r>
      <w:r>
        <w:t xml:space="preserve">crops or forests and depending on the region. Southern, Western and Central Europe are</w:t>
      </w:r>
      <w:r>
        <w:t xml:space="preserve"> </w:t>
      </w:r>
      <w:r>
        <w:t xml:space="preserve">projected to be most negatively affected. Agricultural zones are projected to shift, with overall</w:t>
      </w:r>
      <w:r>
        <w:t xml:space="preserve"> </w:t>
      </w:r>
      <w:r>
        <w:t xml:space="preserve">losses in maize and wheat yields, which are not compensated by regional gains in wheat.</w:t>
      </w:r>
      <w:r>
        <w:t xml:space="preserve"> </w:t>
      </w:r>
      <w:r>
        <w:t xml:space="preserve">Grassland biomass production is projected to decline, and a reduction in pollination is also</w:t>
      </w:r>
      <w:r>
        <w:t xml:space="preserve"> </w:t>
      </w:r>
      <w:r>
        <w:t xml:space="preserve">foreseen (314). Climatic drivers interact with non-climatic ones, including unsustainable</w:t>
      </w:r>
      <w:r>
        <w:t xml:space="preserve"> </w:t>
      </w:r>
      <w:r>
        <w:t xml:space="preserve">practices, exceserbating the impacts on ecosystems and biodiversity. The use of chemicals in</w:t>
      </w:r>
      <w:r>
        <w:t xml:space="preserve"> </w:t>
      </w:r>
      <w:r>
        <w:t xml:space="preserve">agriculture, for example, importantly contributes to the reduction in pollination.</w:t>
      </w:r>
      <w:r>
        <w:br/>
      </w:r>
      <w:r>
        <w:t xml:space="preserve">With climate change, disturbances in forests are increasing in frequency. European forests are</w:t>
      </w:r>
      <w:r>
        <w:t xml:space="preserve"> </w:t>
      </w:r>
      <w:r>
        <w:t xml:space="preserve">exposed in particular to wind disturbances, wildfires, and insect and fungus infestations. This</w:t>
      </w:r>
      <w:r>
        <w:t xml:space="preserve"> </w:t>
      </w:r>
      <w:r>
        <w:t xml:space="preserve">negatively impacts forest functions, including carbon sequestration and provision of wood</w:t>
      </w:r>
      <w:r>
        <w:t xml:space="preserve"> </w:t>
      </w:r>
      <w:r>
        <w:t xml:space="preserve">materials. The impacts of climate change on forests vary regionally and locally. Climate</w:t>
      </w:r>
      <w:r>
        <w:t xml:space="preserve"> </w:t>
      </w:r>
      <w:r>
        <w:t xml:space="preserve">change increases the frequency and magnitude of wildfires. In contrast to landscape fires,</w:t>
      </w:r>
      <w:r>
        <w:t xml:space="preserve"> </w:t>
      </w:r>
      <w:r>
        <w:t xml:space="preserve">which are critical to the healthy functioning of many ecosystems, wildfires are linked to</w:t>
      </w:r>
      <w:r>
        <w:t xml:space="preserve"> </w:t>
      </w:r>
      <w:r>
        <w:t xml:space="preserve">extreme fire weather and burn out of control, harming human and natural systems. According</w:t>
      </w:r>
    </w:p>
    <w:p>
      <w:pPr>
        <w:pStyle w:val="Compact"/>
        <w:numPr>
          <w:ilvl w:val="0"/>
          <w:numId w:val="1078"/>
        </w:numPr>
      </w:pPr>
      <w:r>
        <w:t xml:space="preserve">Siddi, Marco. 2020. “The European Green Deal: Assessing Its Current State and Future Implementation,”</w:t>
      </w:r>
    </w:p>
    <w:p>
      <w:pPr>
        <w:pStyle w:val="Compact"/>
        <w:numPr>
          <w:ilvl w:val="0"/>
          <w:numId w:val="1080"/>
        </w:numPr>
      </w:pPr>
      <w:r>
        <w:t xml:space="preserve">Bednar-Friedl, B., R. Biesbroek, D.N. Schmidt, P. Alexander, K.Y. Børsheim, J. Carnicer, E.</w:t>
      </w:r>
      <w:r>
        <w:t xml:space="preserve"> </w:t>
      </w:r>
      <w:r>
        <w:t xml:space="preserve">Georgopoulou, M. Haasnoot, G. Le Cozannet, P. Lionello, O. Lipka, C. Möllmann, V. Muccione, T.</w:t>
      </w:r>
      <w:r>
        <w:t xml:space="preserve"> </w:t>
      </w:r>
      <w:r>
        <w:t xml:space="preserve">Mustonen, D. Piepenburg, and L.Whitmarsh, 2022: Europe. In: Climate Change 2022: Impacts, Adaptation</w:t>
      </w:r>
      <w:r>
        <w:t xml:space="preserve"> </w:t>
      </w:r>
      <w:r>
        <w:t xml:space="preserve">and Vulnerability. Contribution of Working Group II to the Sixth Assessment Report of the</w:t>
      </w:r>
      <w:r>
        <w:t xml:space="preserve"> </w:t>
      </w:r>
      <w:r>
        <w:t xml:space="preserve">Intergovernmental Panel on Climate Change [H.-O. Pörtner, D.C. Roberts, M. Tignor, E.S. Poloczanska, K.</w:t>
      </w:r>
      <w:r>
        <w:t xml:space="preserve"> </w:t>
      </w:r>
      <w:r>
        <w:t xml:space="preserve">Mintenbeck, A. Alegría, M. Craig, S. Langsdorf, S. Löschke, V. Möller, A. Okem, B. Rama (eds.)].</w:t>
      </w:r>
      <w:r>
        <w:t xml:space="preserve"> </w:t>
      </w:r>
      <w:r>
        <w:t xml:space="preserve">Cambridge University Press, Cambridge, UK and New York, NY, USA, pp. 1817–1927,</w:t>
      </w:r>
      <w:r>
        <w:t xml:space="preserve"> </w:t>
      </w:r>
      <w:r>
        <w:t xml:space="preserve">doi:10.1017/9781009325844.015.</w:t>
      </w:r>
    </w:p>
    <w:p>
      <w:pPr>
        <w:pStyle w:val="FirstParagraph"/>
      </w:pPr>
      <w:r>
        <w:t xml:space="preserve">85</w:t>
      </w:r>
    </w:p>
    <w:p>
      <w:pPr>
        <w:pStyle w:val="BodyText"/>
      </w:pPr>
      <w:r>
        <w:t xml:space="preserve">to the IPCC (315) hot weather conditions that provoke wildfires, increased throughout Europe</w:t>
      </w:r>
      <w:r>
        <w:t xml:space="preserve"> </w:t>
      </w:r>
      <w:r>
        <w:t xml:space="preserve">in the past decades and are projected to further increase and expand with increasing global</w:t>
      </w:r>
      <w:r>
        <w:t xml:space="preserve"> </w:t>
      </w:r>
      <w:r>
        <w:t xml:space="preserve">warming levels, particularly affecting Southern, Western and Central Europe.</w:t>
      </w:r>
      <w:r>
        <w:br/>
      </w:r>
      <w:r>
        <w:t xml:space="preserve">Wildfires pose risk to people and ecosystems and result from complex interactions between</w:t>
      </w:r>
      <w:r>
        <w:t xml:space="preserve"> </w:t>
      </w:r>
      <w:r>
        <w:t xml:space="preserve">changing climate conditions such as increased drought, heat, and decreased humidity, and</w:t>
      </w:r>
      <w:r>
        <w:t xml:space="preserve"> </w:t>
      </w:r>
      <w:r>
        <w:t xml:space="preserve">human factors such as demographic trends, land-use, and land management practices. While</w:t>
      </w:r>
      <w:r>
        <w:t xml:space="preserve"> </w:t>
      </w:r>
      <w:r>
        <w:t xml:space="preserve">certain risks such as man-made ignition of wildfires (the main source of wildfires) can be</w:t>
      </w:r>
      <w:r>
        <w:t xml:space="preserve"> </w:t>
      </w:r>
      <w:r>
        <w:t xml:space="preserve">reduced with appropriate management, including ecosystem restoration, the risk posed by</w:t>
      </w:r>
      <w:r>
        <w:t xml:space="preserve"> </w:t>
      </w:r>
      <w:r>
        <w:t xml:space="preserve">wildfires cannot be entirely eliminated. Wildfires affect the global carbon cycle by releasing</w:t>
      </w:r>
      <w:r>
        <w:t xml:space="preserve"> </w:t>
      </w:r>
      <w:r>
        <w:t xml:space="preserve">CO2 into the atmosphere, further exacerbating global warming. They can cause loss of lives</w:t>
      </w:r>
      <w:r>
        <w:t xml:space="preserve"> </w:t>
      </w:r>
      <w:r>
        <w:t xml:space="preserve">and livelihoods, impact health, devastate ecosystems and degrade watersheds. The impacts of</w:t>
      </w:r>
      <w:r>
        <w:t xml:space="preserve"> </w:t>
      </w:r>
      <w:r>
        <w:t xml:space="preserve">wildfires can be long-lasting, including in biodiversity hotspots, which might never fully</w:t>
      </w:r>
      <w:r>
        <w:t xml:space="preserve"> </w:t>
      </w:r>
      <w:r>
        <w:t xml:space="preserve">recover. Moreover, frequent fires can eliminate woody plant species which are replaced with</w:t>
      </w:r>
      <w:r>
        <w:t xml:space="preserve"> </w:t>
      </w:r>
      <w:r>
        <w:t xml:space="preserve">herbaceous and often annual species, or invasives weeds, change soil properties and increases</w:t>
      </w:r>
      <w:r>
        <w:t xml:space="preserve"> </w:t>
      </w:r>
      <w:r>
        <w:t xml:space="preserve">soil erosion (316). Like in the case of pollinators decline, unsustainable forestry practices affect</w:t>
      </w:r>
      <w:r>
        <w:t xml:space="preserve"> </w:t>
      </w:r>
      <w:r>
        <w:t xml:space="preserve">negatively the resilience of forests ecosystems. Scientific literature shows that more</w:t>
      </w:r>
      <w:r>
        <w:t xml:space="preserve"> </w:t>
      </w:r>
      <w:r>
        <w:t xml:space="preserve">biodiverse forests more resilient, multifunctional, productive, deliver more ecosystem services</w:t>
      </w:r>
      <w:r>
        <w:t xml:space="preserve"> </w:t>
      </w:r>
      <w:r>
        <w:t xml:space="preserve">and even capture more carbon (317) (318) (319) (320) (321) (322).</w:t>
      </w:r>
      <w:r>
        <w:t xml:space="preserve"> </w:t>
      </w:r>
      <w:r>
        <w:t xml:space="preserve">In addition to agriculture and forests, climate change is already impacting other ecosystems in</w:t>
      </w:r>
      <w:r>
        <w:t xml:space="preserve"> </w:t>
      </w:r>
      <w:r>
        <w:t xml:space="preserve">Europe and, interacting with non-climatic pressures such as intensive land use, and land use</w:t>
      </w:r>
      <w:r>
        <w:t xml:space="preserve"> </w:t>
      </w:r>
      <w:r>
        <w:t xml:space="preserve">change, it further reduces their resilience. Driven by global warming, the boundaries of</w:t>
      </w:r>
      <w:r>
        <w:t xml:space="preserve"> </w:t>
      </w:r>
      <w:r>
        <w:t xml:space="preserve">today’s biogeographical regions have started to shift. Modelling studies in the field suggest</w:t>
      </w:r>
      <w:r>
        <w:t xml:space="preserve"> </w:t>
      </w:r>
      <w:r>
        <w:t xml:space="preserve">that terrestrial ecosystems on up to half of Europe’s land area will experience major climate-</w:t>
      </w:r>
      <w:r>
        <w:t xml:space="preserve"> </w:t>
      </w:r>
      <w:r>
        <w:t xml:space="preserve">change shifts during this century, including many of today’s protected areas (323) (324). Many</w:t>
      </w:r>
    </w:p>
    <w:p>
      <w:pPr>
        <w:pStyle w:val="Compact"/>
        <w:numPr>
          <w:ilvl w:val="0"/>
          <w:numId w:val="1081"/>
        </w:numPr>
      </w:pPr>
      <w:r>
        <w:t xml:space="preserve">IPCC (2022) AR6 WGII Climate Change 2022: Impacts, Adaptation and Vulnerability, pp. 1817–1927.</w:t>
      </w:r>
    </w:p>
    <w:p>
      <w:pPr>
        <w:pStyle w:val="Compact"/>
        <w:numPr>
          <w:ilvl w:val="0"/>
          <w:numId w:val="1081"/>
        </w:numPr>
      </w:pPr>
      <w:r>
        <w:t xml:space="preserve">United Nations Environment Programme (2022). Spreading like Wildfire – The Rising Threat of</w:t>
      </w:r>
      <w:r>
        <w:t xml:space="preserve"> </w:t>
      </w:r>
      <w:r>
        <w:t xml:space="preserve">Extraordinary Landscape Fires. A UNEP Rapid Response Assessment. Nairobi</w:t>
      </w:r>
    </w:p>
    <w:p>
      <w:pPr>
        <w:pStyle w:val="Compact"/>
        <w:numPr>
          <w:ilvl w:val="0"/>
          <w:numId w:val="1081"/>
        </w:numPr>
      </w:pPr>
      <w:r>
        <w:t xml:space="preserve">Lewis, S.L., Wheeler, Ch.E.; Mitchard, E.T.A. and Kock, A. (2019) “Restoring natural forests is the best</w:t>
      </w:r>
      <w:r>
        <w:t xml:space="preserve"> </w:t>
      </w:r>
      <w:r>
        <w:t xml:space="preserve">way to remove atmospheric carbon, in Nature, 68, 25-28, https://doi.org/10.1038/d41586-019-01026-8</w:t>
      </w:r>
      <w:r>
        <w:t xml:space="preserve"> </w:t>
      </w:r>
      <w:r>
        <w:t xml:space="preserve">(318)Van der Plas, F., Manning, P., Allan, E. et al. (2016) “Jack-of-all-trades effects drive biodiversity–</w:t>
      </w:r>
      <w:r>
        <w:t xml:space="preserve"> </w:t>
      </w:r>
      <w:r>
        <w:t xml:space="preserve">ecosystem multifunctionality relationships in European forests”, in Nature Communicationn 7, 11109.</w:t>
      </w:r>
      <w:r>
        <w:t xml:space="preserve"> </w:t>
      </w:r>
      <w:r>
        <w:t xml:space="preserve">https://doi.org/10.1038/ncomms11109</w:t>
      </w:r>
    </w:p>
    <w:p>
      <w:pPr>
        <w:pStyle w:val="Compact"/>
        <w:numPr>
          <w:ilvl w:val="0"/>
          <w:numId w:val="1081"/>
        </w:numPr>
      </w:pPr>
      <w:r>
        <w:t xml:space="preserve">Peura, M., Burgas, D., Eyvindson, K., Repo, A. &amp; Mönkkönen, M. (2018). Continuous cover forestry is a</w:t>
      </w:r>
      <w:r>
        <w:t xml:space="preserve"> </w:t>
      </w:r>
      <w:r>
        <w:t xml:space="preserve">cost efficient tool to increase multifunctionality of boreal production forests in Fennoscandia. Biological</w:t>
      </w:r>
      <w:r>
        <w:t xml:space="preserve"> </w:t>
      </w:r>
      <w:r>
        <w:t xml:space="preserve">Conservation 217; 104-112; https://www.sciencedirect.com/science/article/pii/S0006320717308170</w:t>
      </w:r>
      <w:r>
        <w:br/>
      </w:r>
    </w:p>
    <w:p>
      <w:pPr>
        <w:pStyle w:val="Compact"/>
        <w:numPr>
          <w:ilvl w:val="0"/>
          <w:numId w:val="1081"/>
        </w:numPr>
      </w:pPr>
      <w:r>
        <w:t xml:space="preserve">Liang, J. et al. (2016) “Positive biodiversity-productivity relationship predominant in global forests”, in</w:t>
      </w:r>
      <w:r>
        <w:t xml:space="preserve"> </w:t>
      </w:r>
      <w:r>
        <w:t xml:space="preserve">Science, Vol 354, Issue 6309, doi: 10.1126/science.aaf8957</w:t>
      </w:r>
    </w:p>
    <w:p>
      <w:pPr>
        <w:pStyle w:val="Compact"/>
        <w:numPr>
          <w:ilvl w:val="0"/>
          <w:numId w:val="1081"/>
        </w:numPr>
      </w:pPr>
      <w:r>
        <w:t xml:space="preserve">Pukkala, T. 2016. Which type of forest management provides most ecosystem services? Forest Ecosystems</w:t>
      </w:r>
      <w:r>
        <w:t xml:space="preserve"> </w:t>
      </w:r>
      <w:r>
        <w:t xml:space="preserve">3:9; https://forestecosyst.springeropen.com/track/pdf/10.1186/s40663-016-0068-5</w:t>
      </w:r>
      <w:r>
        <w:br/>
      </w:r>
    </w:p>
    <w:p>
      <w:pPr>
        <w:pStyle w:val="Compact"/>
        <w:numPr>
          <w:ilvl w:val="0"/>
          <w:numId w:val="1081"/>
        </w:numPr>
      </w:pPr>
      <w:r>
        <w:t xml:space="preserve">Mori, A.S., Dee, L.E., Gonzalez, A. et al. Biodiversity–productivity relationships are key to nature-based</w:t>
      </w:r>
      <w:r>
        <w:t xml:space="preserve"> </w:t>
      </w:r>
      <w:r>
        <w:t xml:space="preserve">climate solutions. Nat. Clim. Chang. 11, 543–550 (2021). DOI: 10.1038/s41558-021-01062-1</w:t>
      </w:r>
    </w:p>
    <w:p>
      <w:pPr>
        <w:pStyle w:val="Compact"/>
        <w:numPr>
          <w:ilvl w:val="0"/>
          <w:numId w:val="1081"/>
        </w:numPr>
      </w:pPr>
      <w:r>
        <w:t xml:space="preserve">Samuel Hoffmann, Severin D. H. Irl &amp; Carl Beierkuhnlein (2019) Predicted climate shifts within terrestrial</w:t>
      </w:r>
      <w:r>
        <w:t xml:space="preserve"> </w:t>
      </w:r>
      <w:r>
        <w:t xml:space="preserve">protected areas worldwide. Nature Communications vol 10 N° 4787</w:t>
      </w:r>
    </w:p>
    <w:p>
      <w:pPr>
        <w:pStyle w:val="Compact"/>
        <w:numPr>
          <w:ilvl w:val="0"/>
          <w:numId w:val="1081"/>
        </w:numPr>
      </w:pPr>
      <w:r>
        <w:t xml:space="preserve">Hickler et al. (2012) Projecting the future distribution of European potential natural vegetation zones with a</w:t>
      </w:r>
      <w:r>
        <w:t xml:space="preserve"> </w:t>
      </w:r>
      <w:r>
        <w:t xml:space="preserve">generalized, tree species-based dynamic vegetation model. In: Global Ecology and Biogeography, 21, 50–</w:t>
      </w:r>
    </w:p>
    <w:p>
      <w:pPr>
        <w:pStyle w:val="FirstParagraph"/>
      </w:pPr>
      <w:r>
        <w:t xml:space="preserve">86</w:t>
      </w:r>
    </w:p>
    <w:p>
      <w:pPr>
        <w:pStyle w:val="BodyText"/>
      </w:pPr>
      <w:r>
        <w:t xml:space="preserve">terrestrial species may not be able to keep up with the speed of northwards and uphill range</w:t>
      </w:r>
      <w:r>
        <w:t xml:space="preserve"> </w:t>
      </w:r>
      <w:r>
        <w:t xml:space="preserve">shifts, especially when suitable habitats are fragmented (no migration corridors), or for habitat</w:t>
      </w:r>
      <w:r>
        <w:t xml:space="preserve"> </w:t>
      </w:r>
      <w:r>
        <w:t xml:space="preserve">specialists and species with low mobility and reproduction rates. In fact, even though we are</w:t>
      </w:r>
      <w:r>
        <w:t xml:space="preserve"> </w:t>
      </w:r>
      <w:r>
        <w:t xml:space="preserve">only at the beginning of a period of rapid global warming, researchers are already</w:t>
      </w:r>
      <w:r>
        <w:t xml:space="preserve"> </w:t>
      </w:r>
      <w:r>
        <w:t xml:space="preserve">demonstrating its negative impacts on Europe’s nature and biodiversity, from the landscape</w:t>
      </w:r>
      <w:r>
        <w:t xml:space="preserve"> </w:t>
      </w:r>
      <w:r>
        <w:t xml:space="preserve">level down to the genetic diversity of individual species (325). Relevant studies in the field also</w:t>
      </w:r>
      <w:r>
        <w:t xml:space="preserve"> </w:t>
      </w:r>
      <w:r>
        <w:t xml:space="preserve">indicate that the direct effects of changing climate conditions on nature will likely be</w:t>
      </w:r>
      <w:r>
        <w:t xml:space="preserve"> </w:t>
      </w:r>
      <w:r>
        <w:t xml:space="preserve">exacerbated indirectly by human land use change in response to global warming such as</w:t>
      </w:r>
      <w:r>
        <w:t xml:space="preserve"> </w:t>
      </w:r>
      <w:r>
        <w:t xml:space="preserve">further agricultural and forestry intensification (to compensate for projected productivity</w:t>
      </w:r>
      <w:r>
        <w:t xml:space="preserve"> </w:t>
      </w:r>
      <w:r>
        <w:t xml:space="preserve">losses or the expected greater virulence of pests) and growing competition for land and water</w:t>
      </w:r>
      <w:r>
        <w:t xml:space="preserve"> </w:t>
      </w:r>
      <w:r>
        <w:t xml:space="preserve">resources (326). Together, all these effects risk exacerbating the rate of local and regional</w:t>
      </w:r>
      <w:r>
        <w:t xml:space="preserve"> </w:t>
      </w:r>
      <w:r>
        <w:t xml:space="preserve">habitat loss and species extinctions world-wide and also in Europe.</w:t>
      </w:r>
      <w:r>
        <w:t xml:space="preserve"> </w:t>
      </w:r>
      <w:r>
        <w:t xml:space="preserve">2.3.5.1 Forests and other ecosystems</w:t>
      </w:r>
      <w:r>
        <w:t xml:space="preserve"> </w:t>
      </w:r>
      <w:r>
        <w:t xml:space="preserve">2.3.5.1.1 Forests</w:t>
      </w:r>
      <w:r>
        <w:br/>
      </w:r>
      <w:r>
        <w:t xml:space="preserve">Forests are highly dependent on and determined by the prevailing climatic conditions. It goes</w:t>
      </w:r>
      <w:r>
        <w:t xml:space="preserve"> </w:t>
      </w:r>
      <w:r>
        <w:t xml:space="preserve">beyond the climatic requirements and tolerances of individual tree species, as biodiverse</w:t>
      </w:r>
      <w:r>
        <w:t xml:space="preserve"> </w:t>
      </w:r>
      <w:r>
        <w:t xml:space="preserve">forests have developed as communities of species interdependent between them, with their</w:t>
      </w:r>
      <w:r>
        <w:t xml:space="preserve"> </w:t>
      </w:r>
      <w:r>
        <w:t xml:space="preserve">soils and hydrological conditions. Climatic zones are often identified by dominant tree</w:t>
      </w:r>
      <w:r>
        <w:t xml:space="preserve"> </w:t>
      </w:r>
      <w:r>
        <w:t xml:space="preserve">species of typical forest types, and the climatic characteristics of these zonal forest types tend</w:t>
      </w:r>
      <w:r>
        <w:t xml:space="preserve"> </w:t>
      </w:r>
      <w:r>
        <w:t xml:space="preserve">to be very narrow compared to the shifts in local climate due to climate change, with an</w:t>
      </w:r>
      <w:r>
        <w:t xml:space="preserve"> </w:t>
      </w:r>
      <w:r>
        <w:t xml:space="preserve">increasing share of otherwise natural forest becoming maladapted already.</w:t>
      </w:r>
      <w:r>
        <w:t xml:space="preserve"> </w:t>
      </w:r>
      <w:r>
        <w:t xml:space="preserve">Forest management in Europe has a long history of planting species outside their natural</w:t>
      </w:r>
      <w:r>
        <w:t xml:space="preserve"> </w:t>
      </w:r>
      <w:r>
        <w:t xml:space="preserve">ranges, most often conifers like Norway spruce, and usually in monoculture plantation. This</w:t>
      </w:r>
      <w:r>
        <w:t xml:space="preserve"> </w:t>
      </w:r>
      <w:r>
        <w:t xml:space="preserve">has been done mainly for commercial reasons, but also for ease of management or the rapid</w:t>
      </w:r>
      <w:r>
        <w:t xml:space="preserve"> </w:t>
      </w:r>
      <w:r>
        <w:t xml:space="preserve">re-establishment of vegetation in degraded/abandoned areas, often on soils heavily damaged</w:t>
      </w:r>
      <w:r>
        <w:t xml:space="preserve"> </w:t>
      </w:r>
      <w:r>
        <w:t xml:space="preserve">by agriculture, such as grazing. In all such cases short-term growth and/or success of</w:t>
      </w:r>
      <w:r>
        <w:t xml:space="preserve"> </w:t>
      </w:r>
      <w:r>
        <w:t xml:space="preserve">reestablishment took precedent over long-term site suitability and ecological stability. Today,</w:t>
      </w:r>
      <w:r>
        <w:t xml:space="preserve"> </w:t>
      </w:r>
      <w:r>
        <w:t xml:space="preserve">74% of EU forest area consists of even-aged stands, and one third of the forests comprise of</w:t>
      </w:r>
      <w:r>
        <w:t xml:space="preserve"> </w:t>
      </w:r>
      <w:r>
        <w:t xml:space="preserve">only one tree species (327). Whilst forest stands with these characteristics are more vulnerable</w:t>
      </w:r>
      <w:r>
        <w:t xml:space="preserve"> </w:t>
      </w:r>
      <w:r>
        <w:t xml:space="preserve">to stress and disturbances, forest-based industries and many forest managers preferred them</w:t>
      </w:r>
      <w:r>
        <w:t xml:space="preserve"> </w:t>
      </w:r>
      <w:r>
        <w:t xml:space="preserve">over more site-adapted and resilient mixed stands, for economic reasons: by standardizing</w:t>
      </w:r>
      <w:r>
        <w:t xml:space="preserve"> </w:t>
      </w:r>
      <w:r>
        <w:t xml:space="preserve">trees, they reduce management and harvesting costs and produce economies of scale, but at</w:t>
      </w:r>
      <w:r>
        <w:t xml:space="preserve"> </w:t>
      </w:r>
      <w:r>
        <w:t xml:space="preserve">the cost of more vulnerability and biodiversity and soil quality loss. With increasing impacts</w:t>
      </w:r>
      <w:r>
        <w:t xml:space="preserve"> </w:t>
      </w:r>
      <w:r>
        <w:t xml:space="preserve">of climate change, these land use and forest management choices start going awry. Rapidly</w:t>
      </w:r>
      <w:r>
        <w:t xml:space="preserve"> </w:t>
      </w:r>
      <w:r>
        <w:t xml:space="preserve">changing climatic conditions are having near-immediate effects (less than 20-40 years) with</w:t>
      </w:r>
      <w:r>
        <w:t xml:space="preserve"> </w:t>
      </w:r>
      <w:r>
        <w:t xml:space="preserve">abrupt shifts in tree abundances and forest composition (328). During the last few years, across</w:t>
      </w:r>
    </w:p>
    <w:p>
      <w:pPr>
        <w:pStyle w:val="Compact"/>
        <w:numPr>
          <w:ilvl w:val="0"/>
          <w:numId w:val="1083"/>
        </w:numPr>
      </w:pPr>
      <w:r>
        <w:t xml:space="preserve">Exposito-Alonso, M., Exposito-Alonso, M., Gómez Rodríguez, R. et al. Natural selection on the</w:t>
      </w:r>
      <w:r>
        <w:t xml:space="preserve"> </w:t>
      </w:r>
      <w:r>
        <w:t xml:space="preserve">Arabidopsis</w:t>
      </w:r>
      <w:r>
        <w:t xml:space="preserve"> </w:t>
      </w:r>
      <w:r>
        <w:t xml:space="preserve">thaliana</w:t>
      </w:r>
      <w:r>
        <w:t xml:space="preserve"> </w:t>
      </w:r>
      <w:r>
        <w:t xml:space="preserve">genome</w:t>
      </w:r>
      <w:r>
        <w:t xml:space="preserve"> </w:t>
      </w:r>
      <w:r>
        <w:t xml:space="preserve">in</w:t>
      </w:r>
      <w:r>
        <w:t xml:space="preserve"> </w:t>
      </w:r>
      <w:r>
        <w:t xml:space="preserve">present</w:t>
      </w:r>
      <w:r>
        <w:t xml:space="preserve"> </w:t>
      </w:r>
      <w:r>
        <w:t xml:space="preserve">and</w:t>
      </w:r>
      <w:r>
        <w:t xml:space="preserve"> </w:t>
      </w:r>
      <w:r>
        <w:t xml:space="preserve">future</w:t>
      </w:r>
      <w:r>
        <w:t xml:space="preserve"> </w:t>
      </w:r>
      <w:r>
        <w:t xml:space="preserve">climates. Nature 573,</w:t>
      </w:r>
      <w:r>
        <w:t xml:space="preserve"> </w:t>
      </w:r>
      <w:r>
        <w:t xml:space="preserve">126–129</w:t>
      </w:r>
    </w:p>
    <w:p>
      <w:pPr>
        <w:pStyle w:val="Compact"/>
        <w:numPr>
          <w:ilvl w:val="0"/>
          <w:numId w:val="1083"/>
        </w:numPr>
      </w:pPr>
      <w:r>
        <w:t xml:space="preserve">doi:10.1038/s41586-019-1520-9</w:t>
      </w:r>
      <w:r>
        <w:br/>
      </w:r>
    </w:p>
    <w:p>
      <w:pPr>
        <w:pStyle w:val="Compact"/>
        <w:numPr>
          <w:ilvl w:val="0"/>
          <w:numId w:val="1083"/>
        </w:numPr>
      </w:pPr>
      <w:r>
        <w:t xml:space="preserve">See notably the IPPC special report on climate change and land and also the IPBES global assessment.</w:t>
      </w:r>
    </w:p>
    <w:p>
      <w:pPr>
        <w:pStyle w:val="Compact"/>
        <w:numPr>
          <w:ilvl w:val="0"/>
          <w:numId w:val="1083"/>
        </w:numPr>
      </w:pPr>
      <w:r>
        <w:t xml:space="preserve">FISE - Forest Information System for Europe (2023) Forest biodiversity</w:t>
      </w:r>
      <w:r>
        <w:br/>
      </w:r>
    </w:p>
    <w:p>
      <w:pPr>
        <w:pStyle w:val="Compact"/>
        <w:numPr>
          <w:ilvl w:val="0"/>
          <w:numId w:val="1083"/>
        </w:numPr>
      </w:pPr>
      <w:r>
        <w:t xml:space="preserve">J.W. Williams and K.D. Burke (2019) Past abrupt changes in climate and terrestrial ecosystems. In: T.E.</w:t>
      </w:r>
      <w:r>
        <w:t xml:space="preserve"> </w:t>
      </w:r>
      <w:r>
        <w:t xml:space="preserve">Lovejoy and L. Hannah (Eds.) Biodiversity and Climate Change. Yale University Press, New Haven &amp;</w:t>
      </w:r>
      <w:r>
        <w:t xml:space="preserve"> </w:t>
      </w:r>
      <w:r>
        <w:t xml:space="preserve">London.</w:t>
      </w:r>
    </w:p>
    <w:p>
      <w:pPr>
        <w:pStyle w:val="FirstParagraph"/>
      </w:pPr>
      <w:r>
        <w:t xml:space="preserve">87</w:t>
      </w:r>
    </w:p>
    <w:p>
      <w:pPr>
        <w:pStyle w:val="BodyText"/>
      </w:pPr>
      <w:r>
        <w:t xml:space="preserve">Europe, clear signals indicate that tree health is deteriorating (329) (330), forest zones and tree</w:t>
      </w:r>
      <w:r>
        <w:t xml:space="preserve"> </w:t>
      </w:r>
      <w:r>
        <w:t xml:space="preserve">ranges shift, and forested landscapes are beginning to transform.</w:t>
      </w:r>
      <w:r>
        <w:t xml:space="preserve"> </w:t>
      </w:r>
      <w:r>
        <w:t xml:space="preserve">2.3.5.1.1.1</w:t>
      </w:r>
      <w:r>
        <w:t xml:space="preserve"> </w:t>
      </w:r>
      <w:r>
        <w:t xml:space="preserve">Assessment of present and past impacts on forests</w:t>
      </w:r>
      <w:r>
        <w:br/>
      </w:r>
      <w:r>
        <w:t xml:space="preserve">Analysis of both satellite retrievals and surface inventories of disturbance events are</w:t>
      </w:r>
      <w:r>
        <w:t xml:space="preserve"> </w:t>
      </w:r>
      <w:r>
        <w:t xml:space="preserve">confirming the increasing frequency and increasing overall area affected by the various types</w:t>
      </w:r>
      <w:r>
        <w:t xml:space="preserve"> </w:t>
      </w:r>
      <w:r>
        <w:t xml:space="preserve">of natural disturbances, with a relevant rise of wind disturbances (331), wildfires and bark-</w:t>
      </w:r>
      <w:r>
        <w:t xml:space="preserve"> </w:t>
      </w:r>
      <w:r>
        <w:t xml:space="preserve">beetle infestations, the latter particularly in central-European spruce forests (332). The JRC</w:t>
      </w:r>
      <w:r>
        <w:t xml:space="preserve"> </w:t>
      </w:r>
      <w:r>
        <w:t xml:space="preserve">PESETA IV study (333) investigated the vulnerability of European forests to natural</w:t>
      </w:r>
      <w:r>
        <w:t xml:space="preserve"> </w:t>
      </w:r>
      <w:r>
        <w:t xml:space="preserve">disturbances and found that due to climate-driven disturbances, key forest functions, including</w:t>
      </w:r>
      <w:r>
        <w:t xml:space="preserve"> </w:t>
      </w:r>
      <w:r>
        <w:t xml:space="preserve">carbon sequestration and provision of wood materials could be seriously affected. In the</w:t>
      </w:r>
      <w:r>
        <w:t xml:space="preserve"> </w:t>
      </w:r>
      <w:r>
        <w:t xml:space="preserve">2000-2017 period, windstorms caused the largest biomass loss in both relative and absolute</w:t>
      </w:r>
      <w:r>
        <w:t xml:space="preserve"> </w:t>
      </w:r>
      <w:r>
        <w:t xml:space="preserve">terms (~38%, ~17 t ha-1), followed by fires (~24%, ~12.5 t ha-1) and insect outbreaks (~21%,</w:t>
      </w:r>
      <w:r>
        <w:t xml:space="preserve"> </w:t>
      </w:r>
      <w:r>
        <w:t xml:space="preserve">~9 t ha-1), with Northern and Mediterranean regions disproportionately affected. The</w:t>
      </w:r>
      <w:r>
        <w:t xml:space="preserve"> </w:t>
      </w:r>
      <w:r>
        <w:t xml:space="preserve">vulnerability of forests to natural disturbances depends more on a forest’s structural properties</w:t>
      </w:r>
      <w:r>
        <w:t xml:space="preserve"> </w:t>
      </w:r>
      <w:r>
        <w:t xml:space="preserve">than on climate and landscape features, however, changes in temperature and precipitation</w:t>
      </w:r>
      <w:r>
        <w:t xml:space="preserve"> </w:t>
      </w:r>
      <w:r>
        <w:t xml:space="preserve">patterns in the past decades increased the vulnerability of European forests to natural</w:t>
      </w:r>
      <w:r>
        <w:t xml:space="preserve"> </w:t>
      </w:r>
      <w:r>
        <w:t xml:space="preserve">disturbances in general and particularly to inset outbreaks.</w:t>
      </w:r>
      <w:r>
        <w:br/>
      </w:r>
      <w:r>
        <w:t xml:space="preserve">Some of the notable climate-related disturbances in the past years include:</w:t>
      </w:r>
      <w:r>
        <w:t xml:space="preserve"> </w:t>
      </w:r>
      <w:r>
        <w:t xml:space="preserve">• The unprecedented droughts experienced since 2018 have triggered significant tree</w:t>
      </w:r>
      <w:r>
        <w:t xml:space="preserve"> </w:t>
      </w:r>
      <w:r>
        <w:t xml:space="preserve">dieback in many parts of Europe. For instance, satellite images of Germany show a</w:t>
      </w:r>
      <w:r>
        <w:t xml:space="preserve"> </w:t>
      </w:r>
      <w:r>
        <w:t xml:space="preserve">canopy cover loss of 501,000 ha between 2018-2021 (corresponding to 4.9% of</w:t>
      </w:r>
      <w:r>
        <w:t xml:space="preserve"> </w:t>
      </w:r>
      <w:r>
        <w:t xml:space="preserve">the total forest area) following the 2018-2019 drought (334).</w:t>
      </w:r>
      <w:r>
        <w:t xml:space="preserve"> </w:t>
      </w:r>
      <w:r>
        <w:t xml:space="preserve">• Weakened by the droughts, Norway spruce stands crumbled under unprecedented</w:t>
      </w:r>
      <w:r>
        <w:t xml:space="preserve"> </w:t>
      </w:r>
      <w:r>
        <w:t xml:space="preserve">bark beetle attacks in Northern and Central Europe, with the Czech Republic</w:t>
      </w:r>
      <w:r>
        <w:t xml:space="preserve"> </w:t>
      </w:r>
      <w:r>
        <w:t xml:space="preserve">becoming Europe’s epicentre of these outbreaks. In 2017–2019, over 5% of the</w:t>
      </w:r>
      <w:r>
        <w:t xml:space="preserve"> </w:t>
      </w:r>
      <w:r>
        <w:t xml:space="preserve">Czech growing stock of Norway spruce was damaged each year, causing the total</w:t>
      </w:r>
      <w:r>
        <w:t xml:space="preserve"> </w:t>
      </w:r>
      <w:r>
        <w:t xml:space="preserve">depletion of spruce in some regions. The 2018-2020 drought years lead to the</w:t>
      </w:r>
      <w:r>
        <w:t xml:space="preserve"> </w:t>
      </w:r>
      <w:r>
        <w:t xml:space="preserve">largest documented outbreak of bark beetles in Sweden, which killed 17 million</w:t>
      </w:r>
      <w:r>
        <w:t xml:space="preserve"> </w:t>
      </w:r>
      <w:r>
        <w:t xml:space="preserve">m3 of spruce trees in the southern part of the country.</w:t>
      </w:r>
    </w:p>
    <w:p>
      <w:pPr>
        <w:pStyle w:val="Compact"/>
        <w:numPr>
          <w:ilvl w:val="0"/>
          <w:numId w:val="1084"/>
        </w:numPr>
      </w:pPr>
      <w:r>
        <w:t xml:space="preserve">ICP Forests Brief No 5. http://icp-forests.net/page/icp-forests-briefs</w:t>
      </w:r>
      <w:r>
        <w:br/>
      </w:r>
    </w:p>
    <w:p>
      <w:pPr>
        <w:pStyle w:val="Compact"/>
        <w:numPr>
          <w:ilvl w:val="0"/>
          <w:numId w:val="1084"/>
        </w:numPr>
      </w:pPr>
      <w:r>
        <w:t xml:space="preserve">Institut national de l’information géographique et forestière (IGN): Résultats 2022 de l’Inventaire forestier</w:t>
      </w:r>
      <w:r>
        <w:t xml:space="preserve"> </w:t>
      </w:r>
      <w:r>
        <w:t xml:space="preserve">national : une forêt française confrontée aux dérèglements climatiques. https://www.ign.fr/espace-</w:t>
      </w:r>
      <w:r>
        <w:t xml:space="preserve"> </w:t>
      </w:r>
      <w:r>
        <w:t xml:space="preserve">presse/resultats-2022-de-linventaire-forestier-national-une-foret-francaise-confrontee-aux-dereglements.</w:t>
      </w:r>
      <w:r>
        <w:t xml:space="preserve"> </w:t>
      </w:r>
      <w:r>
        <w:t xml:space="preserve">Accessed on 25/07/2023.</w:t>
      </w:r>
      <w:r>
        <w:br/>
      </w:r>
    </w:p>
    <w:p>
      <w:pPr>
        <w:pStyle w:val="Compact"/>
        <w:numPr>
          <w:ilvl w:val="0"/>
          <w:numId w:val="1084"/>
        </w:numPr>
      </w:pPr>
      <w:r>
        <w:t xml:space="preserve">Senf, C. and Seidl, R.: Storm and fire disturbances in Europe: Distribution and trends, Glob. Chang. Biol.,</w:t>
      </w:r>
      <w:r>
        <w:t xml:space="preserve"> </w:t>
      </w:r>
      <w:r>
        <w:t xml:space="preserve">(November 2020), 1–15, doi:10.1111/gcb.15679, 2021.</w:t>
      </w:r>
    </w:p>
    <w:p>
      <w:pPr>
        <w:pStyle w:val="Compact"/>
        <w:numPr>
          <w:ilvl w:val="0"/>
          <w:numId w:val="1084"/>
        </w:numPr>
      </w:pPr>
      <w:r>
        <w:t xml:space="preserve">Sebald, J., Senf, C. and Seidl, R.: Human or natural? Landscape context improves the attribution of forest</w:t>
      </w:r>
      <w:r>
        <w:t xml:space="preserve"> </w:t>
      </w:r>
      <w:r>
        <w:t xml:space="preserve">disturbances mapped from Landsat in Central Europe, Remote Sens. Environ., 262(May), 112502,</w:t>
      </w:r>
      <w:r>
        <w:t xml:space="preserve"> </w:t>
      </w:r>
      <w:r>
        <w:t xml:space="preserve">doi:10.1016/j.rse.2021.112502, 2021.</w:t>
      </w:r>
    </w:p>
    <w:p>
      <w:pPr>
        <w:pStyle w:val="Compact"/>
        <w:numPr>
          <w:ilvl w:val="0"/>
          <w:numId w:val="1084"/>
        </w:numPr>
      </w:pPr>
      <w:r>
        <w:t xml:space="preserve">Forzieri G., Girardello M., Ceccherini G., Mauri A., Spinoni J., Beck P., Feyen L. and Cescatti A.</w:t>
      </w:r>
      <w:r>
        <w:t xml:space="preserve"> </w:t>
      </w:r>
      <w:r>
        <w:t xml:space="preserve">Vulnerability of European forests to natural disturbances, EUR 29992 EN, Publications Office of the</w:t>
      </w:r>
      <w:r>
        <w:t xml:space="preserve"> </w:t>
      </w:r>
      <w:r>
        <w:t xml:space="preserve">European Union, Luxembourg, 2020, ISBN 978-92-76-13884-6, doi:10.2760/736558, JRC118512</w:t>
      </w:r>
    </w:p>
    <w:p>
      <w:pPr>
        <w:pStyle w:val="Compact"/>
        <w:numPr>
          <w:ilvl w:val="0"/>
          <w:numId w:val="1084"/>
        </w:numPr>
      </w:pPr>
      <w:r>
        <w:t xml:space="preserve">Thonfeld et al. 2022. A First Assessment of Canopy Cover Loss in Germany’s Forests after the 2018–2020</w:t>
      </w:r>
      <w:r>
        <w:t xml:space="preserve"> </w:t>
      </w:r>
      <w:r>
        <w:t xml:space="preserve">Drought Years. MDPI AG in Remote Sensing. doi.org/10.3390/rs14030562</w:t>
      </w:r>
    </w:p>
    <w:p>
      <w:pPr>
        <w:pStyle w:val="FirstParagraph"/>
      </w:pPr>
      <w:r>
        <w:t xml:space="preserve">88</w:t>
      </w:r>
    </w:p>
    <w:p>
      <w:pPr>
        <w:pStyle w:val="BodyText"/>
      </w:pPr>
      <w:r>
        <w:t xml:space="preserve">• Some 40% of the fires registered in 2022, the hottest summer and the second worst</w:t>
      </w:r>
      <w:r>
        <w:t xml:space="preserve"> </w:t>
      </w:r>
      <w:r>
        <w:t xml:space="preserve">wildfire season on record in Europe, affected central and northern European</w:t>
      </w:r>
      <w:r>
        <w:t xml:space="preserve"> </w:t>
      </w:r>
      <w:r>
        <w:t xml:space="preserve">countries. Fire danger for Europe as a whole was higher for most of that year than</w:t>
      </w:r>
      <w:r>
        <w:t xml:space="preserve"> </w:t>
      </w:r>
      <w:r>
        <w:t xml:space="preserve">the 1991–2020 average (Figure 18) (335). Total wildfire emissions from the EU</w:t>
      </w:r>
      <w:r>
        <w:t xml:space="preserve"> </w:t>
      </w:r>
      <w:r>
        <w:t xml:space="preserve">plus the UK from 1 June to 31 August 2022 were estimated at 6.4 Mton of carbon,</w:t>
      </w:r>
      <w:r>
        <w:t xml:space="preserve"> </w:t>
      </w:r>
      <w:r>
        <w:t xml:space="preserve">the highest level for these months since the summer of 2007 (336).</w:t>
      </w:r>
      <w:r>
        <w:br/>
      </w:r>
      <w:r>
        <w:t xml:space="preserve">Figure 18: Wildfire carbon emissions from EU</w:t>
      </w:r>
    </w:p>
    <w:p>
      <w:pPr>
        <w:pStyle w:val="BodyText"/>
      </w:pPr>
      <w:r>
        <w:t xml:space="preserve">Note: Estimated total monthly wildfire carbon emissions from European Union countries (black bars) compared to the</w:t>
      </w:r>
      <w:r>
        <w:t xml:space="preserve"> </w:t>
      </w:r>
      <w:r>
        <w:t xml:space="preserve">average for the 2003–2019 reference period (grey bars).</w:t>
      </w:r>
      <w:r>
        <w:br/>
      </w:r>
      <w:r>
        <w:t xml:space="preserve">Source: CAMS GFASv1.2 wildfire data record. Credit: CAMS/ECMWF</w:t>
      </w:r>
      <w:r>
        <w:t xml:space="preserve"> </w:t>
      </w:r>
      <w:r>
        <w:t xml:space="preserve">Reported data of the 34 member countries of the ‘Forest Europe’ process show a significant</w:t>
      </w:r>
      <w:r>
        <w:t xml:space="preserve"> </w:t>
      </w:r>
      <w:r>
        <w:t xml:space="preserve">increase in forest disturbances between 1950 and 2019, causing on an average of 43.8 million</w:t>
      </w:r>
      <w:r>
        <w:t xml:space="preserve"> </w:t>
      </w:r>
      <w:r>
        <w:t xml:space="preserve">m3 of disturbed timber volume per year. In the last 20 years, disturbances on average</w:t>
      </w:r>
      <w:r>
        <w:t xml:space="preserve"> </w:t>
      </w:r>
      <w:r>
        <w:t xml:space="preserve">accounted for 16% of the mean annual harvest in Europe. Whereas wind was statistically the</w:t>
      </w:r>
      <w:r>
        <w:t xml:space="preserve"> </w:t>
      </w:r>
      <w:r>
        <w:t xml:space="preserve">most important damaging agent, accounting for almost half of the damage during the study</w:t>
      </w:r>
      <w:r>
        <w:t xml:space="preserve"> </w:t>
      </w:r>
      <w:r>
        <w:t xml:space="preserve">period, bark beetle outbreaks – driven by warming and droughts - doubled their share in the</w:t>
      </w:r>
      <w:r>
        <w:t xml:space="preserve"> </w:t>
      </w:r>
      <w:r>
        <w:t xml:space="preserve">last 20 years (Figure 19) (337).</w:t>
      </w:r>
    </w:p>
    <w:p>
      <w:pPr>
        <w:pStyle w:val="BodyText"/>
      </w:pPr>
      <w:r>
        <w:t xml:space="preserve">(335)Copernicus (2022) European State of the Climate 2022 https://climate.copernicus.eu/esotc/2022/wildfires</w:t>
      </w:r>
      <w:r>
        <w:t xml:space="preserve"> </w:t>
      </w:r>
      <w:r>
        <w:t xml:space="preserve">(336)Copernicus</w:t>
      </w:r>
      <w:r>
        <w:t xml:space="preserve"> </w:t>
      </w:r>
      <w:r>
        <w:t xml:space="preserve">(2022)</w:t>
      </w:r>
      <w:r>
        <w:t xml:space="preserve"> </w:t>
      </w:r>
      <w:r>
        <w:t xml:space="preserve">CAMS:</w:t>
      </w:r>
      <w:r>
        <w:t xml:space="preserve"> </w:t>
      </w:r>
      <w:r>
        <w:t xml:space="preserve">monitoring</w:t>
      </w:r>
      <w:r>
        <w:t xml:space="preserve"> </w:t>
      </w:r>
      <w:r>
        <w:t xml:space="preserve">extreme</w:t>
      </w:r>
      <w:r>
        <w:t xml:space="preserve"> </w:t>
      </w:r>
      <w:r>
        <w:t xml:space="preserve">wildfire</w:t>
      </w:r>
      <w:r>
        <w:t xml:space="preserve"> </w:t>
      </w:r>
      <w:r>
        <w:t xml:space="preserve">emissions</w:t>
      </w:r>
      <w:r>
        <w:t xml:space="preserve"> </w:t>
      </w:r>
      <w:r>
        <w:t xml:space="preserve">in</w:t>
      </w:r>
      <w:r>
        <w:t xml:space="preserve"> </w:t>
      </w:r>
      <w:r>
        <w:t xml:space="preserve">2022</w:t>
      </w:r>
      <w:r>
        <w:t xml:space="preserve"> </w:t>
      </w:r>
      <w:r>
        <w:t xml:space="preserve">https://atmosphere.copernicus.eu/cams-monitoring-extreme-wildfire-emissions-2022</w:t>
      </w:r>
      <w:r>
        <w:br/>
      </w:r>
      <w:r>
        <w:t xml:space="preserve">(337) Patacca, M. et al. (2023). Significant increase in natural disturbance impacts on European forests since</w:t>
      </w:r>
      <w:r>
        <w:t xml:space="preserve"> </w:t>
      </w:r>
      <w:r>
        <w:t xml:space="preserve">1950. Global Change Biology, 29, 1359– 1376. https://doi.org/10.1111/gcb.16531. See also McDowell, N.</w:t>
      </w:r>
      <w:r>
        <w:t xml:space="preserve"> </w:t>
      </w:r>
      <w:r>
        <w:t xml:space="preserve">G., Allen, C. D., Anderson-Teixeira, K., Aukema, B. H., Bond-Lamberty, B., Chini, L., … &amp; Xu, C. (2020).</w:t>
      </w:r>
      <w:r>
        <w:t xml:space="preserve"> </w:t>
      </w:r>
      <w:r>
        <w:t xml:space="preserve">Pervasive shifts in forest dynamics in a changing world. Science, 368(6494), eaaz9463.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Climate change must be expected to continue to expose Europe’s forests to growing risks from</w:t>
      </w:r>
      <w:r>
        <w:t xml:space="preserve"> </w:t>
      </w:r>
      <w:r>
        <w:t xml:space="preserve">wildfires, outbreaks of biotic agents, wind throws, or a combination of these three. More than</w:t>
      </w:r>
      <w:r>
        <w:t xml:space="preserve"> </w:t>
      </w:r>
      <w:r>
        <w:t xml:space="preserve">60% of the biomass in European forests is exposed to these risks - over 33 billion tonnes in</w:t>
      </w:r>
      <w:r>
        <w:t xml:space="preserve"> </w:t>
      </w:r>
      <w:r>
        <w:t xml:space="preserve">total - putting the future role of forests for wood provision or carbon sequestration under</w:t>
      </w:r>
      <w:r>
        <w:t xml:space="preserve"> </w:t>
      </w:r>
      <w:r>
        <w:t xml:space="preserve">growing uncertainty (338).</w:t>
      </w:r>
    </w:p>
    <w:p>
      <w:pPr>
        <w:pStyle w:val="BodyText"/>
      </w:pPr>
      <w:r>
        <w:t xml:space="preserve">Figure 19: Reported forest damage in Europe by disturbance until 2019</w:t>
      </w:r>
    </w:p>
    <w:p>
      <w:pPr>
        <w:pStyle w:val="BodyText"/>
      </w:pPr>
      <w:r>
        <w:t xml:space="preserve">Source: Patacca et al. (2023). Graph: EEA</w:t>
      </w:r>
      <w:r>
        <w:t xml:space="preserve"> </w:t>
      </w:r>
      <w:r>
        <w:t xml:space="preserve">2.3.5.1.1.2</w:t>
      </w:r>
      <w:r>
        <w:t xml:space="preserve"> </w:t>
      </w:r>
      <w:r>
        <w:t xml:space="preserve">Projections of future climate change impacts on forests</w:t>
      </w:r>
      <w:r>
        <w:br/>
      </w:r>
      <w:r>
        <w:t xml:space="preserve">The effects of global warming on forest growth and productivity in today’s boreal zone may,</w:t>
      </w:r>
      <w:r>
        <w:t xml:space="preserve"> </w:t>
      </w:r>
      <w:r>
        <w:t xml:space="preserve">on balance, be positive, as tree growth in these regions should benefit from increasing</w:t>
      </w:r>
      <w:r>
        <w:t xml:space="preserve"> </w:t>
      </w:r>
      <w:r>
        <w:t xml:space="preserve">temperatures, longer growth seasons, and higher atmospheric CO2 levels (339)(340). At the</w:t>
      </w:r>
      <w:r>
        <w:t xml:space="preserve"> </w:t>
      </w:r>
      <w:r>
        <w:t xml:space="preserve">same time, even modest climate change may lead to major transitions in boreal forests (341),</w:t>
      </w:r>
      <w:r>
        <w:t xml:space="preserve"> </w:t>
      </w:r>
      <w:r>
        <w:t xml:space="preserve">and the changing climate also incorporates great uncertainties with regard to the frequency</w:t>
      </w:r>
      <w:r>
        <w:t xml:space="preserve"> </w:t>
      </w:r>
      <w:r>
        <w:t xml:space="preserve">and magnitude of natural disturbances. These disturbances may become a major driver of</w:t>
      </w:r>
    </w:p>
    <w:p>
      <w:pPr>
        <w:pStyle w:val="Compact"/>
        <w:numPr>
          <w:ilvl w:val="0"/>
          <w:numId w:val="1085"/>
        </w:numPr>
      </w:pPr>
      <w:r>
        <w:t xml:space="preserve">Forzieri G. et al (2020) Vulnerability of European forests to natural disturbances. JRC PESETA IV project –</w:t>
      </w:r>
      <w:r>
        <w:t xml:space="preserve"> </w:t>
      </w:r>
      <w:r>
        <w:t xml:space="preserve">Task 12. Luxembourg: Publications Office of the European Union / Forzieri, G., Girardello, M., Ceccherini,</w:t>
      </w:r>
      <w:r>
        <w:t xml:space="preserve"> </w:t>
      </w:r>
      <w:r>
        <w:t xml:space="preserve">G. et al. (2021) Emergent vulnerability to climate-driven disturbances in European forests. Nat Commun 12,</w:t>
      </w:r>
    </w:p>
    <w:p>
      <w:pPr>
        <w:pStyle w:val="Compact"/>
        <w:numPr>
          <w:ilvl w:val="0"/>
          <w:numId w:val="1087"/>
        </w:numPr>
      </w:pPr>
      <w:r>
        <w:t xml:space="preserve">Lindner, M., Fitzgerald, J. B., Zimmermann, N. E., Reyer, C., Delzon, S., van Der Maaten, E., … &amp;</w:t>
      </w:r>
      <w:r>
        <w:t xml:space="preserve"> </w:t>
      </w:r>
      <w:r>
        <w:t xml:space="preserve">Hanewinkel, M. (2014). Climate change and European forests: what do we know, what are the uncertainties,</w:t>
      </w:r>
      <w:r>
        <w:t xml:space="preserve"> </w:t>
      </w:r>
      <w:r>
        <w:t xml:space="preserve">and what are the implications for forest management?. Journal of environmental management, 146, 69-83.</w:t>
      </w:r>
    </w:p>
    <w:p>
      <w:pPr>
        <w:pStyle w:val="Compact"/>
        <w:numPr>
          <w:ilvl w:val="0"/>
          <w:numId w:val="1087"/>
        </w:numPr>
      </w:pPr>
      <w:r>
        <w:t xml:space="preserve">Forzieri, G., Dakos, V., McDowell, N.G., Ramdane, A. and Cescatti, A. (2022) Emerging signals of</w:t>
      </w:r>
      <w:r>
        <w:t xml:space="preserve"> </w:t>
      </w:r>
      <w:r>
        <w:t xml:space="preserve">declining</w:t>
      </w:r>
      <w:r>
        <w:t xml:space="preserve"> </w:t>
      </w:r>
      <w:r>
        <w:t xml:space="preserve">forest</w:t>
      </w:r>
      <w:r>
        <w:t xml:space="preserve"> </w:t>
      </w:r>
      <w:r>
        <w:t xml:space="preserve">resilience</w:t>
      </w:r>
      <w:r>
        <w:t xml:space="preserve"> </w:t>
      </w:r>
      <w:r>
        <w:t xml:space="preserve">under</w:t>
      </w:r>
      <w:r>
        <w:t xml:space="preserve"> </w:t>
      </w:r>
      <w:r>
        <w:t xml:space="preserve">climate</w:t>
      </w:r>
      <w:r>
        <w:t xml:space="preserve"> </w:t>
      </w:r>
      <w:r>
        <w:t xml:space="preserve">change.</w:t>
      </w:r>
      <w:r>
        <w:t xml:space="preserve"> </w:t>
      </w:r>
      <w:r>
        <w:t xml:space="preserve">Nature,</w:t>
      </w:r>
      <w:r>
        <w:t xml:space="preserve"> </w:t>
      </w:r>
      <w:r>
        <w:t xml:space="preserve">608,</w:t>
      </w:r>
      <w:r>
        <w:t xml:space="preserve"> </w:t>
      </w:r>
      <w:r>
        <w:t xml:space="preserve">534–539.</w:t>
      </w:r>
      <w:r>
        <w:t xml:space="preserve"> </w:t>
      </w:r>
      <w:r>
        <w:t xml:space="preserve">Available</w:t>
      </w:r>
      <w:r>
        <w:t xml:space="preserve"> </w:t>
      </w:r>
      <w:r>
        <w:t xml:space="preserve">from:</w:t>
      </w:r>
      <w:r>
        <w:t xml:space="preserve"> </w:t>
      </w:r>
      <w:r>
        <w:t xml:space="preserve">https://doi.org/10.1038/s41586-022-04959-9</w:t>
      </w:r>
      <w:r>
        <w:br/>
      </w:r>
    </w:p>
    <w:p>
      <w:pPr>
        <w:pStyle w:val="Compact"/>
        <w:numPr>
          <w:ilvl w:val="0"/>
          <w:numId w:val="1087"/>
        </w:numPr>
      </w:pPr>
      <w:r>
        <w:t xml:space="preserve">Reich, P.B., Bermudez, R., Montgomery, R.A. et al. Even modest climate change may lead to major</w:t>
      </w:r>
      <w:r>
        <w:t xml:space="preserve"> </w:t>
      </w:r>
      <w:r>
        <w:t xml:space="preserve">transitions in boreal forests. Nature 608, 540–545 (2022). https://doi.org/10.1038/s41586-022-05076-3</w:t>
      </w:r>
    </w:p>
    <w:p>
      <w:pPr>
        <w:pStyle w:val="FirstParagraph"/>
      </w:pPr>
      <w:r>
        <w:t xml:space="preserve">90</w:t>
      </w:r>
    </w:p>
    <w:p>
      <w:pPr>
        <w:pStyle w:val="BodyText"/>
      </w:pPr>
      <w:r>
        <w:t xml:space="preserve">forest dynamics and mediate changes in productivity (342). Artificial spruce plantations are</w:t>
      </w:r>
      <w:r>
        <w:t xml:space="preserve"> </w:t>
      </w:r>
      <w:r>
        <w:t xml:space="preserve">suffering under unprecedented droughts and bark beetle infestations. But also beech - a</w:t>
      </w:r>
      <w:r>
        <w:t xml:space="preserve"> </w:t>
      </w:r>
      <w:r>
        <w:t xml:space="preserve">naturally dominant tree species across large regions of Europe’s forests - may experience a</w:t>
      </w:r>
      <w:r>
        <w:t xml:space="preserve"> </w:t>
      </w:r>
      <w:r>
        <w:t xml:space="preserve">progressive decrease of growth ranging from −20% to more than −50% by 2090, depending</w:t>
      </w:r>
      <w:r>
        <w:t xml:space="preserve"> </w:t>
      </w:r>
      <w:r>
        <w:t xml:space="preserve">on the region and climate change scenario (343). Conversely, in Mediterranean forests where</w:t>
      </w:r>
      <w:r>
        <w:t xml:space="preserve"> </w:t>
      </w:r>
      <w:r>
        <w:t xml:space="preserve">water is the limiting factor, the future drier conditions in the region are expected to deteriorate</w:t>
      </w:r>
      <w:r>
        <w:t xml:space="preserve"> </w:t>
      </w:r>
      <w:r>
        <w:t xml:space="preserve">the productivity capacity and even existence of forests and increase tree mortality and wildfire</w:t>
      </w:r>
      <w:r>
        <w:t xml:space="preserve"> </w:t>
      </w:r>
      <w:r>
        <w:t xml:space="preserve">occurrence.</w:t>
      </w:r>
      <w:r>
        <w:br/>
      </w:r>
      <w:r>
        <w:t xml:space="preserve">Importantly, whilst climate change impacts on forests do vary regionally and locally,</w:t>
      </w:r>
      <w:r>
        <w:t xml:space="preserve"> </w:t>
      </w:r>
      <w:r>
        <w:t xml:space="preserve">depending on a variety of factors, any projection is difficult and fraught with significant</w:t>
      </w:r>
      <w:r>
        <w:t xml:space="preserve"> </w:t>
      </w:r>
      <w:r>
        <w:t xml:space="preserve">uncertainty. In addition to the complex interplay of factors in regional exposure and</w:t>
      </w:r>
      <w:r>
        <w:t xml:space="preserve"> </w:t>
      </w:r>
      <w:r>
        <w:t xml:space="preserve">vulnerability to climate impacts, much depends also on the general evolution of climate</w:t>
      </w:r>
      <w:r>
        <w:t xml:space="preserve"> </w:t>
      </w:r>
      <w:r>
        <w:t xml:space="preserve">change itself, and the speed and scale at which its hazards come into force. The IPCC</w:t>
      </w:r>
      <w:r>
        <w:t xml:space="preserve"> </w:t>
      </w:r>
      <w:r>
        <w:t xml:space="preserve">emphasized that for any given level of warming, many climate-related risks are higher than</w:t>
      </w:r>
      <w:r>
        <w:t xml:space="preserve"> </w:t>
      </w:r>
      <w:r>
        <w:t xml:space="preserve">previously estimated (344). In other words, current projections about the size of the climate</w:t>
      </w:r>
      <w:r>
        <w:t xml:space="preserve"> </w:t>
      </w:r>
      <w:r>
        <w:t xml:space="preserve">change impacts on nature and people could be underestimated and worse case scenarios</w:t>
      </w:r>
      <w:r>
        <w:t xml:space="preserve"> </w:t>
      </w:r>
      <w:r>
        <w:t xml:space="preserve">cannot be excluded. For example, a recent global assessment (345) shows that statistically</w:t>
      </w:r>
      <w:r>
        <w:t xml:space="preserve"> </w:t>
      </w:r>
      <w:r>
        <w:t xml:space="preserve">implausible heatwaves have occurred in 31% of the world’s regions between 1959 and 2021,</w:t>
      </w:r>
      <w:r>
        <w:t xml:space="preserve"> </w:t>
      </w:r>
      <w:r>
        <w:t xml:space="preserve">with no apparent spatial or temporal pattern, and that therefore ‘impossible extremes’ could</w:t>
      </w:r>
      <w:r>
        <w:t xml:space="preserve"> </w:t>
      </w:r>
      <w:r>
        <w:t xml:space="preserve">occur anywhere and at any time.</w:t>
      </w:r>
      <w:r>
        <w:br/>
      </w:r>
      <w:r>
        <w:t xml:space="preserve">Using the GLOBIOM model (see Annex 6, section 1.2 for description) to project natural</w:t>
      </w:r>
      <w:r>
        <w:t xml:space="preserve"> </w:t>
      </w:r>
      <w:r>
        <w:t xml:space="preserve">disturbances in Europe, wind is the most important disturbance agent, in terms of the total</w:t>
      </w:r>
      <w:r>
        <w:t xml:space="preserve"> </w:t>
      </w:r>
      <w:r>
        <w:t xml:space="preserve">damage, especially in Central and Northern Europe. Wind is predicted to still account for</w:t>
      </w:r>
      <w:r>
        <w:t xml:space="preserve"> </w:t>
      </w:r>
      <w:r>
        <w:t xml:space="preserve">approximately 50% of the total damage by the end of the century even though its increase in</w:t>
      </w:r>
      <w:r>
        <w:t xml:space="preserve"> </w:t>
      </w:r>
      <w:r>
        <w:t xml:space="preserve">disturbance activity due to climate change is less pronounced than other disturbances. In</w:t>
      </w:r>
      <w:r>
        <w:t xml:space="preserve"> </w:t>
      </w:r>
      <w:r>
        <w:t xml:space="preserve">Mediterranean regions, wildfires are the dominant agent and the projected increase in</w:t>
      </w:r>
      <w:r>
        <w:t xml:space="preserve"> </w:t>
      </w:r>
      <w:r>
        <w:t xml:space="preserve">temperature and reduction in precipitation in the region are expected to increase their</w:t>
      </w:r>
      <w:r>
        <w:t xml:space="preserve"> </w:t>
      </w:r>
      <w:r>
        <w:t xml:space="preserve">frequency and severity (346).</w:t>
      </w:r>
      <w:r>
        <w:br/>
      </w:r>
      <w:r>
        <w:t xml:space="preserve">Figure 20 shows the distribution of wind damage expected in the EU. The areas most prone to</w:t>
      </w:r>
      <w:r>
        <w:t xml:space="preserve"> </w:t>
      </w:r>
      <w:r>
        <w:t xml:space="preserve">damage are those located in the mountain forests of Central Europe, especially in France,</w:t>
      </w:r>
      <w:r>
        <w:t xml:space="preserve"> </w:t>
      </w:r>
      <w:r>
        <w:t xml:space="preserve">Germany, Austria, Czechia and Slovakia, while wind damages for the Mediterranean region</w:t>
      </w:r>
      <w:r>
        <w:t xml:space="preserve"> </w:t>
      </w:r>
      <w:r>
        <w:t xml:space="preserve">would be limited. Apart from mountain forests in Central Europe, the expected vulnerability</w:t>
      </w:r>
      <w:r>
        <w:t xml:space="preserve"> </w:t>
      </w:r>
      <w:r>
        <w:t xml:space="preserve">to wind damage is high in Sweden. Countries in Eastern Europe would display intermediate</w:t>
      </w:r>
      <w:r>
        <w:t xml:space="preserve"> </w:t>
      </w:r>
      <w:r>
        <w:t xml:space="preserve">damage caused by windstorms.</w:t>
      </w:r>
    </w:p>
    <w:p>
      <w:pPr>
        <w:pStyle w:val="Compact"/>
        <w:numPr>
          <w:ilvl w:val="0"/>
          <w:numId w:val="1088"/>
        </w:numPr>
      </w:pPr>
      <w:r>
        <w:t xml:space="preserve">Reyer, C., Lasch-Born, P., Suckow, F., Gutsch, M., Murawski, A., &amp; Pilz, T. (2014). Projections of regional</w:t>
      </w:r>
      <w:r>
        <w:t xml:space="preserve"> </w:t>
      </w:r>
      <w:r>
        <w:t xml:space="preserve">changes in forest net primary productivity for different tree species in Europe driven by climate change and</w:t>
      </w:r>
      <w:r>
        <w:t xml:space="preserve"> </w:t>
      </w:r>
      <w:r>
        <w:t xml:space="preserve">carbon dioxide. Annals of forest science, 71(2), 211-225.</w:t>
      </w:r>
    </w:p>
    <w:p>
      <w:pPr>
        <w:pStyle w:val="Compact"/>
        <w:numPr>
          <w:ilvl w:val="0"/>
          <w:numId w:val="1088"/>
        </w:numPr>
      </w:pPr>
      <w:r>
        <w:t xml:space="preserve">Martinez del Castillo, E., Zang, C.S., Buras, A. et al. Climate-change-driven growth decline of European</w:t>
      </w:r>
      <w:r>
        <w:t xml:space="preserve"> </w:t>
      </w:r>
      <w:r>
        <w:t xml:space="preserve">beech forests. Commun Biol 5, 163 (2022). https://doi.org/10.1038/s42003-022-03107-3</w:t>
      </w:r>
      <w:r>
        <w:br/>
      </w:r>
    </w:p>
    <w:p>
      <w:pPr>
        <w:pStyle w:val="Compact"/>
        <w:numPr>
          <w:ilvl w:val="0"/>
          <w:numId w:val="1088"/>
        </w:numPr>
      </w:pPr>
      <w:r>
        <w:t xml:space="preserve">IPCC (2022) AR6 WGII Climate Change 2022: Impacts, Adaptation and Vulnerability</w:t>
      </w:r>
      <w:r>
        <w:br/>
      </w:r>
    </w:p>
    <w:p>
      <w:pPr>
        <w:pStyle w:val="Compact"/>
        <w:numPr>
          <w:ilvl w:val="0"/>
          <w:numId w:val="1088"/>
        </w:numPr>
      </w:pPr>
      <w:r>
        <w:t xml:space="preserve">Thompson, V., Mitchell, D., Hegerl, G.C. et al. The most at-risk regions in the world for high-impact</w:t>
      </w:r>
      <w:r>
        <w:t xml:space="preserve"> </w:t>
      </w:r>
      <w:r>
        <w:t xml:space="preserve">heatwaves. Nat Commun 14, 2152 (2023). https://doi.org/10.1038/s41467-023-37554-1</w:t>
      </w:r>
      <w:r>
        <w:br/>
      </w:r>
    </w:p>
    <w:p>
      <w:pPr>
        <w:pStyle w:val="Compact"/>
        <w:numPr>
          <w:ilvl w:val="0"/>
          <w:numId w:val="1088"/>
        </w:numPr>
      </w:pPr>
      <w:r>
        <w:t xml:space="preserve">See as well IPCC (2022) AR6 WGII Climate Change 2022: Impacts, Adaptation and Vulnerability. In the</w:t>
      </w:r>
      <w:r>
        <w:t xml:space="preserve"> </w:t>
      </w:r>
      <w:r>
        <w:t xml:space="preserve">long term, lack of precipitation and heat will also reduce tree growth and possibly even make forest</w:t>
      </w:r>
      <w:r>
        <w:t xml:space="preserve"> </w:t>
      </w:r>
      <w:r>
        <w:t xml:space="preserve">regrowth impossible in some parts of the Mediterranean region.</w:t>
      </w:r>
    </w:p>
    <w:p>
      <w:pPr>
        <w:pStyle w:val="FirstParagraph"/>
      </w:pPr>
      <w:r>
        <w:t xml:space="preserve">91</w:t>
      </w:r>
    </w:p>
    <w:p>
      <w:pPr>
        <w:pStyle w:val="BodyText"/>
      </w:pPr>
      <w:r>
        <w:t xml:space="preserve">Figure 20: Distribution of wind damage in the EU</w:t>
      </w:r>
    </w:p>
    <w:p>
      <w:pPr>
        <w:pStyle w:val="BodyText"/>
      </w:pPr>
      <w:r>
        <w:t xml:space="preserve">Note: The figure shows the yearly expected damage in m³/ha/year, caused by windstorms in the EU forest area, as an</w:t>
      </w:r>
      <w:r>
        <w:t xml:space="preserve"> </w:t>
      </w:r>
      <w:r>
        <w:t xml:space="preserve">average over three periods (2030-2040, 2060-2070 and 2090-2100).</w:t>
      </w:r>
      <w:r>
        <w:t xml:space="preserve"> </w:t>
      </w:r>
      <w:r>
        <w:t xml:space="preserve">Source: GLOBIOM.</w:t>
      </w:r>
      <w:r>
        <w:t xml:space="preserve"> </w:t>
      </w:r>
      <w:r>
        <w:t xml:space="preserve">Insect damage is expected to occur mostly in temperate forests of Central Europe, where</w:t>
      </w:r>
      <w:r>
        <w:t xml:space="preserve"> </w:t>
      </w:r>
      <w:r>
        <w:t xml:space="preserve">European spruce bark beetle is the most important biotic disturbance agent. Insect damage is</w:t>
      </w:r>
      <w:r>
        <w:t xml:space="preserve"> </w:t>
      </w:r>
      <w:r>
        <w:t xml:space="preserve">expected to cause the second largest impact of disturbances, accounting for about 25% to 30%</w:t>
      </w:r>
      <w:r>
        <w:t xml:space="preserve"> </w:t>
      </w:r>
      <w:r>
        <w:t xml:space="preserve">of the total damage at the end of the century (347). Similar to wind damage, the vulnerability to</w:t>
      </w:r>
      <w:r>
        <w:t xml:space="preserve"> </w:t>
      </w:r>
      <w:r>
        <w:t xml:space="preserve">insects is according to GLOBIOM modelling highest in Germany, Poland, Austria, Czechia</w:t>
      </w:r>
      <w:r>
        <w:t xml:space="preserve"> </w:t>
      </w:r>
      <w:r>
        <w:t xml:space="preserve">and Slovakia as shown in Figure 21. No major differences across forest types in relation to the</w:t>
      </w:r>
      <w:r>
        <w:t xml:space="preserve"> </w:t>
      </w:r>
      <w:r>
        <w:t xml:space="preserve">predicted insect damage were found in the models, however scientific literature traditionally</w:t>
      </w:r>
      <w:r>
        <w:t xml:space="preserve"> </w:t>
      </w:r>
      <w:r>
        <w:t xml:space="preserve">alerts about the lower resilience to pests and plagues of monoculture plantations (348).</w:t>
      </w:r>
    </w:p>
    <w:p>
      <w:pPr>
        <w:pStyle w:val="Compact"/>
        <w:numPr>
          <w:ilvl w:val="0"/>
          <w:numId w:val="1089"/>
        </w:numPr>
      </w:pPr>
      <w:r>
        <w:t xml:space="preserve">It should be noted that modelling damage by biotic agents for the medium and long term bears considerable</w:t>
      </w:r>
      <w:r>
        <w:t xml:space="preserve"> </w:t>
      </w:r>
      <w:r>
        <w:t xml:space="preserve">uncertainty due to many different drivers, complex interdependencies and non-linear relations.</w:t>
      </w:r>
    </w:p>
    <w:p>
      <w:pPr>
        <w:pStyle w:val="Compact"/>
        <w:numPr>
          <w:ilvl w:val="0"/>
          <w:numId w:val="1089"/>
        </w:numPr>
      </w:pPr>
      <w:r>
        <w:t xml:space="preserve">Liu, C. L. C., Kuchma, O., &amp; Krutovsky, K. V. ‘Mixed-species versus monocultures in plantation forestry:</w:t>
      </w:r>
      <w:r>
        <w:t xml:space="preserve"> </w:t>
      </w:r>
      <w:r>
        <w:t xml:space="preserve">Development, benefits, ecosystem services and perspectives for the future’, Global Ecology and</w:t>
      </w:r>
      <w:r>
        <w:t xml:space="preserve"> </w:t>
      </w:r>
      <w:r>
        <w:t xml:space="preserve">conservation, 15, 2018.</w:t>
      </w:r>
    </w:p>
    <w:p>
      <w:pPr>
        <w:pStyle w:val="FirstParagraph"/>
      </w:pPr>
      <w:r>
        <w:t xml:space="preserve">92</w:t>
      </w:r>
    </w:p>
    <w:p>
      <w:pPr>
        <w:pStyle w:val="BodyText"/>
      </w:pPr>
      <w:r>
        <w:t xml:space="preserve">Figure 21: Distribution of insect damage in the EU</w:t>
      </w:r>
    </w:p>
    <w:p>
      <w:pPr>
        <w:pStyle w:val="BodyText"/>
      </w:pPr>
      <w:r>
        <w:t xml:space="preserve">Note: The figure shows the yearly expected damage in m³/ha/year, caused by insect outbreaks in the EU forest</w:t>
      </w:r>
      <w:r>
        <w:t xml:space="preserve"> </w:t>
      </w:r>
      <w:r>
        <w:t xml:space="preserve">area, as an average over three periods (2030-2040, 2060-2070 and 2090-2100).</w:t>
      </w:r>
      <w:r>
        <w:t xml:space="preserve"> </w:t>
      </w:r>
      <w:r>
        <w:t xml:space="preserve">Source: GLOBIOM</w:t>
      </w:r>
      <w:r>
        <w:t xml:space="preserve"> </w:t>
      </w:r>
      <w:r>
        <w:t xml:space="preserve">The JRC PESETA IV study (349) assessed the wildfire danger and vulnerability for Europe</w:t>
      </w:r>
      <w:r>
        <w:t xml:space="preserve"> </w:t>
      </w:r>
      <w:r>
        <w:t xml:space="preserve">and found that the number of days with high-to-extreme wildfire danger is expected to</w:t>
      </w:r>
      <w:r>
        <w:t xml:space="preserve"> </w:t>
      </w:r>
      <w:r>
        <w:t xml:space="preserve">significantly increase in the future through climate change, particularly in Mediterranean</w:t>
      </w:r>
      <w:r>
        <w:t xml:space="preserve"> </w:t>
      </w:r>
      <w:r>
        <w:t xml:space="preserve">Europe (Figure 22) due to drier and warmer conditions.</w:t>
      </w:r>
      <w:r>
        <w:br/>
      </w:r>
      <w:r>
        <w:t xml:space="preserve">Figure 22: High-to-extreme fire danger by different levels of global warming</w:t>
      </w:r>
    </w:p>
    <w:p>
      <w:pPr>
        <w:pStyle w:val="BodyText"/>
      </w:pPr>
      <w:r>
        <w:t xml:space="preserve">Note: Additional days per year with high-to-extreme fire danger, with reference to the situation in the control period</w:t>
      </w:r>
      <w:r>
        <w:t xml:space="preserve"> </w:t>
      </w:r>
      <w:r>
        <w:t xml:space="preserve">1981-2010, for different levels of global warming compare dot pre-industrial times.</w:t>
      </w:r>
      <w:r>
        <w:br/>
      </w:r>
      <w:r>
        <w:t xml:space="preserve">Source: JRC PESETA IV (350)</w:t>
      </w:r>
    </w:p>
    <w:p>
      <w:pPr>
        <w:pStyle w:val="Compact"/>
        <w:numPr>
          <w:ilvl w:val="0"/>
          <w:numId w:val="1090"/>
        </w:numPr>
      </w:pPr>
      <w:r>
        <w:t xml:space="preserve">Costa, H., de Rigo, D., Libertà, G., Houston Durrant, T., San-Miguel-Ayanz, J., 2020. European wildfire</w:t>
      </w:r>
      <w:r>
        <w:t xml:space="preserve"> </w:t>
      </w:r>
      <w:r>
        <w:t xml:space="preserve">danger and vulnerability in a changing climate: towards integrating risk dimensions. Publications Office of</w:t>
      </w:r>
      <w:r>
        <w:t xml:space="preserve"> </w:t>
      </w:r>
      <w:r>
        <w:t xml:space="preserve">the European Union, Luxembourg, 59 pp. ISBN:978-92-76-16898-0 , https://doi.org/10.2760/46951</w:t>
      </w:r>
    </w:p>
    <w:p>
      <w:pPr>
        <w:pStyle w:val="Compact"/>
        <w:numPr>
          <w:ilvl w:val="0"/>
          <w:numId w:val="1090"/>
        </w:numPr>
      </w:pPr>
      <w:r>
        <w:t xml:space="preserve">Costa, H., et al. 2020. European wildfire danger and vulnerability in a changing climate: towards integrating</w:t>
      </w:r>
      <w:r>
        <w:t xml:space="preserve"> </w:t>
      </w:r>
      <w:r>
        <w:t xml:space="preserve">risk dimensions. Publications Office of the European Union, Luxembourg, 59 pp</w:t>
      </w:r>
    </w:p>
    <w:p>
      <w:pPr>
        <w:pStyle w:val="FirstParagraph"/>
      </w:pPr>
      <w:r>
        <w:t xml:space="preserve">93</w:t>
      </w:r>
    </w:p>
    <w:p>
      <w:pPr>
        <w:pStyle w:val="BodyText"/>
      </w:pPr>
      <w:r>
        <w:t xml:space="preserve">GLOBIOM modelling projects wildfires to account for roughly 15-20% of the total damage at</w:t>
      </w:r>
      <w:r>
        <w:t xml:space="preserve"> </w:t>
      </w:r>
      <w:r>
        <w:t xml:space="preserve">the end of the century and to occur mostly in the Mediterranean region with hotspots in</w:t>
      </w:r>
      <w:r>
        <w:t xml:space="preserve"> </w:t>
      </w:r>
      <w:r>
        <w:t xml:space="preserve">Portugal, Spain Italy and Greece as shown in Figure 23. Other projections (351)(352) estimated</w:t>
      </w:r>
      <w:r>
        <w:t xml:space="preserve"> </w:t>
      </w:r>
      <w:r>
        <w:t xml:space="preserve">similar results for regional hotspots of natural disturbances but showed sharper increase in</w:t>
      </w:r>
      <w:r>
        <w:t xml:space="preserve"> </w:t>
      </w:r>
      <w:r>
        <w:t xml:space="preserve">damaged volumes.</w:t>
      </w:r>
      <w:r>
        <w:t xml:space="preserve"> </w:t>
      </w:r>
      <w:r>
        <w:t xml:space="preserve">Figure 23: Distribution of wildfire damage in EU</w:t>
      </w:r>
    </w:p>
    <w:p>
      <w:pPr>
        <w:pStyle w:val="BodyText"/>
      </w:pPr>
      <w:r>
        <w:t xml:space="preserve">Note: The figure shows the yearly expected damage in m³/ha/year, caused by wildfires in the EU forest area, as an</w:t>
      </w:r>
      <w:r>
        <w:t xml:space="preserve"> </w:t>
      </w:r>
      <w:r>
        <w:t xml:space="preserve">average over three periods (2030-2040, 2060-2070 and 2090-2100).</w:t>
      </w:r>
      <w:r>
        <w:t xml:space="preserve"> </w:t>
      </w:r>
      <w:r>
        <w:t xml:space="preserve">Source: GLOBIOM</w:t>
      </w:r>
      <w:r>
        <w:t xml:space="preserve"> </w:t>
      </w:r>
      <w:r>
        <w:t xml:space="preserve">In general, hotspots of damage to forests were observed in Scandinavia and mountain forests</w:t>
      </w:r>
      <w:r>
        <w:t xml:space="preserve"> </w:t>
      </w:r>
      <w:r>
        <w:t xml:space="preserve">of Central Europe. A driving factor for the disturbances in these areas might be related to the</w:t>
      </w:r>
      <w:r>
        <w:t xml:space="preserve"> </w:t>
      </w:r>
      <w:r>
        <w:t xml:space="preserve">large share of conifer forests. Spruce forests, which is the dominant species of montane</w:t>
      </w:r>
      <w:r>
        <w:t xml:space="preserve"> </w:t>
      </w:r>
      <w:r>
        <w:t xml:space="preserve">forests in central Europe, are particularly vulnerable to wind damage, due to the shallow root</w:t>
      </w:r>
      <w:r>
        <w:t xml:space="preserve"> </w:t>
      </w:r>
      <w:r>
        <w:t xml:space="preserve">system of the species.</w:t>
      </w:r>
      <w:r>
        <w:br/>
      </w:r>
      <w:r>
        <w:t xml:space="preserve">Adaptation measures may increase the resilience of the forests and thereby the carbon sinks</w:t>
      </w:r>
      <w:r>
        <w:t xml:space="preserve"> </w:t>
      </w:r>
      <w:r>
        <w:t xml:space="preserve">and stocks, making it less vulnerable to natural disturbances and climate change. These</w:t>
      </w:r>
      <w:r>
        <w:t xml:space="preserve"> </w:t>
      </w:r>
      <w:r>
        <w:t xml:space="preserve">measures can play a key role in mitigating wind damage in European forests and aim at</w:t>
      </w:r>
      <w:r>
        <w:t xml:space="preserve"> </w:t>
      </w:r>
      <w:r>
        <w:t xml:space="preserve">increasing forest resilience towards environmental pressures on forest ecosystems.</w:t>
      </w:r>
      <w:r>
        <w:t xml:space="preserve"> </w:t>
      </w:r>
      <w:r>
        <w:t xml:space="preserve">Particularly, future species selection must take into consideration the risks of wind damage</w:t>
      </w:r>
      <w:r>
        <w:t xml:space="preserve"> </w:t>
      </w:r>
      <w:r>
        <w:t xml:space="preserve">and promote groups with higher stability (353). Similarly, the selection of species plays an</w:t>
      </w:r>
      <w:r>
        <w:t xml:space="preserve"> </w:t>
      </w:r>
      <w:r>
        <w:t xml:space="preserve">important role in the resistance to fire occurrence (354). Importantly, ambitious adaptation</w:t>
      </w:r>
      <w:r>
        <w:t xml:space="preserve"> </w:t>
      </w:r>
      <w:r>
        <w:t xml:space="preserve">measures for forests may prevent more dramatic sink losses in the future but require decades</w:t>
      </w:r>
    </w:p>
    <w:p>
      <w:pPr>
        <w:pStyle w:val="Compact"/>
        <w:numPr>
          <w:ilvl w:val="0"/>
          <w:numId w:val="1091"/>
        </w:numPr>
      </w:pPr>
      <w:r>
        <w:t xml:space="preserve">Gregor, K., Knoke, T., Krause, A., Reyer, C. P., Lindeskog, M., Papastefanou, P., … &amp; Rammig, A. (2022).</w:t>
      </w:r>
      <w:r>
        <w:t xml:space="preserve"> </w:t>
      </w:r>
      <w:r>
        <w:t xml:space="preserve">Trade‐offs for climate‐smart forestry in Europe under uncertain future climate. Earth’s Future,</w:t>
      </w:r>
      <w:r>
        <w:t xml:space="preserve"> </w:t>
      </w:r>
      <w:r>
        <w:t xml:space="preserve">e2022EF002796.</w:t>
      </w:r>
    </w:p>
    <w:p>
      <w:pPr>
        <w:pStyle w:val="Compact"/>
        <w:numPr>
          <w:ilvl w:val="0"/>
          <w:numId w:val="1091"/>
        </w:numPr>
      </w:pPr>
      <w:r>
        <w:t xml:space="preserve">Seidl, R., Schelhaas, M. J., Rammer, W., &amp; Verkerk, P. J. (2014). Increasing forest disturbances in Europe</w:t>
      </w:r>
      <w:r>
        <w:t xml:space="preserve"> </w:t>
      </w:r>
      <w:r>
        <w:t xml:space="preserve">and their impact on carbon storage. Nature climate change, 4(9), 806-810.</w:t>
      </w:r>
    </w:p>
    <w:p>
      <w:pPr>
        <w:pStyle w:val="Compact"/>
        <w:numPr>
          <w:ilvl w:val="0"/>
          <w:numId w:val="1091"/>
        </w:numPr>
      </w:pPr>
      <w:r>
        <w:t xml:space="preserve">Albrich, K., Rammer, W., Thom, D., &amp; Seidl, R. (2018). Trade‐offs between temporal stability and level of</w:t>
      </w:r>
      <w:r>
        <w:t xml:space="preserve"> </w:t>
      </w:r>
      <w:r>
        <w:t xml:space="preserve">forest ecosystem services provisioning under climate change. Ecological Applications, 28(7), 1884-1896.</w:t>
      </w:r>
    </w:p>
    <w:p>
      <w:pPr>
        <w:pStyle w:val="Compact"/>
        <w:numPr>
          <w:ilvl w:val="0"/>
          <w:numId w:val="1091"/>
        </w:numPr>
      </w:pPr>
      <w:r>
        <w:t xml:space="preserve">Adámek, M., Jankovská, Z., Hadincová, V., Kula, E., &amp; Wild, J. (2018). Drivers of forest fire occurrence in</w:t>
      </w:r>
      <w:r>
        <w:t xml:space="preserve"> </w:t>
      </w:r>
      <w:r>
        <w:t xml:space="preserve">the cultural landscape of Central Europe. Landscape Ecology, 33(11), 2031-2045.</w:t>
      </w:r>
    </w:p>
    <w:p>
      <w:pPr>
        <w:pStyle w:val="FirstParagraph"/>
      </w:pPr>
      <w:r>
        <w:t xml:space="preserve">94</w:t>
      </w:r>
    </w:p>
    <w:p>
      <w:pPr>
        <w:pStyle w:val="BodyText"/>
      </w:pPr>
      <w:r>
        <w:t xml:space="preserve">of implementation. The rate of deliberate forest renewal and transformation is slow, and hence</w:t>
      </w:r>
      <w:r>
        <w:t xml:space="preserve"> </w:t>
      </w:r>
      <w:r>
        <w:t xml:space="preserve">most of today’s forest ecosystems, with their specific structural and functional traits, will still</w:t>
      </w:r>
      <w:r>
        <w:t xml:space="preserve"> </w:t>
      </w:r>
      <w:r>
        <w:t xml:space="preserve">be in place in 2040, exposed throughout the years to the rapidly changing climatic drivers.</w:t>
      </w:r>
      <w:r>
        <w:t xml:space="preserve"> </w:t>
      </w:r>
      <w:r>
        <w:t xml:space="preserve">Hence their effect between 2030 and 2040 will be limited. Adaptation to climate change may</w:t>
      </w:r>
      <w:r>
        <w:t xml:space="preserve"> </w:t>
      </w:r>
      <w:r>
        <w:t xml:space="preserve">therefore play a minor role for the achievement of the 2040 climate targets, but urgent action</w:t>
      </w:r>
      <w:r>
        <w:t xml:space="preserve"> </w:t>
      </w:r>
      <w:r>
        <w:t xml:space="preserve">is nevertheless needed.</w:t>
      </w:r>
      <w:r>
        <w:br/>
      </w:r>
      <w:r>
        <w:t xml:space="preserve">Adaptation might also provide a challenge for forest management. Traditional forestry</w:t>
      </w:r>
      <w:r>
        <w:t xml:space="preserve"> </w:t>
      </w:r>
      <w:r>
        <w:t xml:space="preserve">systems and methods provide only limited direction for future forest management under</w:t>
      </w:r>
      <w:r>
        <w:t xml:space="preserve"> </w:t>
      </w:r>
      <w:r>
        <w:t xml:space="preserve">changing conditions. Climate change may result in forest types that are unfamiliar and</w:t>
      </w:r>
      <w:r>
        <w:t xml:space="preserve"> </w:t>
      </w:r>
      <w:r>
        <w:t xml:space="preserve">unprecedented, hence information on historical tree species compositions may often be of</w:t>
      </w:r>
      <w:r>
        <w:t xml:space="preserve"> </w:t>
      </w:r>
      <w:r>
        <w:t xml:space="preserve">little value for adaptive forest management. This lack of predictability calls for adaptive,</w:t>
      </w:r>
      <w:r>
        <w:t xml:space="preserve"> </w:t>
      </w:r>
      <w:r>
        <w:t xml:space="preserve">diversified and resilience-enhancing forest management systems with a preference for ‘no</w:t>
      </w:r>
      <w:r>
        <w:t xml:space="preserve"> </w:t>
      </w:r>
      <w:r>
        <w:t xml:space="preserve">regret’ practices which work under any climate scenario.</w:t>
      </w:r>
      <w:r>
        <w:t xml:space="preserve"> </w:t>
      </w:r>
      <w:r>
        <w:t xml:space="preserve">2.3.5.2 Agriculture</w:t>
      </w:r>
      <w:r>
        <w:br/>
      </w:r>
      <w:r>
        <w:t xml:space="preserve">2.3.5.2.1 Water management</w:t>
      </w:r>
      <w:r>
        <w:t xml:space="preserve"> </w:t>
      </w:r>
      <w:r>
        <w:t xml:space="preserve">Water scarcity exacerbated by climate change (see section 2.3.2) is threatening agriculture in</w:t>
      </w:r>
      <w:r>
        <w:t xml:space="preserve"> </w:t>
      </w:r>
      <w:r>
        <w:t xml:space="preserve">particular, as 24% of Europe’s water abstraction is due to agriculture (355). Analysis of</w:t>
      </w:r>
      <w:r>
        <w:t xml:space="preserve"> </w:t>
      </w:r>
      <w:r>
        <w:t xml:space="preserve">impacts of droughts on agriculture show reduced productivity on annual and perennial crops,</w:t>
      </w:r>
      <w:r>
        <w:t xml:space="preserve"> </w:t>
      </w:r>
      <w:r>
        <w:t xml:space="preserve">reduced availability of irrigation water and impacts on livestock farming. In turn, the</w:t>
      </w:r>
      <w:r>
        <w:t xml:space="preserve"> </w:t>
      </w:r>
      <w:r>
        <w:t xml:space="preserve">extraction of water for irrigation amplifies pressure on water resources. Hence the high</w:t>
      </w:r>
      <w:r>
        <w:t xml:space="preserve"> </w:t>
      </w:r>
      <w:r>
        <w:t xml:space="preserve">consumption of water contributes to decreasing groundwater levels and severe lack of water</w:t>
      </w:r>
      <w:r>
        <w:t xml:space="preserve"> </w:t>
      </w:r>
      <w:r>
        <w:t xml:space="preserve">availability in some European regions.</w:t>
      </w:r>
      <w:r>
        <w:br/>
      </w:r>
      <w:r>
        <w:t xml:space="preserve">The share of irrigated agricultural land varies among European regions, with 60% of all</w:t>
      </w:r>
      <w:r>
        <w:t xml:space="preserve"> </w:t>
      </w:r>
      <w:r>
        <w:t xml:space="preserve">irrigated areas being located in Southern Europe, where 85% of all irrigation abstraction takes</w:t>
      </w:r>
      <w:r>
        <w:t xml:space="preserve"> </w:t>
      </w:r>
      <w:r>
        <w:t xml:space="preserve">place (356). Southern Europe is also projected to experience less precipitation in the future and</w:t>
      </w:r>
      <w:r>
        <w:t xml:space="preserve"> </w:t>
      </w:r>
      <w:r>
        <w:t xml:space="preserve">more frequent and severe droughts, reducing the availability of water for irrigation. At the</w:t>
      </w:r>
      <w:r>
        <w:t xml:space="preserve"> </w:t>
      </w:r>
      <w:r>
        <w:t xml:space="preserve">same time, increased evapotranspiration rates due to increasing temperatures will further</w:t>
      </w:r>
      <w:r>
        <w:t xml:space="preserve"> </w:t>
      </w:r>
      <w:r>
        <w:t xml:space="preserve">increase crop water requirements. With increasing global warming irrigation water demand is</w:t>
      </w:r>
      <w:r>
        <w:t xml:space="preserve"> </w:t>
      </w:r>
      <w:r>
        <w:t xml:space="preserve">projected to increase in most irrigated regions in Europe, putting additional pressure on water</w:t>
      </w:r>
      <w:r>
        <w:t xml:space="preserve"> </w:t>
      </w:r>
      <w:r>
        <w:t xml:space="preserve">resources (357).</w:t>
      </w:r>
      <w:r>
        <w:br/>
      </w:r>
      <w:r>
        <w:t xml:space="preserve">While irrigation may look like a suitable adaptation option to avoid production losses, large-</w:t>
      </w:r>
      <w:r>
        <w:t xml:space="preserve"> </w:t>
      </w:r>
      <w:r>
        <w:t xml:space="preserve">scale or ground-water reliant irrigation can be a form of maladaptation, as it reduces</w:t>
      </w:r>
      <w:r>
        <w:t xml:space="preserve"> </w:t>
      </w:r>
      <w:r>
        <w:t xml:space="preserve">groundwater availability, reduces long-term potential for hydropower, and can increase</w:t>
      </w:r>
      <w:r>
        <w:t xml:space="preserve"> </w:t>
      </w:r>
      <w:r>
        <w:t xml:space="preserve">salinization, cost of water and reduce availability of water for aquaculture. It can also increase</w:t>
      </w:r>
      <w:r>
        <w:t xml:space="preserve"> </w:t>
      </w:r>
      <w:r>
        <w:t xml:space="preserve">expenses for farmers, affecting small-scale farmers the most (358) (359).</w:t>
      </w:r>
    </w:p>
    <w:p>
      <w:pPr>
        <w:pStyle w:val="Compact"/>
        <w:numPr>
          <w:ilvl w:val="0"/>
          <w:numId w:val="1092"/>
        </w:numPr>
      </w:pPr>
      <w:r>
        <w:t xml:space="preserve">European Court of Auditors, ‘Sustainable water use in agriculture’, Special Report, 20, 2021.</w:t>
      </w:r>
      <w:r>
        <w:br/>
      </w:r>
    </w:p>
    <w:p>
      <w:pPr>
        <w:pStyle w:val="Compact"/>
        <w:numPr>
          <w:ilvl w:val="0"/>
          <w:numId w:val="1092"/>
        </w:numPr>
      </w:pPr>
      <w:r>
        <w:t xml:space="preserve">European Environment Agency, 2021. Water resources across Europe — confronting water stress: an</w:t>
      </w:r>
      <w:r>
        <w:t xml:space="preserve"> </w:t>
      </w:r>
      <w:r>
        <w:t xml:space="preserve">updated assessment.</w:t>
      </w:r>
    </w:p>
    <w:p>
      <w:pPr>
        <w:pStyle w:val="Compact"/>
        <w:numPr>
          <w:ilvl w:val="0"/>
          <w:numId w:val="1092"/>
        </w:numPr>
      </w:pPr>
      <w:r>
        <w:t xml:space="preserve">European Environment Agency, 2019. Climate change adaptation in the agriculture sector in Europe.</w:t>
      </w:r>
    </w:p>
    <w:p>
      <w:pPr>
        <w:pStyle w:val="Compact"/>
        <w:numPr>
          <w:ilvl w:val="0"/>
          <w:numId w:val="1092"/>
        </w:numPr>
      </w:pPr>
      <w:r>
        <w:t xml:space="preserve">Bezner Kerr, R., T. Hasegawa, R. Lasco, I. Bhatt, D. Deryng, A. Farrell, H. Gurney-Smith, H. Ju, S. Lluch-</w:t>
      </w:r>
      <w:r>
        <w:t xml:space="preserve"> </w:t>
      </w:r>
      <w:r>
        <w:t xml:space="preserve">Cota, F. Meza, G. Nelson, H. Neufeldt, and P. Thornton, 2022: Food, Fibre, and Other Ecosystem Products.</w:t>
      </w:r>
      <w:r>
        <w:t xml:space="preserve"> </w:t>
      </w:r>
      <w:r>
        <w:t xml:space="preserve">In: Climate Change 2022: Impacts, Adaptation and Vulnerability. Contribution of Working Group II to the</w:t>
      </w:r>
    </w:p>
    <w:p>
      <w:pPr>
        <w:pStyle w:val="FirstParagraph"/>
      </w:pPr>
      <w:r>
        <w:t xml:space="preserve">95</w:t>
      </w:r>
    </w:p>
    <w:p>
      <w:pPr>
        <w:pStyle w:val="BodyText"/>
      </w:pPr>
      <w:r>
        <w:t xml:space="preserve">2.3.5.2.2 Impacts on crops</w:t>
      </w:r>
      <w:r>
        <w:t xml:space="preserve"> </w:t>
      </w:r>
      <w:r>
        <w:t xml:space="preserve">Climate change is already affecting agriculture through warming and precipitation changes,</w:t>
      </w:r>
      <w:r>
        <w:t xml:space="preserve"> </w:t>
      </w:r>
      <w:r>
        <w:t xml:space="preserve">which has resulted in the northward movement of agro-climatic zones in Europe, earlier onset</w:t>
      </w:r>
      <w:r>
        <w:t xml:space="preserve"> </w:t>
      </w:r>
      <w:r>
        <w:t xml:space="preserve">of the growing season, and the changes in crop yields, forest productivity and livestock. While</w:t>
      </w:r>
      <w:r>
        <w:t xml:space="preserve"> </w:t>
      </w:r>
      <w:r>
        <w:t xml:space="preserve">for many years in Europe crop yields have been increasing, several studies suggest an</w:t>
      </w:r>
      <w:r>
        <w:t xml:space="preserve"> </w:t>
      </w:r>
      <w:r>
        <w:t xml:space="preserve">important role of climate change in the observed flattening of yield levels in Western Europe.</w:t>
      </w:r>
      <w:r>
        <w:t xml:space="preserve"> </w:t>
      </w:r>
      <w:r>
        <w:t xml:space="preserve">The combination of heat, drought and excessive rain have caused increased costs and</w:t>
      </w:r>
      <w:r>
        <w:t xml:space="preserve"> </w:t>
      </w:r>
      <w:r>
        <w:t xml:space="preserve">economic losses in annual and permanent crops (360). Weather extremes due to compound</w:t>
      </w:r>
      <w:r>
        <w:t xml:space="preserve"> </w:t>
      </w:r>
      <w:r>
        <w:t xml:space="preserve">effect of cold winters, excessive autumn and spring precipitation and summer drought have</w:t>
      </w:r>
      <w:r>
        <w:t xml:space="preserve"> </w:t>
      </w:r>
      <w:r>
        <w:t xml:space="preserve">already caused production losses in the past years.</w:t>
      </w:r>
      <w:r>
        <w:br/>
      </w:r>
      <w:r>
        <w:t xml:space="preserve">Climate change impacts agricultural crop productivity in various ways. The temperature</w:t>
      </w:r>
      <w:r>
        <w:t xml:space="preserve"> </w:t>
      </w:r>
      <w:r>
        <w:t xml:space="preserve">requirements of the crop, lower rainfall, increasing variability, the length of the growing</w:t>
      </w:r>
      <w:r>
        <w:t xml:space="preserve"> </w:t>
      </w:r>
      <w:r>
        <w:t xml:space="preserve">season and agronomic limitations such as whether a crop is cultivated under rainfed or</w:t>
      </w:r>
      <w:r>
        <w:t xml:space="preserve"> </w:t>
      </w:r>
      <w:r>
        <w:t xml:space="preserve">irrigated systems play an important role. An increase in CO2 concentration in the atmosphere</w:t>
      </w:r>
      <w:r>
        <w:t xml:space="preserve"> </w:t>
      </w:r>
      <w:r>
        <w:t xml:space="preserve">has an important impact on the photosynthesis of plants, which on average leads to an</w:t>
      </w:r>
      <w:r>
        <w:t xml:space="preserve"> </w:t>
      </w:r>
      <w:r>
        <w:t xml:space="preserve">increase in biomass productivity for crops, known as the CO2 fertilisation effect, which can</w:t>
      </w:r>
      <w:r>
        <w:t xml:space="preserve"> </w:t>
      </w:r>
      <w:r>
        <w:t xml:space="preserve">for some crops (e.g., wheat and barley) counterbalance some of the negative impacts of</w:t>
      </w:r>
      <w:r>
        <w:t xml:space="preserve"> </w:t>
      </w:r>
      <w:r>
        <w:t xml:space="preserve">drought and warming (361).</w:t>
      </w:r>
      <w:r>
        <w:t xml:space="preserve"> </w:t>
      </w:r>
      <w:r>
        <w:t xml:space="preserve">The JRC PESETA IV study (362) assessed the impact of climate change on crop yields in</w:t>
      </w:r>
      <w:r>
        <w:t xml:space="preserve"> </w:t>
      </w:r>
      <w:r>
        <w:t xml:space="preserve">Europe, assuming no enhanced yield from CO2 fertilization, and found that grain maize is</w:t>
      </w:r>
      <w:r>
        <w:t xml:space="preserve"> </w:t>
      </w:r>
      <w:r>
        <w:t xml:space="preserve">projected to be most affected with substantial yield reductions for most of the producing</w:t>
      </w:r>
      <w:r>
        <w:t xml:space="preserve"> </w:t>
      </w:r>
      <w:r>
        <w:t xml:space="preserve">countries in Europe. At 1.5oC global temperature increase, maize yield would decrease by 3%</w:t>
      </w:r>
      <w:r>
        <w:t xml:space="preserve"> </w:t>
      </w:r>
      <w:r>
        <w:t xml:space="preserve">in Northern Europe and 7% in Southern Europe, and under 2.0C by 5% in Northern Europe</w:t>
      </w:r>
      <w:r>
        <w:t xml:space="preserve"> </w:t>
      </w:r>
      <w:r>
        <w:t xml:space="preserve">and 11% in Southern Europe (see Figure 24). Few Northern European countries could</w:t>
      </w:r>
      <w:r>
        <w:t xml:space="preserve"> </w:t>
      </w:r>
      <w:r>
        <w:t xml:space="preserve">experience low gains in yield of grain maize. Overall yield reductions are lower at lower</w:t>
      </w:r>
      <w:r>
        <w:t xml:space="preserve"> </w:t>
      </w:r>
      <w:r>
        <w:t xml:space="preserve">levels of warming. As grain maize is irrigated in most of Europe, these projections of impacts</w:t>
      </w:r>
    </w:p>
    <w:p>
      <w:pPr>
        <w:pStyle w:val="BodyText"/>
      </w:pPr>
      <w:r>
        <w:t xml:space="preserve">Sixth Assessment Report of the Intergovernmental Panel on Climate Change [H.-O. Pörtner, D.C. Roberts,</w:t>
      </w:r>
      <w:r>
        <w:t xml:space="preserve"> </w:t>
      </w:r>
      <w:r>
        <w:t xml:space="preserve">M. Tignor, E.S. Poloczanska, K. Mintenbeck, A. Alegría, M. Craig, S. Langsdorf, S. Löschke, V. Möller, A.</w:t>
      </w:r>
      <w:r>
        <w:t xml:space="preserve"> </w:t>
      </w:r>
      <w:r>
        <w:t xml:space="preserve">Okem, B. Rama (eds.)]. Cambridge University Press, Cambridge, UK and New York, NY, USA, pp. 713–</w:t>
      </w:r>
      <w:r>
        <w:t xml:space="preserve"> </w:t>
      </w:r>
      <w:r>
        <w:t xml:space="preserve">906, doi:10.1017/9781009325844.007</w:t>
      </w:r>
      <w:r>
        <w:t xml:space="preserve"> </w:t>
      </w:r>
      <w:r>
        <w:t xml:space="preserve">(359) Some municipalities in the EU have already increased their prices for water use from agriculture to due</w:t>
      </w:r>
      <w:r>
        <w:t xml:space="preserve"> </w:t>
      </w:r>
      <w:r>
        <w:t xml:space="preserve">water scarcity. Though many Member States apply different exemptions from the requirement for water</w:t>
      </w:r>
      <w:r>
        <w:t xml:space="preserve"> </w:t>
      </w:r>
      <w:r>
        <w:t xml:space="preserve">abstraction and have water pricing levels for agriculture that do not take recovery costs for water services</w:t>
      </w:r>
      <w:r>
        <w:t xml:space="preserve"> </w:t>
      </w:r>
      <w:r>
        <w:t xml:space="preserve">into account.</w:t>
      </w:r>
      <w:r>
        <w:br/>
      </w:r>
      <w:r>
        <w:t xml:space="preserve">(360) Stahl et al. 2016</w:t>
      </w:r>
      <w:r>
        <w:t xml:space="preserve"> </w:t>
      </w:r>
      <w:r>
        <w:t xml:space="preserve">(361) Bednar-Friedl, B., R. Biesbroek, D.N. Schmidt, P. Alexander, K.Y. Børsheim, J. Carnicer, E.</w:t>
      </w:r>
      <w:r>
        <w:t xml:space="preserve"> </w:t>
      </w:r>
      <w:r>
        <w:t xml:space="preserve">Georgopoulou, M. Haasnoot, G. Le Cozannet, P. Lionello, O. Lipka, C. Möllmann, V. Muccione, T.</w:t>
      </w:r>
      <w:r>
        <w:t xml:space="preserve"> </w:t>
      </w:r>
      <w:r>
        <w:t xml:space="preserve">Mustonen, D. Piepenburg, and L.Whitmarsh, 2022: Europe. In: Climate Change 2022: Impacts, Adaptation</w:t>
      </w:r>
      <w:r>
        <w:t xml:space="preserve"> </w:t>
      </w:r>
      <w:r>
        <w:t xml:space="preserve">and Vulnerability. Contribution of Working Group II to the Sixth Assessment Report of the</w:t>
      </w:r>
      <w:r>
        <w:t xml:space="preserve"> </w:t>
      </w:r>
      <w:r>
        <w:t xml:space="preserve">Intergovernmental Panel on Climate Change [H.-O. Pörtner, D.C. Roberts, M. Tignor, E.S. Poloczanska, K.</w:t>
      </w:r>
      <w:r>
        <w:t xml:space="preserve"> </w:t>
      </w:r>
      <w:r>
        <w:t xml:space="preserve">Mintenbeck, A. Alegría, M. Craig, S. Langsdorf, S. Löschke, V. Möller, A. Okem, B. Rama (eds.)].</w:t>
      </w:r>
      <w:r>
        <w:t xml:space="preserve"> </w:t>
      </w:r>
      <w:r>
        <w:t xml:space="preserve">Cambridge University Press, Cambridge, UK and New York, NY, USA, pp. 1817–1927,</w:t>
      </w:r>
      <w:r>
        <w:t xml:space="preserve"> </w:t>
      </w:r>
      <w:r>
        <w:t xml:space="preserve">doi:10.1017/9781009325844.015.</w:t>
      </w:r>
      <w:r>
        <w:t xml:space="preserve"> </w:t>
      </w:r>
      <w:r>
        <w:t xml:space="preserve">(362) Hristov, J., Toreti, A., Pérez Domínguez, I., Dentener, F., Fellmann, T., Elleby C., Ceglar, A., Fumagalli,</w:t>
      </w:r>
      <w:r>
        <w:t xml:space="preserve"> </w:t>
      </w:r>
      <w:r>
        <w:t xml:space="preserve">D., Niemeyer, S., Cerrani, I., Panarello, L., Bratu, M., Analysis of climate change impacts on EU agriculture</w:t>
      </w:r>
      <w:r>
        <w:t xml:space="preserve"> </w:t>
      </w:r>
      <w:r>
        <w:t xml:space="preserve">by 2050, EUR 30078 EN, Publications Office of the European Union, Luxembourg, 2020, ISBN 978-92-76-</w:t>
      </w:r>
      <w:r>
        <w:t xml:space="preserve"> </w:t>
      </w:r>
      <w:r>
        <w:t xml:space="preserve">10617-3, doi:10.2760/121115, JRC119632.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of climate change on yields assume sufficient irrigation water being available. However,</w:t>
      </w:r>
      <w:r>
        <w:t xml:space="preserve"> </w:t>
      </w:r>
      <w:r>
        <w:t xml:space="preserve">under rain-fed conditions (see Figure 25), European maize production is projected to collapse</w:t>
      </w:r>
      <w:r>
        <w:t xml:space="preserve"> </w:t>
      </w:r>
      <w:r>
        <w:t xml:space="preserve">around 2050, with yield losses higher than 23% in all EU countries and exceeding 80% in</w:t>
      </w:r>
      <w:r>
        <w:t xml:space="preserve"> </w:t>
      </w:r>
      <w:r>
        <w:t xml:space="preserve">some, rendering maize production unviable in regions with unsustainable water use and</w:t>
      </w:r>
      <w:r>
        <w:t xml:space="preserve"> </w:t>
      </w:r>
      <w:r>
        <w:t xml:space="preserve">projected decrease in precipitation.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Figure 24: Changes in grain maize yield from Climate Change impacts with irrigation</w:t>
      </w:r>
    </w:p>
    <w:p>
      <w:pPr>
        <w:pStyle w:val="BodyText"/>
      </w:pPr>
      <w:r>
        <w:t xml:space="preserve">Note: Graph shows impacts under RCP8.5 for 1.5oC (left panel) and 2oC (right panel) under irrigated conditions (363).</w:t>
      </w:r>
      <w:r>
        <w:t xml:space="preserve"> </w:t>
      </w:r>
      <w:r>
        <w:t xml:space="preserve">Ensemble mean changes of grain maize yield (% relative to the historical period) projected under the RCP8.5 for</w:t>
      </w:r>
      <w:r>
        <w:t xml:space="preserve"> </w:t>
      </w:r>
      <w:r>
        <w:t xml:space="preserve">1.5oC (left panel) and 2oC (right panel) warming conditions, and assuming irrigated conditions. Hatching denotes</w:t>
      </w:r>
      <w:r>
        <w:t xml:space="preserve"> </w:t>
      </w:r>
      <w:r>
        <w:t xml:space="preserve">areas with low models’ agreement (i.e. less than 66% of models agree in the sign of estimated changes).</w:t>
      </w:r>
      <w:r>
        <w:br/>
      </w:r>
      <w:r>
        <w:t xml:space="preserve">Source: JRC PESETA IV</w:t>
      </w:r>
      <w:r>
        <w:t xml:space="preserve"> </w:t>
      </w:r>
      <w:r>
        <w:t xml:space="preserve">Figure 25: Changes in grain maize yield from Climate Change impacts without irrigation</w:t>
      </w:r>
    </w:p>
    <w:p>
      <w:pPr>
        <w:pStyle w:val="BodyText"/>
      </w:pPr>
      <w:r>
        <w:t xml:space="preserve">Note: Impacts are assuming rainfed conditions without irrigation. Ensemble mean changes of grain maize yield (%</w:t>
      </w:r>
      <w:r>
        <w:t xml:space="preserve"> </w:t>
      </w:r>
      <w:r>
        <w:t xml:space="preserve">relative to the historical period) projected under the RCP8.5 for 1.5oC (left panel) and 2oC (right panel) warming</w:t>
      </w:r>
      <w:r>
        <w:t xml:space="preserve"> </w:t>
      </w:r>
      <w:r>
        <w:t xml:space="preserve">conditions, assuming that no irrigation will be possible (i.e. rain-fed). Hatching denotes areas with low models’</w:t>
      </w:r>
      <w:r>
        <w:t xml:space="preserve"> </w:t>
      </w:r>
      <w:r>
        <w:t xml:space="preserve">agreement (i.e. less than 66% of models agree in the sign of estimated changes)</w:t>
      </w:r>
      <w:r>
        <w:t xml:space="preserve"> </w:t>
      </w:r>
      <w:r>
        <w:t xml:space="preserve">Source: JRC PESETA IV</w:t>
      </w:r>
      <w:r>
        <w:t xml:space="preserve"> </w:t>
      </w:r>
      <w:r>
        <w:t xml:space="preserve">Regarding yield of wheat in Europe, JRC PESETA IV found large uncertainties in the impact</w:t>
      </w:r>
      <w:r>
        <w:t xml:space="preserve"> </w:t>
      </w:r>
      <w:r>
        <w:t xml:space="preserve">of climate change, mainly deriving from variable projections of precipitation, as wheat is</w:t>
      </w:r>
      <w:r>
        <w:t xml:space="preserve"> </w:t>
      </w:r>
      <w:r>
        <w:t xml:space="preserve">mostly rain-fed. Projections under RCP8.5 show increases of 5-16% in yield for Northern</w:t>
      </w:r>
      <w:r>
        <w:t xml:space="preserve"> </w:t>
      </w:r>
      <w:r>
        <w:t xml:space="preserve">Europe and losses of up to -49% in Southern Europe by 2050. Losses are slightly lower under</w:t>
      </w:r>
      <w:r>
        <w:t xml:space="preserve"> </w:t>
      </w:r>
      <w:r>
        <w:t xml:space="preserve">1.5oC compared to 2oC, most visible in the Iberian Peninsula and Italy (Figure 26). It is</w:t>
      </w:r>
    </w:p>
    <w:p>
      <w:pPr>
        <w:pStyle w:val="Compact"/>
        <w:numPr>
          <w:ilvl w:val="0"/>
          <w:numId w:val="1093"/>
        </w:numPr>
      </w:pPr>
      <w:r>
        <w:t xml:space="preserve">In the cited PESETA IV report, the main results are obtained from the RCMs projections analysed for a 20-</w:t>
      </w:r>
      <w:r>
        <w:t xml:space="preserve"> </w:t>
      </w:r>
      <w:r>
        <w:t xml:space="preserve">year period when the mean global temperature increases reach 1.5 °C and 2 °C. In the ten RCP8.5 model</w:t>
      </w:r>
      <w:r>
        <w:t xml:space="preserve"> </w:t>
      </w:r>
      <w:r>
        <w:t xml:space="preserve">realisations the central year of these two periods ranges from 2018 to 2029 for the 1.5 °C warming</w:t>
      </w:r>
      <w:r>
        <w:t xml:space="preserve"> </w:t>
      </w:r>
      <w:r>
        <w:t xml:space="preserve">conditions, and from 2030 to 2044 for the 2 °C global warming conditions.</w:t>
      </w:r>
    </w:p>
    <w:p>
      <w:pPr>
        <w:pStyle w:val="FirstParagraph"/>
      </w:pPr>
      <w:r>
        <w:t xml:space="preserve">98</w:t>
      </w:r>
    </w:p>
    <w:p>
      <w:pPr>
        <w:pStyle w:val="BodyText"/>
      </w:pPr>
      <w:r>
        <w:t xml:space="preserve">important to note that the impacts of extreme weather events including heat stress and</w:t>
      </w:r>
      <w:r>
        <w:t xml:space="preserve"> </w:t>
      </w:r>
      <w:r>
        <w:t xml:space="preserve">droughts are likely underestimated in these projections.</w:t>
      </w:r>
      <w:r>
        <w:br/>
      </w:r>
      <w:r>
        <w:t xml:space="preserve">Figure 26: Changes in wheat yield from climate change</w:t>
      </w:r>
    </w:p>
    <w:p>
      <w:pPr>
        <w:pStyle w:val="BodyText"/>
      </w:pPr>
      <w:r>
        <w:t xml:space="preserve">Note: Ensemble mean changes of wheat yield (% relative to the historical period) projected under the RCP8.5 for</w:t>
      </w:r>
      <w:r>
        <w:t xml:space="preserve"> </w:t>
      </w:r>
      <w:r>
        <w:t xml:space="preserve">1.5oC (left panel) and 2oC (right panel) warming conditions under rain-fed (no irrigation) conditions. Hatching denotes</w:t>
      </w:r>
      <w:r>
        <w:t xml:space="preserve"> </w:t>
      </w:r>
      <w:r>
        <w:t xml:space="preserve">areas with low models’ agreement (i.e. less than 66% of models agree in the sign of estimated changes).</w:t>
      </w:r>
      <w:r>
        <w:t xml:space="preserve"> </w:t>
      </w:r>
      <w:r>
        <w:t xml:space="preserve">Source: JRC PESETA IV</w:t>
      </w:r>
      <w:r>
        <w:t xml:space="preserve"> </w:t>
      </w:r>
      <w:r>
        <w:t xml:space="preserve">2.3.5.2.3 Regional differences</w:t>
      </w:r>
      <w:r>
        <w:br/>
      </w:r>
      <w:r>
        <w:t xml:space="preserve">There are growing regional differences in agricultural production in Europe due to climate</w:t>
      </w:r>
      <w:r>
        <w:t xml:space="preserve"> </w:t>
      </w:r>
      <w:r>
        <w:t xml:space="preserve">change, and they are projected to further increase. With increasing warming, growing regions</w:t>
      </w:r>
      <w:r>
        <w:t xml:space="preserve"> </w:t>
      </w:r>
      <w:r>
        <w:t xml:space="preserve">for certain crops will shift or expand, and warming is projected to increase yields of some</w:t>
      </w:r>
      <w:r>
        <w:t xml:space="preserve"> </w:t>
      </w:r>
      <w:r>
        <w:t xml:space="preserve">crops. Southern Europe is projected to be most negatively affected, and reduced irrigation</w:t>
      </w:r>
      <w:r>
        <w:t xml:space="preserve"> </w:t>
      </w:r>
      <w:r>
        <w:t xml:space="preserve">water availability, heat and drought stress could lead to reduced profitability and</w:t>
      </w:r>
      <w:r>
        <w:t xml:space="preserve"> </w:t>
      </w:r>
      <w:r>
        <w:t xml:space="preserve">abandonment of farmland (364).</w:t>
      </w:r>
      <w:r>
        <w:t xml:space="preserve"> </w:t>
      </w:r>
      <w:r>
        <w:t xml:space="preserve">The JRC PESETA IV study (365) finds climate change could trigger yield losses and shocks to</w:t>
      </w:r>
      <w:r>
        <w:t xml:space="preserve"> </w:t>
      </w:r>
      <w:r>
        <w:t xml:space="preserve">European agriculture markets, with Southern Europe being the most negatively affected. The</w:t>
      </w:r>
      <w:r>
        <w:t xml:space="preserve"> </w:t>
      </w:r>
      <w:r>
        <w:t xml:space="preserve">increasing divergence of production between Southern (declining) and Northern (potentially</w:t>
      </w:r>
      <w:r>
        <w:t xml:space="preserve"> </w:t>
      </w:r>
      <w:r>
        <w:t xml:space="preserve">increasing) could impact the mutual reliance and trade patterns across EU countries, without</w:t>
      </w:r>
      <w:r>
        <w:t xml:space="preserve"> </w:t>
      </w:r>
      <w:r>
        <w:t xml:space="preserve">appropriate adaptation strategies. Overall, at 1.5oC global warming, wheat yields could</w:t>
      </w:r>
      <w:r>
        <w:t xml:space="preserve"> </w:t>
      </w:r>
      <w:r>
        <w:t xml:space="preserve">increase by 5% in Northern Europe and decrease by 7% in Southern Europe. At 2oC global</w:t>
      </w:r>
      <w:r>
        <w:t xml:space="preserve"> </w:t>
      </w:r>
      <w:r>
        <w:t xml:space="preserve">warming, yields of maize in Southern Europe could decline by more than 10%. With a</w:t>
      </w:r>
      <w:r>
        <w:t xml:space="preserve"> </w:t>
      </w:r>
      <w:r>
        <w:t xml:space="preserve">reduction in available irrigation water, crop losses could be much larger, and with no</w:t>
      </w:r>
    </w:p>
    <w:p>
      <w:pPr>
        <w:pStyle w:val="Compact"/>
        <w:numPr>
          <w:ilvl w:val="0"/>
          <w:numId w:val="1094"/>
        </w:numPr>
      </w:pPr>
      <w:r>
        <w:t xml:space="preserve">Bednar-Friedl, B., R. Biesbroek, D.N. Schmidt, P. Alexander, K.Y. Børsheim, J. Carnicer, E.</w:t>
      </w:r>
      <w:r>
        <w:t xml:space="preserve"> </w:t>
      </w:r>
      <w:r>
        <w:t xml:space="preserve">Georgopoulou, M. Haasnoot, G. Le Cozannet, P. Lionello, O. Lipka, C. Möllmann, V. Muccione, T.</w:t>
      </w:r>
      <w:r>
        <w:t xml:space="preserve"> </w:t>
      </w:r>
      <w:r>
        <w:t xml:space="preserve">Mustonen, D. Piepenburg, and L.Whitmarsh, 2022: Europe. In: Climate Change 2022: Impacts, Adaptation</w:t>
      </w:r>
      <w:r>
        <w:t xml:space="preserve"> </w:t>
      </w:r>
      <w:r>
        <w:t xml:space="preserve">and Vulnerability. Contribution of Working Group II to the Sixth Assessment Report of the</w:t>
      </w:r>
      <w:r>
        <w:t xml:space="preserve"> </w:t>
      </w:r>
      <w:r>
        <w:t xml:space="preserve">Intergovernmental Panel on Climate Change [H.-O. Pörtner, D.C. Roberts, M. Tignor, E.S. Poloczanska, K.</w:t>
      </w:r>
      <w:r>
        <w:t xml:space="preserve"> </w:t>
      </w:r>
      <w:r>
        <w:t xml:space="preserve">Mintenbeck, A. Alegría, M. Craig, S. Langsdorf, S. Löschke, V. Möller, A. Okem, B. Rama (eds.)].</w:t>
      </w:r>
      <w:r>
        <w:t xml:space="preserve"> </w:t>
      </w:r>
      <w:r>
        <w:t xml:space="preserve">Cambridge University Press, Cambridge, UK and New York, NY, USA, pp. 1817–1927,</w:t>
      </w:r>
      <w:r>
        <w:t xml:space="preserve"> </w:t>
      </w:r>
      <w:r>
        <w:t xml:space="preserve">doi:10.1017/9781009325844.015.</w:t>
      </w:r>
    </w:p>
    <w:p>
      <w:pPr>
        <w:pStyle w:val="Compact"/>
        <w:numPr>
          <w:ilvl w:val="0"/>
          <w:numId w:val="1094"/>
        </w:numPr>
      </w:pPr>
      <w:r>
        <w:t xml:space="preserve">Feyen L., Ciscar J.C., Gosling S., Ibarreta D., Soria A. (editors) (2020). Climate change impacts and</w:t>
      </w:r>
      <w:r>
        <w:t xml:space="preserve"> </w:t>
      </w:r>
      <w:r>
        <w:t xml:space="preserve">adaptation in Europe. JRC PESETA IV final report. EUR 30180EN, Publications Office of the European</w:t>
      </w:r>
      <w:r>
        <w:t xml:space="preserve"> </w:t>
      </w:r>
      <w:r>
        <w:t xml:space="preserve">Union, Luxembourg, ISBN 978-92-76-18123-1, doi:10.2760/171121, JRC119178</w:t>
      </w:r>
    </w:p>
    <w:p>
      <w:pPr>
        <w:pStyle w:val="FirstParagraph"/>
      </w:pPr>
      <w:r>
        <w:t xml:space="preserve">99</w:t>
      </w:r>
    </w:p>
    <w:p>
      <w:pPr>
        <w:pStyle w:val="BodyText"/>
      </w:pPr>
      <w:r>
        <w:t xml:space="preserve">irrigation (rain-fed conditions) maize yield losses could reach 20% for all EU countries, and</w:t>
      </w:r>
      <w:r>
        <w:t xml:space="preserve"> </w:t>
      </w:r>
      <w:r>
        <w:t xml:space="preserve">up to 80% for some Southern European countries (for more detailed projections see 2.3.5.2.2).</w:t>
      </w:r>
      <w:r>
        <w:t xml:space="preserve"> </w:t>
      </w:r>
      <w:r>
        <w:t xml:space="preserve">In the GLOBIOM model, impacts of climate change were modelled for different regions in</w:t>
      </w:r>
      <w:r>
        <w:t xml:space="preserve"> </w:t>
      </w:r>
      <w:r>
        <w:t xml:space="preserve">the EU taking both negative as well as positive effects like CO2 fertilisation into account. On</w:t>
      </w:r>
      <w:r>
        <w:t xml:space="preserve"> </w:t>
      </w:r>
      <w:r>
        <w:t xml:space="preserve">average, crop yields decrease under all levels/scenarios of global warming, but this decrease is</w:t>
      </w:r>
      <w:r>
        <w:t xml:space="preserve"> </w:t>
      </w:r>
      <w:r>
        <w:t xml:space="preserve">disproportionately larger as global temperatures get higher. Under an RCP2.6 scenario,</w:t>
      </w:r>
      <w:r>
        <w:t xml:space="preserve"> </w:t>
      </w:r>
      <w:r>
        <w:t xml:space="preserve">average crop yields decrease by -2.2% in 2050, under an RCP7.0 scenario this has further</w:t>
      </w:r>
      <w:r>
        <w:t xml:space="preserve"> </w:t>
      </w:r>
      <w:r>
        <w:t xml:space="preserve">increased to -2.6%. The North of Europe is the only region experiencing an increase in</w:t>
      </w:r>
      <w:r>
        <w:t xml:space="preserve"> </w:t>
      </w:r>
      <w:r>
        <w:t xml:space="preserve">productivity because of climate change. Under RCP2.6 this is 1%, under RCP7.0 2.8%. The</w:t>
      </w:r>
      <w:r>
        <w:t xml:space="preserve"> </w:t>
      </w:r>
      <w:r>
        <w:t xml:space="preserve">other regions in Europe all experience a decrease in crop productivity, which is largest in the</w:t>
      </w:r>
      <w:r>
        <w:t xml:space="preserve"> </w:t>
      </w:r>
      <w:r>
        <w:t xml:space="preserve">Southern region (between -2.6% and -4.6% depending on the RCP). In the Central-East it</w:t>
      </w:r>
      <w:r>
        <w:t xml:space="preserve"> </w:t>
      </w:r>
      <w:r>
        <w:t xml:space="preserve">ranges between -1.4% and -1.8% and in the West, crop productivity decreases with an</w:t>
      </w:r>
      <w:r>
        <w:t xml:space="preserve"> </w:t>
      </w:r>
      <w:r>
        <w:t xml:space="preserve">increasing degree of warming, from -2.4% under RCP2.6 to -2.7% under RCP7.0. However,</w:t>
      </w:r>
      <w:r>
        <w:t xml:space="preserve"> </w:t>
      </w:r>
      <w:r>
        <w:t xml:space="preserve">these impacts of climate change on agriculture productivity for most regions can be</w:t>
      </w:r>
      <w:r>
        <w:t xml:space="preserve"> </w:t>
      </w:r>
      <w:r>
        <w:t xml:space="preserve">considered low, particularly in comparison with studies such as PESETA IV that find</w:t>
      </w:r>
      <w:r>
        <w:t xml:space="preserve"> </w:t>
      </w:r>
      <w:r>
        <w:t xml:space="preserve">significantly higher losses.</w:t>
      </w:r>
      <w:r>
        <w:br/>
      </w:r>
      <w:r>
        <w:t xml:space="preserve">As a significant caveat to the reported results concerning the agricultural sector, the increase</w:t>
      </w:r>
      <w:r>
        <w:t xml:space="preserve"> </w:t>
      </w:r>
      <w:r>
        <w:t xml:space="preserve">in the risk of global synchronous crop failure of key staple crops will pose a risk that could</w:t>
      </w:r>
      <w:r>
        <w:t xml:space="preserve"> </w:t>
      </w:r>
      <w:r>
        <w:t xml:space="preserve">affect EU economies through food price inflation and potentially through food insecurity</w:t>
      </w:r>
      <w:r>
        <w:t xml:space="preserve"> </w:t>
      </w:r>
      <w:r>
        <w:t xml:space="preserve">domestically and globally, also impacting political stability. To illustrate, the probability of an</w:t>
      </w:r>
      <w:r>
        <w:t xml:space="preserve"> </w:t>
      </w:r>
      <w:r>
        <w:t xml:space="preserve">over 10% reduction of maize yield in top four major exporting countries (accounting for 87%</w:t>
      </w:r>
      <w:r>
        <w:t xml:space="preserve"> </w:t>
      </w:r>
      <w:r>
        <w:t xml:space="preserve">of global maize exports) may rise from zero in 2020 to 7% under 2 °C warming and 86%</w:t>
      </w:r>
      <w:r>
        <w:t xml:space="preserve"> </w:t>
      </w:r>
      <w:r>
        <w:t xml:space="preserve">under 4 °C warming (366)</w:t>
      </w:r>
      <w:r>
        <w:t xml:space="preserve"> </w:t>
      </w:r>
      <w:r>
        <w:t xml:space="preserve">2.3.5.3 Biodiversity and other ecosystems</w:t>
      </w:r>
      <w:r>
        <w:t xml:space="preserve"> </w:t>
      </w:r>
      <w:r>
        <w:t xml:space="preserve">Climate change is already impacting land ecosystems in Europe, many of which are also</w:t>
      </w:r>
      <w:r>
        <w:t xml:space="preserve"> </w:t>
      </w:r>
      <w:r>
        <w:t xml:space="preserve">exposed to non-climatic hazards such as habitat loss and fragmentation, overexploitation,</w:t>
      </w:r>
      <w:r>
        <w:t xml:space="preserve"> </w:t>
      </w:r>
      <w:r>
        <w:t xml:space="preserve">altered hydrological regimes and pollution. Climate change mitigation can limit the likelihood</w:t>
      </w:r>
      <w:r>
        <w:t xml:space="preserve"> </w:t>
      </w:r>
      <w:r>
        <w:t xml:space="preserve">of larger climate change impacts on biodiversity and such actions can also help to increase</w:t>
      </w:r>
      <w:r>
        <w:t xml:space="preserve"> </w:t>
      </w:r>
      <w:r>
        <w:t xml:space="preserve">resilience and adaption to climate change (367).</w:t>
      </w:r>
      <w:r>
        <w:t xml:space="preserve"> </w:t>
      </w:r>
      <w:r>
        <w:t xml:space="preserve">With increasing warming, risks for terrestrial ecosystems will continue to increase. Climate</w:t>
      </w:r>
      <w:r>
        <w:t xml:space="preserve"> </w:t>
      </w:r>
      <w:r>
        <w:t xml:space="preserve">change has resulted in local losses and range shifts of thermosensitive species including</w:t>
      </w:r>
      <w:r>
        <w:t xml:space="preserve"> </w:t>
      </w:r>
      <w:r>
        <w:t xml:space="preserve">insects, freshwater organisms, amphibians, reptiles, and birds. Amongst the most affected</w:t>
      </w:r>
    </w:p>
    <w:p>
      <w:pPr>
        <w:numPr>
          <w:ilvl w:val="0"/>
          <w:numId w:val="1095"/>
        </w:numPr>
      </w:pPr>
      <w:r>
        <w:t xml:space="preserve">Tigchelaar M. et al. 2018. Future warming increases probability of globally synchronized maize production</w:t>
      </w:r>
      <w:r>
        <w:t xml:space="preserve"> </w:t>
      </w:r>
      <w:r>
        <w:t xml:space="preserve">shocks. PNAS. 115 (26) 6644-6649. doi.org/10.1073/pnas.1718031115</w:t>
      </w:r>
    </w:p>
    <w:p>
      <w:pPr>
        <w:numPr>
          <w:ilvl w:val="0"/>
          <w:numId w:val="1095"/>
        </w:numPr>
      </w:pPr>
      <w:r>
        <w:t xml:space="preserve">Smith, P., J. Nkem, K. Calvin, D. Campbell, F. Cherubini, G. Grassi, V. Korotkov, A.L. Hoang, S. Lwasa,</w:t>
      </w:r>
      <w:r>
        <w:t xml:space="preserve"> </w:t>
      </w:r>
      <w:r>
        <w:t xml:space="preserve">P. McElwee, E. Nkonya, N. Saigusa, J.-F. Soussana, M.A. Taboada, 2019: Interlinkages Between</w:t>
      </w:r>
      <w:r>
        <w:t xml:space="preserve"> </w:t>
      </w:r>
      <w:r>
        <w:t xml:space="preserve">Desertification, Land Degradation, Food Security and Greenhouse Gas Fluxes: Synergies, Trade-offs and</w:t>
      </w:r>
      <w:r>
        <w:t xml:space="preserve"> </w:t>
      </w:r>
      <w:r>
        <w:t xml:space="preserve">Integrated Response Options. In: Climate Change and Land: an IPCC special report on climate change,</w:t>
      </w:r>
      <w:r>
        <w:t xml:space="preserve"> </w:t>
      </w:r>
      <w:r>
        <w:t xml:space="preserve">desertification, land degradation, sustainable land management, food security, and greenhouse gas fluxes in</w:t>
      </w:r>
      <w:r>
        <w:t xml:space="preserve"> </w:t>
      </w:r>
      <w:r>
        <w:t xml:space="preserve">terrestrial ecosystems [P.R. Shukla, J. Skea, E. Calvo Buendia, V. Masson-Delmotte, H.- O. Portner, D. C.</w:t>
      </w:r>
      <w:r>
        <w:t xml:space="preserve"> </w:t>
      </w:r>
      <w:r>
        <w:t xml:space="preserve">Roberts, P. Zhai, R. Slade, S. Connors, R. van Diemen, M. Ferrat, E. Haughey, S. Luz, S. Neogi, M. Pathak,</w:t>
      </w:r>
      <w:r>
        <w:t xml:space="preserve"> </w:t>
      </w:r>
      <w:r>
        <w:t xml:space="preserve">J. Petzold, J. Portugal Pereira, P. Vyas, E. Huntley, K. Kissick, M. Belkacemi, J. Malley, (eds.)].</w:t>
      </w:r>
      <w:r>
        <w:t xml:space="preserve"> </w:t>
      </w:r>
      <w:r>
        <w:t xml:space="preserve">https://doi.org/10.1017/9781009157988.008</w:t>
      </w:r>
    </w:p>
    <w:p>
      <w:pPr>
        <w:pStyle w:val="FirstParagraph"/>
      </w:pPr>
      <w:r>
        <w:t xml:space="preserve">100</w:t>
      </w:r>
    </w:p>
    <w:p>
      <w:pPr>
        <w:pStyle w:val="BodyText"/>
      </w:pPr>
      <w:r>
        <w:t xml:space="preserve">groups of animals are insects, central components of many ecosystems (368). In the last three</w:t>
      </w:r>
      <w:r>
        <w:t xml:space="preserve"> </w:t>
      </w:r>
      <w:r>
        <w:t xml:space="preserve">decades, the flying insect population in German protected areas has decreased by 76%. This</w:t>
      </w:r>
      <w:r>
        <w:t xml:space="preserve"> </w:t>
      </w:r>
      <w:r>
        <w:t xml:space="preserve">data is considered to be representative of what is happening in Europe as a whole (369). Flying</w:t>
      </w:r>
      <w:r>
        <w:t xml:space="preserve"> </w:t>
      </w:r>
      <w:r>
        <w:t xml:space="preserve">insects include pollinators, key not only for biodiversity, but for food provision: pollinator-</w:t>
      </w:r>
      <w:r>
        <w:t xml:space="preserve"> </w:t>
      </w:r>
      <w:r>
        <w:t xml:space="preserve">dependent crops contribute to 35% of global crop production volume (370). Progressive</w:t>
      </w:r>
      <w:r>
        <w:t xml:space="preserve"> </w:t>
      </w:r>
      <w:r>
        <w:t xml:space="preserve">subtropicalization is projected to occur in Southern Europe at 1.5℃ and in Western and</w:t>
      </w:r>
      <w:r>
        <w:t xml:space="preserve"> </w:t>
      </w:r>
      <w:r>
        <w:t xml:space="preserve">Central Europe at 3℃ global warming level. Permafrost thawing and degradation in European</w:t>
      </w:r>
      <w:r>
        <w:t xml:space="preserve"> </w:t>
      </w:r>
      <w:r>
        <w:t xml:space="preserve">Alps and Scandinavia has been observed and is projected to continue. Similar to forests,</w:t>
      </w:r>
      <w:r>
        <w:t xml:space="preserve"> </w:t>
      </w:r>
      <w:r>
        <w:t xml:space="preserve">inland wetlands and peatlands, which hold important carbon stocks, will continue to be</w:t>
      </w:r>
      <w:r>
        <w:t xml:space="preserve"> </w:t>
      </w:r>
      <w:r>
        <w:t xml:space="preserve">negatively affected by drought and warming. High latitude ecosystems are vulnerable to heat,</w:t>
      </w:r>
      <w:r>
        <w:t xml:space="preserve"> </w:t>
      </w:r>
      <w:r>
        <w:t xml:space="preserve">and loss of mass has occurred in most mountain glaciers particularly in the past two decades</w:t>
      </w:r>
      <w:r>
        <w:t xml:space="preserve"> </w:t>
      </w:r>
      <w:r>
        <w:t xml:space="preserve">(371). The years 2022 and 2023 saw a record loss of glacier ice from European Alps, mainly</w:t>
      </w:r>
      <w:r>
        <w:t xml:space="preserve"> </w:t>
      </w:r>
      <w:r>
        <w:t xml:space="preserve">due to lack of snow, which contributed to summer drought conditions. In Switzerland,</w:t>
      </w:r>
      <w:r>
        <w:t xml:space="preserve"> </w:t>
      </w:r>
      <w:r>
        <w:t xml:space="preserve">glaciers lost around 10% of their remaining volume (372) (373).</w:t>
      </w:r>
      <w:r>
        <w:t xml:space="preserve"> </w:t>
      </w:r>
      <w:r>
        <w:t xml:space="preserve">The Alpine tundra occurs in high elevation zones of some of Europe’s mountain ranges, and</w:t>
      </w:r>
      <w:r>
        <w:t xml:space="preserve"> </w:t>
      </w:r>
      <w:r>
        <w:t xml:space="preserve">represents an important reservoir of freshwater resources and provides a habitat to unique</w:t>
      </w:r>
      <w:r>
        <w:t xml:space="preserve"> </w:t>
      </w:r>
      <w:r>
        <w:t xml:space="preserve">species. Most of it is located in the Pyrenees, the Alps and the Scandes. It is projected to be</w:t>
      </w:r>
      <w:r>
        <w:t xml:space="preserve"> </w:t>
      </w:r>
      <w:r>
        <w:t xml:space="preserve">greatly affected by global warming due to the tight ecological-climatic bands in the mountains</w:t>
      </w:r>
      <w:r>
        <w:t xml:space="preserve"> </w:t>
      </w:r>
      <w:r>
        <w:t xml:space="preserve">(374). The JRC PESETA study assesses that under 3℃ of warming it would shrink by over</w:t>
      </w:r>
    </w:p>
    <w:p>
      <w:pPr>
        <w:pStyle w:val="Compact"/>
        <w:numPr>
          <w:ilvl w:val="0"/>
          <w:numId w:val="1096"/>
        </w:numPr>
      </w:pPr>
      <w:r>
        <w:t xml:space="preserve">Harvey, J. A., Tougeron, K., Gols, R., Heinen, R., Abarca, M., Abram, P. K., Basset, Y., Berg, M., Boggs,</w:t>
      </w:r>
      <w:r>
        <w:t xml:space="preserve"> </w:t>
      </w:r>
      <w:r>
        <w:t xml:space="preserve">C., Brodeur, J., Cardoso, P., de Boer, J. G., De Snoo, G. R., Deacon, C., Dell, J. E., Desneux, N., Dillon, M.</w:t>
      </w:r>
      <w:r>
        <w:t xml:space="preserve"> </w:t>
      </w:r>
      <w:r>
        <w:t xml:space="preserve">E., Duffy, G. A., Dyer, L. A., … Chown, S. L. (2023). Scientists’ warning on climate change and insects.</w:t>
      </w:r>
      <w:r>
        <w:t xml:space="preserve"> </w:t>
      </w:r>
      <w:r>
        <w:t xml:space="preserve">Ecological Monographs, 93(1). https://doi.org/10.1002/ecm.1553</w:t>
      </w:r>
      <w:r>
        <w:br/>
      </w:r>
    </w:p>
    <w:p>
      <w:pPr>
        <w:pStyle w:val="Compact"/>
        <w:numPr>
          <w:ilvl w:val="0"/>
          <w:numId w:val="1096"/>
        </w:numPr>
      </w:pPr>
      <w:r>
        <w:t xml:space="preserve">Hallmann CA, Sorg M, Jongejans E, Siepel H, Hofland N, Schwan H, et al. (2017) More than 75 percent</w:t>
      </w:r>
      <w:r>
        <w:t xml:space="preserve"> </w:t>
      </w:r>
      <w:r>
        <w:t xml:space="preserve">decline over 27 years in total flying insect biomass in protected areas. PLoS ONE 12(10): e0185809.</w:t>
      </w:r>
      <w:r>
        <w:t xml:space="preserve"> </w:t>
      </w:r>
      <w:r>
        <w:t xml:space="preserve">https://doi.org/10.1371/journal.pone.0185809</w:t>
      </w:r>
      <w:r>
        <w:br/>
      </w:r>
    </w:p>
    <w:p>
      <w:pPr>
        <w:pStyle w:val="Compact"/>
        <w:numPr>
          <w:ilvl w:val="0"/>
          <w:numId w:val="1096"/>
        </w:numPr>
      </w:pPr>
      <w:r>
        <w:t xml:space="preserve">IPBES (2016): Summary for policymakers of the assessment report of the Intergovernmental Science-Policy</w:t>
      </w:r>
      <w:r>
        <w:t xml:space="preserve"> </w:t>
      </w:r>
      <w:r>
        <w:t xml:space="preserve">Platform on Biodiversity and Ecosystem Services on pollinators, pollination and food production. S.G.</w:t>
      </w:r>
      <w:r>
        <w:t xml:space="preserve"> </w:t>
      </w:r>
      <w:r>
        <w:t xml:space="preserve">Potts, et al. (eds.). Secretariat of the Intergovernmental Science-Policy Platform on Biodiversity and</w:t>
      </w:r>
      <w:r>
        <w:t xml:space="preserve"> </w:t>
      </w:r>
      <w:r>
        <w:t xml:space="preserve">Ecosystem Services, Bonn, Germany.</w:t>
      </w:r>
    </w:p>
    <w:p>
      <w:pPr>
        <w:pStyle w:val="Compact"/>
        <w:numPr>
          <w:ilvl w:val="0"/>
          <w:numId w:val="1096"/>
        </w:numPr>
      </w:pPr>
      <w:r>
        <w:t xml:space="preserve">Bednar-Friedl, B., R. Biesbroek, D.N. Schmidt, P. Alexander, K.Y. Børsheim, J. Carnicer, E.</w:t>
      </w:r>
      <w:r>
        <w:t xml:space="preserve"> </w:t>
      </w:r>
      <w:r>
        <w:t xml:space="preserve">Georgopoulou, M. Haasnoot, G. Le Cozannet, P. Lionello, O. Lipka, C. Möllmann, V. Muccione, T.</w:t>
      </w:r>
      <w:r>
        <w:t xml:space="preserve"> </w:t>
      </w:r>
      <w:r>
        <w:t xml:space="preserve">Mustonen, D. Piepenburg, and L.Whitmarsh, 2022: Europe. In: Climate Change 2022: Impacts, Adaptation</w:t>
      </w:r>
      <w:r>
        <w:t xml:space="preserve"> </w:t>
      </w:r>
      <w:r>
        <w:t xml:space="preserve">and Vulnerability. Contribution of Working Group II to the Sixth Assessment Report of the</w:t>
      </w:r>
      <w:r>
        <w:t xml:space="preserve"> </w:t>
      </w:r>
      <w:r>
        <w:t xml:space="preserve">Intergovernmental Panel on Climate Change [H.-O. Pörtner, D.C. Roberts, M. Tignor, E.S. Poloczanska, K.</w:t>
      </w:r>
      <w:r>
        <w:t xml:space="preserve"> </w:t>
      </w:r>
      <w:r>
        <w:t xml:space="preserve">Mintenbeck, A. Alegría, M. Craig, S. Langsdorf, S. Löschke, V. Möller, A. Okem, B. Rama (eds.)].</w:t>
      </w:r>
      <w:r>
        <w:t xml:space="preserve"> </w:t>
      </w:r>
      <w:r>
        <w:t xml:space="preserve">Cambridge University Press, Cambridge, UK and New York, NY, USA, pp. 1817–1927,</w:t>
      </w:r>
      <w:r>
        <w:t xml:space="preserve"> </w:t>
      </w:r>
      <w:r>
        <w:t xml:space="preserve">doi:10.1017/9781009325844.015.</w:t>
      </w:r>
    </w:p>
    <w:p>
      <w:pPr>
        <w:pStyle w:val="Compact"/>
        <w:numPr>
          <w:ilvl w:val="0"/>
          <w:numId w:val="1096"/>
        </w:numPr>
      </w:pPr>
      <w:r>
        <w:t xml:space="preserve">COPERNICUS, European State of the Climate 2022. European State of the Climate 2022 Summary |</w:t>
      </w:r>
      <w:r>
        <w:t xml:space="preserve"> </w:t>
      </w:r>
      <w:r>
        <w:t xml:space="preserve">Copernicus</w:t>
      </w:r>
    </w:p>
    <w:p>
      <w:pPr>
        <w:pStyle w:val="Compact"/>
        <w:numPr>
          <w:ilvl w:val="0"/>
          <w:numId w:val="1096"/>
        </w:numPr>
      </w:pPr>
      <w:r>
        <w:t xml:space="preserve">https://wmo.int/files/provisional-state-of-global-climate-2023</w:t>
      </w:r>
    </w:p>
    <w:p>
      <w:pPr>
        <w:pStyle w:val="Compact"/>
        <w:numPr>
          <w:ilvl w:val="0"/>
          <w:numId w:val="1096"/>
        </w:numPr>
      </w:pPr>
      <w:r>
        <w:t xml:space="preserve">Bednar-Friedl, B., R. Biesbroek, D.N. Schmidt, P. Alexander, K.Y. Børsheim, J. Carnicer, E.</w:t>
      </w:r>
      <w:r>
        <w:t xml:space="preserve"> </w:t>
      </w:r>
      <w:r>
        <w:t xml:space="preserve">Georgopoulou, M. Haasnoot, G. Le Cozannet, P. Lionello, O. Lipka, C. Möllmann, V. Muccione, T.</w:t>
      </w:r>
      <w:r>
        <w:t xml:space="preserve"> </w:t>
      </w:r>
      <w:r>
        <w:t xml:space="preserve">Mustonen, D. Piepenburg, and L.Whitmarsh, 2022: Europe. In: Climate Change 2022: Impacts, Adaptation</w:t>
      </w:r>
      <w:r>
        <w:t xml:space="preserve"> </w:t>
      </w:r>
      <w:r>
        <w:t xml:space="preserve">and Vulnerability. Contribution of Working Group II to the Sixth Assessment Report of the</w:t>
      </w:r>
      <w:r>
        <w:t xml:space="preserve"> </w:t>
      </w:r>
      <w:r>
        <w:t xml:space="preserve">Intergovernmental Panel on Climate Change [H.-O. Pörtner, D.C. Roberts, M. Tignor, E.S. Poloczanska, K.</w:t>
      </w:r>
      <w:r>
        <w:t xml:space="preserve"> </w:t>
      </w:r>
      <w:r>
        <w:t xml:space="preserve">Mintenbeck, A. Alegría, M. Craig, S. Langsdorf, S. Löschke, V. Möller, A. Okem, B. Rama (eds.)].</w:t>
      </w:r>
      <w:r>
        <w:t xml:space="preserve"> </w:t>
      </w:r>
      <w:r>
        <w:t xml:space="preserve">Cambridge University Press, Cambridge, UK and New York, NY, USA, pp. 1817–1927,</w:t>
      </w:r>
      <w:r>
        <w:t xml:space="preserve"> </w:t>
      </w:r>
      <w:r>
        <w:t xml:space="preserve">doi:10.1017/9781009325844.015.</w:t>
      </w:r>
    </w:p>
    <w:p>
      <w:pPr>
        <w:pStyle w:val="FirstParagraph"/>
      </w:pPr>
      <w:r>
        <w:t xml:space="preserve">101</w:t>
      </w:r>
    </w:p>
    <w:p>
      <w:pPr>
        <w:pStyle w:val="BodyText"/>
      </w:pPr>
      <w:r>
        <w:t xml:space="preserve">75% compared to the reference period (1981-2010), with treeline moving by up to 8 meters</w:t>
      </w:r>
      <w:r>
        <w:t xml:space="preserve"> </w:t>
      </w:r>
      <w:r>
        <w:t xml:space="preserve">upwards per year. It is projected to be most affected in the Pyrenees, where it would virtually</w:t>
      </w:r>
      <w:r>
        <w:t xml:space="preserve"> </w:t>
      </w:r>
      <w:r>
        <w:t xml:space="preserve">disappear at 3℃ global warming level, while in the Scandes and Alps it would shrink by</w:t>
      </w:r>
      <w:r>
        <w:t xml:space="preserve"> </w:t>
      </w:r>
      <w:r>
        <w:t xml:space="preserve">around 87% and 75%, respectively. At 1.5℃ and 2℃ of global warming level, the overall loss</w:t>
      </w:r>
      <w:r>
        <w:t xml:space="preserve"> </w:t>
      </w:r>
      <w:r>
        <w:t xml:space="preserve">of extent would be 31-36% and 50% respectively, with Pyrenees most affected, losing 74% at</w:t>
      </w:r>
      <w:r>
        <w:t xml:space="preserve"> </w:t>
      </w:r>
      <w:r>
        <w:t xml:space="preserve">1.5℃ and above 90% at 2℃. The advance of treeline and shrinking of alpine tundra will</w:t>
      </w:r>
      <w:r>
        <w:t xml:space="preserve"> </w:t>
      </w:r>
      <w:r>
        <w:t xml:space="preserve">impact high mountain ecosystems including through changes in snowpack accumulation,</w:t>
      </w:r>
      <w:r>
        <w:t xml:space="preserve"> </w:t>
      </w:r>
      <w:r>
        <w:t xml:space="preserve">which will change mountain hydrology and affect low elevation biota. Cold-adapted species</w:t>
      </w:r>
      <w:r>
        <w:t xml:space="preserve"> </w:t>
      </w:r>
      <w:r>
        <w:t xml:space="preserve">of plants will decline, and warm-adapted species will increase. Cold mountain habitats and</w:t>
      </w:r>
      <w:r>
        <w:t xml:space="preserve"> </w:t>
      </w:r>
      <w:r>
        <w:t xml:space="preserve">their biota are projected to progressively decline, which will lead to extirpation of alpine plant</w:t>
      </w:r>
      <w:r>
        <w:t xml:space="preserve"> </w:t>
      </w:r>
      <w:r>
        <w:t xml:space="preserve">species (375). To illustrate the massive shift of species due to climate change, Figure 27 shows</w:t>
      </w:r>
      <w:r>
        <w:t xml:space="preserve"> </w:t>
      </w:r>
      <w:r>
        <w:t xml:space="preserve">the change in forest types expected to occur in Europe until the end of the century based on a</w:t>
      </w:r>
      <w:r>
        <w:t xml:space="preserve"> </w:t>
      </w:r>
      <w:r>
        <w:t xml:space="preserve">moderate warming scenario.</w:t>
      </w:r>
      <w:r>
        <w:br/>
      </w:r>
      <w:r>
        <w:t xml:space="preserve">Figure 27: Development of major tree species in Europe until 2100</w:t>
      </w:r>
    </w:p>
    <w:p>
      <w:pPr>
        <w:pStyle w:val="BodyText"/>
      </w:pPr>
      <w:r>
        <w:t xml:space="preserve">Note: Projections are based on a moderate warming scenario A1B (IPCC 2007, AR4, WG 1)</w:t>
      </w:r>
      <w:r>
        <w:t xml:space="preserve"> </w:t>
      </w:r>
      <w:r>
        <w:t xml:space="preserve">Source: Hanewinkel et al. 2013 (376)</w:t>
      </w:r>
      <w:r>
        <w:t xml:space="preserve"> </w:t>
      </w:r>
      <w:r>
        <w:t xml:space="preserve">Freshwater ecosystems are vulnerable to climate change and are projected to be affected by</w:t>
      </w:r>
      <w:r>
        <w:t xml:space="preserve"> </w:t>
      </w:r>
      <w:r>
        <w:t xml:space="preserve">the reduced river flow (made worse by increasing pressures on hydromorphology,</w:t>
      </w:r>
      <w:r>
        <w:t xml:space="preserve"> </w:t>
      </w:r>
      <w:r>
        <w:t xml:space="preserve">e.g. construction of new reservoirs), low oxygen, salinity incursion, eutrophication and</w:t>
      </w:r>
    </w:p>
    <w:p>
      <w:pPr>
        <w:pStyle w:val="Compact"/>
        <w:numPr>
          <w:ilvl w:val="0"/>
          <w:numId w:val="1097"/>
        </w:numPr>
      </w:pPr>
      <w:r>
        <w:t xml:space="preserve">Barredo, J.I., Mauri, A., Caudullo, G., Impacts of climate change in European mountains — Alpine tundra</w:t>
      </w:r>
      <w:r>
        <w:t xml:space="preserve"> </w:t>
      </w:r>
      <w:r>
        <w:t xml:space="preserve">habitat loss and treeline shifts under future global warming, EUR 30084 EN, Publications Office of the</w:t>
      </w:r>
      <w:r>
        <w:t xml:space="preserve"> </w:t>
      </w:r>
      <w:r>
        <w:t xml:space="preserve">European Union, Luxembourg, 2020, ISBN 978-92-76-10717-0, doi:10.2760/653658, JRC115186.</w:t>
      </w:r>
    </w:p>
    <w:p>
      <w:pPr>
        <w:pStyle w:val="Compact"/>
        <w:numPr>
          <w:ilvl w:val="0"/>
          <w:numId w:val="1097"/>
        </w:numPr>
      </w:pPr>
      <w:r>
        <w:t xml:space="preserve">Hanewinkel, M., Cullmann, D., Schelhaas, MJ. et al. ‘Climate change may cause severe loss in the</w:t>
      </w:r>
      <w:r>
        <w:t xml:space="preserve"> </w:t>
      </w:r>
      <w:r>
        <w:t xml:space="preserve">economic value of European forest land’ Nature Climate Change, 3, 203–207, 2013.</w:t>
      </w:r>
    </w:p>
    <w:p>
      <w:pPr>
        <w:pStyle w:val="FirstParagraph"/>
      </w:pPr>
      <w:r>
        <w:t xml:space="preserve">102</w:t>
      </w:r>
    </w:p>
    <w:p>
      <w:pPr>
        <w:pStyle w:val="BodyText"/>
      </w:pPr>
      <w:r>
        <w:t xml:space="preserve">spread of invasive species. These will lead to loss of species, especially molluscs, fish and</w:t>
      </w:r>
      <w:r>
        <w:t xml:space="preserve"> </w:t>
      </w:r>
      <w:r>
        <w:t xml:space="preserve">insects. In line with the global trend, European lakes have been warming in the past decades.</w:t>
      </w:r>
      <w:r>
        <w:t xml:space="preserve"> </w:t>
      </w:r>
      <w:r>
        <w:t xml:space="preserve">Globally, the year 2022 was the warmest year on records for lakes, and the fourth warmest for</w:t>
      </w:r>
      <w:r>
        <w:t xml:space="preserve"> </w:t>
      </w:r>
      <w:r>
        <w:t xml:space="preserve">European lakes, which are warming at a rate of 0.33℃ per decade, which is faster than the</w:t>
      </w:r>
      <w:r>
        <w:t xml:space="preserve"> </w:t>
      </w:r>
      <w:r>
        <w:t xml:space="preserve">global rate of 0.23℃ per decade (377).</w:t>
      </w:r>
      <w:r>
        <w:br/>
      </w:r>
      <w:r>
        <w:t xml:space="preserve">Changes to the ocean, including sea warming, ocean acidification, deoxygenation and more</w:t>
      </w:r>
      <w:r>
        <w:t xml:space="preserve"> </w:t>
      </w:r>
      <w:r>
        <w:t xml:space="preserve">frequent marine heatwaves will affect both ocean ecosystems and the people relying on them</w:t>
      </w:r>
      <w:r>
        <w:t xml:space="preserve"> </w:t>
      </w:r>
      <w:r>
        <w:t xml:space="preserve">and will continue through the rest of this century (378). Sea surface warming between 0.25℃</w:t>
      </w:r>
      <w:r>
        <w:t xml:space="preserve"> </w:t>
      </w:r>
      <w:r>
        <w:t xml:space="preserve">and 1℃ has already been observed over the past decade and is projected to continue</w:t>
      </w:r>
      <w:r>
        <w:t xml:space="preserve"> </w:t>
      </w:r>
      <w:r>
        <w:t xml:space="preserve">increasing, along with changes to salinity and pH. In 2022, sea surface temperatures across</w:t>
      </w:r>
      <w:r>
        <w:t xml:space="preserve"> </w:t>
      </w:r>
      <w:r>
        <w:t xml:space="preserve">Europe’s seas were the warmest on record. Record temperatures were observed in the</w:t>
      </w:r>
      <w:r>
        <w:t xml:space="preserve"> </w:t>
      </w:r>
      <w:r>
        <w:t xml:space="preserve">Mediterranean Sea, the Bay of Biscay, the English Channel and Irish Sea and in the</w:t>
      </w:r>
      <w:r>
        <w:t xml:space="preserve"> </w:t>
      </w:r>
      <w:r>
        <w:t xml:space="preserve">Norwegian Sea (379). In the summer 2023 sea surface temperatures in the Mediterranean Sea</w:t>
      </w:r>
      <w:r>
        <w:t xml:space="preserve"> </w:t>
      </w:r>
      <w:r>
        <w:t xml:space="preserve">were again exceptionally high, locally exceeding 30℃, and reached more than 4℃ above</w:t>
      </w:r>
      <w:r>
        <w:t xml:space="preserve"> </w:t>
      </w:r>
      <w:r>
        <w:t xml:space="preserve">average in most of western Mediterranean (380).</w:t>
      </w:r>
      <w:r>
        <w:t xml:space="preserve"> </w:t>
      </w:r>
      <w:r>
        <w:t xml:space="preserve">Habitat loss and northward distribution shifts of species have been observed, and marine</w:t>
      </w:r>
      <w:r>
        <w:t xml:space="preserve"> </w:t>
      </w:r>
      <w:r>
        <w:t xml:space="preserve">heatwaves have had severe impacts on marine ecosystems. Along with redistribution and</w:t>
      </w:r>
      <w:r>
        <w:t xml:space="preserve"> </w:t>
      </w:r>
      <w:r>
        <w:t xml:space="preserve">alterations in community composition, biodiversity decline has also been observed in some</w:t>
      </w:r>
      <w:r>
        <w:t xml:space="preserve"> </w:t>
      </w:r>
      <w:r>
        <w:t xml:space="preserve">sub-regions. With increasing global warming, risks to marine and coastal ecosystems will</w:t>
      </w:r>
      <w:r>
        <w:t xml:space="preserve"> </w:t>
      </w:r>
      <w:r>
        <w:t xml:space="preserve">further increase (381).</w:t>
      </w:r>
      <w:r>
        <w:br/>
      </w:r>
      <w:r>
        <w:t xml:space="preserve">Iin the Black Sea basin, climate change is recognised as an important pressure of the</w:t>
      </w:r>
      <w:r>
        <w:t xml:space="preserve"> </w:t>
      </w:r>
      <w:r>
        <w:t xml:space="preserve">Environment of the Black Sea (2009-2014/5). One of the consequences of temperature rise</w:t>
      </w:r>
      <w:r>
        <w:t xml:space="preserve"> </w:t>
      </w:r>
      <w:r>
        <w:t xml:space="preserve">due to climate change is the invasion of the Black Sea by Mediterranean-originated</w:t>
      </w:r>
      <w:r>
        <w:t xml:space="preserve"> </w:t>
      </w:r>
      <w:r>
        <w:t xml:space="preserve">species (382).</w:t>
      </w:r>
      <w:r>
        <w:t xml:space="preserve"> </w:t>
      </w:r>
      <w:r>
        <w:t xml:space="preserve">Europe hosts some biodiversity hotspots, including Fenno-Scandia Alpine tundra and taiga,</w:t>
      </w:r>
      <w:r>
        <w:t xml:space="preserve"> </w:t>
      </w:r>
      <w:r>
        <w:t xml:space="preserve">European Mediterranean montane forests, Mediterranean forests, woodlands, scrub, Danube</w:t>
      </w:r>
    </w:p>
    <w:p>
      <w:pPr>
        <w:pStyle w:val="Compact"/>
        <w:numPr>
          <w:ilvl w:val="0"/>
          <w:numId w:val="1098"/>
        </w:numPr>
      </w:pPr>
      <w:r>
        <w:t xml:space="preserve">COPERNICUS, European State of the Climate 2022. European State of the Climate 2022 Summary |</w:t>
      </w:r>
      <w:r>
        <w:t xml:space="preserve"> </w:t>
      </w:r>
      <w:r>
        <w:t xml:space="preserve">Copernicus</w:t>
      </w:r>
    </w:p>
    <w:p>
      <w:pPr>
        <w:pStyle w:val="Compact"/>
        <w:numPr>
          <w:ilvl w:val="0"/>
          <w:numId w:val="1098"/>
        </w:numPr>
      </w:pPr>
      <w:r>
        <w:t xml:space="preserve">IPCC, 2022: Climate Change 2022: Impacts, Adaptation and Vulnerability. Contribution of Working Group</w:t>
      </w:r>
      <w:r>
        <w:t xml:space="preserve"> </w:t>
      </w:r>
      <w:r>
        <w:t xml:space="preserve">II to the Sixth Assessment Report of the Intergovernmental Panel on Climate Change [H.-O. Pörtner, D.C.</w:t>
      </w:r>
      <w:r>
        <w:t xml:space="preserve"> </w:t>
      </w:r>
      <w:r>
        <w:t xml:space="preserve">Roberts, M. Tignor, E.S. Poloczanska, K. Mintenbeck, A. Alegría, M. Craig, S. Langsdorf, S. Löschke, V.</w:t>
      </w:r>
      <w:r>
        <w:t xml:space="preserve"> </w:t>
      </w:r>
      <w:r>
        <w:t xml:space="preserve">Möller, A. Okem, B. Rama (eds.)]. Cambridge University Press. Cambridge University Press, Cambridge,</w:t>
      </w:r>
      <w:r>
        <w:t xml:space="preserve"> </w:t>
      </w:r>
      <w:r>
        <w:t xml:space="preserve">UK and New York, NY, USA, 3056 pp., doi:10.1017/9781009325844</w:t>
      </w:r>
    </w:p>
    <w:p>
      <w:pPr>
        <w:pStyle w:val="Compact"/>
        <w:numPr>
          <w:ilvl w:val="0"/>
          <w:numId w:val="1098"/>
        </w:numPr>
      </w:pPr>
      <w:r>
        <w:t xml:space="preserve">COPERNICUS, European State of the Climate 2022. European State of the Climate 2022 Summary |</w:t>
      </w:r>
      <w:r>
        <w:t xml:space="preserve"> </w:t>
      </w:r>
      <w:r>
        <w:t xml:space="preserve">Copernicus</w:t>
      </w:r>
    </w:p>
    <w:p>
      <w:pPr>
        <w:pStyle w:val="Compact"/>
        <w:numPr>
          <w:ilvl w:val="0"/>
          <w:numId w:val="1098"/>
        </w:numPr>
      </w:pPr>
      <w:r>
        <w:t xml:space="preserve">Heatwaves, wildfires mark summer of extremes | World Meteorological Organization (wmo.int)</w:t>
      </w:r>
    </w:p>
    <w:p>
      <w:pPr>
        <w:pStyle w:val="Compact"/>
        <w:numPr>
          <w:ilvl w:val="0"/>
          <w:numId w:val="1098"/>
        </w:numPr>
      </w:pPr>
      <w:r>
        <w:t xml:space="preserve">Bednar-Friedl, B., R. Biesbroek, D.N. Schmidt, P. Alexander, K.Y. Børsheim, J. Carnicer, E. Georgopoulou,</w:t>
      </w:r>
      <w:r>
        <w:t xml:space="preserve"> </w:t>
      </w:r>
      <w:r>
        <w:t xml:space="preserve">M. Haasnoot, G. Le Cozannet, P. Lionello, O. Lipka, C. Möllmann, V. Muccione, T. Mustonen, D.</w:t>
      </w:r>
      <w:r>
        <w:t xml:space="preserve"> </w:t>
      </w:r>
      <w:r>
        <w:t xml:space="preserve">Piepenburg, and L.Whitmarsh, 2022: Europe. In: Climate Change 2022: Impacts, Adaptation and</w:t>
      </w:r>
      <w:r>
        <w:t xml:space="preserve"> </w:t>
      </w:r>
      <w:r>
        <w:t xml:space="preserve">Vulnerability. Contribution of Working Group II to the Sixth Assessment Report of the Intergovernmental</w:t>
      </w:r>
      <w:r>
        <w:t xml:space="preserve"> </w:t>
      </w:r>
      <w:r>
        <w:t xml:space="preserve">Panel on Climate Change [H.-O. Pörtner, D.C. Roberts, M. Tignor, E.S. Poloczanska, K. Mintenbeck, A.</w:t>
      </w:r>
      <w:r>
        <w:t xml:space="preserve"> </w:t>
      </w:r>
      <w:r>
        <w:t xml:space="preserve">Alegría, M. Craig, S. Langsdorf, S. Löschke, V. Möller, A. Okem, B. Rama (eds.)]. Cambridge University</w:t>
      </w:r>
      <w:r>
        <w:t xml:space="preserve"> </w:t>
      </w:r>
      <w:r>
        <w:t xml:space="preserve">Press, Cambridge, UK and New York, NY, USA, pp. 1817–1927, doi:10.1017/9781009325844.015.</w:t>
      </w:r>
    </w:p>
    <w:p>
      <w:pPr>
        <w:pStyle w:val="Compact"/>
        <w:numPr>
          <w:ilvl w:val="0"/>
          <w:numId w:val="1098"/>
        </w:numPr>
      </w:pPr>
      <w:r>
        <w:t xml:space="preserve">Oguz T. 2005. Long-Term Impacts of Anthropogenic Forcing on the Black Sea Ecosystem. Oceanography</w:t>
      </w:r>
      <w:r>
        <w:t xml:space="preserve"> </w:t>
      </w:r>
      <w:r>
        <w:t xml:space="preserve">18(2):112-121.</w:t>
      </w:r>
    </w:p>
    <w:p>
      <w:pPr>
        <w:pStyle w:val="FirstParagraph"/>
      </w:pPr>
      <w:r>
        <w:t xml:space="preserve">103</w:t>
      </w:r>
    </w:p>
    <w:p>
      <w:pPr>
        <w:pStyle w:val="BodyText"/>
      </w:pPr>
      <w:r>
        <w:t xml:space="preserve">River delta, Balkan rivers and streams, Northeast Atlantic shelf marine and Mediterranean</w:t>
      </w:r>
      <w:r>
        <w:t xml:space="preserve"> </w:t>
      </w:r>
      <w:r>
        <w:t xml:space="preserve">Sea. Those are areas with exceptionally high species richness, including rare and endemic</w:t>
      </w:r>
      <w:r>
        <w:t xml:space="preserve"> </w:t>
      </w:r>
      <w:r>
        <w:t xml:space="preserve">species, where historic climatic variability was moderate. Biodiversity hotspots are projected</w:t>
      </w:r>
      <w:r>
        <w:t xml:space="preserve"> </w:t>
      </w:r>
      <w:r>
        <w:t xml:space="preserve">to be especially vulnerable to climate change due to limited geographic ranges of their</w:t>
      </w:r>
      <w:r>
        <w:t xml:space="preserve"> </w:t>
      </w:r>
      <w:r>
        <w:t xml:space="preserve">endemic species. Climate change will impact species abundance, diversity, area, physiology</w:t>
      </w:r>
      <w:r>
        <w:t xml:space="preserve"> </w:t>
      </w:r>
      <w:r>
        <w:t xml:space="preserve">and fisheries catch potential (383).</w:t>
      </w:r>
      <w:r>
        <w:t xml:space="preserve"> </w:t>
      </w:r>
      <w:r>
        <w:t xml:space="preserve">Identifying and protecting climatic refugia, which are microhabitats that components of</w:t>
      </w:r>
      <w:r>
        <w:t xml:space="preserve"> </w:t>
      </w:r>
      <w:r>
        <w:t xml:space="preserve">biodiversity retreat to, is crucial for the survival, persistence and eventual expansion of biota</w:t>
      </w:r>
      <w:r>
        <w:t xml:space="preserve"> </w:t>
      </w:r>
      <w:r>
        <w:t xml:space="preserve">under anthropogenic climate change (384).</w:t>
      </w:r>
      <w:r>
        <w:br/>
      </w:r>
      <w:r>
        <w:t xml:space="preserve">3</w:t>
      </w:r>
      <w:r>
        <w:t xml:space="preserve"> </w:t>
      </w:r>
      <w:r>
        <w:t xml:space="preserve">ECONOMIC COST OF CLIMATE CHANGE</w:t>
      </w:r>
      <w:r>
        <w:t xml:space="preserve"> </w:t>
      </w:r>
      <w:r>
        <w:t xml:space="preserve">3.1</w:t>
      </w:r>
      <w:r>
        <w:t xml:space="preserve"> </w:t>
      </w:r>
      <w:r>
        <w:t xml:space="preserve">Evidence from recent events</w:t>
      </w:r>
      <w:r>
        <w:t xml:space="preserve"> </w:t>
      </w:r>
      <w:r>
        <w:t xml:space="preserve">The increase in the frequency and scale of extreme climate-related events in past decades is</w:t>
      </w:r>
      <w:r>
        <w:t xml:space="preserve"> </w:t>
      </w:r>
      <w:r>
        <w:t xml:space="preserve">well-documented, as is the causality with the global rise in temperatures. The global economic</w:t>
      </w:r>
      <w:r>
        <w:t xml:space="preserve"> </w:t>
      </w:r>
      <w:r>
        <w:t xml:space="preserve">losses and fatalities associated with such events are well documented, including by global</w:t>
      </w:r>
      <w:r>
        <w:t xml:space="preserve"> </w:t>
      </w:r>
      <w:r>
        <w:t xml:space="preserve">insurance and re-insurance companies.</w:t>
      </w:r>
      <w:r>
        <w:br/>
      </w:r>
      <w:r>
        <w:t xml:space="preserve">Allianz reports, that the heatwave of 2023 which affected Southern Europe, the United States</w:t>
      </w:r>
      <w:r>
        <w:t xml:space="preserve"> </w:t>
      </w:r>
      <w:r>
        <w:t xml:space="preserve">and China may have cost 0.6% of GDP (385). AON (386) reports that direct economic losses</w:t>
      </w:r>
      <w:r>
        <w:t xml:space="preserve"> </w:t>
      </w:r>
      <w:r>
        <w:t xml:space="preserve">resulting from natural disasters amounted to US$ 313 billion in 2022 (in current prices). All</w:t>
      </w:r>
      <w:r>
        <w:t xml:space="preserve"> </w:t>
      </w:r>
      <w:r>
        <w:t xml:space="preserve">but US$ 9 billion of these costs were related to climate events. Since the beginning of the</w:t>
      </w:r>
      <w:r>
        <w:t xml:space="preserve"> </w:t>
      </w:r>
      <w:r>
        <w:t xml:space="preserve">century, AON estimates direct losses at an average of about US$ 300 billion. Looking back</w:t>
      </w:r>
      <w:r>
        <w:t xml:space="preserve"> </w:t>
      </w:r>
      <w:r>
        <w:t xml:space="preserve">further, the data indicates a clear rising trend in direct economic losses, starting around the</w:t>
      </w:r>
      <w:r>
        <w:t xml:space="preserve"> </w:t>
      </w:r>
      <w:r>
        <w:t xml:space="preserve">1980s (Figure 28).</w:t>
      </w:r>
    </w:p>
    <w:p>
      <w:pPr>
        <w:pStyle w:val="Compact"/>
        <w:numPr>
          <w:ilvl w:val="0"/>
          <w:numId w:val="1099"/>
        </w:numPr>
      </w:pPr>
      <w:r>
        <w:t xml:space="preserve">Costello, M.J., M.M. Vale, W. Kiessling, S. Maharaj, J. Price, and G.H. Talukdar, 2022: Cross-Chapter</w:t>
      </w:r>
      <w:r>
        <w:t xml:space="preserve"> </w:t>
      </w:r>
      <w:r>
        <w:t xml:space="preserve">Paper 1: Biodiversity Hotspots. In: Climate Change 2022: Impacts, Adaptation and Vulnerability.</w:t>
      </w:r>
      <w:r>
        <w:t xml:space="preserve"> </w:t>
      </w:r>
      <w:r>
        <w:t xml:space="preserve">Contribution of Working Group II to the Sixth Assessment Report of the Intergovernmental Panel on</w:t>
      </w:r>
      <w:r>
        <w:t xml:space="preserve"> </w:t>
      </w:r>
      <w:r>
        <w:t xml:space="preserve">Climate Change [H.-O. Pörtner, D.C. Roberts, M. Tignor, E.S. Poloczanska, K. Mintenbeck, A. Alegría, M.</w:t>
      </w:r>
      <w:r>
        <w:t xml:space="preserve"> </w:t>
      </w:r>
      <w:r>
        <w:t xml:space="preserve">Craig, S. Langsdorf, S. Löschke, V. Möller, A. Okem, B. Rama (eds.)]. Cambridge University Press,</w:t>
      </w:r>
      <w:r>
        <w:t xml:space="preserve"> </w:t>
      </w:r>
      <w:r>
        <w:t xml:space="preserve">Cambridge, UK and New York, NY, USA, pp. 2123–2161, doi:10.1017/9781009325844.018.</w:t>
      </w:r>
    </w:p>
    <w:p>
      <w:pPr>
        <w:pStyle w:val="Compact"/>
        <w:numPr>
          <w:ilvl w:val="0"/>
          <w:numId w:val="1099"/>
        </w:numPr>
      </w:pPr>
      <w:r>
        <w:t xml:space="preserve">Keppel et al. 2011. Refugia: identifying and understanding safe havens for biodiversity under climate</w:t>
      </w:r>
      <w:r>
        <w:t xml:space="preserve"> </w:t>
      </w:r>
      <w:r>
        <w:t xml:space="preserve">change. Global Ecology and Biogeography. doi.org/10.1111/j.1466-8238.2011.00686.x</w:t>
      </w:r>
    </w:p>
    <w:p>
      <w:pPr>
        <w:pStyle w:val="Compact"/>
        <w:numPr>
          <w:ilvl w:val="0"/>
          <w:numId w:val="1099"/>
        </w:numPr>
      </w:pPr>
      <w:r>
        <w:t xml:space="preserve">Subran L., Groschl J. and Zimmer M. 2023. Global boiling: Heatwave may have cost 0.6pp of GDP.</w:t>
      </w:r>
      <w:r>
        <w:t xml:space="preserve"> </w:t>
      </w:r>
      <w:r>
        <w:t xml:space="preserve">Allianz Research. URL: https://www.allianz.com/en/economic_research/publications/specials_fmo/global-</w:t>
      </w:r>
      <w:r>
        <w:t xml:space="preserve"> </w:t>
      </w:r>
      <w:r>
        <w:t xml:space="preserve">heatwave-implications.html</w:t>
      </w:r>
    </w:p>
    <w:p>
      <w:pPr>
        <w:pStyle w:val="Compact"/>
        <w:numPr>
          <w:ilvl w:val="0"/>
          <w:numId w:val="1099"/>
        </w:numPr>
      </w:pPr>
      <w:r>
        <w:t xml:space="preserve">AON. 2023. Weather, Climate and Catastrophe Insight.</w:t>
      </w:r>
    </w:p>
    <w:p>
      <w:pPr>
        <w:pStyle w:val="FirstParagraph"/>
      </w:pPr>
      <w:r>
        <w:t xml:space="preserve">104</w:t>
      </w:r>
    </w:p>
    <w:p>
      <w:pPr>
        <w:pStyle w:val="BodyText"/>
      </w:pPr>
      <w:r>
        <w:t xml:space="preserve">Figure 28: Global economic losses from natural disasters since 1950</w:t>
      </w:r>
    </w:p>
    <w:p>
      <w:pPr>
        <w:pStyle w:val="BodyText"/>
      </w:pPr>
      <w:r>
        <w:t xml:space="preserve">Note: Losses shown in billion US$ 2021</w:t>
      </w:r>
      <w:r>
        <w:t xml:space="preserve"> </w:t>
      </w:r>
      <w:r>
        <w:t xml:space="preserve">Source: AON (2023).</w:t>
      </w:r>
      <w:r>
        <w:t xml:space="preserve"> </w:t>
      </w:r>
      <w:r>
        <w:t xml:space="preserve">While the precise data differ according to the sources used and the methodologies used or the</w:t>
      </w:r>
      <w:r>
        <w:t xml:space="preserve"> </w:t>
      </w:r>
      <w:r>
        <w:t xml:space="preserve">scoped covered, the rising trend in climate-related economic damages is an unequivocal</w:t>
      </w:r>
      <w:r>
        <w:t xml:space="preserve"> </w:t>
      </w:r>
      <w:r>
        <w:t xml:space="preserve">finding across the board. The Swiss Re Institute (387) estimates that natural catastrophes,</w:t>
      </w:r>
      <w:r>
        <w:t xml:space="preserve"> </w:t>
      </w:r>
      <w:r>
        <w:t xml:space="preserve">mainly climate-related, generated world-wide losses of US$ 270 billion in 2021 (Figure 29),</w:t>
      </w:r>
      <w:r>
        <w:t xml:space="preserve"> </w:t>
      </w:r>
      <w:r>
        <w:t xml:space="preserve">equivalent to 0.29% of global GDP. This compares to estimated losses of 0.23% of GDP on</w:t>
      </w:r>
      <w:r>
        <w:t xml:space="preserve"> </w:t>
      </w:r>
      <w:r>
        <w:t xml:space="preserve">average in the past decade. Of these losses, Swiss Re estimates that about US$ 110 billion</w:t>
      </w:r>
      <w:r>
        <w:t xml:space="preserve"> </w:t>
      </w:r>
      <w:r>
        <w:t xml:space="preserve">were covered by insurance. Globally, uninsured losses represent a large proportion of direct</w:t>
      </w:r>
      <w:r>
        <w:t xml:space="preserve"> </w:t>
      </w:r>
      <w:r>
        <w:t xml:space="preserve">losses.</w:t>
      </w:r>
      <w:r>
        <w:t xml:space="preserve"> </w:t>
      </w:r>
      <w:r>
        <w:t xml:space="preserve">Figure 29: Insured and uninsured losses from catastrophes (billion US$ 2021)</w:t>
      </w:r>
    </w:p>
    <w:p>
      <w:pPr>
        <w:pStyle w:val="BodyText"/>
      </w:pPr>
      <w:r>
        <w:t xml:space="preserve">Source: Swiss Re Institute (2023).</w:t>
      </w:r>
      <w:r>
        <w:t xml:space="preserve"> </w:t>
      </w:r>
      <w:r>
        <w:t xml:space="preserve">A rising trend in direct economic losses from climate-related events is also observed in the</w:t>
      </w:r>
      <w:r>
        <w:t xml:space="preserve"> </w:t>
      </w:r>
      <w:r>
        <w:t xml:space="preserve">EU, particularly since the beginning of the 2010s. EEA reports that weather- and climate-</w:t>
      </w:r>
      <w:r>
        <w:t xml:space="preserve"> </w:t>
      </w:r>
      <w:r>
        <w:t xml:space="preserve">related extremes caused economic losses estimated at EUR 560 billion in the EU between</w:t>
      </w:r>
      <w:r>
        <w:t xml:space="preserve"> </w:t>
      </w:r>
      <w:r>
        <w:t xml:space="preserve">1980 and 2021, of which only EUR 170 billion (30%) were insured. Nearly 195,000 fatalities</w:t>
      </w:r>
      <w:r>
        <w:t xml:space="preserve"> </w:t>
      </w:r>
      <w:r>
        <w:t xml:space="preserve">have been caused by floods, storms, heat- and coldwaves, wildfires and landslides in that</w:t>
      </w:r>
      <w:r>
        <w:t xml:space="preserve"> </w:t>
      </w:r>
      <w:r>
        <w:t xml:space="preserve">time (388). Hydrological and meteorological events are the main sources of direct losses in the</w:t>
      </w:r>
    </w:p>
    <w:p>
      <w:pPr>
        <w:pStyle w:val="Compact"/>
        <w:numPr>
          <w:ilvl w:val="0"/>
          <w:numId w:val="1100"/>
        </w:numPr>
      </w:pPr>
      <w:r>
        <w:t xml:space="preserve">Swiss Re Institute. Sigma. Natural Catastrophes in 2021: the floodgates are open.</w:t>
      </w:r>
    </w:p>
    <w:p>
      <w:pPr>
        <w:pStyle w:val="Compact"/>
        <w:numPr>
          <w:ilvl w:val="0"/>
          <w:numId w:val="1100"/>
        </w:numPr>
      </w:pPr>
      <w:r>
        <w:t xml:space="preserve">https://www.eea.europa.eu/ims/economic-losses-from-climate-related</w:t>
      </w:r>
    </w:p>
    <w:p>
      <w:pPr>
        <w:pStyle w:val="FirstParagraph"/>
      </w:pPr>
      <w:r>
        <w:t xml:space="preserve">105</w:t>
      </w:r>
    </w:p>
    <w:p>
      <w:pPr>
        <w:pStyle w:val="BodyText"/>
      </w:pPr>
      <w:r>
        <w:t xml:space="preserve">EU, with the costliest single events arising mainly from riverine floods (Figure 30). For</w:t>
      </w:r>
      <w:r>
        <w:t xml:space="preserve"> </w:t>
      </w:r>
      <w:r>
        <w:t xml:space="preserve">example, the floods in the summer of 2021 in Belgium and Germany are estimated to have</w:t>
      </w:r>
      <w:r>
        <w:t xml:space="preserve"> </w:t>
      </w:r>
      <w:r>
        <w:t xml:space="preserve">caused economic losses of close to EUR 50 billion, in addition to more than 200</w:t>
      </w:r>
      <w:r>
        <w:t xml:space="preserve"> </w:t>
      </w:r>
      <w:r>
        <w:t xml:space="preserve">casualties (389). Meteorological events, mainly heatwaves, are nevertheless the biggest</w:t>
      </w:r>
      <w:r>
        <w:t xml:space="preserve"> </w:t>
      </w:r>
      <w:r>
        <w:t xml:space="preserve">climate-related source of excess fatalities (abstracting from premature deaths related to</w:t>
      </w:r>
      <w:r>
        <w:t xml:space="preserve"> </w:t>
      </w:r>
      <w:r>
        <w:t xml:space="preserve">atmospheric pollution, as discussed in section 2.3.1). It is estimated that there were about</w:t>
      </w:r>
      <w:r>
        <w:t xml:space="preserve"> </w:t>
      </w:r>
      <w:r>
        <w:t xml:space="preserve">74 000 excess fatalities in the EU due to the heatwave of 2003, and around 60 000 excess</w:t>
      </w:r>
      <w:r>
        <w:t xml:space="preserve"> </w:t>
      </w:r>
      <w:r>
        <w:t xml:space="preserve">fatalities again during the heatwave of 2022 (390).</w:t>
      </w:r>
      <w:r>
        <w:t xml:space="preserve"> </w:t>
      </w:r>
      <w:r>
        <w:t xml:space="preserve">Figure 30: Direct economic costs and fatalities from climate-related events in the EU</w:t>
      </w:r>
    </w:p>
    <w:p>
      <w:pPr>
        <w:pStyle w:val="BodyText"/>
      </w:pPr>
      <w:r>
        <w:t xml:space="preserve">Source: EEA and Eurostat.</w:t>
      </w:r>
      <w:r>
        <w:t xml:space="preserve"> </w:t>
      </w:r>
      <w:r>
        <w:t xml:space="preserve">Economic costs of climate change are also being seen and felt at the individual level and the</w:t>
      </w:r>
      <w:r>
        <w:t xml:space="preserve"> </w:t>
      </w:r>
      <w:r>
        <w:t xml:space="preserve">increasing frequency and magnitude of impact are raising questions on the capacity of the</w:t>
      </w:r>
      <w:r>
        <w:t xml:space="preserve"> </w:t>
      </w:r>
      <w:r>
        <w:t xml:space="preserve">insurance sector to handle such risks in the future. For instance, insurance companies are not</w:t>
      </w:r>
      <w:r>
        <w:t xml:space="preserve"> </w:t>
      </w:r>
      <w:r>
        <w:t xml:space="preserve">offering home insurance to an increasing number of homes in the USA due to rapidly growing</w:t>
      </w:r>
      <w:r>
        <w:t xml:space="preserve"> </w:t>
      </w:r>
      <w:r>
        <w:t xml:space="preserve">exposure to extreme weather events like wildfires (391). Difficulties in adequately insuring</w:t>
      </w:r>
      <w:r>
        <w:t xml:space="preserve"> </w:t>
      </w:r>
      <w:r>
        <w:t xml:space="preserve">homes is also set to increase in Australia due to flooding, with analysis suggesting one in</w:t>
      </w:r>
      <w:r>
        <w:t xml:space="preserve"> </w:t>
      </w:r>
      <w:r>
        <w:t xml:space="preserve">every seven homes in high-risk areas will see their home insurance become unaffordable or</w:t>
      </w:r>
      <w:r>
        <w:t xml:space="preserve"> </w:t>
      </w:r>
      <w:r>
        <w:t xml:space="preserve">unavailable already by 2030 (392).</w:t>
      </w:r>
      <w:r>
        <w:br/>
      </w:r>
      <w:r>
        <w:t xml:space="preserve">Europeans are currently underinsured in relation to weather events that will increase due to</w:t>
      </w:r>
      <w:r>
        <w:t xml:space="preserve"> </w:t>
      </w:r>
      <w:r>
        <w:t xml:space="preserve">climate change. Currently only a quarter of the total losses caused by extreme weather and</w:t>
      </w:r>
      <w:r>
        <w:t xml:space="preserve"> </w:t>
      </w:r>
      <w:r>
        <w:t xml:space="preserve">climate-related events across Europe are insured, indicating that there is an insurance</w:t>
      </w:r>
    </w:p>
    <w:p>
      <w:pPr>
        <w:pStyle w:val="Compact"/>
        <w:numPr>
          <w:ilvl w:val="0"/>
          <w:numId w:val="1101"/>
        </w:numPr>
      </w:pPr>
      <w:r>
        <w:t xml:space="preserve">https://climate.copernicus.eu/esotc/2021/flooding-july</w:t>
      </w:r>
      <w:r>
        <w:br/>
      </w:r>
    </w:p>
    <w:p>
      <w:pPr>
        <w:pStyle w:val="Compact"/>
        <w:numPr>
          <w:ilvl w:val="0"/>
          <w:numId w:val="1101"/>
        </w:numPr>
      </w:pPr>
      <w:r>
        <w:t xml:space="preserve">Ballester, J., Quijal-Zamorano, M., Méndez Turrubiates, R.F. et al. Heat-related mortality in Europe during</w:t>
      </w:r>
      <w:r>
        <w:t xml:space="preserve"> </w:t>
      </w:r>
      <w:r>
        <w:t xml:space="preserve">the summer of 2022. Nat Med (2023).</w:t>
      </w:r>
    </w:p>
    <w:p>
      <w:pPr>
        <w:pStyle w:val="Compact"/>
        <w:numPr>
          <w:ilvl w:val="0"/>
          <w:numId w:val="1101"/>
        </w:numPr>
      </w:pPr>
      <w:r>
        <w:t xml:space="preserve">https://www.axios.com/2023/05/29/state-farm-home-insurance-california-wildfires</w:t>
      </w:r>
      <w:r>
        <w:br/>
      </w:r>
    </w:p>
    <w:p>
      <w:pPr>
        <w:pStyle w:val="Compact"/>
        <w:numPr>
          <w:ilvl w:val="0"/>
          <w:numId w:val="1101"/>
        </w:numPr>
      </w:pPr>
      <w:r>
        <w:t xml:space="preserve">https://www.climatecouncil.org.au/wp-content/uploads/2022/05/CC_Report-Uninsurable-Nation_V5-</w:t>
      </w:r>
      <w:r>
        <w:t xml:space="preserve"> </w:t>
      </w:r>
      <w:r>
        <w:t xml:space="preserve">FA_Low_Res_Single.pdf</w:t>
      </w:r>
      <w:r>
        <w:br/>
      </w:r>
      <w:r>
        <w:t xml:space="preserve">0</w:t>
      </w:r>
      <w:r>
        <w:t xml:space="preserve"> </w:t>
      </w:r>
      <w:r>
        <w:t xml:space="preserve">1000</w:t>
      </w:r>
      <w:r>
        <w:t xml:space="preserve"> </w:t>
      </w:r>
      <w:r>
        <w:t xml:space="preserve">2000</w:t>
      </w:r>
      <w:r>
        <w:t xml:space="preserve"> </w:t>
      </w:r>
      <w:r>
        <w:t xml:space="preserve">3000</w:t>
      </w:r>
      <w:r>
        <w:t xml:space="preserve"> </w:t>
      </w:r>
      <w:r>
        <w:t xml:space="preserve">4000</w:t>
      </w:r>
      <w:r>
        <w:t xml:space="preserve"> </w:t>
      </w:r>
      <w:r>
        <w:t xml:space="preserve">5000</w:t>
      </w:r>
      <w:r>
        <w:t xml:space="preserve"> </w:t>
      </w:r>
      <w:r>
        <w:t xml:space="preserve">6000</w:t>
      </w:r>
      <w:r>
        <w:t xml:space="preserve"> </w:t>
      </w:r>
      <w:r>
        <w:t xml:space="preserve">7000</w:t>
      </w:r>
      <w:r>
        <w:t xml:space="preserve"> </w:t>
      </w:r>
      <w:r>
        <w:t xml:space="preserve">8000</w:t>
      </w:r>
      <w:r>
        <w:t xml:space="preserve"> </w:t>
      </w:r>
      <w:r>
        <w:t xml:space="preserve">9000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Fatalities</w:t>
      </w:r>
      <w:r>
        <w:t xml:space="preserve"> </w:t>
      </w:r>
      <w:r>
        <w:t xml:space="preserve">Billion EUR 2022</w:t>
      </w:r>
      <w:r>
        <w:t xml:space="preserve"> </w:t>
      </w:r>
      <w:r>
        <w:t xml:space="preserve">Meteorological</w:t>
      </w:r>
      <w:r>
        <w:t xml:space="preserve"> </w:t>
      </w:r>
      <w:r>
        <w:t xml:space="preserve">Hydrological</w:t>
      </w:r>
      <w:r>
        <w:t xml:space="preserve"> </w:t>
      </w:r>
      <w:r>
        <w:t xml:space="preserve">Climatological</w:t>
      </w:r>
      <w:r>
        <w:t xml:space="preserve"> </w:t>
      </w:r>
      <w:r>
        <w:t xml:space="preserve">5-year moving average</w:t>
      </w:r>
      <w:r>
        <w:t xml:space="preserve"> </w:t>
      </w:r>
      <w:r>
        <w:t xml:space="preserve">Fatalities</w:t>
      </w:r>
    </w:p>
    <w:p>
      <w:pPr>
        <w:pStyle w:val="FirstParagraph"/>
      </w:pPr>
      <w:r>
        <w:t xml:space="preserve">106</w:t>
      </w:r>
    </w:p>
    <w:p>
      <w:pPr>
        <w:pStyle w:val="BodyText"/>
      </w:pPr>
      <w:r>
        <w:t xml:space="preserve">protection gap in Europe (393). The protection gaps vary significantly among Member States,</w:t>
      </w:r>
      <w:r>
        <w:t xml:space="preserve"> </w:t>
      </w:r>
      <w:r>
        <w:t xml:space="preserve">and vary by climatic events, covering coastal floods, river floods, wildfires and windstorms.</w:t>
      </w:r>
      <w:r>
        <w:t xml:space="preserve"> </w:t>
      </w:r>
      <w:r>
        <w:t xml:space="preserve">3.2</w:t>
      </w:r>
      <w:r>
        <w:t xml:space="preserve"> </w:t>
      </w:r>
      <w:r>
        <w:t xml:space="preserve">Analyses on global economic impacts</w:t>
      </w:r>
      <w:r>
        <w:t xml:space="preserve"> </w:t>
      </w:r>
      <w:r>
        <w:t xml:space="preserve">Estimating global aggregate economic costs of climate change is challenging due to</w:t>
      </w:r>
      <w:r>
        <w:t xml:space="preserve"> </w:t>
      </w:r>
      <w:r>
        <w:t xml:space="preserve">uncertainties that characterize the impacts of climate change (see section 3.4).</w:t>
      </w:r>
      <w:r>
        <w:t xml:space="preserve"> </w:t>
      </w:r>
      <w:r>
        <w:t xml:space="preserve">Diverse methodologies are used in the literature for the assessment of costs of climate change</w:t>
      </w:r>
      <w:r>
        <w:t xml:space="preserve"> </w:t>
      </w:r>
      <w:r>
        <w:t xml:space="preserve">(394), including biophysical process models, structural economic models, econometrics, hybrid</w:t>
      </w:r>
      <w:r>
        <w:t xml:space="preserve"> </w:t>
      </w:r>
      <w:r>
        <w:t xml:space="preserve">approaches (395) and semi-qualitative methods based on expert elicitation (396). Econometric</w:t>
      </w:r>
      <w:r>
        <w:t xml:space="preserve"> </w:t>
      </w:r>
      <w:r>
        <w:t xml:space="preserve">estimates tend to produce higher damage estimates than models. Further, studies use different</w:t>
      </w:r>
      <w:r>
        <w:t xml:space="preserve"> </w:t>
      </w:r>
      <w:r>
        <w:t xml:space="preserve">impact categories and different spatial and temporal scope.</w:t>
      </w:r>
      <w:r>
        <w:t xml:space="preserve"> </w:t>
      </w:r>
      <w:r>
        <w:t xml:space="preserve">Differences derive also from evaluation methods applied to assess climate impacts.</w:t>
      </w:r>
      <w:r>
        <w:t xml:space="preserve"> </w:t>
      </w:r>
      <w:r>
        <w:t xml:space="preserve">Monetizing mortality/morbidity from climate change for example can be done through</w:t>
      </w:r>
      <w:r>
        <w:t xml:space="preserve"> </w:t>
      </w:r>
      <w:r>
        <w:t xml:space="preserve">estimating macroeconomic impacts of loss of labour productivity, or through the value of</w:t>
      </w:r>
      <w:r>
        <w:t xml:space="preserve"> </w:t>
      </w:r>
      <w:r>
        <w:t xml:space="preserve">statistical life. There are ethical concerns to putting monetary value to non-economic losses,</w:t>
      </w:r>
      <w:r>
        <w:t xml:space="preserve"> </w:t>
      </w:r>
      <w:r>
        <w:t xml:space="preserve">such as loss of human life, loss of species, or intangible heritage. Quantification of costs of</w:t>
      </w:r>
      <w:r>
        <w:t xml:space="preserve"> </w:t>
      </w:r>
      <w:r>
        <w:t xml:space="preserve">climate change is nonetheless useful as it provides at least a partial picture of ranges of</w:t>
      </w:r>
      <w:r>
        <w:t xml:space="preserve"> </w:t>
      </w:r>
      <w:r>
        <w:t xml:space="preserve">economic damages, the impact categories, and differences between direct and indirect costs.</w:t>
      </w:r>
      <w:r>
        <w:br/>
      </w:r>
      <w:r>
        <w:t xml:space="preserve">Costs can be presented as:</w:t>
      </w:r>
      <w:r>
        <w:br/>
      </w:r>
      <w:r>
        <w:t xml:space="preserve">-</w:t>
      </w:r>
      <w:r>
        <w:t xml:space="preserve"> </w:t>
      </w:r>
      <w:r>
        <w:t xml:space="preserve">Aggregate or systemic costs (aggregate GDP losses from climate change)</w:t>
      </w:r>
      <w:r>
        <w:br/>
      </w:r>
      <w:r>
        <w:t xml:space="preserve">-</w:t>
      </w:r>
      <w:r>
        <w:t xml:space="preserve"> </w:t>
      </w:r>
      <w:r>
        <w:t xml:space="preserve">Direct costs of climate change impacts: (method for economic costs that does not</w:t>
      </w:r>
      <w:r>
        <w:t xml:space="preserve"> </w:t>
      </w:r>
      <w:r>
        <w:t xml:space="preserve">consider market adjustments)</w:t>
      </w:r>
      <w:r>
        <w:br/>
      </w:r>
      <w:r>
        <w:t xml:space="preserve">-</w:t>
      </w:r>
      <w:r>
        <w:t xml:space="preserve"> </w:t>
      </w:r>
      <w:r>
        <w:t xml:space="preserve">Indirect costs (such as weakening economic growth, lower asset values)</w:t>
      </w:r>
      <w:r>
        <w:br/>
      </w:r>
      <w:r>
        <w:t xml:space="preserve">-</w:t>
      </w:r>
      <w:r>
        <w:t xml:space="preserve"> </w:t>
      </w:r>
      <w:r>
        <w:t xml:space="preserve">Transmission mechanisms (e.g., trade effects: can exacerbate or smoothen losses from</w:t>
      </w:r>
      <w:r>
        <w:t xml:space="preserve"> </w:t>
      </w:r>
      <w:r>
        <w:t xml:space="preserve">climate change)</w:t>
      </w:r>
      <w:r>
        <w:br/>
      </w:r>
      <w:r>
        <w:t xml:space="preserve">The IPCC Special Report on Global Warming of 1.5°C (2018) (397) states that 2°C degrees of</w:t>
      </w:r>
      <w:r>
        <w:t xml:space="preserve"> </w:t>
      </w:r>
      <w:r>
        <w:t xml:space="preserve">warming is projected to lead to lower aggregated economic growth due to climate change in</w:t>
      </w:r>
    </w:p>
    <w:p>
      <w:pPr>
        <w:pStyle w:val="Compact"/>
        <w:numPr>
          <w:ilvl w:val="0"/>
          <w:numId w:val="1102"/>
        </w:numPr>
      </w:pPr>
      <w:r>
        <w:t xml:space="preserve">EIOPA, “The dashboard on insurance protection gap for natural catastrophes in a nutshell”,</w:t>
      </w:r>
      <w:r>
        <w:t xml:space="preserve"> </w:t>
      </w:r>
      <w:r>
        <w:t xml:space="preserve">https://www.eiopa.europa.eu/system/files/2022-12/dashboard-on-insurance-protection-gap-for-natural-</w:t>
      </w:r>
      <w:r>
        <w:t xml:space="preserve"> </w:t>
      </w:r>
      <w:r>
        <w:t xml:space="preserve">catastrophes-in-a-nutshell.pdf</w:t>
      </w:r>
      <w:r>
        <w:br/>
      </w:r>
    </w:p>
    <w:p>
      <w:pPr>
        <w:pStyle w:val="Compact"/>
        <w:numPr>
          <w:ilvl w:val="0"/>
          <w:numId w:val="1102"/>
        </w:numPr>
      </w:pPr>
      <w:r>
        <w:t xml:space="preserve">Bosello F. and Leon C.J. 2022. Climate change impacts in the EU: new evidence from recent research.</w:t>
      </w:r>
      <w:r>
        <w:t xml:space="preserve"> </w:t>
      </w:r>
      <w:r>
        <w:t xml:space="preserve">EAERE Magazine, 16 Spring 2022 – Climate Impacts and Adaptation.</w:t>
      </w:r>
    </w:p>
    <w:p>
      <w:pPr>
        <w:pStyle w:val="Compact"/>
        <w:numPr>
          <w:ilvl w:val="0"/>
          <w:numId w:val="1102"/>
        </w:numPr>
      </w:pPr>
      <w:r>
        <w:t xml:space="preserve">O’Neill, B., M. van Aalst, Z. Zaiton Ibrahim, L. Berrang Ford, S. Bhadwal, H. Buhaug, D. Diaz, K. Frieler,</w:t>
      </w:r>
      <w:r>
        <w:t xml:space="preserve"> </w:t>
      </w:r>
      <w:r>
        <w:t xml:space="preserve">M. Garschagen, A. Magnan, G. Midgley, A. Mirzabaev, A. Thomas, and R.Warren, 2022: Key Risks Across</w:t>
      </w:r>
      <w:r>
        <w:t xml:space="preserve"> </w:t>
      </w:r>
      <w:r>
        <w:t xml:space="preserve">Sectors and Regions. In: Climate Change 2022: Impacts, Adaptation and Vulnerability. Contribution of</w:t>
      </w:r>
      <w:r>
        <w:t xml:space="preserve"> </w:t>
      </w:r>
      <w:r>
        <w:t xml:space="preserve">Working Group II to the Sixth Assessment Report of the Intergovernmental Panel on Climate Change [H.-O.</w:t>
      </w:r>
      <w:r>
        <w:t xml:space="preserve"> </w:t>
      </w:r>
      <w:r>
        <w:t xml:space="preserve">Pörtner, D.C. Roberts, M. Tignor, E.S. Poloczanska, K. Mintenbeck, A. Alegría, M. Craig, S. Langsdorf, S.</w:t>
      </w:r>
      <w:r>
        <w:t xml:space="preserve"> </w:t>
      </w:r>
      <w:r>
        <w:t xml:space="preserve">Löschke, V. Möller, A. Okem, B. Rama (eds.)]. Cambridge University Press, Cambridge, UK and New</w:t>
      </w:r>
      <w:r>
        <w:t xml:space="preserve"> </w:t>
      </w:r>
      <w:r>
        <w:t xml:space="preserve">York, NY, USA, pp. 2411–2538, doi:10.1017/9781009325844.025.</w:t>
      </w:r>
    </w:p>
    <w:p>
      <w:pPr>
        <w:pStyle w:val="Compact"/>
        <w:numPr>
          <w:ilvl w:val="0"/>
          <w:numId w:val="1102"/>
        </w:numPr>
      </w:pPr>
      <w:r>
        <w:t xml:space="preserve">Bosello F. and Leon C.J. 2022. Climate change impacts in the EU: new evidence from recent research.</w:t>
      </w:r>
      <w:r>
        <w:t xml:space="preserve"> </w:t>
      </w:r>
      <w:r>
        <w:t xml:space="preserve">EAERE Magazine, 16 Spring 2022 – Climate Impacts and Adaptation.</w:t>
      </w:r>
    </w:p>
    <w:p>
      <w:pPr>
        <w:pStyle w:val="Compact"/>
        <w:numPr>
          <w:ilvl w:val="0"/>
          <w:numId w:val="1102"/>
        </w:numPr>
      </w:pPr>
      <w:r>
        <w:t xml:space="preserve">Hoegh-Guldberg, O., D. Jacob, M. Taylor, M. Bindi, S. Brown, I. Camilloni, A. Diedhiou, R. Djalante, K.L.</w:t>
      </w:r>
      <w:r>
        <w:t xml:space="preserve"> </w:t>
      </w:r>
      <w:r>
        <w:t xml:space="preserve">Ebi, F. Engelbrecht, J.Guiot, Y. Hijioka, S. Mehrotra, A. Payne, S.I. Seneviratne, A. Thomas, R. Warren,</w:t>
      </w:r>
      <w:r>
        <w:t xml:space="preserve"> </w:t>
      </w:r>
      <w:r>
        <w:t xml:space="preserve">and G. Zhou, 2018: Impacts of 1.5ºC Global Warming on Natural and Human Systems. In: Global Warming</w:t>
      </w:r>
      <w:r>
        <w:t xml:space="preserve"> </w:t>
      </w:r>
      <w:r>
        <w:t xml:space="preserve">of 1.5°C. An IPCC Special Report on the impacts of global warming of 1.5°C above pre-industrial levels</w:t>
      </w:r>
      <w:r>
        <w:t xml:space="preserve"> </w:t>
      </w:r>
      <w:r>
        <w:t xml:space="preserve">and related global greenhouse gas emission pathways, in the context of strengthening the global response to</w:t>
      </w:r>
    </w:p>
    <w:p>
      <w:pPr>
        <w:pStyle w:val="FirstParagraph"/>
      </w:pPr>
      <w:r>
        <w:t xml:space="preserve">107</w:t>
      </w:r>
    </w:p>
    <w:p>
      <w:pPr>
        <w:pStyle w:val="BodyText"/>
      </w:pPr>
      <w:r>
        <w:t xml:space="preserve">2100 compared to 1.5°C of warming. The mean net present value of the costs of damages</w:t>
      </w:r>
      <w:r>
        <w:t xml:space="preserve"> </w:t>
      </w:r>
      <w:r>
        <w:t xml:space="preserve">from global warming in 2100 for 1.5°C is US $54 trillion, and US $69 trillion for 2°C,</w:t>
      </w:r>
      <w:r>
        <w:t xml:space="preserve"> </w:t>
      </w:r>
      <w:r>
        <w:t xml:space="preserve">relative to 1961–1990. This includes costs associated with climate change-induced market and</w:t>
      </w:r>
      <w:r>
        <w:t xml:space="preserve"> </w:t>
      </w:r>
      <w:r>
        <w:t xml:space="preserve">non-market impacts, impacts due to sea level rise, and impacts associated with large-scale</w:t>
      </w:r>
      <w:r>
        <w:t xml:space="preserve"> </w:t>
      </w:r>
      <w:r>
        <w:t xml:space="preserve">discontinuities.</w:t>
      </w:r>
      <w:r>
        <w:br/>
      </w:r>
      <w:r>
        <w:t xml:space="preserve">The IPCC AR6 Working Group II report (2022) (398) confirms that global aggregate economic</w:t>
      </w:r>
      <w:r>
        <w:t xml:space="preserve"> </w:t>
      </w:r>
      <w:r>
        <w:t xml:space="preserve">impacts generally increase with higher degree of global warming. However, due to the wide</w:t>
      </w:r>
      <w:r>
        <w:t xml:space="preserve"> </w:t>
      </w:r>
      <w:r>
        <w:t xml:space="preserve">range of damage estimates and lack of comparability between methodologies, the report does</w:t>
      </w:r>
      <w:r>
        <w:t xml:space="preserve"> </w:t>
      </w:r>
      <w:r>
        <w:t xml:space="preserve">not provide a robust range of estimates but recognizes that global aggregate economic impacts</w:t>
      </w:r>
      <w:r>
        <w:t xml:space="preserve"> </w:t>
      </w:r>
      <w:r>
        <w:t xml:space="preserve">could be higher than estimated in the previous report.</w:t>
      </w:r>
      <w:r>
        <w:t xml:space="preserve"> </w:t>
      </w:r>
      <w:r>
        <w:t xml:space="preserve">The latest IEA Net Zero Roadmap report (399) finds that without increasing policy ambition by</w:t>
      </w:r>
      <w:r>
        <w:t xml:space="preserve"> </w:t>
      </w:r>
      <w:r>
        <w:t xml:space="preserve">2030, limiting global average temperature to 1.5oC by 2100 will become much harder, as</w:t>
      </w:r>
      <w:r>
        <w:t xml:space="preserve"> </w:t>
      </w:r>
      <w:r>
        <w:t xml:space="preserve">higher levels of CO2 removal from the atmosphere will be necessary after 2050. Such delay</w:t>
      </w:r>
      <w:r>
        <w:t xml:space="preserve"> </w:t>
      </w:r>
      <w:r>
        <w:t xml:space="preserve">in climate action would cost the world an additional US $1.3 trillion per year.</w:t>
      </w:r>
      <w:r>
        <w:t xml:space="preserve"> </w:t>
      </w:r>
      <w:r>
        <w:t xml:space="preserve">A recent study by van der Wijst et al. (2023) (400) estimates that global damages from climate</w:t>
      </w:r>
      <w:r>
        <w:t xml:space="preserve"> </w:t>
      </w:r>
      <w:r>
        <w:t xml:space="preserve">change would reach 10-12% of GDP by 2100 under a 3℃ global warming scenario, and 2%</w:t>
      </w:r>
      <w:r>
        <w:t xml:space="preserve"> </w:t>
      </w:r>
      <w:r>
        <w:t xml:space="preserve">of GDP under a well below 2℃ global warming scenario. With increasing warming losses</w:t>
      </w:r>
      <w:r>
        <w:t xml:space="preserve"> </w:t>
      </w:r>
      <w:r>
        <w:t xml:space="preserve">increase rapidly (Figure 31), and after the mid-century the economic benefits of climate action</w:t>
      </w:r>
      <w:r>
        <w:t xml:space="preserve"> </w:t>
      </w:r>
      <w:r>
        <w:t xml:space="preserve">become increasingly apparent. They conclude that the economic benefits of reduced damages</w:t>
      </w:r>
      <w:r>
        <w:t xml:space="preserve"> </w:t>
      </w:r>
      <w:r>
        <w:t xml:space="preserve">from climate change substantially outweigh the cost of climate change policy, even when</w:t>
      </w:r>
      <w:r>
        <w:t xml:space="preserve"> </w:t>
      </w:r>
      <w:r>
        <w:t xml:space="preserve">some climate damages, such as impacts on health and biodiversity, are not accounted for</w:t>
      </w:r>
      <w:r>
        <w:t xml:space="preserve"> </w:t>
      </w:r>
      <w:r>
        <w:t xml:space="preserve">(Figure 32).</w:t>
      </w:r>
    </w:p>
    <w:p>
      <w:pPr>
        <w:pStyle w:val="BodyText"/>
      </w:pPr>
      <w:r>
        <w:t xml:space="preserve">the threat of climate change, sustainable development, and efforts to eradicate poverty [Masson-Delmotte,</w:t>
      </w:r>
      <w:r>
        <w:t xml:space="preserve"> </w:t>
      </w:r>
      <w:r>
        <w:t xml:space="preserve">V., P. Zhai, H.-O. Pörtner, D. Roberts, J. Skea, P.R. Shukla, A. Pirani, W. Moufouma-Okia, C. Péan, R.</w:t>
      </w:r>
      <w:r>
        <w:t xml:space="preserve"> </w:t>
      </w:r>
      <w:r>
        <w:t xml:space="preserve">Pidcock, S. Connors, J.B.R. Matthews, Y. Chen, X. Zhou, M.I. Gomis, E. Lonnoy, T.Maycock, M.Tignor,</w:t>
      </w:r>
      <w:r>
        <w:t xml:space="preserve"> </w:t>
      </w:r>
      <w:r>
        <w:t xml:space="preserve">and T. Waterfield (eds.)]. Cambridge University Press, Cambridge, UK and New York, NY, USA, pp. 175-</w:t>
      </w:r>
      <w:r>
        <w:t xml:space="preserve"> </w:t>
      </w:r>
      <w:r>
        <w:t xml:space="preserve">312. https://doi.org/10.1017/9781009157940.005.</w:t>
      </w:r>
      <w:r>
        <w:t xml:space="preserve"> </w:t>
      </w:r>
      <w:r>
        <w:t xml:space="preserve">(398) O’Neill, B., M. van Aalst, Z. Zaiton Ibrahim, L. Berrang Ford, S. Bhadwal, H. Buhaug, D. Diaz, K. Frieler,</w:t>
      </w:r>
      <w:r>
        <w:t xml:space="preserve"> </w:t>
      </w:r>
      <w:r>
        <w:t xml:space="preserve">M. Garschagen, A. Magnan, G. Midgley, A. Mirzabaev, A. Thomas, and R.Warren, 2022: Key Risks Across</w:t>
      </w:r>
      <w:r>
        <w:t xml:space="preserve"> </w:t>
      </w:r>
      <w:r>
        <w:t xml:space="preserve">Sectors and Regions. In: Climate Change 2022: Impacts, Adaptation and Vulnerability. Contribution of</w:t>
      </w:r>
      <w:r>
        <w:t xml:space="preserve"> </w:t>
      </w:r>
      <w:r>
        <w:t xml:space="preserve">Working Group II to the Sixth Assessment Report of the Intergovernmental Panel on Climate Change [H.-O.</w:t>
      </w:r>
      <w:r>
        <w:t xml:space="preserve"> </w:t>
      </w:r>
      <w:r>
        <w:t xml:space="preserve">Pörtner, D.C. Roberts, M. Tignor, E.S. Poloczanska, K. Mintenbeck, A. Alegría, M. Craig, S. Langsdorf, S.</w:t>
      </w:r>
      <w:r>
        <w:t xml:space="preserve"> </w:t>
      </w:r>
      <w:r>
        <w:t xml:space="preserve">Löschke, V. Möller, A. Okem, B. Rama (eds.)]. Cambridge University Press, Cambridge, UK and New</w:t>
      </w:r>
      <w:r>
        <w:t xml:space="preserve"> </w:t>
      </w:r>
      <w:r>
        <w:t xml:space="preserve">York, NY, USA, pp. 2411–2538, doi:10.1017/9781009325844.025.</w:t>
      </w:r>
      <w:r>
        <w:t xml:space="preserve"> </w:t>
      </w:r>
      <w:r>
        <w:t xml:space="preserve">(399) International Energy Agency. 2023. Net Zero Roadmap: A Global Pathway to Keep 1.5oC Goal in Reach.</w:t>
      </w:r>
      <w:r>
        <w:t xml:space="preserve"> </w:t>
      </w:r>
      <w:r>
        <w:t xml:space="preserve">URL: https://www.iea.org/reports/net-zero-roadmap-a-global-pathway-to-keep-the-15-0c-goal-in-reach</w:t>
      </w:r>
      <w:r>
        <w:br/>
      </w:r>
      <w:r>
        <w:t xml:space="preserve">(400) van der Wijst, KI., Bosello, F., Dasgupta, S. et al. New damage curves and multimodel analysis suggest</w:t>
      </w:r>
      <w:r>
        <w:t xml:space="preserve"> </w:t>
      </w:r>
      <w:r>
        <w:t xml:space="preserve">lower optimal temperature. Nature Climate Change, 13, 434–441 (2023). https://doi.org/10.1038/s41558-</w:t>
      </w:r>
      <w:r>
        <w:t xml:space="preserve"> </w:t>
      </w:r>
      <w:r>
        <w:t xml:space="preserve">023-01636-1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Figure 31: Example of damage functions as used in Integrated Assessment Models</w:t>
      </w:r>
    </w:p>
    <w:p>
      <w:pPr>
        <w:pStyle w:val="BodyText"/>
      </w:pPr>
      <w:r>
        <w:t xml:space="preserve">Note: Model using quantile regression, showing 5th (low estimate), 50th (medium) and 95th (high) percentiles.</w:t>
      </w:r>
      <w:r>
        <w:t xml:space="preserve"> </w:t>
      </w:r>
      <w:r>
        <w:t xml:space="preserve">Source: van der Wijst et al. (2023).</w:t>
      </w:r>
    </w:p>
    <w:p>
      <w:pPr>
        <w:pStyle w:val="BodyText"/>
      </w:pPr>
      <w:r>
        <w:t xml:space="preserve">Figure 32: Benefit-cost ratios for the Cost-benefit analysis</w:t>
      </w:r>
    </w:p>
    <w:p>
      <w:pPr>
        <w:pStyle w:val="BodyText"/>
      </w:pPr>
      <w:r>
        <w:t xml:space="preserve">Note: Benefit-cost ratios for the cost-benefit analysis scenario using the medium damage function (50th percentile):</w:t>
      </w:r>
      <w:r>
        <w:t xml:space="preserve"> </w:t>
      </w:r>
      <w:r>
        <w:t xml:space="preserve">a, Policy costs (dotted lines) and avoided damages (benefits, solid lines) over time for the scenario with medium</w:t>
      </w:r>
      <w:r>
        <w:t xml:space="preserve"> </w:t>
      </w:r>
      <w:r>
        <w:t xml:space="preserve">discounting. b, BCR: total discounted avoided damages divided by the total discounted mitigation costs. REMIND is not</w:t>
      </w:r>
      <w:r>
        <w:t xml:space="preserve"> </w:t>
      </w:r>
      <w:r>
        <w:t xml:space="preserve">calibrated for the lowest discount rate. The numbers above the bars correspond to the exact value of the benefit-cost</w:t>
      </w:r>
      <w:r>
        <w:t xml:space="preserve"> </w:t>
      </w:r>
      <w:r>
        <w:t xml:space="preserve">ratio.</w:t>
      </w:r>
    </w:p>
    <w:p>
      <w:pPr>
        <w:pStyle w:val="BodyText"/>
      </w:pPr>
      <w:r>
        <w:t xml:space="preserve">Source: van der Wijst et al. (2023).</w:t>
      </w:r>
      <w:r>
        <w:t xml:space="preserve"> </w:t>
      </w:r>
      <w:r>
        <w:t xml:space="preserve">The economic impacts vary between region and social groups (Figure 33). With increasing</w:t>
      </w:r>
      <w:r>
        <w:t xml:space="preserve"> </w:t>
      </w:r>
      <w:r>
        <w:t xml:space="preserve">global warming levels, Africa and the Middle East are projected to experience the highest</w:t>
      </w:r>
      <w:r>
        <w:t xml:space="preserve"> </w:t>
      </w:r>
      <w:r>
        <w:t xml:space="preserve">damages from climate change, followed by Asia and Latin America (401). While economic</w:t>
      </w:r>
    </w:p>
    <w:p>
      <w:pPr>
        <w:pStyle w:val="Compact"/>
        <w:numPr>
          <w:ilvl w:val="0"/>
          <w:numId w:val="1103"/>
        </w:numPr>
      </w:pPr>
      <w:r>
        <w:t xml:space="preserve">van der Wijst, KI., Bosello, F., Dasgupta, S. et al. New damage curves and multimodel analysis suggest</w:t>
      </w:r>
      <w:r>
        <w:t xml:space="preserve"> </w:t>
      </w:r>
      <w:r>
        <w:t xml:space="preserve">lower optimal temperature. Nature Climate Change, 13, 434–441 (2023). https://doi.org/10.1038/s41558-023-</w:t>
      </w:r>
      <w:r>
        <w:t xml:space="preserve"> </w:t>
      </w:r>
      <w:r>
        <w:t xml:space="preserve">01636-1</w:t>
      </w:r>
    </w:p>
    <w:p>
      <w:pPr>
        <w:pStyle w:val="FirstParagraph"/>
      </w:pPr>
      <w:r>
        <w:t xml:space="preserve">109</w:t>
      </w:r>
    </w:p>
    <w:p>
      <w:pPr>
        <w:pStyle w:val="BodyText"/>
      </w:pPr>
      <w:r>
        <w:t xml:space="preserve">impacts on poorer countries and households account for a smaller share of aggregate losses in</w:t>
      </w:r>
      <w:r>
        <w:t xml:space="preserve"> </w:t>
      </w:r>
      <w:r>
        <w:t xml:space="preserve">GDP terms, the impact on welfare and wellbeing can be substantial (402).</w:t>
      </w:r>
    </w:p>
    <w:p>
      <w:pPr>
        <w:pStyle w:val="BodyText"/>
      </w:pPr>
      <w:r>
        <w:t xml:space="preserve">Figure 33: End of century damages for the five macro-regions for two scenarios</w:t>
      </w:r>
    </w:p>
    <w:p>
      <w:pPr>
        <w:pStyle w:val="BodyText"/>
      </w:pPr>
      <w:r>
        <w:t xml:space="preserve">Note: The damages are split into three types (direct temperature-related damages, direct sea-level-rise damages and</w:t>
      </w:r>
      <w:r>
        <w:t xml:space="preserve"> </w:t>
      </w:r>
      <w:r>
        <w:t xml:space="preserve">indirect damages from GDP loss accumulation). The damages are shown for the year 2100 in the RCP6.0 scenario (a)</w:t>
      </w:r>
      <w:r>
        <w:t xml:space="preserve"> </w:t>
      </w:r>
      <w:r>
        <w:t xml:space="preserve">and the RCP2.6 scenario (b). Both scenarios assume optimal sea-level-rise adaptation. This figure does not show</w:t>
      </w:r>
      <w:r>
        <w:t xml:space="preserve"> </w:t>
      </w:r>
      <w:r>
        <w:t xml:space="preserve">intra-regional differences; only the population-weighted average per macro-region is shown.</w:t>
      </w:r>
      <w:r>
        <w:t xml:space="preserve"> </w:t>
      </w:r>
      <w:r>
        <w:t xml:space="preserve">Source: van der Wijst et al. (2023).</w:t>
      </w:r>
      <w:r>
        <w:t xml:space="preserve"> </w:t>
      </w:r>
      <w:r>
        <w:t xml:space="preserve">3.3</w:t>
      </w:r>
      <w:r>
        <w:t xml:space="preserve"> </w:t>
      </w:r>
      <w:r>
        <w:t xml:space="preserve">Sectoral economic impacts in the EU</w:t>
      </w:r>
      <w:r>
        <w:br/>
      </w:r>
      <w:r>
        <w:t xml:space="preserve">3.3.1 The PESETA study</w:t>
      </w:r>
      <w:r>
        <w:t xml:space="preserve"> </w:t>
      </w:r>
      <w:r>
        <w:t xml:space="preserve">The impacts of climate change will also affect European economies. The JRC PESETA IV</w:t>
      </w:r>
      <w:r>
        <w:t xml:space="preserve"> </w:t>
      </w:r>
      <w:r>
        <w:t xml:space="preserve">study assessed the impacts of climate change in broader economic terms for seven impact</w:t>
      </w:r>
    </w:p>
    <w:p>
      <w:pPr>
        <w:pStyle w:val="Compact"/>
        <w:numPr>
          <w:ilvl w:val="0"/>
          <w:numId w:val="1104"/>
        </w:numPr>
      </w:pPr>
      <w:r>
        <w:t xml:space="preserve">O’Neill, B., M. van Aalst, Z. Zaiton Ibrahim, L. Berrang Ford, S. Bhadwal, H. Buhaug, D. Diaz, K. Frieler,</w:t>
      </w:r>
      <w:r>
        <w:t xml:space="preserve"> </w:t>
      </w:r>
      <w:r>
        <w:t xml:space="preserve">M. Garschagen, A. Magnan, G. Midgley, A. Mirzabaev, A. Thomas, and R.Warren, 2022: Key Risks Across</w:t>
      </w:r>
      <w:r>
        <w:t xml:space="preserve"> </w:t>
      </w:r>
      <w:r>
        <w:t xml:space="preserve">Sectors and Regions. In: Climate Change 2022: Impacts, Adaptation and Vulnerability. Contribution of Working</w:t>
      </w:r>
      <w:r>
        <w:t xml:space="preserve"> </w:t>
      </w:r>
      <w:r>
        <w:t xml:space="preserve">Group II to the Sixth Assessment Report of the Intergovernmental Panel on Climate Change [H.-O. Pörtner, D.C.</w:t>
      </w:r>
      <w:r>
        <w:t xml:space="preserve"> </w:t>
      </w:r>
      <w:r>
        <w:t xml:space="preserve">Roberts, M. Tignor, E.S. Poloczanska, K. Mintenbeck, A. Alegría, M. Craig, S. Langsdorf, S. Löschke, V.</w:t>
      </w:r>
      <w:r>
        <w:t xml:space="preserve"> </w:t>
      </w:r>
      <w:r>
        <w:t xml:space="preserve">Möller, A. Okem, B. Rama (eds.)]. Cambridge University Press, Cambridge, UK and New York, NY, USA, pp. </w:t>
      </w:r>
      <w:r>
        <w:t xml:space="preserve"> </w:t>
      </w:r>
      <w:r>
        <w:t xml:space="preserve">2411–2538, doi:10.1017/9781009325844.025.</w:t>
      </w:r>
    </w:p>
    <w:p>
      <w:pPr>
        <w:pStyle w:val="FirstParagraph"/>
      </w:pPr>
      <w:r>
        <w:t xml:space="preserve">110</w:t>
      </w:r>
    </w:p>
    <w:p>
      <w:pPr>
        <w:pStyle w:val="BodyText"/>
      </w:pPr>
      <w:r>
        <w:t xml:space="preserve">categories: river floods, coastal floods, agriculture, energy supply, droughts, windstorms and</w:t>
      </w:r>
      <w:r>
        <w:t xml:space="preserve"> </w:t>
      </w:r>
      <w:r>
        <w:t xml:space="preserve">human mortality. They used a static approach, assuming current size and structure of the</w:t>
      </w:r>
      <w:r>
        <w:t xml:space="preserve"> </w:t>
      </w:r>
      <w:r>
        <w:t xml:space="preserve">economy. The full economic impacts of climate change were not assessed, and the assessment</w:t>
      </w:r>
      <w:r>
        <w:t xml:space="preserve"> </w:t>
      </w:r>
      <w:r>
        <w:t xml:space="preserve">also did not consider the impact of passing climate tipping points. It finds that exposing</w:t>
      </w:r>
      <w:r>
        <w:t xml:space="preserve"> </w:t>
      </w:r>
      <w:r>
        <w:t xml:space="preserve">present economy to 1.5℃, 2℃ and 3℃ global warming would result in annual welfare loss</w:t>
      </w:r>
      <w:r>
        <w:t xml:space="preserve"> </w:t>
      </w:r>
      <w:r>
        <w:t xml:space="preserve">of, respectively, EUR 42 billion/year (0.33% of GDP), EUR 83 billion/year (0.65% of GDP)</w:t>
      </w:r>
      <w:r>
        <w:t xml:space="preserve"> </w:t>
      </w:r>
      <w:r>
        <w:t xml:space="preserve">and EUR 175 billion/year (1.38% of GDP). In this study human mortality from extreme heat</w:t>
      </w:r>
      <w:r>
        <w:t xml:space="preserve"> </w:t>
      </w:r>
      <w:r>
        <w:t xml:space="preserve">accounts for the dominant part of economic climate impacts, however, it strongly depends on</w:t>
      </w:r>
      <w:r>
        <w:t xml:space="preserve"> </w:t>
      </w:r>
      <w:r>
        <w:t xml:space="preserve">the monetary value that is put on human life. River flood damage is projected to increase six-</w:t>
      </w:r>
      <w:r>
        <w:t xml:space="preserve"> </w:t>
      </w:r>
      <w:r>
        <w:t xml:space="preserve">fold at 3℃ global warming, reaching EUR 43 billion per year by the end of the century,</w:t>
      </w:r>
      <w:r>
        <w:t xml:space="preserve"> </w:t>
      </w:r>
      <w:r>
        <w:t xml:space="preserve">compared to the current losses estimated at EUR 7.8 billion per year (EU + UK), and</w:t>
      </w:r>
      <w:r>
        <w:t xml:space="preserve"> </w:t>
      </w:r>
      <w:r>
        <w:t xml:space="preserve">exposing 500 000 people to river flooding per year, compared to 170 000 today. Limiting</w:t>
      </w:r>
      <w:r>
        <w:t xml:space="preserve"> </w:t>
      </w:r>
      <w:r>
        <w:t xml:space="preserve">warming to 1.5℃ would decrease the number of people exposed by 230 000 and halve the</w:t>
      </w:r>
      <w:r>
        <w:t xml:space="preserve"> </w:t>
      </w:r>
      <w:r>
        <w:t xml:space="preserve">economic impacts. Without strong adaptation action, coastal flood losses would rise sharply</w:t>
      </w:r>
      <w:r>
        <w:t xml:space="preserve"> </w:t>
      </w:r>
      <w:r>
        <w:t xml:space="preserve">due to sea level rise, and at 3oC global warming level, annual economic damages in the</w:t>
      </w:r>
      <w:r>
        <w:t xml:space="preserve"> </w:t>
      </w:r>
      <w:r>
        <w:t xml:space="preserve">EU+UK would reach EUR 240 billion by 2100, compared to EUR 1.4 billion per year today.</w:t>
      </w:r>
      <w:r>
        <w:t xml:space="preserve"> </w:t>
      </w:r>
      <w:r>
        <w:t xml:space="preserve">2.2 million people would be exposed to coastal flooding compared to 0.1 million today.</w:t>
      </w:r>
      <w:r>
        <w:t xml:space="preserve"> </w:t>
      </w:r>
      <w:r>
        <w:t xml:space="preserve">Moderate mitigation action would reduce economic losses by half (to EUR 111 billion per</w:t>
      </w:r>
      <w:r>
        <w:t xml:space="preserve"> </w:t>
      </w:r>
      <w:r>
        <w:t xml:space="preserve">year) and people exposed to 1.4 million per year. Even with strong mitigation, adaptation will</w:t>
      </w:r>
      <w:r>
        <w:t xml:space="preserve"> </w:t>
      </w:r>
      <w:r>
        <w:t xml:space="preserve">continue to be necessary to limit impacts from flooding. The benefits of adaptation are long-</w:t>
      </w:r>
      <w:r>
        <w:t xml:space="preserve"> </w:t>
      </w:r>
      <w:r>
        <w:t xml:space="preserve">lasting and avoided damage grows in time and with increasing global warming levels. At 3oC</w:t>
      </w:r>
      <w:r>
        <w:t xml:space="preserve"> </w:t>
      </w:r>
      <w:r>
        <w:t xml:space="preserve">global warming, losses from drought would increase from EUR 9 billion per year today to</w:t>
      </w:r>
      <w:r>
        <w:t xml:space="preserve"> </w:t>
      </w:r>
      <w:r>
        <w:t xml:space="preserve">EUR 45 billion per year in 2100. Current annual losses from drought are estimated to be</w:t>
      </w:r>
      <w:r>
        <w:t xml:space="preserve"> </w:t>
      </w:r>
      <w:r>
        <w:t xml:space="preserve">around EUR 9.4 billion (EU+UK), with Spain, Italy and France being the most impacted. The</w:t>
      </w:r>
      <w:r>
        <w:t xml:space="preserve"> </w:t>
      </w:r>
      <w:r>
        <w:t xml:space="preserve">largest share of the losses comes from agriculture, followed by the energy sector and public</w:t>
      </w:r>
      <w:r>
        <w:t xml:space="preserve"> </w:t>
      </w:r>
      <w:r>
        <w:t xml:space="preserve">water supply. At 1.5℃ global warming level, losses from drought in EU+UK could reach</w:t>
      </w:r>
      <w:r>
        <w:t xml:space="preserve"> </w:t>
      </w:r>
      <w:r>
        <w:t xml:space="preserve">EUR 25 billion per year by the end of the century, EUR 31 billion at 2℃ global warming and</w:t>
      </w:r>
      <w:r>
        <w:t xml:space="preserve"> </w:t>
      </w:r>
      <w:r>
        <w:t xml:space="preserve">EUR 45 billion at 3℃ global warming (403) (404).</w:t>
      </w:r>
      <w:r>
        <w:t xml:space="preserve"> </w:t>
      </w:r>
      <w:r>
        <w:t xml:space="preserve">3.3.2 Other recent analyses</w:t>
      </w:r>
      <w:r>
        <w:t xml:space="preserve"> </w:t>
      </w:r>
      <w:r>
        <w:t xml:space="preserve">Bosello and Leon (2022) (405) review recent studies on the economic costs of climate change</w:t>
      </w:r>
      <w:r>
        <w:t xml:space="preserve"> </w:t>
      </w:r>
      <w:r>
        <w:t xml:space="preserve">for the EU and find that macroeconomic losses can be higher than previously estimated.</w:t>
      </w:r>
      <w:r>
        <w:t xml:space="preserve"> </w:t>
      </w:r>
      <w:r>
        <w:t xml:space="preserve">Extreme events and impacts on infrastructure are the main drivers, as well as health impacts</w:t>
      </w:r>
      <w:r>
        <w:t xml:space="preserve"> </w:t>
      </w:r>
      <w:r>
        <w:t xml:space="preserve">on mortality and impacts on labour productivity. In the literature they assess, coastal damages</w:t>
      </w:r>
      <w:r>
        <w:t xml:space="preserve"> </w:t>
      </w:r>
      <w:r>
        <w:t xml:space="preserve">from sea-level rise and riverine floods account to more than 70% of GDP market losses,</w:t>
      </w:r>
      <w:r>
        <w:t xml:space="preserve"> </w:t>
      </w:r>
      <w:r>
        <w:t xml:space="preserve">stressing the importance of infrastructural adaptation. They conclude that staying within the</w:t>
      </w:r>
      <w:r>
        <w:t xml:space="preserve"> </w:t>
      </w:r>
      <w:r>
        <w:t xml:space="preserve">Paris Agreement temperature range would greatly reduce the macroeconomic and welfare</w:t>
      </w:r>
      <w:r>
        <w:t xml:space="preserve"> </w:t>
      </w:r>
      <w:r>
        <w:t xml:space="preserve">losses compared to higher global warming scenarios.</w:t>
      </w:r>
    </w:p>
    <w:p>
      <w:pPr>
        <w:pStyle w:val="Compact"/>
        <w:numPr>
          <w:ilvl w:val="0"/>
          <w:numId w:val="1105"/>
        </w:numPr>
      </w:pPr>
      <w:r>
        <w:t xml:space="preserve">Feyen L., Ciscar J.C., Gosling S., Ibarreta D., Soria A. (editors) (2020). Climate change impacts and</w:t>
      </w:r>
      <w:r>
        <w:t xml:space="preserve"> </w:t>
      </w:r>
      <w:r>
        <w:t xml:space="preserve">adaptation in Europe. JRC PESETA IV final report. EUR 30180EN, Publications Office of the European</w:t>
      </w:r>
      <w:r>
        <w:t xml:space="preserve"> </w:t>
      </w:r>
      <w:r>
        <w:t xml:space="preserve">Union, Luxembourg, ISBN 978-92-76-18123-1, doi:10.2760/171121, JRC119178</w:t>
      </w:r>
    </w:p>
    <w:p>
      <w:pPr>
        <w:pStyle w:val="Compact"/>
        <w:numPr>
          <w:ilvl w:val="0"/>
          <w:numId w:val="1105"/>
        </w:numPr>
      </w:pPr>
      <w:r>
        <w:t xml:space="preserve">Cammalleri C., Naumann G., Mentaschi L., Formetta G.(a), Forzieri G., Gosling S.(b), Bisselink B., De Roo</w:t>
      </w:r>
      <w:r>
        <w:t xml:space="preserve"> </w:t>
      </w:r>
      <w:r>
        <w:t xml:space="preserve">A., and Feyen L., Global warming and drought impacts in the EU, EUR 29956 EN, Publications Office of</w:t>
      </w:r>
      <w:r>
        <w:t xml:space="preserve"> </w:t>
      </w:r>
      <w:r>
        <w:t xml:space="preserve">the European Union, Luxembourg, 2020, ISBN 978-92-76-12947-9, doi:10.2760/597045, JRC118585.</w:t>
      </w:r>
    </w:p>
    <w:p>
      <w:pPr>
        <w:pStyle w:val="Compact"/>
        <w:numPr>
          <w:ilvl w:val="0"/>
          <w:numId w:val="1105"/>
        </w:numPr>
      </w:pPr>
      <w:r>
        <w:t xml:space="preserve">Bosello F. and Leon C.J. 2022. Climate change impacts in the EU: new evidence from recent research.</w:t>
      </w:r>
      <w:r>
        <w:t xml:space="preserve"> </w:t>
      </w:r>
      <w:r>
        <w:t xml:space="preserve">EAERE Magazine, 16 Spring 2022 – Climate Impacts and Adaptation.</w:t>
      </w:r>
    </w:p>
    <w:p>
      <w:pPr>
        <w:pStyle w:val="FirstParagraph"/>
      </w:pPr>
      <w:r>
        <w:t xml:space="preserve">111</w:t>
      </w:r>
    </w:p>
    <w:p>
      <w:pPr>
        <w:pStyle w:val="BodyText"/>
      </w:pPr>
      <w:r>
        <w:t xml:space="preserve">The COACCH project (406), (407) (Co-designing the Assessment of Climate Change Costs)</w:t>
      </w:r>
      <w:r>
        <w:t xml:space="preserve"> </w:t>
      </w:r>
      <w:r>
        <w:t xml:space="preserve">considers the economic costs of climate change in Europe for the following categories: energy</w:t>
      </w:r>
      <w:r>
        <w:t xml:space="preserve"> </w:t>
      </w:r>
      <w:r>
        <w:t xml:space="preserve">demand and supply, labour productivity, agriculture, forestry, fisheries, transport, sea-level</w:t>
      </w:r>
      <w:r>
        <w:t xml:space="preserve"> </w:t>
      </w:r>
      <w:r>
        <w:t xml:space="preserve">rise, and riverine floods. The study finds that the economic cost of climate change for Europe</w:t>
      </w:r>
      <w:r>
        <w:t xml:space="preserve"> </w:t>
      </w:r>
      <w:r>
        <w:t xml:space="preserve">is high even for central scenarios in the mid-century, and with higher warming the costs</w:t>
      </w:r>
      <w:r>
        <w:t xml:space="preserve"> </w:t>
      </w:r>
      <w:r>
        <w:t xml:space="preserve">increase significantly later in the century. Ambitious climate mitigation will therefore provide</w:t>
      </w:r>
      <w:r>
        <w:t xml:space="preserve"> </w:t>
      </w:r>
      <w:r>
        <w:t xml:space="preserve">major economic benefits in Europe by reducing climate damages, and those benefits are</w:t>
      </w:r>
      <w:r>
        <w:t xml:space="preserve"> </w:t>
      </w:r>
      <w:r>
        <w:t xml:space="preserve">projected to be more pronounced later in the century. In the next two decades some impacts</w:t>
      </w:r>
      <w:r>
        <w:t xml:space="preserve"> </w:t>
      </w:r>
      <w:r>
        <w:t xml:space="preserve">are unavoidable and can be reduced with adaptation action, which can deliver high benefit to</w:t>
      </w:r>
      <w:r>
        <w:t xml:space="preserve"> </w:t>
      </w:r>
      <w:r>
        <w:t xml:space="preserve">cost ratio.</w:t>
      </w:r>
      <w:r>
        <w:br/>
      </w:r>
      <w:r>
        <w:t xml:space="preserve">The Swiss Re Institute (408) explicitly simulated for some of the uncertainties that are often</w:t>
      </w:r>
      <w:r>
        <w:t xml:space="preserve"> </w:t>
      </w:r>
      <w:r>
        <w:t xml:space="preserve">unaccounted-for in the literature. It attempted to factor in impact variables such as the impact</w:t>
      </w:r>
      <w:r>
        <w:t xml:space="preserve"> </w:t>
      </w:r>
      <w:r>
        <w:t xml:space="preserve">of supply chain disruptions, migration and biodiversity. It also treated the potential for tail</w:t>
      </w:r>
      <w:r>
        <w:t xml:space="preserve"> </w:t>
      </w:r>
      <w:r>
        <w:t xml:space="preserve">risk parameter uncertainty by applying multiplicative factors to the accumulated economic</w:t>
      </w:r>
      <w:r>
        <w:t xml:space="preserve"> </w:t>
      </w:r>
      <w:r>
        <w:t xml:space="preserve">impact from the quantified and proxied risk channels. While basing a multiplicative factor</w:t>
      </w:r>
      <w:r>
        <w:t xml:space="preserve"> </w:t>
      </w:r>
      <w:r>
        <w:t xml:space="preserve">itself on anything other than expert judgement is difficult, excluding tail risk parameter</w:t>
      </w:r>
      <w:r>
        <w:t xml:space="preserve"> </w:t>
      </w:r>
      <w:r>
        <w:t xml:space="preserve">uncertainty altogether amounts to a de facto choice to apply a multiplicative factor of 1. The</w:t>
      </w:r>
      <w:r>
        <w:t xml:space="preserve"> </w:t>
      </w:r>
      <w:r>
        <w:t xml:space="preserve">results suggest up to 8% of GDP loss by mid-century in Europe on a path of 2-2.6°C global</w:t>
      </w:r>
      <w:r>
        <w:t xml:space="preserve"> </w:t>
      </w:r>
      <w:r>
        <w:t xml:space="preserve">warming, and up to 10.5% of GDP loss on a path to 3.2°C of global warming, as against up to</w:t>
      </w:r>
      <w:r>
        <w:t xml:space="preserve"> </w:t>
      </w:r>
      <w:r>
        <w:t xml:space="preserve">2.8% of GDP loss in a well below 2°C scenario.</w:t>
      </w:r>
      <w:r>
        <w:t xml:space="preserve"> </w:t>
      </w:r>
      <w:r>
        <w:t xml:space="preserve">All of the assessed studies find large regional disparities within Europe. The magnitude of</w:t>
      </w:r>
      <w:r>
        <w:t xml:space="preserve"> </w:t>
      </w:r>
      <w:r>
        <w:t xml:space="preserve">welfare losses in Southern Europe and South-Eastern Europe are estimated to be several times</w:t>
      </w:r>
      <w:r>
        <w:t xml:space="preserve"> </w:t>
      </w:r>
      <w:r>
        <w:t xml:space="preserve">larger than in Northern Europe.</w:t>
      </w:r>
      <w:r>
        <w:t xml:space="preserve"> </w:t>
      </w:r>
      <w:r>
        <w:t xml:space="preserve">3.3.3 Bottom-up analysis with the NEMESIS model</w:t>
      </w:r>
      <w:r>
        <w:t xml:space="preserve"> </w:t>
      </w:r>
      <w:r>
        <w:t xml:space="preserve">3.3.3.1 Approach</w:t>
      </w:r>
      <w:r>
        <w:t xml:space="preserve"> </w:t>
      </w:r>
      <w:r>
        <w:t xml:space="preserve">An evaluation of the macro-economic costs of a range of climate hazards was carried out for</w:t>
      </w:r>
      <w:r>
        <w:t xml:space="preserve"> </w:t>
      </w:r>
      <w:r>
        <w:t xml:space="preserve">this impact assessment, using the NEMESIS macro-econometric model. (409) The study builds</w:t>
      </w:r>
      <w:r>
        <w:t xml:space="preserve"> </w:t>
      </w:r>
      <w:r>
        <w:t xml:space="preserve">on a comprehensive review of the literature that assesses the impact of individual</w:t>
      </w:r>
      <w:r>
        <w:t xml:space="preserve"> </w:t>
      </w:r>
      <w:r>
        <w:t xml:space="preserve">impacts/hazards. It integrates 9 different types of hazards or sectors affected: (1) coastal</w:t>
      </w:r>
      <w:r>
        <w:t xml:space="preserve"> </w:t>
      </w:r>
      <w:r>
        <w:t xml:space="preserve">floodings; (2) river floodings; (3) droughts; (4) labour productivity; (5) agriculture;</w:t>
      </w:r>
      <w:r>
        <w:t xml:space="preserve"> </w:t>
      </w:r>
      <w:r>
        <w:t xml:space="preserve">(6) forests; (7) fisheries; (8) energy demand; (9) energy supply. These are integrated into the</w:t>
      </w:r>
      <w:r>
        <w:t xml:space="preserve"> </w:t>
      </w:r>
      <w:r>
        <w:t xml:space="preserve">model via capital destruction, changes in production or input availability, changes in</w:t>
      </w:r>
      <w:r>
        <w:t xml:space="preserve"> </w:t>
      </w:r>
      <w:r>
        <w:t xml:space="preserve">productivity and changes in consumption. As far as capital destruction is concerned, the</w:t>
      </w:r>
      <w:r>
        <w:t xml:space="preserve"> </w:t>
      </w:r>
      <w:r>
        <w:t xml:space="preserve">modelling assumes that 30% of damages are supported by the insurance sector, and that no</w:t>
      </w:r>
      <w:r>
        <w:t xml:space="preserve"> </w:t>
      </w:r>
      <w:r>
        <w:t xml:space="preserve">public support is provided for uninsured damages. Such damages therefore increase costs for</w:t>
      </w:r>
      <w:r>
        <w:t xml:space="preserve"> </w:t>
      </w:r>
      <w:r>
        <w:t xml:space="preserve">firms and/or imply income losses for households.</w:t>
      </w:r>
    </w:p>
    <w:p>
      <w:pPr>
        <w:numPr>
          <w:ilvl w:val="0"/>
          <w:numId w:val="1106"/>
        </w:numPr>
      </w:pPr>
      <w:r>
        <w:t xml:space="preserve">COACCH (2021a). The Economic Cost of Climate Change in Europe: Report on The Macro-Economic</w:t>
      </w:r>
      <w:r>
        <w:t xml:space="preserve"> </w:t>
      </w:r>
      <w:r>
        <w:t xml:space="preserve">Cost of Climate Change in Europe. Policy brief by the COACCH project. Published September, 2021.</w:t>
      </w:r>
    </w:p>
    <w:p>
      <w:pPr>
        <w:numPr>
          <w:ilvl w:val="0"/>
          <w:numId w:val="1106"/>
        </w:numPr>
      </w:pPr>
      <w:r>
        <w:t xml:space="preserve">COACCH (2021b). COACCH (2021). The Economic Cost of Climate Change in Europe: Synthesis Report</w:t>
      </w:r>
      <w:r>
        <w:t xml:space="preserve"> </w:t>
      </w:r>
      <w:r>
        <w:t xml:space="preserve">on Interim Results. Policy brief by the COACCH project. Editors: Paul Watkiss, Jenny Troeltzsch, Katriona</w:t>
      </w:r>
      <w:r>
        <w:t xml:space="preserve"> </w:t>
      </w:r>
      <w:r>
        <w:t xml:space="preserve">McGlade, Michelle Watkiss. Published July 2021.</w:t>
      </w:r>
    </w:p>
    <w:p>
      <w:pPr>
        <w:numPr>
          <w:ilvl w:val="0"/>
          <w:numId w:val="1106"/>
        </w:numPr>
      </w:pPr>
      <w:r>
        <w:t xml:space="preserve">Swiss Re Institute (2021) The economics of climate change | Swiss Re</w:t>
      </w:r>
      <w:r>
        <w:br/>
      </w:r>
    </w:p>
    <w:p>
      <w:pPr>
        <w:numPr>
          <w:ilvl w:val="0"/>
          <w:numId w:val="1106"/>
        </w:numPr>
      </w:pPr>
      <w:r>
        <w:t xml:space="preserve">https://www.erasme-team.eu/en/the-nemesis-model/</w:t>
      </w:r>
    </w:p>
    <w:p>
      <w:pPr>
        <w:pStyle w:val="FirstParagraph"/>
      </w:pPr>
      <w:r>
        <w:t xml:space="preserve">112</w:t>
      </w:r>
    </w:p>
    <w:p>
      <w:pPr>
        <w:pStyle w:val="BodyText"/>
      </w:pPr>
      <w:r>
        <w:t xml:space="preserve">The “climate damage” scenarios assess the 9 types of hazards / sectoral impacts individually</w:t>
      </w:r>
      <w:r>
        <w:t xml:space="preserve"> </w:t>
      </w:r>
      <w:r>
        <w:t xml:space="preserve">and combined. The macro-economic impacts are evaluated in comparison with a baseline</w:t>
      </w:r>
      <w:r>
        <w:t xml:space="preserve"> </w:t>
      </w:r>
      <w:r>
        <w:t xml:space="preserve">where no climate hazards are taken into account. Two damage scenarios were modelled, each</w:t>
      </w:r>
      <w:r>
        <w:t xml:space="preserve"> </w:t>
      </w:r>
      <w:r>
        <w:t xml:space="preserve">with its respective baseline: (1) a “net zero emissions” scenario, where the EU achieves</w:t>
      </w:r>
      <w:r>
        <w:t xml:space="preserve"> </w:t>
      </w:r>
      <w:r>
        <w:t xml:space="preserve">climate neutrality by 2050 and the rest of the world implements measures so as to align with</w:t>
      </w:r>
      <w:r>
        <w:t xml:space="preserve"> </w:t>
      </w:r>
      <w:r>
        <w:t xml:space="preserve">the IPCC’s RCP1.9 pathway, which reaches an increase in global temperatures of 1.6°C</w:t>
      </w:r>
      <w:r>
        <w:t xml:space="preserve"> </w:t>
      </w:r>
      <w:r>
        <w:t xml:space="preserve">around 2050 and 1.4°C around 2090; and (2) a “no action” scenario where the EU acts in</w:t>
      </w:r>
      <w:r>
        <w:t xml:space="preserve"> </w:t>
      </w:r>
      <w:r>
        <w:t xml:space="preserve">accordance with the Reference 2020 scenario and the world develops along the IPCC’s</w:t>
      </w:r>
      <w:r>
        <w:t xml:space="preserve"> </w:t>
      </w:r>
      <w:r>
        <w:t xml:space="preserve">RCP7.0 pathway, which reaches an increase in global temperature of 2.1°C around 2050 and</w:t>
      </w:r>
      <w:r>
        <w:t xml:space="preserve"> </w:t>
      </w:r>
      <w:r>
        <w:t xml:space="preserve">3.6°C around 2090.</w:t>
      </w:r>
      <w:r>
        <w:t xml:space="preserve"> </w:t>
      </w:r>
      <w:r>
        <w:t xml:space="preserve">While the literature on the bottom-up assessment of impacts of individual hazards or sectoral</w:t>
      </w:r>
      <w:r>
        <w:t xml:space="preserve"> </w:t>
      </w:r>
      <w:r>
        <w:t xml:space="preserve">effects is relatively rich, including specifically on the EU and its Member States, there are</w:t>
      </w:r>
      <w:r>
        <w:t xml:space="preserve"> </w:t>
      </w:r>
      <w:r>
        <w:t xml:space="preserve">also divergences on the scale of the impacts. The integration of the bottom-up impacts into</w:t>
      </w:r>
      <w:r>
        <w:t xml:space="preserve"> </w:t>
      </w:r>
      <w:r>
        <w:t xml:space="preserve">NEMESIS was therefore carried out based on three levels: (1) the bottom quartile of the</w:t>
      </w:r>
      <w:r>
        <w:t xml:space="preserve"> </w:t>
      </w:r>
      <w:r>
        <w:t xml:space="preserve">literature; (2) the average; and (3) the top quartile. As the literature tends to be relatively</w:t>
      </w:r>
      <w:r>
        <w:t xml:space="preserve"> </w:t>
      </w:r>
      <w:r>
        <w:t xml:space="preserve">conservative in terms of impacts, the results described herein are mainly those based on the</w:t>
      </w:r>
      <w:r>
        <w:t xml:space="preserve"> </w:t>
      </w:r>
      <w:r>
        <w:t xml:space="preserve">top quartile of impacts.</w:t>
      </w:r>
      <w:r>
        <w:t xml:space="preserve"> </w:t>
      </w:r>
      <w:r>
        <w:t xml:space="preserve">3.3.3.2 Shorter term</w:t>
      </w:r>
      <w:r>
        <w:t xml:space="preserve"> </w:t>
      </w:r>
      <w:r>
        <w:t xml:space="preserve">Looking at the shorter time horizon of the IPCC’s RCPs to 2050-2060, the difference between</w:t>
      </w:r>
      <w:r>
        <w:t xml:space="preserve"> </w:t>
      </w:r>
      <w:r>
        <w:t xml:space="preserve">the no action and the net zero emissions scenarios is significant from a macro-economic</w:t>
      </w:r>
      <w:r>
        <w:t xml:space="preserve"> </w:t>
      </w:r>
      <w:r>
        <w:t xml:space="preserve">perspective, but not extremely stark. Under the no action scenario, climate damages are</w:t>
      </w:r>
      <w:r>
        <w:t xml:space="preserve"> </w:t>
      </w:r>
      <w:r>
        <w:t xml:space="preserve">estimated to reduce EU GDP by up to 1% by 2030 (top quartile), with damages increasing to</w:t>
      </w:r>
      <w:r>
        <w:t xml:space="preserve"> </w:t>
      </w:r>
      <w:r>
        <w:t xml:space="preserve">1.7% by 2040 and 2.3% by 2050. Losses under the net zero emissions scenario are more</w:t>
      </w:r>
      <w:r>
        <w:t xml:space="preserve"> </w:t>
      </w:r>
      <w:r>
        <w:t xml:space="preserve">limited at 0.8% by 2030 (top quartile) and increasing less over time than under the no action</w:t>
      </w:r>
      <w:r>
        <w:t xml:space="preserve"> </w:t>
      </w:r>
      <w:r>
        <w:t xml:space="preserve">scenario with a negative impact of 1.2% by 2040 and 1.5% by 2050. This is related to the fact</w:t>
      </w:r>
      <w:r>
        <w:t xml:space="preserve"> </w:t>
      </w:r>
      <w:r>
        <w:t xml:space="preserve">that the trajectories in terms of global warming are very similar up to 2050. Looking over this</w:t>
      </w:r>
      <w:r>
        <w:t xml:space="preserve"> </w:t>
      </w:r>
      <w:r>
        <w:t xml:space="preserve">period, the modelling shows that GDP losses – which fully abstract from human impacts – are</w:t>
      </w:r>
      <w:r>
        <w:t xml:space="preserve"> </w:t>
      </w:r>
      <w:r>
        <w:t xml:space="preserve">moderate and similar under the two scenarios at first, but that they become much more</w:t>
      </w:r>
      <w:r>
        <w:t xml:space="preserve"> </w:t>
      </w:r>
      <w:r>
        <w:t xml:space="preserve">significantly over time as the climate warms further. This generates a widening divergence of</w:t>
      </w:r>
      <w:r>
        <w:t xml:space="preserve"> </w:t>
      </w:r>
      <w:r>
        <w:t xml:space="preserve">impacts across the two scenarios over time, with rising cumulative negative impacts from a</w:t>
      </w:r>
      <w:r>
        <w:t xml:space="preserve"> </w:t>
      </w:r>
      <w:r>
        <w:t xml:space="preserve">higher degree of warming. The main drivers for the negative impacts are labour productivity,</w:t>
      </w:r>
      <w:r>
        <w:t xml:space="preserve"> </w:t>
      </w:r>
      <w:r>
        <w:t xml:space="preserve">river floodings, droughts and coastal floodings in a longer time horizon (Figure 34). Looking</w:t>
      </w:r>
      <w:r>
        <w:t xml:space="preserve"> </w:t>
      </w:r>
      <w:r>
        <w:t xml:space="preserve">beyond GDP, the macro-economic modelling also highlights that the cost of a warming</w:t>
      </w:r>
      <w:r>
        <w:t xml:space="preserve"> </w:t>
      </w:r>
      <w:r>
        <w:t xml:space="preserve">climate in terms of employment would be large. By 2050, employment under the “no action”</w:t>
      </w:r>
      <w:r>
        <w:t xml:space="preserve"> </w:t>
      </w:r>
      <w:r>
        <w:t xml:space="preserve">scenario (top quartile) is projected to be close to 1.3% below baseline, which is equivalent to</w:t>
      </w:r>
      <w:r>
        <w:t xml:space="preserve"> </w:t>
      </w:r>
      <w:r>
        <w:t xml:space="preserve">a loss of about 2.4 million jobs.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Figure 34: EU GDP losses under SSP1-1.9 (RCP1.9) and SSP3-7.0 (RCP7.0) (2020-2060)</w:t>
      </w:r>
    </w:p>
    <w:p>
      <w:pPr>
        <w:pStyle w:val="BodyText"/>
      </w:pPr>
      <w:r>
        <w:t xml:space="preserve">Source: NEMESIS model.</w:t>
      </w:r>
      <w:r>
        <w:t xml:space="preserve"> </w:t>
      </w:r>
      <w:r>
        <w:t xml:space="preserve">3.3.3.3 Higher degrees of global warming</w:t>
      </w:r>
      <w:r>
        <w:t xml:space="preserve"> </w:t>
      </w:r>
      <w:r>
        <w:t xml:space="preserve">The difference in temperatures between the RCP1.9 and RCP7.0 become stark in the second</w:t>
      </w:r>
      <w:r>
        <w:t xml:space="preserve"> </w:t>
      </w:r>
      <w:r>
        <w:t xml:space="preserve">half of the century: by around 2050, the global temperature increase of the two explored</w:t>
      </w:r>
      <w:r>
        <w:t xml:space="preserve"> </w:t>
      </w:r>
      <w:r>
        <w:t xml:space="preserve">pathways differs only by 0.5°C, while in the subsequent decades that gap significantly</w:t>
      </w:r>
      <w:r>
        <w:t xml:space="preserve"> </w:t>
      </w:r>
      <w:r>
        <w:t xml:space="preserve">increases to about 2.2°C before the end of the century (see Table 6 in this Annex).</w:t>
      </w:r>
      <w:r>
        <w:br/>
      </w:r>
      <w:r>
        <w:t xml:space="preserve">The impact on GDP of such temperature difference was therefore estimated with a simple</w:t>
      </w:r>
      <w:r>
        <w:t xml:space="preserve"> </w:t>
      </w:r>
      <w:r>
        <w:t xml:space="preserve">linear extrapolation of the full modelling results between 2020 and 2060, building on the</w:t>
      </w:r>
      <w:r>
        <w:t xml:space="preserve"> </w:t>
      </w:r>
      <w:r>
        <w:t xml:space="preserve">estimated impacts for given temperature increases between these two points of time in the</w:t>
      </w:r>
      <w:r>
        <w:t xml:space="preserve"> </w:t>
      </w:r>
      <w:r>
        <w:t xml:space="preserve">explored SSPs. This approach thus provides a rough estimation that is likely on the</w:t>
      </w:r>
      <w:r>
        <w:t xml:space="preserve"> </w:t>
      </w:r>
      <w:r>
        <w:t xml:space="preserve">conservative side given that it assumes a linear relationship between warming levels and</w:t>
      </w:r>
      <w:r>
        <w:t xml:space="preserve"> </w:t>
      </w:r>
      <w:r>
        <w:t xml:space="preserve">economic impacts. It nevertheless provides an estimate of economic impacts under higher</w:t>
      </w:r>
      <w:r>
        <w:t xml:space="preserve"> </w:t>
      </w:r>
      <w:r>
        <w:t xml:space="preserve">increases in global temperatures.</w:t>
      </w:r>
      <w:r>
        <w:t xml:space="preserve"> </w:t>
      </w:r>
      <w:r>
        <w:t xml:space="preserve">Assuming a linear extrapolation of damages to 2100 would yield a loss of employment of</w:t>
      </w:r>
      <w:r>
        <w:t xml:space="preserve"> </w:t>
      </w:r>
      <w:r>
        <w:t xml:space="preserve">almost 4% under the “no action” scenario, with only a small loss of about 0.4% under the “net</w:t>
      </w:r>
      <w:r>
        <w:t xml:space="preserve"> </w:t>
      </w:r>
      <w:r>
        <w:t xml:space="preserve">zero emissions” scenario. The relative loss in terms of employment is smaller than the impact</w:t>
      </w:r>
      <w:r>
        <w:t xml:space="preserve"> </w:t>
      </w:r>
      <w:r>
        <w:t xml:space="preserve">in terms of GDP as the labour market is expected to adjust to some extent, including with a</w:t>
      </w:r>
      <w:r>
        <w:t xml:space="preserve"> </w:t>
      </w:r>
      <w:r>
        <w:t xml:space="preserve">reduction in real wages that would limit the fall in terms of total employment. This would</w:t>
      </w:r>
      <w:r>
        <w:t xml:space="preserve"> </w:t>
      </w:r>
      <w:r>
        <w:t xml:space="preserve">nevertheless have additional negative welfare impacts, which are not measured here.</w:t>
      </w:r>
      <w:r>
        <w:t xml:space="preserve"> </w:t>
      </w:r>
      <w:r>
        <w:t xml:space="preserve">Looking beyond that time frame, however, the cost of failing to keep the global warming</w:t>
      </w:r>
      <w:r>
        <w:t xml:space="preserve"> </w:t>
      </w:r>
      <w:r>
        <w:t xml:space="preserve">trend to within the Paris Agreement’s most ambitious objective of 1.5°C become very large.</w:t>
      </w:r>
      <w:r>
        <w:t xml:space="preserve"> </w:t>
      </w:r>
      <w:r>
        <w:t xml:space="preserve">By around 2090, with a global warming level of around 3.6°C, the EU economy could face</w:t>
      </w:r>
      <w:r>
        <w:t xml:space="preserve"> </w:t>
      </w:r>
      <w:r>
        <w:t xml:space="preserve">costs of about 7% of GDP (top quartile, Figure 35). This estimate is in line with global</w:t>
      </w:r>
      <w:r>
        <w:t xml:space="preserve"> </w:t>
      </w:r>
      <w:r>
        <w:t xml:space="preserve">analyses for similar temperature increase.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Figure 35: EU GDP losses from climate hazards under different SSPs</w:t>
      </w:r>
    </w:p>
    <w:p>
      <w:pPr>
        <w:pStyle w:val="BodyText"/>
      </w:pPr>
      <w:r>
        <w:t xml:space="preserve">Note: Different shared socioeconomic pathways (SSP) implemented SSP1-1.9 and SSP3-7.0 Upper illustrates the</w:t>
      </w:r>
      <w:r>
        <w:t xml:space="preserve"> </w:t>
      </w:r>
      <w:r>
        <w:t xml:space="preserve">timeline change per SSP, lower illustrates different warming levels per different areas.</w:t>
      </w:r>
      <w:r>
        <w:br/>
      </w:r>
      <w:r>
        <w:t xml:space="preserve">Source: NEMESIS model and own extrapolation.</w:t>
      </w:r>
      <w:r>
        <w:t xml:space="preserve"> </w:t>
      </w:r>
      <w:r>
        <w:t xml:space="preserve">In addition, this estimate is likely very conservative for the reason mentioned above (linear</w:t>
      </w:r>
      <w:r>
        <w:t xml:space="preserve"> </w:t>
      </w:r>
      <w:r>
        <w:t xml:space="preserve">extrapolation of results up to 2060), because the bottom-up literature tends to be conservative</w:t>
      </w:r>
      <w:r>
        <w:t xml:space="preserve"> </w:t>
      </w:r>
      <w:r>
        <w:t xml:space="preserve">itself, and because a range of factors are not taken into consideration in this analysis,</w:t>
      </w:r>
      <w:r>
        <w:t xml:space="preserve"> </w:t>
      </w:r>
      <w:r>
        <w:t xml:space="preserve">including the impacts of climate change on ecosystem services (including access to water) or</w:t>
      </w:r>
      <w:r>
        <w:t xml:space="preserve"> </w:t>
      </w:r>
      <w:r>
        <w:t xml:space="preserve">the effects on tourism. Further, it must be noted that this analysis focuses strictly on macro-</w:t>
      </w:r>
      <w:r>
        <w:t xml:space="preserve"> </w:t>
      </w:r>
      <w:r>
        <w:t xml:space="preserve">economic indicators and that it does not take into accounts impacts on health and mortality.</w:t>
      </w:r>
      <w:r>
        <w:t xml:space="preserve"> </w:t>
      </w:r>
      <w:r>
        <w:t xml:space="preserve">The modelling also shows that regions of the EU will be affected in contrasted manners, even</w:t>
      </w:r>
      <w:r>
        <w:t xml:space="preserve"> </w:t>
      </w:r>
      <w:r>
        <w:t xml:space="preserve">if all face large overall costs arising from some hazards or others, and from broad economic</w:t>
      </w:r>
      <w:r>
        <w:t xml:space="preserve"> </w:t>
      </w:r>
      <w:r>
        <w:t xml:space="preserve">interactions across the EU. The region most affected includes Southern and Mediterranean</w:t>
      </w:r>
      <w:r>
        <w:t xml:space="preserve"> </w:t>
      </w:r>
      <w:r>
        <w:t xml:space="preserve">countries, while those facing somewhat smaller impacts are mostly in the north of Europe</w:t>
      </w:r>
      <w:r>
        <w:t xml:space="preserve"> </w:t>
      </w:r>
      <w:r>
        <w:t xml:space="preserve">(Figure 36).</w:t>
      </w:r>
      <w:r>
        <w:t xml:space="preserve"> </w:t>
      </w:r>
      <w:r>
        <w:t xml:space="preserve">-8.0%</w:t>
      </w:r>
      <w:r>
        <w:t xml:space="preserve"> </w:t>
      </w:r>
      <w:r>
        <w:t xml:space="preserve">-7.0%</w:t>
      </w:r>
      <w:r>
        <w:t xml:space="preserve"> </w:t>
      </w:r>
      <w:r>
        <w:t xml:space="preserve">-6.0%</w:t>
      </w:r>
      <w:r>
        <w:t xml:space="preserve"> </w:t>
      </w:r>
      <w:r>
        <w:t xml:space="preserve">-5.0%</w:t>
      </w:r>
      <w:r>
        <w:t xml:space="preserve"> </w:t>
      </w:r>
      <w:r>
        <w:t xml:space="preserve">-4.0%</w:t>
      </w:r>
      <w:r>
        <w:t xml:space="preserve"> </w:t>
      </w:r>
      <w:r>
        <w:t xml:space="preserve">-3.0%</w:t>
      </w:r>
      <w:r>
        <w:t xml:space="preserve"> </w:t>
      </w:r>
      <w:r>
        <w:t xml:space="preserve">-2.0%</w:t>
      </w:r>
      <w:r>
        <w:t xml:space="preserve"> </w:t>
      </w:r>
      <w:r>
        <w:t xml:space="preserve">-1.0%</w:t>
      </w:r>
      <w:r>
        <w:t xml:space="preserve"> </w:t>
      </w:r>
      <w:r>
        <w:t xml:space="preserve">0.0%</w:t>
      </w:r>
      <w:r>
        <w:t xml:space="preserve"> </w:t>
      </w:r>
      <w:r>
        <w:t xml:space="preserve">2020 2025 2030 2035 2040 2045 2050 2055 2060 2065 2070 2075 2080 2085 2090 2095 2100</w:t>
      </w:r>
      <w:r>
        <w:t xml:space="preserve"> </w:t>
      </w:r>
      <w:r>
        <w:t xml:space="preserve">% change in GDP from baseline</w:t>
      </w:r>
      <w:r>
        <w:t xml:space="preserve"> </w:t>
      </w:r>
      <w:r>
        <w:t xml:space="preserve">SSP3-7.0</w:t>
      </w:r>
      <w:r>
        <w:t xml:space="preserve"> </w:t>
      </w:r>
      <w:r>
        <w:t xml:space="preserve">SSP1-1.9</w:t>
      </w:r>
      <w:r>
        <w:t xml:space="preserve"> </w:t>
      </w:r>
      <w:r>
        <w:t xml:space="preserve">-9.0%</w:t>
      </w:r>
      <w:r>
        <w:t xml:space="preserve"> </w:t>
      </w:r>
      <w:r>
        <w:t xml:space="preserve">-8.0%</w:t>
      </w:r>
      <w:r>
        <w:t xml:space="preserve"> </w:t>
      </w:r>
      <w:r>
        <w:t xml:space="preserve">-7.0%</w:t>
      </w:r>
      <w:r>
        <w:t xml:space="preserve"> </w:t>
      </w:r>
      <w:r>
        <w:t xml:space="preserve">-6.0%</w:t>
      </w:r>
      <w:r>
        <w:t xml:space="preserve"> </w:t>
      </w:r>
      <w:r>
        <w:t xml:space="preserve">-5.0%</w:t>
      </w:r>
      <w:r>
        <w:t xml:space="preserve"> </w:t>
      </w:r>
      <w:r>
        <w:t xml:space="preserve">-4.0%</w:t>
      </w:r>
      <w:r>
        <w:t xml:space="preserve"> </w:t>
      </w:r>
      <w:r>
        <w:t xml:space="preserve">-3.0%</w:t>
      </w:r>
      <w:r>
        <w:t xml:space="preserve"> </w:t>
      </w:r>
      <w:r>
        <w:t xml:space="preserve">-2.0%</w:t>
      </w:r>
      <w:r>
        <w:t xml:space="preserve"> </w:t>
      </w:r>
      <w:r>
        <w:t xml:space="preserve">-1.0%</w:t>
      </w:r>
      <w:r>
        <w:t xml:space="preserve"> </w:t>
      </w:r>
      <w:r>
        <w:t xml:space="preserve">0.0%</w:t>
      </w:r>
      <w:r>
        <w:t xml:space="preserve"> </w:t>
      </w:r>
      <w:r>
        <w:t xml:space="preserve">1.1</w:t>
      </w:r>
      <w:r>
        <w:t xml:space="preserve"> </w:t>
      </w:r>
      <w:r>
        <w:t xml:space="preserve">1.2</w:t>
      </w:r>
      <w:r>
        <w:t xml:space="preserve"> </w:t>
      </w:r>
      <w:r>
        <w:t xml:space="preserve">1.3</w:t>
      </w:r>
      <w:r>
        <w:t xml:space="preserve"> </w:t>
      </w:r>
      <w:r>
        <w:t xml:space="preserve">1.4</w:t>
      </w:r>
      <w:r>
        <w:t xml:space="preserve"> </w:t>
      </w:r>
      <w:r>
        <w:t xml:space="preserve">1.5</w:t>
      </w:r>
      <w:r>
        <w:t xml:space="preserve"> </w:t>
      </w:r>
      <w:r>
        <w:t xml:space="preserve">1.8</w:t>
      </w:r>
      <w:r>
        <w:t xml:space="preserve"> </w:t>
      </w:r>
      <w:r>
        <w:t xml:space="preserve">2.1</w:t>
      </w:r>
      <w:r>
        <w:t xml:space="preserve"> </w:t>
      </w:r>
      <w:r>
        <w:t xml:space="preserve">2.3</w:t>
      </w:r>
      <w:r>
        <w:t xml:space="preserve"> </w:t>
      </w:r>
      <w:r>
        <w:t xml:space="preserve">2.5</w:t>
      </w:r>
      <w:r>
        <w:t xml:space="preserve"> </w:t>
      </w:r>
      <w:r>
        <w:t xml:space="preserve">2.7</w:t>
      </w:r>
      <w:r>
        <w:t xml:space="preserve"> </w:t>
      </w:r>
      <w:r>
        <w:t xml:space="preserve">2.9</w:t>
      </w:r>
      <w:r>
        <w:t xml:space="preserve"> </w:t>
      </w:r>
      <w:r>
        <w:t xml:space="preserve">3.0</w:t>
      </w:r>
      <w:r>
        <w:t xml:space="preserve"> </w:t>
      </w:r>
      <w:r>
        <w:t xml:space="preserve">3.2</w:t>
      </w:r>
      <w:r>
        <w:t xml:space="preserve"> </w:t>
      </w:r>
      <w:r>
        <w:t xml:space="preserve">3.4</w:t>
      </w:r>
      <w:r>
        <w:t xml:space="preserve"> </w:t>
      </w:r>
      <w:r>
        <w:t xml:space="preserve">3.6</w:t>
      </w:r>
      <w:r>
        <w:t xml:space="preserve"> </w:t>
      </w:r>
      <w:r>
        <w:t xml:space="preserve">3.8</w:t>
      </w:r>
      <w:r>
        <w:t xml:space="preserve"> </w:t>
      </w:r>
      <w:r>
        <w:t xml:space="preserve">4.0</w:t>
      </w:r>
      <w:r>
        <w:t xml:space="preserve"> </w:t>
      </w:r>
      <w:r>
        <w:t xml:space="preserve">% change in GDP from baseline</w:t>
      </w:r>
      <w:r>
        <w:t xml:space="preserve"> </w:t>
      </w:r>
      <w:r>
        <w:t xml:space="preserve">Global temperature change</w:t>
      </w:r>
      <w:r>
        <w:t xml:space="preserve"> </w:t>
      </w:r>
      <w:r>
        <w:t xml:space="preserve">EU</w:t>
      </w:r>
      <w:r>
        <w:t xml:space="preserve"> </w:t>
      </w:r>
      <w:r>
        <w:t xml:space="preserve">CY/EL/ES/HR/IT/MT/PT/SI</w:t>
      </w:r>
      <w:r>
        <w:t xml:space="preserve"> </w:t>
      </w:r>
      <w:r>
        <w:t xml:space="preserve">BE/DE/DK/FR/IE/LU/NL</w:t>
      </w:r>
      <w:r>
        <w:t xml:space="preserve"> </w:t>
      </w:r>
      <w:r>
        <w:t xml:space="preserve">AT/BG/CZ/HU/PL/RO/SK</w:t>
      </w:r>
      <w:r>
        <w:t xml:space="preserve"> </w:t>
      </w:r>
      <w:r>
        <w:t xml:space="preserve">EE/FI/LT/LV/SE</w:t>
      </w:r>
      <w:r>
        <w:t xml:space="preserve"> </w:t>
      </w:r>
      <w:r>
        <w:t xml:space="preserve">Linear extrapolation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Figure 36: GDP losses by 2100 under the SSP1-1.9 and SSP3-7.0 pathways</w:t>
      </w:r>
    </w:p>
    <w:p>
      <w:pPr>
        <w:pStyle w:val="BodyText"/>
      </w:pPr>
      <w:r>
        <w:t xml:space="preserve">Source: NEMESIS model and own extrapolation.</w:t>
      </w:r>
      <w:r>
        <w:t xml:space="preserve"> </w:t>
      </w:r>
      <w:r>
        <w:t xml:space="preserve">3.4</w:t>
      </w:r>
      <w:r>
        <w:t xml:space="preserve"> </w:t>
      </w:r>
      <w:r>
        <w:t xml:space="preserve">The limitations of economic valuation with economic models</w:t>
      </w:r>
      <w:r>
        <w:t xml:space="preserve"> </w:t>
      </w:r>
      <w:r>
        <w:t xml:space="preserve">What we know from science about the scale of the physical changes that can be expected at</w:t>
      </w:r>
      <w:r>
        <w:t xml:space="preserve"> </w:t>
      </w:r>
      <w:r>
        <w:t xml:space="preserve">different levels of global warming also provides a check for the plausibility of economic</w:t>
      </w:r>
      <w:r>
        <w:t xml:space="preserve"> </w:t>
      </w:r>
      <w:r>
        <w:t xml:space="preserve">impact projections. The difference in average global temperatures between pre-industrial</w:t>
      </w:r>
      <w:r>
        <w:t xml:space="preserve"> </w:t>
      </w:r>
      <w:r>
        <w:t xml:space="preserve">times (mid-19th century) and the peak of the last ice age (the Last Glacial Maximum) is</w:t>
      </w:r>
      <w:r>
        <w:t xml:space="preserve"> </w:t>
      </w:r>
      <w:r>
        <w:t xml:space="preserve">estimated to have been around 5°C. Policies implemented by the end of 2020 are projected to</w:t>
      </w:r>
      <w:r>
        <w:t xml:space="preserve"> </w:t>
      </w:r>
      <w:r>
        <w:t xml:space="preserve">result in 3.2°C , with a range of 2°C – 3.3°C global warming by 2100 (410), and such degree of</w:t>
      </w:r>
      <w:r>
        <w:t xml:space="preserve"> </w:t>
      </w:r>
      <w:r>
        <w:t xml:space="preserve">warming could result in a very different world from the one we know today. The nature and</w:t>
      </w:r>
      <w:r>
        <w:t xml:space="preserve"> </w:t>
      </w:r>
      <w:r>
        <w:t xml:space="preserve">the scale of changes in the natural systems are such that the exact socio-economic impacts on</w:t>
      </w:r>
      <w:r>
        <w:t xml:space="preserve"> </w:t>
      </w:r>
      <w:r>
        <w:t xml:space="preserve">the global economy and societies are shrouded with uncertainty. Further, uncertainties in</w:t>
      </w:r>
      <w:r>
        <w:t xml:space="preserve"> </w:t>
      </w:r>
      <w:r>
        <w:t xml:space="preserve">predicting the physical and socio-economic impacts of climate change increase significantly</w:t>
      </w:r>
      <w:r>
        <w:t xml:space="preserve"> </w:t>
      </w:r>
      <w:r>
        <w:t xml:space="preserve">with higher degrees of warming, which makes it difficult to extrapolate on the basis of the</w:t>
      </w:r>
      <w:r>
        <w:t xml:space="preserve"> </w:t>
      </w:r>
      <w:r>
        <w:t xml:space="preserve">impacts of lower levels of warming.</w:t>
      </w:r>
      <w:r>
        <w:br/>
      </w:r>
      <w:r>
        <w:t xml:space="preserve">Extrapolating historical trends has limitations in predicting how economies would fare under</w:t>
      </w:r>
      <w:r>
        <w:t xml:space="preserve"> </w:t>
      </w:r>
      <w:r>
        <w:t xml:space="preserve">climatic conditions that may depart radically from those that characterised the past centuries</w:t>
      </w:r>
      <w:r>
        <w:t xml:space="preserve"> </w:t>
      </w:r>
      <w:r>
        <w:t xml:space="preserve">and millennia. As economic damage functions are calibrated with observations that relate to</w:t>
      </w:r>
      <w:r>
        <w:t xml:space="preserve"> </w:t>
      </w:r>
      <w:r>
        <w:t xml:space="preserve">relatively small historical temperature changes and even weather variations, it is natural that</w:t>
      </w:r>
      <w:r>
        <w:t xml:space="preserve"> </w:t>
      </w:r>
      <w:r>
        <w:t xml:space="preserve">large uncertainty concerns any extrapolation of damages from stronger temperature variations.</w:t>
      </w:r>
      <w:r>
        <w:br/>
      </w:r>
      <w:r>
        <w:t xml:space="preserve">Assessing economic costs of climate change also involves challenges due to the global and</w:t>
      </w:r>
      <w:r>
        <w:t xml:space="preserve"> </w:t>
      </w:r>
      <w:r>
        <w:t xml:space="preserve">long-term nature of climate change, involvement of non-market values, gaps in the ability to</w:t>
      </w:r>
      <w:r>
        <w:t xml:space="preserve"> </w:t>
      </w:r>
      <w:r>
        <w:t xml:space="preserve">quantify impact channels involving ecosystem services, the interaction of risk drivers in</w:t>
      </w:r>
      <w:r>
        <w:t xml:space="preserve"> </w:t>
      </w:r>
      <w:r>
        <w:t xml:space="preserve">complex or cascading risks, non-linearity and irreversibility of phenomena, and climate,</w:t>
      </w:r>
      <w:r>
        <w:t xml:space="preserve"> </w:t>
      </w:r>
      <w:r>
        <w:t xml:space="preserve">socioeconomic and system response uncertainties. Most studies do not account for the</w:t>
      </w:r>
    </w:p>
    <w:p>
      <w:pPr>
        <w:pStyle w:val="Compact"/>
        <w:numPr>
          <w:ilvl w:val="0"/>
          <w:numId w:val="1107"/>
        </w:numPr>
      </w:pPr>
      <w:r>
        <w:t xml:space="preserve">IPCC, 2023: Summary for Policymakers. In: Climate Change 2023: Synthesis Report. A Report of the</w:t>
      </w:r>
      <w:r>
        <w:t xml:space="preserve"> </w:t>
      </w:r>
      <w:r>
        <w:t xml:space="preserve">Intergovernmental Panel on Climate Change. Contribution of Working Groups I, II and III to the Sixth</w:t>
      </w:r>
      <w:r>
        <w:t xml:space="preserve"> </w:t>
      </w:r>
      <w:r>
        <w:t xml:space="preserve">Assessment Report of the Intergovernmental Panel on Climate Change [Core Writing Team, H. Lee and J.</w:t>
      </w:r>
      <w:r>
        <w:t xml:space="preserve"> </w:t>
      </w:r>
      <w:r>
        <w:t xml:space="preserve">Romero (eds.)]. IPCC, Geneva, Switzerland, 36 pages. (in press).</w:t>
      </w:r>
      <w:r>
        <w:t xml:space="preserve"> </w:t>
      </w:r>
      <w:r>
        <w:t xml:space="preserve">-9.0%</w:t>
      </w:r>
      <w:r>
        <w:t xml:space="preserve"> </w:t>
      </w:r>
      <w:r>
        <w:t xml:space="preserve">-8.0%</w:t>
      </w:r>
      <w:r>
        <w:t xml:space="preserve"> </w:t>
      </w:r>
      <w:r>
        <w:t xml:space="preserve">-7.0%</w:t>
      </w:r>
      <w:r>
        <w:t xml:space="preserve"> </w:t>
      </w:r>
      <w:r>
        <w:t xml:space="preserve">-6.0%</w:t>
      </w:r>
      <w:r>
        <w:t xml:space="preserve"> </w:t>
      </w:r>
      <w:r>
        <w:t xml:space="preserve">-5.0%</w:t>
      </w:r>
      <w:r>
        <w:t xml:space="preserve"> </w:t>
      </w:r>
      <w:r>
        <w:t xml:space="preserve">-4.0%</w:t>
      </w:r>
      <w:r>
        <w:t xml:space="preserve"> </w:t>
      </w:r>
      <w:r>
        <w:t xml:space="preserve">-3.0%</w:t>
      </w:r>
      <w:r>
        <w:t xml:space="preserve"> </w:t>
      </w:r>
      <w:r>
        <w:t xml:space="preserve">-2.0%</w:t>
      </w:r>
      <w:r>
        <w:t xml:space="preserve"> </w:t>
      </w:r>
      <w:r>
        <w:t xml:space="preserve">-1.0%</w:t>
      </w:r>
      <w:r>
        <w:t xml:space="preserve"> </w:t>
      </w:r>
      <w:r>
        <w:t xml:space="preserve">0.0%</w:t>
      </w:r>
      <w:r>
        <w:t xml:space="preserve"> </w:t>
      </w:r>
      <w:r>
        <w:t xml:space="preserve">% change in GDP from baseline</w:t>
      </w:r>
      <w:r>
        <w:t xml:space="preserve"> </w:t>
      </w:r>
      <w:r>
        <w:t xml:space="preserve">No action</w:t>
      </w:r>
      <w:r>
        <w:t xml:space="preserve"> </w:t>
      </w:r>
      <w:r>
        <w:t xml:space="preserve">Net zero emissions</w:t>
      </w:r>
    </w:p>
    <w:p>
      <w:pPr>
        <w:pStyle w:val="FirstParagraph"/>
      </w:pPr>
      <w:r>
        <w:t xml:space="preserve">116</w:t>
      </w:r>
    </w:p>
    <w:p>
      <w:pPr>
        <w:pStyle w:val="BodyText"/>
      </w:pPr>
      <w:r>
        <w:t xml:space="preserve">probability of high-impact events. These considerations further reinforce the likelihood that,</w:t>
      </w:r>
      <w:r>
        <w:t xml:space="preserve"> </w:t>
      </w:r>
      <w:r>
        <w:t xml:space="preserve">as a rule, the literature tends to underestimate the economic impacts of global warming.</w:t>
      </w:r>
      <w:r>
        <w:t xml:space="preserve"> </w:t>
      </w:r>
      <w:r>
        <w:t xml:space="preserve">Despite their potential catastrophic effects, some impacts of climate change, such as climate</w:t>
      </w:r>
      <w:r>
        <w:t xml:space="preserve"> </w:t>
      </w:r>
      <w:r>
        <w:t xml:space="preserve">tipping points (see section 2.1.2) are characterized by the level of uncertainty that prevents</w:t>
      </w:r>
      <w:r>
        <w:t xml:space="preserve"> </w:t>
      </w:r>
      <w:r>
        <w:t xml:space="preserve">them from being considered in economic models with precision, and so they are often not</w:t>
      </w:r>
      <w:r>
        <w:t xml:space="preserve"> </w:t>
      </w:r>
      <w:r>
        <w:t xml:space="preserve">accounted for. This results in the underestimation of economic impacts of climate change,</w:t>
      </w:r>
      <w:r>
        <w:t xml:space="preserve"> </w:t>
      </w:r>
      <w:r>
        <w:t xml:space="preserve">which could be several-fold larger than currently estimated.</w:t>
      </w:r>
      <w:r>
        <w:t xml:space="preserve"> </w:t>
      </w:r>
      <w:r>
        <w:t xml:space="preserve">Table 7 provides a snapshot of the range of damages in terms of % of GDP that are estimated</w:t>
      </w:r>
      <w:r>
        <w:t xml:space="preserve"> </w:t>
      </w:r>
      <w:r>
        <w:t xml:space="preserve">in the literature, employing different methods and functional forms and a range of</w:t>
      </w:r>
      <w:r>
        <w:t xml:space="preserve"> </w:t>
      </w:r>
      <w:r>
        <w:t xml:space="preserve">geographical coverage. Direct comparability is therefore limited, but it is nevertheless</w:t>
      </w:r>
      <w:r>
        <w:t xml:space="preserve"> </w:t>
      </w:r>
      <w:r>
        <w:t xml:space="preserve">interesting to note the very substantial variation of estimates in scenarios of global warming</w:t>
      </w:r>
      <w:r>
        <w:t xml:space="preserve"> </w:t>
      </w:r>
      <w:r>
        <w:t xml:space="preserve">that are roughly in the same class.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Table 7: Examples of climate related damage functions</w:t>
      </w:r>
      <w:r>
        <w:t xml:space="preserve"> </w:t>
      </w:r>
      <w:r>
        <w:t xml:space="preserve">Model (author)</w:t>
      </w:r>
      <w:r>
        <w:t xml:space="preserve"> </w:t>
      </w:r>
      <w:r>
        <w:t xml:space="preserve">dT (°C)(a)</w:t>
      </w:r>
      <w:r>
        <w:t xml:space="preserve"> </w:t>
      </w:r>
      <w:r>
        <w:t xml:space="preserve">damage (% of</w:t>
      </w:r>
      <w:r>
        <w:t xml:space="preserve"> </w:t>
      </w:r>
      <w:r>
        <w:t xml:space="preserve">GDP) (b)</w:t>
      </w:r>
      <w:r>
        <w:t xml:space="preserve"> </w:t>
      </w:r>
      <w:r>
        <w:t xml:space="preserve">Method</w:t>
      </w:r>
      <w:r>
        <w:t xml:space="preserve"> </w:t>
      </w:r>
      <w:r>
        <w:t xml:space="preserve">Remarks</w:t>
      </w:r>
      <w:r>
        <w:t xml:space="preserve"> </w:t>
      </w:r>
      <w:r>
        <w:t xml:space="preserve">Tol (2018)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6</w:t>
      </w:r>
      <w:r>
        <w:t xml:space="preserve"> </w:t>
      </w:r>
      <w:r>
        <w:t xml:space="preserve">-0.7</w:t>
      </w:r>
      <w:r>
        <w:t xml:space="preserve"> </w:t>
      </w:r>
      <w:r>
        <w:t xml:space="preserve">0.6</w:t>
      </w:r>
      <w:r>
        <w:t xml:space="preserve"> </w:t>
      </w:r>
      <w:r>
        <w:t xml:space="preserve">6.3</w:t>
      </w:r>
      <w:r>
        <w:t xml:space="preserve"> </w:t>
      </w:r>
      <w:r>
        <w:t xml:space="preserve">Estimated on the basis of point</w:t>
      </w:r>
      <w:r>
        <w:t xml:space="preserve"> </w:t>
      </w:r>
      <w:r>
        <w:t xml:space="preserve">estimates from a literature</w:t>
      </w:r>
      <w:r>
        <w:t xml:space="preserve"> </w:t>
      </w:r>
      <w:r>
        <w:t xml:space="preserve">survey</w:t>
      </w:r>
    </w:p>
    <w:p>
      <w:pPr>
        <w:pStyle w:val="BodyText"/>
      </w:pPr>
      <w:r>
        <w:t xml:space="preserve">PESETA IV (Feyen</w:t>
      </w:r>
      <w:r>
        <w:t xml:space="preserve"> </w:t>
      </w:r>
      <w:r>
        <w:t xml:space="preserve">et al, 2020)</w:t>
      </w:r>
      <w:r>
        <w:t xml:space="preserve"> </w:t>
      </w:r>
      <w:r>
        <w:t xml:space="preserve">1.5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0.3</w:t>
      </w:r>
      <w:r>
        <w:t xml:space="preserve"> </w:t>
      </w:r>
      <w:r>
        <w:t xml:space="preserve">0.7</w:t>
      </w:r>
      <w:r>
        <w:t xml:space="preserve"> </w:t>
      </w:r>
      <w:r>
        <w:t xml:space="preserve">1.4</w:t>
      </w:r>
      <w:r>
        <w:t xml:space="preserve"> </w:t>
      </w:r>
      <w:r>
        <w:t xml:space="preserve">several impact channels</w:t>
      </w:r>
      <w:r>
        <w:t xml:space="preserve"> </w:t>
      </w:r>
      <w:r>
        <w:t xml:space="preserve">modelled</w:t>
      </w:r>
      <w:r>
        <w:t xml:space="preserve"> </w:t>
      </w:r>
      <w:r>
        <w:t xml:space="preserve">Estimate for EU</w:t>
      </w:r>
      <w:r>
        <w:t xml:space="preserve"> </w:t>
      </w:r>
      <w:r>
        <w:t xml:space="preserve">PESETA III (Ciscar</w:t>
      </w:r>
      <w:r>
        <w:t xml:space="preserve"> </w:t>
      </w:r>
      <w:r>
        <w:t xml:space="preserve">et al. 2018)</w:t>
      </w:r>
      <w:r>
        <w:t xml:space="preserve"> </w:t>
      </w:r>
      <w:r>
        <w:t xml:space="preserve">4</w:t>
      </w:r>
      <w:r>
        <w:t xml:space="preserve"> </w:t>
      </w:r>
      <w:r>
        <w:t xml:space="preserve">1.9</w:t>
      </w:r>
      <w:r>
        <w:t xml:space="preserve"> </w:t>
      </w:r>
      <w:r>
        <w:t xml:space="preserve">several impact channels</w:t>
      </w:r>
      <w:r>
        <w:t xml:space="preserve"> </w:t>
      </w:r>
      <w:r>
        <w:t xml:space="preserve">modelled</w:t>
      </w:r>
      <w:r>
        <w:t xml:space="preserve"> </w:t>
      </w:r>
      <w:r>
        <w:t xml:space="preserve">Estimate for EU</w:t>
      </w:r>
      <w:r>
        <w:t xml:space="preserve"> </w:t>
      </w:r>
      <w:r>
        <w:t xml:space="preserve">PAGE 09 (Hope,</w:t>
      </w:r>
      <w:r>
        <w:t xml:space="preserve"> </w:t>
      </w:r>
      <w:r>
        <w:t xml:space="preserve">2011a)</w:t>
      </w:r>
      <w:r>
        <w:t xml:space="preserve"> </w:t>
      </w:r>
      <w:r>
        <w:t xml:space="preserve">3</w:t>
      </w:r>
      <w:r>
        <w:t xml:space="preserve"> </w:t>
      </w:r>
      <w:r>
        <w:t xml:space="preserve">Just under 2%</w:t>
      </w:r>
      <w:r>
        <w:t xml:space="preserve"> </w:t>
      </w:r>
      <w:r>
        <w:t xml:space="preserve">several impact channels</w:t>
      </w:r>
      <w:r>
        <w:t xml:space="preserve"> </w:t>
      </w:r>
      <w:r>
        <w:t xml:space="preserve">modelled</w:t>
      </w:r>
      <w:r>
        <w:t xml:space="preserve"> </w:t>
      </w:r>
      <w:r>
        <w:t xml:space="preserve">Estimate for EU</w:t>
      </w:r>
      <w:r>
        <w:t xml:space="preserve"> </w:t>
      </w:r>
      <w:r>
        <w:t xml:space="preserve">DICE 2016R</w:t>
      </w:r>
      <w:r>
        <w:t xml:space="preserve"> </w:t>
      </w:r>
      <w:r>
        <w:t xml:space="preserve">(Nordhaus, 2016)</w:t>
      </w:r>
      <w:r>
        <w:t xml:space="preserve"> </w:t>
      </w:r>
      <w:r>
        <w:t xml:space="preserve">3</w:t>
      </w:r>
      <w:r>
        <w:t xml:space="preserve"> </w:t>
      </w:r>
      <w:r>
        <w:t xml:space="preserve">6</w:t>
      </w:r>
      <w:r>
        <w:t xml:space="preserve"> </w:t>
      </w:r>
      <w:r>
        <w:t xml:space="preserve">2.0</w:t>
      </w:r>
      <w:r>
        <w:t xml:space="preserve"> </w:t>
      </w:r>
      <w:r>
        <w:t xml:space="preserve">8.2</w:t>
      </w:r>
    </w:p>
    <w:p>
      <w:pPr>
        <w:pStyle w:val="BodyText"/>
      </w:pPr>
      <w:r>
        <w:t xml:space="preserve">estimated on the basis of point</w:t>
      </w:r>
      <w:r>
        <w:t xml:space="preserve"> </w:t>
      </w:r>
      <w:r>
        <w:t xml:space="preserve">estimates from a literature</w:t>
      </w:r>
      <w:r>
        <w:t xml:space="preserve"> </w:t>
      </w:r>
      <w:r>
        <w:t xml:space="preserve">survey</w:t>
      </w:r>
    </w:p>
    <w:p>
      <w:pPr>
        <w:pStyle w:val="BodyText"/>
      </w:pPr>
      <w:r>
        <w:t xml:space="preserve">ENV-Linkages</w:t>
      </w:r>
      <w:r>
        <w:t xml:space="preserve"> </w:t>
      </w:r>
      <w:r>
        <w:t xml:space="preserve">(OECD, 2015)</w:t>
      </w:r>
      <w:r>
        <w:t xml:space="preserve"> </w:t>
      </w:r>
      <w:r>
        <w:t xml:space="preserve">1.5</w:t>
      </w:r>
      <w:r>
        <w:t xml:space="preserve"> </w:t>
      </w:r>
      <w:r>
        <w:t xml:space="preserve">4.5</w:t>
      </w:r>
      <w:r>
        <w:t xml:space="preserve"> </w:t>
      </w:r>
      <w:r>
        <w:t xml:space="preserve">1.0</w:t>
      </w:r>
      <w:r>
        <w:t xml:space="preserve"> </w:t>
      </w:r>
      <w:r>
        <w:t xml:space="preserve">3.3</w:t>
      </w:r>
      <w:r>
        <w:t xml:space="preserve"> </w:t>
      </w:r>
      <w:r>
        <w:t xml:space="preserve">examination of different</w:t>
      </w:r>
      <w:r>
        <w:t xml:space="preserve"> </w:t>
      </w:r>
      <w:r>
        <w:t xml:space="preserve">sectoral impacts</w:t>
      </w:r>
      <w:r>
        <w:t xml:space="preserve"> </w:t>
      </w:r>
      <w:r>
        <w:t xml:space="preserve">Damages by 2060</w:t>
      </w:r>
      <w:r>
        <w:t xml:space="preserve"> </w:t>
      </w:r>
      <w:r>
        <w:t xml:space="preserve">COACCH (Watkiss</w:t>
      </w:r>
      <w:r>
        <w:t xml:space="preserve"> </w:t>
      </w:r>
      <w:r>
        <w:t xml:space="preserve">et al, 2019)</w:t>
      </w:r>
      <w:r>
        <w:t xml:space="preserve"> </w:t>
      </w:r>
      <w:r>
        <w:t xml:space="preserve">2.4</w:t>
      </w:r>
      <w:r>
        <w:t xml:space="preserve"> </w:t>
      </w:r>
      <w:r>
        <w:t xml:space="preserve">4.3</w:t>
      </w:r>
      <w:r>
        <w:t xml:space="preserve"> </w:t>
      </w:r>
      <w:r>
        <w:t xml:space="preserve">3</w:t>
      </w:r>
      <w:r>
        <w:t xml:space="preserve"> </w:t>
      </w:r>
      <w:r>
        <w:t xml:space="preserve">10</w:t>
      </w:r>
      <w:r>
        <w:t xml:space="preserve"> </w:t>
      </w:r>
      <w:r>
        <w:t xml:space="preserve">Multi-model examination of so</w:t>
      </w:r>
      <w:r>
        <w:t xml:space="preserve"> </w:t>
      </w:r>
      <w:r>
        <w:t xml:space="preserve">far 3 sectors: coastal floods,</w:t>
      </w:r>
      <w:r>
        <w:t xml:space="preserve"> </w:t>
      </w:r>
      <w:r>
        <w:t xml:space="preserve">river floods, transport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Estimates for EU. RCP 4.5 (0.7 trn</w:t>
      </w:r>
      <w:r>
        <w:t xml:space="preserve"> </w:t>
      </w:r>
      <w:r>
        <w:t xml:space="preserve">EUR pa) and RCP 8.5 (2.6 trn EUR</w:t>
      </w:r>
      <w:r>
        <w:t xml:space="preserve"> </w:t>
      </w:r>
      <w:r>
        <w:t xml:space="preserve">p.a). %age for 2085 based on</w:t>
      </w:r>
      <w:r>
        <w:t xml:space="preserve"> </w:t>
      </w:r>
      <w:r>
        <w:t xml:space="preserve">1.5% GDP growth</w:t>
      </w:r>
      <w:r>
        <w:t xml:space="preserve"> </w:t>
      </w:r>
      <w:r>
        <w:t xml:space="preserve">Howard and</w:t>
      </w:r>
      <w:r>
        <w:t xml:space="preserve"> </w:t>
      </w:r>
      <w:r>
        <w:t xml:space="preserve">Sterner (2017)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7-8</w:t>
      </w:r>
    </w:p>
    <w:p>
      <w:pPr>
        <w:pStyle w:val="BodyText"/>
      </w:pPr>
      <w:r>
        <w:t xml:space="preserve">9-10</w:t>
      </w:r>
      <w:r>
        <w:t xml:space="preserve"> </w:t>
      </w:r>
      <w:r>
        <w:t xml:space="preserve">Literature survey, adjusting for</w:t>
      </w:r>
      <w:r>
        <w:t xml:space="preserve"> </w:t>
      </w:r>
      <w:r>
        <w:t xml:space="preserve">duplication and omitted variable</w:t>
      </w:r>
      <w:r>
        <w:t xml:space="preserve"> </w:t>
      </w:r>
      <w:r>
        <w:t xml:space="preserve">bias</w:t>
      </w:r>
      <w:r>
        <w:t xml:space="preserve"> </w:t>
      </w:r>
      <w:r>
        <w:t xml:space="preserve">Global. For the first estimate</w:t>
      </w:r>
      <w:r>
        <w:t xml:space="preserve"> </w:t>
      </w:r>
      <w:r>
        <w:t xml:space="preserve">catastrophic damages are</w:t>
      </w:r>
      <w:r>
        <w:t xml:space="preserve"> </w:t>
      </w:r>
      <w:r>
        <w:t xml:space="preserve">excluded, and for the second</w:t>
      </w:r>
      <w:r>
        <w:t xml:space="preserve"> </w:t>
      </w:r>
      <w:r>
        <w:t xml:space="preserve">catastrophic risks are included</w:t>
      </w:r>
      <w:r>
        <w:t xml:space="preserve"> </w:t>
      </w:r>
      <w:r>
        <w:t xml:space="preserve">Burke et al (2017)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18</w:t>
      </w:r>
      <w:r>
        <w:t xml:space="preserve"> </w:t>
      </w:r>
      <w:r>
        <w:t xml:space="preserve">43</w:t>
      </w:r>
      <w:r>
        <w:t xml:space="preserve"> </w:t>
      </w:r>
      <w:r>
        <w:t xml:space="preserve">Impact of observed</w:t>
      </w:r>
      <w:r>
        <w:t xml:space="preserve"> </w:t>
      </w:r>
      <w:r>
        <w:t xml:space="preserve">temperature variations on</w:t>
      </w:r>
      <w:r>
        <w:t xml:space="preserve"> </w:t>
      </w:r>
      <w:r>
        <w:t xml:space="preserve">labour and agriculture</w:t>
      </w:r>
      <w:r>
        <w:t xml:space="preserve"> </w:t>
      </w:r>
      <w:r>
        <w:t xml:space="preserve">Global. Long-run, differentiated</w:t>
      </w:r>
      <w:r>
        <w:t xml:space="preserve"> </w:t>
      </w:r>
      <w:r>
        <w:t xml:space="preserve">response scenario as reported.</w:t>
      </w:r>
      <w:r>
        <w:t xml:space="preserve"> </w:t>
      </w:r>
      <w:r>
        <w:t xml:space="preserve">Note: (a) global mean surface temperature change compared to pre-industrial level; (b) loss of GDP compared to no-</w:t>
      </w:r>
      <w:r>
        <w:t xml:space="preserve"> </w:t>
      </w:r>
      <w:r>
        <w:t xml:space="preserve">climate-change baseline by 2100 (unless otherwise stated).</w:t>
      </w:r>
      <w:r>
        <w:t xml:space="preserve"> </w:t>
      </w:r>
      <w:r>
        <w:t xml:space="preserve">Source: adapted from Dimitrijevics et al (2021) (411)</w:t>
      </w:r>
      <w:r>
        <w:t xml:space="preserve"> </w:t>
      </w:r>
      <w:r>
        <w:t xml:space="preserve">4</w:t>
      </w:r>
      <w:r>
        <w:t xml:space="preserve"> </w:t>
      </w:r>
      <w:r>
        <w:t xml:space="preserve">IMPACTS OF CLIMATE CHANGE ON BUSINESSES</w:t>
      </w:r>
      <w:r>
        <w:t xml:space="preserve"> </w:t>
      </w:r>
      <w:r>
        <w:t xml:space="preserve">The vulnerability of European businesses to climate change depends on the region, type of</w:t>
      </w:r>
      <w:r>
        <w:t xml:space="preserve"> </w:t>
      </w:r>
      <w:r>
        <w:t xml:space="preserve">risk, sector and business characteristics. Climate related events including floods, droughts,</w:t>
      </w:r>
      <w:r>
        <w:t xml:space="preserve"> </w:t>
      </w:r>
      <w:r>
        <w:t xml:space="preserve">heatwaves, heavy precipitation, sea level rise and changing rainfall patterns can seriously</w:t>
      </w:r>
      <w:r>
        <w:t xml:space="preserve"> </w:t>
      </w:r>
      <w:r>
        <w:t xml:space="preserve">affect business assets. They can lead to business interruptions and job losses, they can impact</w:t>
      </w:r>
      <w:r>
        <w:t xml:space="preserve"> </w:t>
      </w:r>
      <w:r>
        <w:t xml:space="preserve">working conditions, occupational safety and health, labour productivity and even induce</w:t>
      </w:r>
      <w:r>
        <w:t xml:space="preserve"> </w:t>
      </w:r>
      <w:r>
        <w:t xml:space="preserve">short-term and long-term migration of workers (412). A study by S&amp;P Global (413) finds, that</w:t>
      </w:r>
      <w:r>
        <w:t xml:space="preserve"> </w:t>
      </w:r>
      <w:r>
        <w:t xml:space="preserve">by 2050s over 90% of the world’s largest companies will see at least one asset financially</w:t>
      </w:r>
      <w:r>
        <w:t xml:space="preserve"> </w:t>
      </w:r>
      <w:r>
        <w:t xml:space="preserve">exposed to climate risks, and for more than a third of these companies at least one asset will</w:t>
      </w:r>
    </w:p>
    <w:p>
      <w:pPr>
        <w:pStyle w:val="Compact"/>
        <w:numPr>
          <w:ilvl w:val="0"/>
          <w:numId w:val="1108"/>
        </w:numPr>
      </w:pPr>
      <w:r>
        <w:t xml:space="preserve">Dimitrijevics et al. 2021. Quarterly Report on the Euro Area (QREA), Vol. 20, No. 1</w:t>
      </w:r>
    </w:p>
    <w:p>
      <w:pPr>
        <w:pStyle w:val="Compact"/>
        <w:numPr>
          <w:ilvl w:val="0"/>
          <w:numId w:val="1108"/>
        </w:numPr>
      </w:pPr>
      <w:r>
        <w:t xml:space="preserve">International Labour Organization. Frequently Asked Questions on Climate Change and Jobs. URL:</w:t>
      </w:r>
      <w:r>
        <w:t xml:space="preserve"> </w:t>
      </w:r>
      <w:r>
        <w:t xml:space="preserve">https://www.ilo.org/global/topics/green-jobs/WCMS_371589/lang–en/index.htm</w:t>
      </w:r>
    </w:p>
    <w:p>
      <w:pPr>
        <w:pStyle w:val="Compact"/>
        <w:numPr>
          <w:ilvl w:val="0"/>
          <w:numId w:val="1108"/>
        </w:numPr>
      </w:pPr>
      <w:r>
        <w:t xml:space="preserve">Ritchie G. 2022. 90% of World’s Biggest Firms Will Have at Least One Asset Exposed to Climate Risk,</w:t>
      </w:r>
      <w:r>
        <w:t xml:space="preserve"> </w:t>
      </w:r>
      <w:r>
        <w:t xml:space="preserve">Fresh Data Show. Bloomberg, 15th of September 2022.</w:t>
      </w:r>
    </w:p>
    <w:p>
      <w:pPr>
        <w:pStyle w:val="FirstParagraph"/>
      </w:pPr>
      <w:r>
        <w:t xml:space="preserve">118</w:t>
      </w:r>
    </w:p>
    <w:p>
      <w:pPr>
        <w:pStyle w:val="BodyText"/>
      </w:pPr>
      <w:r>
        <w:t xml:space="preserve">lose at the minimum 20% of its value. An extensive study by the European Central Bank (414)</w:t>
      </w:r>
      <w:r>
        <w:t xml:space="preserve"> </w:t>
      </w:r>
      <w:r>
        <w:t xml:space="preserve">assessed the resilience of non-financial corporates (NFCs) and euro area banks to climate</w:t>
      </w:r>
      <w:r>
        <w:t xml:space="preserve"> </w:t>
      </w:r>
      <w:r>
        <w:t xml:space="preserve">risks, under various assumptions in terms of future climate policies over the next 30 years. It</w:t>
      </w:r>
      <w:r>
        <w:t xml:space="preserve"> </w:t>
      </w:r>
      <w:r>
        <w:t xml:space="preserve">found that the effects of climate change would increase over time and would</w:t>
      </w:r>
      <w:r>
        <w:t xml:space="preserve"> </w:t>
      </w:r>
      <w:r>
        <w:t xml:space="preserve">disproportionately affect certain geographies and sectors. The increased frequency and</w:t>
      </w:r>
      <w:r>
        <w:t xml:space="preserve"> </w:t>
      </w:r>
      <w:r>
        <w:t xml:space="preserve">intensity of natural disasters would affect the production plants located in the areas exposed to</w:t>
      </w:r>
      <w:r>
        <w:t xml:space="preserve"> </w:t>
      </w:r>
      <w:r>
        <w:t xml:space="preserve">natural hazards and could cause significant damage, interrupt production process, and</w:t>
      </w:r>
      <w:r>
        <w:t xml:space="preserve"> </w:t>
      </w:r>
      <w:r>
        <w:t xml:space="preserve">potentially lead to business failure. Early transition to a zero-carbon economy comes with</w:t>
      </w:r>
      <w:r>
        <w:t xml:space="preserve"> </w:t>
      </w:r>
      <w:r>
        <w:t xml:space="preserve">clear benefits, as short-term costs of the transition are smaller than the costs of climate change</w:t>
      </w:r>
      <w:r>
        <w:t xml:space="preserve"> </w:t>
      </w:r>
      <w:r>
        <w:t xml:space="preserve">in the medium- to long-term. Without climate action, the impacts of climate change on</w:t>
      </w:r>
      <w:r>
        <w:t xml:space="preserve"> </w:t>
      </w:r>
      <w:r>
        <w:t xml:space="preserve">corporates and banks most exposed to climate risks would become very significant, and</w:t>
      </w:r>
      <w:r>
        <w:t xml:space="preserve"> </w:t>
      </w:r>
      <w:r>
        <w:t xml:space="preserve">significantly and negatively affect their creditworthiness.</w:t>
      </w:r>
      <w:r>
        <w:t xml:space="preserve"> </w:t>
      </w:r>
      <w:r>
        <w:t xml:space="preserve">European industrial and service sectors are affected by climate change in multiple ways, both</w:t>
      </w:r>
      <w:r>
        <w:t xml:space="preserve"> </w:t>
      </w:r>
      <w:r>
        <w:t xml:space="preserve">directly and indirectly, though damage to assets, increased insurance costs, increased</w:t>
      </w:r>
      <w:r>
        <w:t xml:space="preserve"> </w:t>
      </w:r>
      <w:r>
        <w:t xml:space="preserve">operating and maintenance costs, disruptions in transport, and reduced revenues. European</w:t>
      </w:r>
      <w:r>
        <w:t xml:space="preserve"> </w:t>
      </w:r>
      <w:r>
        <w:t xml:space="preserve">businesses are affected by climate hazards both inside the EU and internationally through</w:t>
      </w:r>
      <w:r>
        <w:t xml:space="preserve"> </w:t>
      </w:r>
      <w:r>
        <w:t xml:space="preserve">impacts on supply chains (415). While all segments of the EU economy are and will continue</w:t>
      </w:r>
      <w:r>
        <w:t xml:space="preserve"> </w:t>
      </w:r>
      <w:r>
        <w:t xml:space="preserve">to be affected by climate change, some sectors are more exposed than others, notably</w:t>
      </w:r>
      <w:r>
        <w:t xml:space="preserve"> </w:t>
      </w:r>
      <w:r>
        <w:t xml:space="preserve">agriculture (see section 2.3.5.2), tourism (see section 2.3.4.3), fisheries and forestry (see</w:t>
      </w:r>
      <w:r>
        <w:t xml:space="preserve"> </w:t>
      </w:r>
      <w:r>
        <w:t xml:space="preserve">section 2.3.5.1.1).</w:t>
      </w:r>
      <w:r>
        <w:br/>
      </w:r>
      <w:r>
        <w:t xml:space="preserve">Smaller businesses have relatively higher capital constrains and hence less resources than</w:t>
      </w:r>
      <w:r>
        <w:t xml:space="preserve"> </w:t>
      </w:r>
      <w:r>
        <w:t xml:space="preserve">larger companies to face such risks. They are less able to react to climate events and</w:t>
      </w:r>
      <w:r>
        <w:t xml:space="preserve"> </w:t>
      </w:r>
      <w:r>
        <w:t xml:space="preserve">implement efficiency changes (416). Small companies have started to experience the impact of</w:t>
      </w:r>
      <w:r>
        <w:t xml:space="preserve"> </w:t>
      </w:r>
      <w:r>
        <w:t xml:space="preserve">climate change on their operation, as reported by the European Investment Bank in its 2022</w:t>
      </w:r>
      <w:r>
        <w:t xml:space="preserve"> </w:t>
      </w:r>
      <w:r>
        <w:t xml:space="preserve">overview on SMEs. Collier and Ragin (417) indicate that the higher frequency of extreme</w:t>
      </w:r>
      <w:r>
        <w:t xml:space="preserve"> </w:t>
      </w:r>
      <w:r>
        <w:t xml:space="preserve">events due to climate change will imply higher costs for small businesses. According to the</w:t>
      </w:r>
      <w:r>
        <w:t xml:space="preserve"> </w:t>
      </w:r>
      <w:r>
        <w:t xml:space="preserve">International Labour Organization, SMEs are less equipped than large companies to plan and</w:t>
      </w:r>
      <w:r>
        <w:t xml:space="preserve"> </w:t>
      </w:r>
      <w:r>
        <w:t xml:space="preserve">invest in adaptation measures (418).</w:t>
      </w:r>
      <w:r>
        <w:t xml:space="preserve"> </w:t>
      </w:r>
      <w:r>
        <w:t xml:space="preserve">Climate change already affects the construction, agriculture, manufacturing, transportation,</w:t>
      </w:r>
      <w:r>
        <w:t xml:space="preserve"> </w:t>
      </w:r>
      <w:r>
        <w:t xml:space="preserve">banking and insurance sectors through reduced productivity, losses from floods, water</w:t>
      </w:r>
      <w:r>
        <w:t xml:space="preserve"> </w:t>
      </w:r>
      <w:r>
        <w:t xml:space="preserve">scarcity and droughts. Pulp and paper, chemical and plastic manufacturing are also impacted,</w:t>
      </w:r>
      <w:r>
        <w:t xml:space="preserve"> </w:t>
      </w:r>
      <w:r>
        <w:t xml:space="preserve">as well as sectors relying on shipping, hydropower and water supply. The financial and</w:t>
      </w:r>
      <w:r>
        <w:t xml:space="preserve"> </w:t>
      </w:r>
      <w:r>
        <w:t xml:space="preserve">insurance sector is affected through impacts in the customer and financial markets. Many</w:t>
      </w:r>
    </w:p>
    <w:p>
      <w:pPr>
        <w:pStyle w:val="Compact"/>
        <w:numPr>
          <w:ilvl w:val="0"/>
          <w:numId w:val="1109"/>
        </w:numPr>
      </w:pPr>
      <w:r>
        <w:t xml:space="preserve">Alogoskoufis S. et al. 2021. ECB economy-wide climate stress test. Occasional Paper Series, No 281 /</w:t>
      </w:r>
      <w:r>
        <w:t xml:space="preserve"> </w:t>
      </w:r>
      <w:r>
        <w:t xml:space="preserve">September 2021.</w:t>
      </w:r>
      <w:r>
        <w:br/>
      </w:r>
      <w:r>
        <w:t xml:space="preserve">(415)COACCH (2021). The Economic Cost of Climate Change in Europe: Business Policy brief by the COACCH</w:t>
      </w:r>
      <w:r>
        <w:t xml:space="preserve"> </w:t>
      </w:r>
      <w:r>
        <w:t xml:space="preserve">project. Published November 2021. Copyright: COACCH, 2021.</w:t>
      </w:r>
    </w:p>
    <w:p>
      <w:pPr>
        <w:pStyle w:val="Compact"/>
        <w:numPr>
          <w:ilvl w:val="0"/>
          <w:numId w:val="1109"/>
        </w:numPr>
      </w:pPr>
      <w:r>
        <w:t xml:space="preserve">World Trade Organizarion. 2022. Small Businesess and climate change. MSME Research note 3. World</w:t>
      </w:r>
      <w:r>
        <w:t xml:space="preserve"> </w:t>
      </w:r>
      <w:r>
        <w:t xml:space="preserve">Trade Organization Centre William Rappard, Rue de Lausanne 154, CH-1211 Geneva 21, Switzerland</w:t>
      </w:r>
    </w:p>
    <w:p>
      <w:pPr>
        <w:pStyle w:val="Compact"/>
        <w:numPr>
          <w:ilvl w:val="0"/>
          <w:numId w:val="1109"/>
        </w:numPr>
      </w:pPr>
      <w:r>
        <w:t xml:space="preserve">Collier B. and M. Rajin, “As climate risk grows, so will costs for small businesses”. Harvard Business</w:t>
      </w:r>
      <w:r>
        <w:t xml:space="preserve"> </w:t>
      </w:r>
      <w:r>
        <w:t xml:space="preserve">Review, August 2022.</w:t>
      </w:r>
    </w:p>
    <w:p>
      <w:pPr>
        <w:pStyle w:val="Compact"/>
        <w:numPr>
          <w:ilvl w:val="0"/>
          <w:numId w:val="1109"/>
        </w:numPr>
      </w:pPr>
      <w:r>
        <w:t xml:space="preserve">Enabling business mitigation and adaptation to climate change Green policies and the role of Employer and</w:t>
      </w:r>
      <w:r>
        <w:t xml:space="preserve"> </w:t>
      </w:r>
      <w:r>
        <w:t xml:space="preserve">Business Membership Organization. International Labour Organization. December 2022</w:t>
      </w:r>
    </w:p>
    <w:p>
      <w:pPr>
        <w:pStyle w:val="FirstParagraph"/>
      </w:pPr>
      <w:r>
        <w:t xml:space="preserve">119</w:t>
      </w:r>
    </w:p>
    <w:p>
      <w:pPr>
        <w:pStyle w:val="BodyText"/>
      </w:pPr>
      <w:r>
        <w:t xml:space="preserve">sectors will be exposed to multiple risks, and through indirect effects through supply chains,</w:t>
      </w:r>
      <w:r>
        <w:t xml:space="preserve"> </w:t>
      </w:r>
      <w:r>
        <w:t xml:space="preserve">transport, and electricity networks (419).</w:t>
      </w:r>
      <w:r>
        <w:br/>
      </w:r>
      <w:r>
        <w:t xml:space="preserve">While currently damages are mainly related to floods and storms, heat and drought will</w:t>
      </w:r>
      <w:r>
        <w:t xml:space="preserve"> </w:t>
      </w:r>
      <w:r>
        <w:t xml:space="preserve">become major drivers in the future. Floods represent one of the most important risks with</w:t>
      </w:r>
      <w:r>
        <w:t xml:space="preserve"> </w:t>
      </w:r>
      <w:r>
        <w:t xml:space="preserve">large economic impact for businesses, both from damage and loss of assets, and from costs of</w:t>
      </w:r>
      <w:r>
        <w:t xml:space="preserve"> </w:t>
      </w:r>
      <w:r>
        <w:t xml:space="preserve">disruption, lost time and lost production. Floods can also disrupt transport, leading to travel</w:t>
      </w:r>
      <w:r>
        <w:t xml:space="preserve"> </w:t>
      </w:r>
      <w:r>
        <w:t xml:space="preserve">delays and costs, and affecting supply chains. As the risk of floods is projected to increase in</w:t>
      </w:r>
      <w:r>
        <w:t xml:space="preserve"> </w:t>
      </w:r>
      <w:r>
        <w:t xml:space="preserve">many parts of Europe (see section 2.3.3), damages to business are also projected to increase.</w:t>
      </w:r>
      <w:r>
        <w:t xml:space="preserve"> </w:t>
      </w:r>
      <w:r>
        <w:t xml:space="preserve">This is expected to impact the insurance premiums for floods, translating into higher costs for</w:t>
      </w:r>
      <w:r>
        <w:t xml:space="preserve"> </w:t>
      </w:r>
      <w:r>
        <w:t xml:space="preserve">businesses.</w:t>
      </w:r>
      <w:r>
        <w:br/>
      </w:r>
      <w:r>
        <w:t xml:space="preserve">Heatwaves negatively affect work and labour productivity and can lead to health risks for</w:t>
      </w:r>
      <w:r>
        <w:t xml:space="preserve"> </w:t>
      </w:r>
      <w:r>
        <w:t xml:space="preserve">workers. The COACCH (Co-designing the Assessment of Climate Change Costs) project</w:t>
      </w:r>
      <w:r>
        <w:t xml:space="preserve"> </w:t>
      </w:r>
      <w:r>
        <w:t xml:space="preserve">estimated that in Europe the loss of labour productivity in industrial and construction sector</w:t>
      </w:r>
      <w:r>
        <w:t xml:space="preserve"> </w:t>
      </w:r>
      <w:r>
        <w:t xml:space="preserve">due to higher temperatures could reach 3% at RCP4.5. However, there are significant regional</w:t>
      </w:r>
      <w:r>
        <w:t xml:space="preserve"> </w:t>
      </w:r>
      <w:r>
        <w:t xml:space="preserve">differences across Europe, with southern Europe being disproportionately affected, while</w:t>
      </w:r>
      <w:r>
        <w:t xml:space="preserve"> </w:t>
      </w:r>
      <w:r>
        <w:t xml:space="preserve">some colder regions could see gains in labour productivity.</w:t>
      </w:r>
      <w:r>
        <w:t xml:space="preserve"> </w:t>
      </w:r>
      <w:r>
        <w:t xml:space="preserve">Climate change related events in one country can propagate along the supply chain and</w:t>
      </w:r>
      <w:r>
        <w:t xml:space="preserve"> </w:t>
      </w:r>
      <w:r>
        <w:t xml:space="preserve">indirectly lead to adverse economic impacts in another country. COACCH study found that</w:t>
      </w:r>
      <w:r>
        <w:t xml:space="preserve"> </w:t>
      </w:r>
      <w:r>
        <w:t xml:space="preserve">due to the increased frequency of extreme climate events and associated productivity shocks,</w:t>
      </w:r>
      <w:r>
        <w:t xml:space="preserve"> </w:t>
      </w:r>
      <w:r>
        <w:t xml:space="preserve">export performance can be significantly reduced in the future. It is projected that tropics and</w:t>
      </w:r>
      <w:r>
        <w:t xml:space="preserve"> </w:t>
      </w:r>
      <w:r>
        <w:t xml:space="preserve">sub-tropics will experience the largest impacts on exports due to stronger climate impacts. As</w:t>
      </w:r>
      <w:r>
        <w:t xml:space="preserve"> </w:t>
      </w:r>
      <w:r>
        <w:t xml:space="preserve">Europe is strongly integrated in global production networks, it has less concentrated supply</w:t>
      </w:r>
      <w:r>
        <w:t xml:space="preserve"> </w:t>
      </w:r>
      <w:r>
        <w:t xml:space="preserve">chains compared to some other regions, however, it is nonetheless vulnerable to supply chain</w:t>
      </w:r>
      <w:r>
        <w:t xml:space="preserve"> </w:t>
      </w:r>
      <w:r>
        <w:t xml:space="preserve">shocks with can lead to reduced export performance. The impacts vary between countries and</w:t>
      </w:r>
      <w:r>
        <w:t xml:space="preserve"> </w:t>
      </w:r>
      <w:r>
        <w:t xml:space="preserve">sectors, with largest impacts on the sectors with least diversified supply chains, including the</w:t>
      </w:r>
      <w:r>
        <w:t xml:space="preserve"> </w:t>
      </w:r>
      <w:r>
        <w:t xml:space="preserve">food sector, mining and quarrying and electricity, gas and water sectors (420).</w:t>
      </w:r>
      <w:r>
        <w:t xml:space="preserve"> </w:t>
      </w:r>
      <w:r>
        <w:t xml:space="preserve">In a survey carried out by the European Central Bank (421)in 2022, respondents -including</w:t>
      </w:r>
      <w:r>
        <w:t xml:space="preserve"> </w:t>
      </w:r>
      <w:r>
        <w:t xml:space="preserve">from 90 large and mostly multinational companies - mentioned a range of physical risks from</w:t>
      </w:r>
      <w:r>
        <w:t xml:space="preserve"> </w:t>
      </w:r>
      <w:r>
        <w:t xml:space="preserve">climate change for their companies. They were related to the sourcing of raw materials,</w:t>
      </w:r>
      <w:r>
        <w:t xml:space="preserve"> </w:t>
      </w:r>
      <w:r>
        <w:t xml:space="preserve">integrity of production facilities, infrastructure, supply chains, logistics and labour conditions.</w:t>
      </w:r>
      <w:r>
        <w:t xml:space="preserve"> </w:t>
      </w:r>
      <w:r>
        <w:t xml:space="preserve">Damage to physical assets and infrastructure is of particular concern to the companies</w:t>
      </w:r>
      <w:r>
        <w:t xml:space="preserve"> </w:t>
      </w:r>
      <w:r>
        <w:t xml:space="preserve">dependent on or operating in the agricultural sector, manifactouring sector with potentially</w:t>
      </w:r>
      <w:r>
        <w:t xml:space="preserve"> </w:t>
      </w:r>
      <w:r>
        <w:t xml:space="preserve">vulnerable supply chains, construction and the transport sectors.</w:t>
      </w:r>
    </w:p>
    <w:p>
      <w:pPr>
        <w:pStyle w:val="Compact"/>
        <w:numPr>
          <w:ilvl w:val="0"/>
          <w:numId w:val="1110"/>
        </w:numPr>
      </w:pPr>
      <w:r>
        <w:t xml:space="preserve">Bednar-Friedl, B., R. Biesbroek, D.N. Schmidt, P. Alexander, K.Y. Børsheim, J. Carnicer, E.</w:t>
      </w:r>
      <w:r>
        <w:t xml:space="preserve"> </w:t>
      </w:r>
      <w:r>
        <w:t xml:space="preserve">Georgopoulou, M. Haasnoot, G. Le Cozannet, P. Lionello, O. Lipka, C. Möllmann, V. Muccione, T.</w:t>
      </w:r>
      <w:r>
        <w:t xml:space="preserve"> </w:t>
      </w:r>
      <w:r>
        <w:t xml:space="preserve">Mustonen, D. Piepenburg, and L.Whitmarsh, 2022: Europe. In: Climate Change 2022: Impacts, Adaptation</w:t>
      </w:r>
      <w:r>
        <w:t xml:space="preserve"> </w:t>
      </w:r>
      <w:r>
        <w:t xml:space="preserve">and Vulnerability. Contribution of Working Group II to the Sixth Assessment Report of the</w:t>
      </w:r>
      <w:r>
        <w:t xml:space="preserve"> </w:t>
      </w:r>
      <w:r>
        <w:t xml:space="preserve">Intergovernmental Panel on Climate Change [H.-O. Pörtner, D.C. Roberts, M. Tignor, E.S. Poloczanska, K.</w:t>
      </w:r>
      <w:r>
        <w:t xml:space="preserve"> </w:t>
      </w:r>
      <w:r>
        <w:t xml:space="preserve">Mintenbeck, A. Alegría, M. Craig, S. Langsdorf, S. Löschke, V. Möller, A. Okem, B. Rama (eds.)].</w:t>
      </w:r>
      <w:r>
        <w:t xml:space="preserve"> </w:t>
      </w:r>
      <w:r>
        <w:t xml:space="preserve">Cambridge University Press, Cambridge, UK and New York, NY, USA, pp. 1817–1927,</w:t>
      </w:r>
      <w:r>
        <w:t xml:space="preserve"> </w:t>
      </w:r>
      <w:r>
        <w:t xml:space="preserve">doi:10.1017/9781009325844.015</w:t>
      </w:r>
    </w:p>
    <w:p>
      <w:pPr>
        <w:pStyle w:val="Compact"/>
        <w:numPr>
          <w:ilvl w:val="0"/>
          <w:numId w:val="1110"/>
        </w:numPr>
      </w:pPr>
      <w:r>
        <w:t xml:space="preserve">COACCH (2021). The Economic Cost of Climate Change in Europe: Business Policy brief by the</w:t>
      </w:r>
      <w:r>
        <w:t xml:space="preserve"> </w:t>
      </w:r>
      <w:r>
        <w:t xml:space="preserve">COACCH project. Published November 2021. Copyright: COACCH, 2021.</w:t>
      </w:r>
    </w:p>
    <w:p>
      <w:pPr>
        <w:pStyle w:val="Compact"/>
        <w:numPr>
          <w:ilvl w:val="0"/>
          <w:numId w:val="1110"/>
        </w:numPr>
      </w:pPr>
      <w:r>
        <w:t xml:space="preserve">Kuil F., Morris R. and Sun Y. 2022. The impact of climate change on activity and prices – insights from a</w:t>
      </w:r>
      <w:r>
        <w:t xml:space="preserve"> </w:t>
      </w:r>
      <w:r>
        <w:t xml:space="preserve">survey</w:t>
      </w:r>
      <w:r>
        <w:t xml:space="preserve"> </w:t>
      </w:r>
      <w:r>
        <w:t xml:space="preserve">of</w:t>
      </w:r>
      <w:r>
        <w:t xml:space="preserve"> </w:t>
      </w:r>
      <w:r>
        <w:t xml:space="preserve">leading</w:t>
      </w:r>
      <w:r>
        <w:t xml:space="preserve"> </w:t>
      </w:r>
      <w:r>
        <w:t xml:space="preserve">firms.</w:t>
      </w:r>
      <w:r>
        <w:t xml:space="preserve"> </w:t>
      </w:r>
      <w:r>
        <w:t xml:space="preserve">URL:</w:t>
      </w:r>
      <w:r>
        <w:t xml:space="preserve"> </w:t>
      </w:r>
      <w:r>
        <w:t xml:space="preserve">https://www.ecb.europa.eu/pub/economic-</w:t>
      </w:r>
      <w:r>
        <w:t xml:space="preserve"> </w:t>
      </w:r>
      <w:r>
        <w:t xml:space="preserve">bulletin/focus/2022/html/ecb.ebbox202204_04~1d4c34022a.en.html</w:t>
      </w:r>
    </w:p>
    <w:p>
      <w:pPr>
        <w:pStyle w:val="FirstParagraph"/>
      </w:pPr>
      <w:r>
        <w:t xml:space="preserve">120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IMPACTS OF CLIMATE CHANGE ON SOCIETY AT LARGE</w:t>
      </w:r>
      <w:r>
        <w:t xml:space="preserve"> </w:t>
      </w:r>
      <w:r>
        <w:t xml:space="preserve">One of the largest uncertainties in climate science is the crossing of climate tipping points (see</w:t>
      </w:r>
      <w:r>
        <w:t xml:space="preserve"> </w:t>
      </w:r>
      <w:r>
        <w:t xml:space="preserve">section 2.1.2 of this Annex). Tipping point impacts will cascade through socio-economic and</w:t>
      </w:r>
      <w:r>
        <w:t xml:space="preserve"> </w:t>
      </w:r>
      <w:r>
        <w:t xml:space="preserve">ecological systems over timeframes that are short enough to defy the ability and capacity of</w:t>
      </w:r>
      <w:r>
        <w:t xml:space="preserve"> </w:t>
      </w:r>
      <w:r>
        <w:t xml:space="preserve">human societies to adapt, leading to severe effects on human and natural systems (422). For</w:t>
      </w:r>
      <w:r>
        <w:t xml:space="preserve"> </w:t>
      </w:r>
      <w:r>
        <w:t xml:space="preserve">example, rapidly and permanently altered growing conditions could impact crop yields, which</w:t>
      </w:r>
      <w:r>
        <w:t xml:space="preserve"> </w:t>
      </w:r>
      <w:r>
        <w:t xml:space="preserve">can affect local food availability and global food prices.</w:t>
      </w:r>
      <w:r>
        <w:t xml:space="preserve"> </w:t>
      </w:r>
      <w:r>
        <w:t xml:space="preserve">Multiple tipping point impacts can be far reaching, leading to never seen before climatic</w:t>
      </w:r>
      <w:r>
        <w:t xml:space="preserve"> </w:t>
      </w:r>
      <w:r>
        <w:t xml:space="preserve">conditions emerging. The interaction of reductions in glacial melt from the Himalayan icecap</w:t>
      </w:r>
      <w:r>
        <w:t xml:space="preserve"> </w:t>
      </w:r>
      <w:r>
        <w:t xml:space="preserve">which provides drinking and irrigation water for downstream communities, in combination</w:t>
      </w:r>
      <w:r>
        <w:t xml:space="preserve"> </w:t>
      </w:r>
      <w:r>
        <w:t xml:space="preserve">with rising sea level, could lead to water shortages and flooding. These impacts, together with</w:t>
      </w:r>
      <w:r>
        <w:t xml:space="preserve"> </w:t>
      </w:r>
      <w:r>
        <w:t xml:space="preserve">anticipated heat spikes, could make living conditions for hundreds of millions of people in</w:t>
      </w:r>
      <w:r>
        <w:t xml:space="preserve"> </w:t>
      </w:r>
      <w:r>
        <w:t xml:space="preserve">low lying areas such as Bangladesh and Vietnam untenable, leading to mass migration (423).</w:t>
      </w:r>
      <w:r>
        <w:br/>
      </w:r>
      <w:r>
        <w:t xml:space="preserve">Climate change could impact many areas of society, and lead to cascading and interacting</w:t>
      </w:r>
      <w:r>
        <w:t xml:space="preserve"> </w:t>
      </w:r>
      <w:r>
        <w:t xml:space="preserve">impacts, ranging from migration and conflict to health and mortality impacts, political</w:t>
      </w:r>
      <w:r>
        <w:t xml:space="preserve"> </w:t>
      </w:r>
      <w:r>
        <w:t xml:space="preserve">instability, to food, fuel and water shortages (424). Climate change is a growing concern for</w:t>
      </w:r>
      <w:r>
        <w:t xml:space="preserve"> </w:t>
      </w:r>
      <w:r>
        <w:t xml:space="preserve">European Union security and defence, affecting military infrastructure, military capabilities,</w:t>
      </w:r>
      <w:r>
        <w:t xml:space="preserve"> </w:t>
      </w:r>
      <w:r>
        <w:t xml:space="preserve">missions and operations (425).</w:t>
      </w:r>
      <w:r>
        <w:t xml:space="preserve"> </w:t>
      </w:r>
      <w:r>
        <w:t xml:space="preserve">Climate models often do not capture many of the most severe impacts from climate change,</w:t>
      </w:r>
      <w:r>
        <w:t xml:space="preserve"> </w:t>
      </w:r>
      <w:r>
        <w:t xml:space="preserve">such as tipping points. There are certain challenges and limitations that these tools might</w:t>
      </w:r>
      <w:r>
        <w:t xml:space="preserve"> </w:t>
      </w:r>
      <w:r>
        <w:t xml:space="preserve">never be able to overcome because of the uncertainty of climate change or because of the</w:t>
      </w:r>
      <w:r>
        <w:t xml:space="preserve"> </w:t>
      </w:r>
      <w:r>
        <w:t xml:space="preserve">limitations of modelling and data (426). The inability to capture all interactions between</w:t>
      </w:r>
      <w:r>
        <w:t xml:space="preserve"> </w:t>
      </w:r>
      <w:r>
        <w:t xml:space="preserve">sectors affected by climate change and the interaction between climate change impacts</w:t>
      </w:r>
      <w:r>
        <w:t xml:space="preserve"> </w:t>
      </w:r>
      <w:r>
        <w:t xml:space="preserve">themselves, suggests that modelling results are currently on the conservative side (427).</w:t>
      </w:r>
      <w:r>
        <w:br/>
      </w:r>
      <w:r>
        <w:t xml:space="preserve">The warming levels at which elements such as the polar ice sheets, the Atlantic Meridional</w:t>
      </w:r>
      <w:r>
        <w:t xml:space="preserve"> </w:t>
      </w:r>
      <w:r>
        <w:t xml:space="preserve">Overturning Circulation, or the Amazon rainforest, might tip to alternative states are largely</w:t>
      </w:r>
      <w:r>
        <w:t xml:space="preserve"> </w:t>
      </w:r>
      <w:r>
        <w:t xml:space="preserve">unknown. Progress is being made to couple individual earth system models, but substantial</w:t>
      </w:r>
      <w:r>
        <w:t xml:space="preserve"> </w:t>
      </w:r>
      <w:r>
        <w:t xml:space="preserve">further work is required to accurately represent tipping point interactions and to predict when</w:t>
      </w:r>
      <w:r>
        <w:t xml:space="preserve"> </w:t>
      </w:r>
      <w:r>
        <w:t xml:space="preserve">individual subsystems might cross tipping points (428). Given that much progress is required to</w:t>
      </w:r>
    </w:p>
    <w:p>
      <w:pPr>
        <w:pStyle w:val="Compact"/>
        <w:numPr>
          <w:ilvl w:val="0"/>
          <w:numId w:val="1111"/>
        </w:numPr>
      </w:pPr>
      <w:r>
        <w:t xml:space="preserve">OECD,</w:t>
      </w:r>
      <w:r>
        <w:t xml:space="preserve"> </w:t>
      </w:r>
      <w:r>
        <w:t xml:space="preserve">Climate</w:t>
      </w:r>
      <w:r>
        <w:t xml:space="preserve"> </w:t>
      </w:r>
      <w:r>
        <w:t xml:space="preserve">Tipping</w:t>
      </w:r>
      <w:r>
        <w:t xml:space="preserve"> </w:t>
      </w:r>
      <w:r>
        <w:t xml:space="preserve">Points</w:t>
      </w:r>
      <w:r>
        <w:t xml:space="preserve"> </w:t>
      </w:r>
      <w:r>
        <w:t xml:space="preserve">–</w:t>
      </w:r>
      <w:r>
        <w:t xml:space="preserve"> </w:t>
      </w:r>
      <w:r>
        <w:t xml:space="preserve">Insights</w:t>
      </w:r>
      <w:r>
        <w:t xml:space="preserve"> </w:t>
      </w:r>
      <w:r>
        <w:t xml:space="preserve">for</w:t>
      </w:r>
      <w:r>
        <w:t xml:space="preserve"> </w:t>
      </w:r>
      <w:r>
        <w:t xml:space="preserve">Effective</w:t>
      </w:r>
      <w:r>
        <w:t xml:space="preserve"> </w:t>
      </w:r>
      <w:r>
        <w:t xml:space="preserve">Policy</w:t>
      </w:r>
      <w:r>
        <w:t xml:space="preserve"> </w:t>
      </w:r>
      <w:r>
        <w:t xml:space="preserve">Action.</w:t>
      </w:r>
    </w:p>
    <w:p>
      <w:pPr>
        <w:pStyle w:val="Compact"/>
        <w:numPr>
          <w:ilvl w:val="0"/>
          <w:numId w:val="1112"/>
        </w:numPr>
      </w:pPr>
      <w:r>
        <w:t xml:space="preserve">https://doi.org/10.1787/abc5a69e-en</w:t>
      </w:r>
    </w:p>
    <w:p>
      <w:pPr>
        <w:pStyle w:val="Compact"/>
        <w:numPr>
          <w:ilvl w:val="0"/>
          <w:numId w:val="1113"/>
        </w:numPr>
      </w:pPr>
      <w:r>
        <w:t xml:space="preserve">S. Trust, et al., The Emperor’s New Climate Scenarios, The Institute and Faculty of Actuaries,</w:t>
      </w:r>
      <w:r>
        <w:t xml:space="preserve"> </w:t>
      </w:r>
      <w:r>
        <w:t xml:space="preserve">https://actuaries.org.uk/media/qeydewmk/the-emperor-s-new-climate-scenarios.pdf</w:t>
      </w:r>
      <w:r>
        <w:br/>
      </w:r>
    </w:p>
    <w:p>
      <w:pPr>
        <w:pStyle w:val="Compact"/>
        <w:numPr>
          <w:ilvl w:val="0"/>
          <w:numId w:val="1114"/>
        </w:numPr>
      </w:pPr>
      <w:r>
        <w:t xml:space="preserve">Kemp</w:t>
      </w:r>
      <w:r>
        <w:t xml:space="preserve"> </w:t>
      </w:r>
      <w:r>
        <w:t xml:space="preserve">et</w:t>
      </w:r>
      <w:r>
        <w:t xml:space="preserve"> </w:t>
      </w:r>
      <w:r>
        <w:t xml:space="preserve">al.,</w:t>
      </w:r>
      <w:r>
        <w:t xml:space="preserve"> </w:t>
      </w:r>
      <w:r>
        <w:t xml:space="preserve">Climate</w:t>
      </w:r>
      <w:r>
        <w:t xml:space="preserve"> </w:t>
      </w:r>
      <w:r>
        <w:t xml:space="preserve">Endgame:</w:t>
      </w:r>
      <w:r>
        <w:t xml:space="preserve"> </w:t>
      </w:r>
      <w:r>
        <w:t xml:space="preserve">Exploring</w:t>
      </w:r>
      <w:r>
        <w:t xml:space="preserve"> </w:t>
      </w:r>
      <w:r>
        <w:t xml:space="preserve">catastrophic</w:t>
      </w:r>
      <w:r>
        <w:t xml:space="preserve"> </w:t>
      </w:r>
      <w:r>
        <w:t xml:space="preserve">climate</w:t>
      </w:r>
      <w:r>
        <w:t xml:space="preserve"> </w:t>
      </w:r>
      <w:r>
        <w:t xml:space="preserve">change</w:t>
      </w:r>
      <w:r>
        <w:t xml:space="preserve"> </w:t>
      </w:r>
      <w:r>
        <w:t xml:space="preserve">scenarios:</w:t>
      </w:r>
      <w:r>
        <w:t xml:space="preserve"> </w:t>
      </w:r>
      <w:r>
        <w:t xml:space="preserve">https://www.pnas.org/doi/pdf/10.1073/pnas.2108146119</w:t>
      </w:r>
      <w:r>
        <w:br/>
      </w:r>
    </w:p>
    <w:p>
      <w:pPr>
        <w:pStyle w:val="Compact"/>
        <w:numPr>
          <w:ilvl w:val="0"/>
          <w:numId w:val="1115"/>
        </w:numPr>
      </w:pPr>
      <w:r>
        <w:t xml:space="preserve">European Commission, Joint Research Centre, Tavares da Costa, R., Krausmann, E., Hadjisavvas, C.,</w:t>
      </w:r>
      <w:r>
        <w:t xml:space="preserve"> </w:t>
      </w:r>
      <w:r>
        <w:t xml:space="preserve">Impacts of climate change on defence-related critical energy infrastructure, Publications Office of the</w:t>
      </w:r>
      <w:r>
        <w:t xml:space="preserve"> </w:t>
      </w:r>
      <w:r>
        <w:t xml:space="preserve">European Union, 2023, https://data.europa.eu/doi/10.2760/03454</w:t>
      </w:r>
      <w:r>
        <w:br/>
      </w:r>
    </w:p>
    <w:p>
      <w:pPr>
        <w:pStyle w:val="Compact"/>
        <w:numPr>
          <w:ilvl w:val="0"/>
          <w:numId w:val="1115"/>
        </w:numPr>
      </w:pPr>
      <w:r>
        <w:t xml:space="preserve">The United Nations Environment Program Finance Initiative (UNEP FI), 2023 Climate Risk Landscape:</w:t>
      </w:r>
      <w:r>
        <w:t xml:space="preserve"> </w:t>
      </w:r>
      <w:r>
        <w:t xml:space="preserve">https://www.unepfi.org/themes/climate-change/2023-climate-risk-landscape/</w:t>
      </w:r>
      <w:r>
        <w:br/>
      </w:r>
    </w:p>
    <w:p>
      <w:pPr>
        <w:pStyle w:val="Compact"/>
        <w:numPr>
          <w:ilvl w:val="0"/>
          <w:numId w:val="1115"/>
        </w:numPr>
      </w:pPr>
      <w:r>
        <w:t xml:space="preserve">S. Trust, et al., The Emperor’s New Climate Scenarios, The Institute and Faculty of Actuaries,</w:t>
      </w:r>
      <w:r>
        <w:t xml:space="preserve"> </w:t>
      </w:r>
      <w:r>
        <w:t xml:space="preserve">https://actuaries.org.uk/media/qeydewmk/the-emperor-s-new-climate-scenarios.pdf</w:t>
      </w:r>
      <w:r>
        <w:br/>
      </w:r>
    </w:p>
    <w:p>
      <w:pPr>
        <w:pStyle w:val="Compact"/>
        <w:numPr>
          <w:ilvl w:val="0"/>
          <w:numId w:val="1115"/>
        </w:numPr>
      </w:pPr>
      <w:r>
        <w:t xml:space="preserve">Key findings and Recommendations from the H2020 projects on Tipping Points: TiPES, COMFORT,</w:t>
      </w:r>
      <w:r>
        <w:t xml:space="preserve"> </w:t>
      </w:r>
      <w:r>
        <w:t xml:space="preserve">TiPACCs</w:t>
      </w:r>
    </w:p>
    <w:p>
      <w:pPr>
        <w:pStyle w:val="FirstParagraph"/>
      </w:pPr>
      <w:r>
        <w:t xml:space="preserve">121</w:t>
      </w:r>
    </w:p>
    <w:p>
      <w:pPr>
        <w:pStyle w:val="BodyText"/>
      </w:pPr>
      <w:r>
        <w:t xml:space="preserve">improve the representation of tipping points, it is possible that their impact is currently</w:t>
      </w:r>
      <w:r>
        <w:t xml:space="preserve"> </w:t>
      </w:r>
      <w:r>
        <w:t xml:space="preserve">underestimated, and they may be crossed earlier than anticipated.</w:t>
      </w:r>
      <w:r>
        <w:br/>
      </w:r>
      <w:r>
        <w:t xml:space="preserve">As a consequence of climate models not capturing tipping points and potentially</w:t>
      </w:r>
      <w:r>
        <w:t xml:space="preserve"> </w:t>
      </w:r>
      <w:r>
        <w:t xml:space="preserve">underestimating risks, the users of these models in other sectors are thus also underestimating</w:t>
      </w:r>
      <w:r>
        <w:t xml:space="preserve"> </w:t>
      </w:r>
      <w:r>
        <w:t xml:space="preserve">the impacts of climate change. Climate modelling is increasingly being used in the financial</w:t>
      </w:r>
      <w:r>
        <w:t xml:space="preserve"> </w:t>
      </w:r>
      <w:r>
        <w:t xml:space="preserve">services sector to inform investment decisions and manage risk, as such, there is a risk that</w:t>
      </w:r>
      <w:r>
        <w:t xml:space="preserve"> </w:t>
      </w:r>
      <w:r>
        <w:t xml:space="preserve">financing decisions being taken today are not as climate-change resilient as they should</w:t>
      </w:r>
      <w:r>
        <w:t xml:space="preserve"> </w:t>
      </w:r>
      <w:r>
        <w:t xml:space="preserve">be (429).</w:t>
      </w:r>
      <w:r>
        <w:t xml:space="preserve"> </w:t>
      </w:r>
      <w:r>
        <w:t xml:space="preserve">Along with physical climate tipping points, the field of socio-economic tipping points and</w:t>
      </w:r>
      <w:r>
        <w:t xml:space="preserve"> </w:t>
      </w:r>
      <w:r>
        <w:t xml:space="preserve">social tipping processes has been receiving increasing attention in the past years. Climate-</w:t>
      </w:r>
      <w:r>
        <w:t xml:space="preserve"> </w:t>
      </w:r>
      <w:r>
        <w:t xml:space="preserve">induced socio-economic tipping points have been defined as “a climate change induced,</w:t>
      </w:r>
      <w:r>
        <w:t xml:space="preserve"> </w:t>
      </w:r>
      <w:r>
        <w:t xml:space="preserve">abrupt change of a socio-economic system, into a new state of fundamentally different</w:t>
      </w:r>
      <w:r>
        <w:t xml:space="preserve"> </w:t>
      </w:r>
      <w:r>
        <w:t xml:space="preserve">quality, beyond a certain threshold that stakeholders perceive as critical” (430). Examples</w:t>
      </w:r>
      <w:r>
        <w:t xml:space="preserve"> </w:t>
      </w:r>
      <w:r>
        <w:t xml:space="preserve">include potential collapse of insurance markets due to extreme weather risks, migration from</w:t>
      </w:r>
      <w:r>
        <w:t xml:space="preserve"> </w:t>
      </w:r>
      <w:r>
        <w:t xml:space="preserve">coastal areas due to extreme sea level rise or a major climatic shock, and land abandonment</w:t>
      </w:r>
      <w:r>
        <w:t xml:space="preserve"> </w:t>
      </w:r>
      <w:r>
        <w:t xml:space="preserve">and price spike due to climate induced agriculture shocks (431).</w:t>
      </w:r>
      <w:r>
        <w:t xml:space="preserve"> </w:t>
      </w:r>
      <w:r>
        <w:t xml:space="preserve">6</w:t>
      </w:r>
      <w:r>
        <w:t xml:space="preserve"> </w:t>
      </w:r>
      <w:r>
        <w:t xml:space="preserve">CONCLUSIONS</w:t>
      </w:r>
      <w:r>
        <w:t xml:space="preserve"> </w:t>
      </w:r>
      <w:r>
        <w:t xml:space="preserve">Anthropogenic climate change is a threat to humans and nature, and it is already causing</w:t>
      </w:r>
      <w:r>
        <w:t xml:space="preserve"> </w:t>
      </w:r>
      <w:r>
        <w:t xml:space="preserve">widespread and adverse impacts, which disproportionately affect the most vulnerable people</w:t>
      </w:r>
      <w:r>
        <w:t xml:space="preserve"> </w:t>
      </w:r>
      <w:r>
        <w:t xml:space="preserve">and systems. The only way to lessen the impacts is by strong mitigation and adaptation action.</w:t>
      </w:r>
      <w:r>
        <w:t xml:space="preserve"> </w:t>
      </w:r>
      <w:r>
        <w:t xml:space="preserve">Insufficient climate action will lead to increasing global warming, which will result in even</w:t>
      </w:r>
      <w:r>
        <w:t xml:space="preserve"> </w:t>
      </w:r>
      <w:r>
        <w:t xml:space="preserve">more severe negative impacts, some of which will be irreversible. In the next decades, climate</w:t>
      </w:r>
      <w:r>
        <w:t xml:space="preserve"> </w:t>
      </w:r>
      <w:r>
        <w:t xml:space="preserve">risks could become multiple times higher than currently observed. One of the biggest</w:t>
      </w:r>
      <w:r>
        <w:t xml:space="preserve"> </w:t>
      </w:r>
      <w:r>
        <w:t xml:space="preserve">concerns is the triggering of climate tipping points, which could lead to sudden and</w:t>
      </w:r>
      <w:r>
        <w:t xml:space="preserve"> </w:t>
      </w:r>
      <w:r>
        <w:t xml:space="preserve">substantial impacts, too short for societies and ecosystems to adapt. Potential impacts include</w:t>
      </w:r>
      <w:r>
        <w:t xml:space="preserve"> </w:t>
      </w:r>
      <w:r>
        <w:t xml:space="preserve">extreme sea-level rise, extreme temperatures, droughts and wildfires, and release of</w:t>
      </w:r>
      <w:r>
        <w:t xml:space="preserve"> </w:t>
      </w:r>
      <w:r>
        <w:t xml:space="preserve">significant amount of greenhouse gases, accelerating global warming.</w:t>
      </w:r>
      <w:r>
        <w:br/>
      </w:r>
      <w:r>
        <w:t xml:space="preserve">Globally, communities the most vulnerable to climate change are located in Africa, Asia,</w:t>
      </w:r>
      <w:r>
        <w:t xml:space="preserve"> </w:t>
      </w:r>
      <w:r>
        <w:t xml:space="preserve">Central and South America, Small Islands and Arctic.</w:t>
      </w:r>
      <w:r>
        <w:br/>
      </w:r>
      <w:r>
        <w:t xml:space="preserve">Europe is warming twice as fast as the global average and all its regions have already been</w:t>
      </w:r>
      <w:r>
        <w:t xml:space="preserve"> </w:t>
      </w:r>
      <w:r>
        <w:t xml:space="preserve">affected by the impacts of climate change. Droughts, floods and wildfires have increased in</w:t>
      </w:r>
      <w:r>
        <w:t xml:space="preserve"> </w:t>
      </w:r>
      <w:r>
        <w:t xml:space="preserve">frequency and intensity, and affected the health and wellbeing and the economy, and impacted</w:t>
      </w:r>
      <w:r>
        <w:t xml:space="preserve"> </w:t>
      </w:r>
      <w:r>
        <w:t xml:space="preserve">ecosystems. With increasing warming, the impacts of climate change are projected to</w:t>
      </w:r>
      <w:r>
        <w:t xml:space="preserve"> </w:t>
      </w:r>
      <w:r>
        <w:t xml:space="preserve">intensify, and they will differ between different regions, with Southern regions experiencing</w:t>
      </w:r>
      <w:r>
        <w:t xml:space="preserve"> </w:t>
      </w:r>
      <w:r>
        <w:t xml:space="preserve">the most negative impacts. Climate change also affects different social groups differently,</w:t>
      </w:r>
      <w:r>
        <w:t xml:space="preserve"> </w:t>
      </w:r>
      <w:r>
        <w:t xml:space="preserve">disproportionately affecting the poorer households. Climate change is projected to result in</w:t>
      </w:r>
    </w:p>
    <w:p>
      <w:pPr>
        <w:pStyle w:val="Compact"/>
        <w:numPr>
          <w:ilvl w:val="0"/>
          <w:numId w:val="1116"/>
        </w:numPr>
      </w:pPr>
      <w:r>
        <w:t xml:space="preserve">S. Trust, et al., The Emperor’s New Climate Scenarios, The Institute and Faculty of Actuaries,</w:t>
      </w:r>
      <w:r>
        <w:t xml:space="preserve"> </w:t>
      </w:r>
      <w:r>
        <w:t xml:space="preserve">https://actuaries.org.uk/media/qeydewmk/the-emperor-s-new-climate-scenarios.pdf</w:t>
      </w:r>
      <w:r>
        <w:br/>
      </w:r>
    </w:p>
    <w:p>
      <w:pPr>
        <w:pStyle w:val="Compact"/>
        <w:numPr>
          <w:ilvl w:val="0"/>
          <w:numId w:val="1116"/>
        </w:numPr>
      </w:pPr>
      <w:r>
        <w:t xml:space="preserve">COACCH (2021). The Economic Cost of Climate Change in Europe: Report on Climate and Socio-</w:t>
      </w:r>
      <w:r>
        <w:t xml:space="preserve"> </w:t>
      </w:r>
      <w:r>
        <w:t xml:space="preserve">Economic Tipping Points. Policy brief by the COACCH project, page 3.</w:t>
      </w:r>
    </w:p>
    <w:p>
      <w:pPr>
        <w:pStyle w:val="Compact"/>
        <w:numPr>
          <w:ilvl w:val="0"/>
          <w:numId w:val="1116"/>
        </w:numPr>
      </w:pPr>
      <w:r>
        <w:t xml:space="preserve">Kees C H van Ginkel et al 2020 Environmental Research Letters 15 023001 DOI: 10.1088/1748-</w:t>
      </w:r>
      <w:r>
        <w:t xml:space="preserve"> </w:t>
      </w:r>
      <w:r>
        <w:t xml:space="preserve">9326/ab6395</w:t>
      </w:r>
    </w:p>
    <w:p>
      <w:pPr>
        <w:pStyle w:val="FirstParagraph"/>
      </w:pPr>
      <w:r>
        <w:t xml:space="preserve">122</w:t>
      </w:r>
    </w:p>
    <w:p>
      <w:pPr>
        <w:pStyle w:val="BodyText"/>
      </w:pPr>
      <w:r>
        <w:t xml:space="preserve">substantial economic damages in Europe, which will increase with higher degrees of</w:t>
      </w:r>
      <w:r>
        <w:t xml:space="preserve"> </w:t>
      </w:r>
      <w:r>
        <w:t xml:space="preserve">warming.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TABLE OF FIGURES</w:t>
      </w:r>
      <w:r>
        <w:t xml:space="preserve"> </w:t>
      </w:r>
      <w:r>
        <w:t xml:space="preserve">Figure 1: Main modelling suite used for GHG projections. ………………………………………………. 5</w:t>
      </w:r>
      <w:r>
        <w:t xml:space="preserve"> </w:t>
      </w:r>
      <w:r>
        <w:t xml:space="preserve">Figure 2: Population assumptions ……………………………………………………………………………….. 13</w:t>
      </w:r>
      <w:r>
        <w:t xml:space="preserve"> </w:t>
      </w:r>
      <w:r>
        <w:t xml:space="preserve">Figure 3: EU GDP (2015 = 100) and GDP growth (%) ………………………………………………….. 14</w:t>
      </w:r>
      <w:r>
        <w:t xml:space="preserve"> </w:t>
      </w:r>
      <w:r>
        <w:t xml:space="preserve">Figure 4: International fuel prices ……………………………………………………………………………….. 16</w:t>
      </w:r>
      <w:r>
        <w:t xml:space="preserve"> </w:t>
      </w:r>
      <w:r>
        <w:t xml:space="preserve">Figure 5: Global surface air temperature anomalies ……………………………………………………… 48</w:t>
      </w:r>
      <w:r>
        <w:t xml:space="preserve"> </w:t>
      </w:r>
      <w:r>
        <w:t xml:space="preserve">Figure 6: Annual mean temperature change (℃) at different levels of global warming ……… 50</w:t>
      </w:r>
      <w:r>
        <w:t xml:space="preserve"> </w:t>
      </w:r>
      <w:r>
        <w:t xml:space="preserve">Figure 7: Changes in local annual average temperature and precipitation in Europe ………….. 51</w:t>
      </w:r>
      <w:r>
        <w:t xml:space="preserve"> </w:t>
      </w:r>
      <w:r>
        <w:t xml:space="preserve">Figure 8: The location of climate tipping elements. ……………………………………………………….. 53</w:t>
      </w:r>
      <w:r>
        <w:t xml:space="preserve"> </w:t>
      </w:r>
      <w:r>
        <w:t xml:space="preserve">Figure 9: The connectivity of tipping points …………………………………………………………………. 55</w:t>
      </w:r>
      <w:r>
        <w:t xml:space="preserve"> </w:t>
      </w:r>
      <w:r>
        <w:t xml:space="preserve">Figure 10: Map of human vulnerability. ………………………………………………………………………. 62</w:t>
      </w:r>
      <w:r>
        <w:t xml:space="preserve"> </w:t>
      </w:r>
      <w:r>
        <w:t xml:space="preserve">Figure 11: Key risks for Africa increase with increasing global warming. ……………………….. 64</w:t>
      </w:r>
      <w:r>
        <w:t xml:space="preserve"> </w:t>
      </w:r>
      <w:r>
        <w:t xml:space="preserve">Figure 12: Key risks related to climate change in Asia. ………………………………………………….. 67</w:t>
      </w:r>
      <w:r>
        <w:t xml:space="preserve"> </w:t>
      </w:r>
      <w:r>
        <w:t xml:space="preserve">Figure 13: Observed and projected climate change impacts for different regions of Europe .. 70</w:t>
      </w:r>
      <w:r>
        <w:t xml:space="preserve"> </w:t>
      </w:r>
      <w:r>
        <w:t xml:space="preserve">Figure 14: Key risks for Europe under low to medium adaptation …………………………………… 71</w:t>
      </w:r>
      <w:r>
        <w:t xml:space="preserve"> </w:t>
      </w:r>
      <w:r>
        <w:t xml:space="preserve">Figure 15: Percentage of days with extreme heat stress for Southern Europe ……………………. 73</w:t>
      </w:r>
      <w:r>
        <w:t xml:space="preserve"> </w:t>
      </w:r>
      <w:r>
        <w:t xml:space="preserve">Figure 16: Projected heat stress for Europe ………………………………………………………………….. 74</w:t>
      </w:r>
      <w:r>
        <w:t xml:space="preserve"> </w:t>
      </w:r>
      <w:r>
        <w:t xml:space="preserve">Figure 17: Examples of climate change impacts on transport………………………………………….. 83</w:t>
      </w:r>
      <w:r>
        <w:t xml:space="preserve"> </w:t>
      </w:r>
      <w:r>
        <w:t xml:space="preserve">Figure 18: Wildfire carbon emissions from EU …………………………………………………………….. 88</w:t>
      </w:r>
      <w:r>
        <w:t xml:space="preserve"> </w:t>
      </w:r>
      <w:r>
        <w:t xml:space="preserve">Figure 19: Reported forest damage in Europe by disturbance until 2019 ………………………….. 89</w:t>
      </w:r>
      <w:r>
        <w:t xml:space="preserve"> </w:t>
      </w:r>
      <w:r>
        <w:t xml:space="preserve">Figure 20: Distribution of wind damage in the EU ………………………………………………………… 91</w:t>
      </w:r>
      <w:r>
        <w:t xml:space="preserve"> </w:t>
      </w:r>
      <w:r>
        <w:t xml:space="preserve">Figure 21: Distribution of insect damage in the EU ……………………………………………………….. 92</w:t>
      </w:r>
      <w:r>
        <w:t xml:space="preserve"> </w:t>
      </w:r>
      <w:r>
        <w:t xml:space="preserve">Figure 22: High-to-extreme fire danger by different levels of global warming ………………….. 92</w:t>
      </w:r>
      <w:r>
        <w:t xml:space="preserve"> </w:t>
      </w:r>
      <w:r>
        <w:t xml:space="preserve">Figure 23: Distribution of wildfire damage in EU …………………………………………………………. 93</w:t>
      </w:r>
      <w:r>
        <w:t xml:space="preserve"> </w:t>
      </w:r>
      <w:r>
        <w:t xml:space="preserve">Figure 24: Changes in grain maize yield from Climate Change impacts with irrigation ……… 97</w:t>
      </w:r>
      <w:r>
        <w:t xml:space="preserve"> </w:t>
      </w:r>
      <w:r>
        <w:t xml:space="preserve">Figure 25: Changes in grain maize yield from Climate Change impacts without irrigation … 97</w:t>
      </w:r>
      <w:r>
        <w:t xml:space="preserve"> </w:t>
      </w:r>
      <w:r>
        <w:t xml:space="preserve">Figure 26: Changes in wheat yield from climate change ………………………………………………… 98</w:t>
      </w:r>
      <w:r>
        <w:t xml:space="preserve"> </w:t>
      </w:r>
      <w:r>
        <w:t xml:space="preserve">Figure 27: Development of major tree species in Europe until 2100 ………………………………. 101</w:t>
      </w:r>
      <w:r>
        <w:t xml:space="preserve"> </w:t>
      </w:r>
      <w:r>
        <w:t xml:space="preserve">Figure 28: Global economic losses from natural disasters since 1950 ……………………………. 104</w:t>
      </w:r>
      <w:r>
        <w:t xml:space="preserve"> </w:t>
      </w:r>
      <w:r>
        <w:t xml:space="preserve">Figure 29: Insured and uninsured losses from catastrophes (billion US$ 2021) ………………. 104</w:t>
      </w:r>
      <w:r>
        <w:t xml:space="preserve"> </w:t>
      </w:r>
      <w:r>
        <w:t xml:space="preserve">Figure 30: Direct economic costs and fatalities from climate-related events in the EU …….. 105</w:t>
      </w:r>
      <w:r>
        <w:t xml:space="preserve"> </w:t>
      </w:r>
      <w:r>
        <w:t xml:space="preserve">Figure 31: Example of damage functions as used in Integrated Assessment Models ………… 108</w:t>
      </w:r>
      <w:r>
        <w:t xml:space="preserve"> </w:t>
      </w:r>
      <w:r>
        <w:t xml:space="preserve">Figure 32: Benefit-cost ratios for the Cost-benefit analysis ………………………………………….. 108</w:t>
      </w:r>
      <w:r>
        <w:t xml:space="preserve"> </w:t>
      </w:r>
      <w:r>
        <w:t xml:space="preserve">Figure 33: End of century damages for the five macro-regions for two scenarios ……………. 109</w:t>
      </w:r>
      <w:r>
        <w:t xml:space="preserve"> </w:t>
      </w:r>
      <w:r>
        <w:t xml:space="preserve">Figure 34: EU GDP losses under SSP1-1.9 (RCP1.9) and SSP3-7.0 (RCP7.0) (2020-2060) 113</w:t>
      </w:r>
      <w:r>
        <w:t xml:space="preserve"> </w:t>
      </w:r>
      <w:r>
        <w:t xml:space="preserve">Figure 35: EU GDP losses from climate hazards under different SSPs …………………………… 114</w:t>
      </w:r>
      <w:r>
        <w:t xml:space="preserve"> </w:t>
      </w:r>
      <w:r>
        <w:t xml:space="preserve">Figure 36: GDP losses by 2100 under the SSP1-1.9 and SSP3-7.0 pathways ………………….. 115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TABLE OF TABLES</w:t>
      </w:r>
    </w:p>
    <w:p>
      <w:pPr>
        <w:pStyle w:val="BodyText"/>
      </w:pPr>
      <w:r>
        <w:t xml:space="preserve">Table 1: Models from the main modelling suite for GHG pathways ………………………………….. 8</w:t>
      </w:r>
      <w:r>
        <w:t xml:space="preserve"> </w:t>
      </w:r>
      <w:r>
        <w:t xml:space="preserve">Table 2: Main common legislative elements considered in all scenarios ………………………….. 32</w:t>
      </w:r>
      <w:r>
        <w:t xml:space="preserve"> </w:t>
      </w:r>
      <w:r>
        <w:t xml:space="preserve">Table 3: Key features of the LIFE scenario ………………………………………………………………….. 39</w:t>
      </w:r>
      <w:r>
        <w:t xml:space="preserve"> </w:t>
      </w:r>
      <w:r>
        <w:t xml:space="preserve">Table 4. Carbon values applied on emissions in the different sectors (excl. LULUCF)………. 43</w:t>
      </w:r>
      <w:r>
        <w:t xml:space="preserve"> </w:t>
      </w:r>
      <w:r>
        <w:t xml:space="preserve">Table 5. Main carbon value applied for LULUCF …………………………………………………………. 43</w:t>
      </w:r>
      <w:r>
        <w:t xml:space="preserve"> </w:t>
      </w:r>
      <w:r>
        <w:t xml:space="preserve">Table 6: Changes in the global surface temperature relative to 1850-1900 for different RCPs</w:t>
      </w:r>
      <w:r>
        <w:t xml:space="preserve"> </w:t>
      </w:r>
      <w:r>
        <w:t xml:space="preserve">……………………………………………………………………………………………………………………………….. 49</w:t>
      </w:r>
      <w:r>
        <w:t xml:space="preserve"> </w:t>
      </w:r>
      <w:r>
        <w:t xml:space="preserve">Table 7: Examples of climate related damage functions ……………………………………………….. 117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311">
    <w:nsid w:val="0A994311"/>
    <w:multiLevelType w:val="multilevel"/>
    <w:lvl w:ilvl="0">
      <w:start w:val="11"/>
      <w:numFmt w:val="decimal"/>
      <w:lvlText w:val="(%1)"/>
      <w:lvlJc w:val="left"/>
      <w:pPr>
        <w:ind w:left="720" w:hanging="360"/>
      </w:pPr>
    </w:lvl>
    <w:lvl w:ilvl="1">
      <w:start w:val="11"/>
      <w:numFmt w:val="decimal"/>
      <w:lvlText w:val="(%2)"/>
      <w:lvlJc w:val="left"/>
      <w:pPr>
        <w:ind w:left="1440" w:hanging="360"/>
      </w:pPr>
    </w:lvl>
    <w:lvl w:ilvl="2">
      <w:start w:val="11"/>
      <w:numFmt w:val="decimal"/>
      <w:lvlText w:val="(%3)"/>
      <w:lvlJc w:val="left"/>
      <w:pPr>
        <w:ind w:left="2160" w:hanging="360"/>
      </w:pPr>
    </w:lvl>
    <w:lvl w:ilvl="3">
      <w:start w:val="11"/>
      <w:numFmt w:val="decimal"/>
      <w:lvlText w:val="(%4)"/>
      <w:lvlJc w:val="left"/>
      <w:pPr>
        <w:ind w:left="2880" w:hanging="360"/>
      </w:pPr>
    </w:lvl>
    <w:lvl w:ilvl="4">
      <w:start w:val="11"/>
      <w:numFmt w:val="decimal"/>
      <w:lvlText w:val="(%5)"/>
      <w:lvlJc w:val="left"/>
      <w:pPr>
        <w:ind w:left="3600" w:hanging="360"/>
      </w:pPr>
    </w:lvl>
    <w:lvl w:ilvl="5">
      <w:start w:val="11"/>
      <w:numFmt w:val="decimal"/>
      <w:lvlText w:val="(%6)"/>
      <w:lvlJc w:val="left"/>
      <w:pPr>
        <w:ind w:left="4320" w:hanging="360"/>
      </w:pPr>
    </w:lvl>
    <w:lvl w:ilvl="6">
      <w:start w:val="11"/>
      <w:numFmt w:val="decimal"/>
      <w:lvlText w:val="(%7)"/>
      <w:lvlJc w:val="left"/>
      <w:pPr>
        <w:ind w:left="5040" w:hanging="360"/>
      </w:pPr>
    </w:lvl>
    <w:lvl w:ilvl="7">
      <w:start w:val="11"/>
      <w:numFmt w:val="decimal"/>
      <w:lvlText w:val="(%8)"/>
      <w:lvlJc w:val="left"/>
      <w:pPr>
        <w:ind w:left="5760" w:hanging="360"/>
      </w:pPr>
    </w:lvl>
    <w:lvl w:ilvl="8">
      <w:start w:val="11"/>
      <w:numFmt w:val="decimal"/>
      <w:lvlText w:val="(%9)"/>
      <w:lvlJc w:val="left"/>
      <w:pPr>
        <w:ind w:left="6480" w:hanging="360"/>
      </w:pPr>
    </w:lvl>
  </w:abstractNum>
  <w:abstractNum w:abstractNumId="994327">
    <w:nsid w:val="0A994327"/>
    <w:multiLevelType w:val="multilevel"/>
    <w:lvl w:ilvl="0">
      <w:start w:val="27"/>
      <w:numFmt w:val="decimal"/>
      <w:lvlText w:val="(%1)"/>
      <w:lvlJc w:val="left"/>
      <w:pPr>
        <w:ind w:left="720" w:hanging="360"/>
      </w:pPr>
    </w:lvl>
    <w:lvl w:ilvl="1">
      <w:start w:val="27"/>
      <w:numFmt w:val="decimal"/>
      <w:lvlText w:val="(%2)"/>
      <w:lvlJc w:val="left"/>
      <w:pPr>
        <w:ind w:left="1440" w:hanging="360"/>
      </w:pPr>
    </w:lvl>
    <w:lvl w:ilvl="2">
      <w:start w:val="27"/>
      <w:numFmt w:val="decimal"/>
      <w:lvlText w:val="(%3)"/>
      <w:lvlJc w:val="left"/>
      <w:pPr>
        <w:ind w:left="2160" w:hanging="360"/>
      </w:pPr>
    </w:lvl>
    <w:lvl w:ilvl="3">
      <w:start w:val="27"/>
      <w:numFmt w:val="decimal"/>
      <w:lvlText w:val="(%4)"/>
      <w:lvlJc w:val="left"/>
      <w:pPr>
        <w:ind w:left="2880" w:hanging="360"/>
      </w:pPr>
    </w:lvl>
    <w:lvl w:ilvl="4">
      <w:start w:val="27"/>
      <w:numFmt w:val="decimal"/>
      <w:lvlText w:val="(%5)"/>
      <w:lvlJc w:val="left"/>
      <w:pPr>
        <w:ind w:left="3600" w:hanging="360"/>
      </w:pPr>
    </w:lvl>
    <w:lvl w:ilvl="5">
      <w:start w:val="27"/>
      <w:numFmt w:val="decimal"/>
      <w:lvlText w:val="(%6)"/>
      <w:lvlJc w:val="left"/>
      <w:pPr>
        <w:ind w:left="4320" w:hanging="360"/>
      </w:pPr>
    </w:lvl>
    <w:lvl w:ilvl="6">
      <w:start w:val="27"/>
      <w:numFmt w:val="decimal"/>
      <w:lvlText w:val="(%7)"/>
      <w:lvlJc w:val="left"/>
      <w:pPr>
        <w:ind w:left="5040" w:hanging="360"/>
      </w:pPr>
    </w:lvl>
    <w:lvl w:ilvl="7">
      <w:start w:val="27"/>
      <w:numFmt w:val="decimal"/>
      <w:lvlText w:val="(%8)"/>
      <w:lvlJc w:val="left"/>
      <w:pPr>
        <w:ind w:left="5760" w:hanging="360"/>
      </w:pPr>
    </w:lvl>
    <w:lvl w:ilvl="8">
      <w:start w:val="27"/>
      <w:numFmt w:val="decimal"/>
      <w:lvlText w:val="(%9)"/>
      <w:lvlJc w:val="left"/>
      <w:pPr>
        <w:ind w:left="6480" w:hanging="360"/>
      </w:pPr>
    </w:lvl>
  </w:abstractNum>
  <w:abstractNum w:abstractNumId="994334">
    <w:nsid w:val="0A994334"/>
    <w:multiLevelType w:val="multilevel"/>
    <w:lvl w:ilvl="0">
      <w:start w:val="34"/>
      <w:numFmt w:val="decimal"/>
      <w:lvlText w:val="(%1)"/>
      <w:lvlJc w:val="left"/>
      <w:pPr>
        <w:ind w:left="720" w:hanging="360"/>
      </w:pPr>
    </w:lvl>
    <w:lvl w:ilvl="1">
      <w:start w:val="34"/>
      <w:numFmt w:val="decimal"/>
      <w:lvlText w:val="(%2)"/>
      <w:lvlJc w:val="left"/>
      <w:pPr>
        <w:ind w:left="1440" w:hanging="360"/>
      </w:pPr>
    </w:lvl>
    <w:lvl w:ilvl="2">
      <w:start w:val="34"/>
      <w:numFmt w:val="decimal"/>
      <w:lvlText w:val="(%3)"/>
      <w:lvlJc w:val="left"/>
      <w:pPr>
        <w:ind w:left="2160" w:hanging="360"/>
      </w:pPr>
    </w:lvl>
    <w:lvl w:ilvl="3">
      <w:start w:val="34"/>
      <w:numFmt w:val="decimal"/>
      <w:lvlText w:val="(%4)"/>
      <w:lvlJc w:val="left"/>
      <w:pPr>
        <w:ind w:left="2880" w:hanging="360"/>
      </w:pPr>
    </w:lvl>
    <w:lvl w:ilvl="4">
      <w:start w:val="34"/>
      <w:numFmt w:val="decimal"/>
      <w:lvlText w:val="(%5)"/>
      <w:lvlJc w:val="left"/>
      <w:pPr>
        <w:ind w:left="3600" w:hanging="360"/>
      </w:pPr>
    </w:lvl>
    <w:lvl w:ilvl="5">
      <w:start w:val="34"/>
      <w:numFmt w:val="decimal"/>
      <w:lvlText w:val="(%6)"/>
      <w:lvlJc w:val="left"/>
      <w:pPr>
        <w:ind w:left="4320" w:hanging="360"/>
      </w:pPr>
    </w:lvl>
    <w:lvl w:ilvl="6">
      <w:start w:val="34"/>
      <w:numFmt w:val="decimal"/>
      <w:lvlText w:val="(%7)"/>
      <w:lvlJc w:val="left"/>
      <w:pPr>
        <w:ind w:left="5040" w:hanging="360"/>
      </w:pPr>
    </w:lvl>
    <w:lvl w:ilvl="7">
      <w:start w:val="34"/>
      <w:numFmt w:val="decimal"/>
      <w:lvlText w:val="(%8)"/>
      <w:lvlJc w:val="left"/>
      <w:pPr>
        <w:ind w:left="5760" w:hanging="360"/>
      </w:pPr>
    </w:lvl>
    <w:lvl w:ilvl="8">
      <w:start w:val="34"/>
      <w:numFmt w:val="decimal"/>
      <w:lvlText w:val="(%9)"/>
      <w:lvlJc w:val="left"/>
      <w:pPr>
        <w:ind w:left="6480" w:hanging="360"/>
      </w:pPr>
    </w:lvl>
  </w:abstractNum>
  <w:abstractNum w:abstractNumId="994339">
    <w:nsid w:val="0A994339"/>
    <w:multiLevelType w:val="multilevel"/>
    <w:lvl w:ilvl="0">
      <w:start w:val="39"/>
      <w:numFmt w:val="decimal"/>
      <w:lvlText w:val="(%1)"/>
      <w:lvlJc w:val="left"/>
      <w:pPr>
        <w:ind w:left="720" w:hanging="360"/>
      </w:pPr>
    </w:lvl>
    <w:lvl w:ilvl="1">
      <w:start w:val="39"/>
      <w:numFmt w:val="decimal"/>
      <w:lvlText w:val="(%2)"/>
      <w:lvlJc w:val="left"/>
      <w:pPr>
        <w:ind w:left="1440" w:hanging="360"/>
      </w:pPr>
    </w:lvl>
    <w:lvl w:ilvl="2">
      <w:start w:val="39"/>
      <w:numFmt w:val="decimal"/>
      <w:lvlText w:val="(%3)"/>
      <w:lvlJc w:val="left"/>
      <w:pPr>
        <w:ind w:left="2160" w:hanging="360"/>
      </w:pPr>
    </w:lvl>
    <w:lvl w:ilvl="3">
      <w:start w:val="39"/>
      <w:numFmt w:val="decimal"/>
      <w:lvlText w:val="(%4)"/>
      <w:lvlJc w:val="left"/>
      <w:pPr>
        <w:ind w:left="2880" w:hanging="360"/>
      </w:pPr>
    </w:lvl>
    <w:lvl w:ilvl="4">
      <w:start w:val="39"/>
      <w:numFmt w:val="decimal"/>
      <w:lvlText w:val="(%5)"/>
      <w:lvlJc w:val="left"/>
      <w:pPr>
        <w:ind w:left="3600" w:hanging="360"/>
      </w:pPr>
    </w:lvl>
    <w:lvl w:ilvl="5">
      <w:start w:val="39"/>
      <w:numFmt w:val="decimal"/>
      <w:lvlText w:val="(%6)"/>
      <w:lvlJc w:val="left"/>
      <w:pPr>
        <w:ind w:left="4320" w:hanging="360"/>
      </w:pPr>
    </w:lvl>
    <w:lvl w:ilvl="6">
      <w:start w:val="39"/>
      <w:numFmt w:val="decimal"/>
      <w:lvlText w:val="(%7)"/>
      <w:lvlJc w:val="left"/>
      <w:pPr>
        <w:ind w:left="5040" w:hanging="360"/>
      </w:pPr>
    </w:lvl>
    <w:lvl w:ilvl="7">
      <w:start w:val="39"/>
      <w:numFmt w:val="decimal"/>
      <w:lvlText w:val="(%8)"/>
      <w:lvlJc w:val="left"/>
      <w:pPr>
        <w:ind w:left="5760" w:hanging="360"/>
      </w:pPr>
    </w:lvl>
    <w:lvl w:ilvl="8">
      <w:start w:val="39"/>
      <w:numFmt w:val="decimal"/>
      <w:lvlText w:val="(%9)"/>
      <w:lvlJc w:val="left"/>
      <w:pPr>
        <w:ind w:left="6480" w:hanging="360"/>
      </w:pPr>
    </w:lvl>
  </w:abstractNum>
  <w:abstractNum w:abstractNumId="994345">
    <w:nsid w:val="0A994345"/>
    <w:multiLevelType w:val="multilevel"/>
    <w:lvl w:ilvl="0">
      <w:start w:val="45"/>
      <w:numFmt w:val="decimal"/>
      <w:lvlText w:val="(%1)"/>
      <w:lvlJc w:val="left"/>
      <w:pPr>
        <w:ind w:left="720" w:hanging="360"/>
      </w:pPr>
    </w:lvl>
    <w:lvl w:ilvl="1">
      <w:start w:val="45"/>
      <w:numFmt w:val="decimal"/>
      <w:lvlText w:val="(%2)"/>
      <w:lvlJc w:val="left"/>
      <w:pPr>
        <w:ind w:left="1440" w:hanging="360"/>
      </w:pPr>
    </w:lvl>
    <w:lvl w:ilvl="2">
      <w:start w:val="45"/>
      <w:numFmt w:val="decimal"/>
      <w:lvlText w:val="(%3)"/>
      <w:lvlJc w:val="left"/>
      <w:pPr>
        <w:ind w:left="2160" w:hanging="360"/>
      </w:pPr>
    </w:lvl>
    <w:lvl w:ilvl="3">
      <w:start w:val="45"/>
      <w:numFmt w:val="decimal"/>
      <w:lvlText w:val="(%4)"/>
      <w:lvlJc w:val="left"/>
      <w:pPr>
        <w:ind w:left="2880" w:hanging="360"/>
      </w:pPr>
    </w:lvl>
    <w:lvl w:ilvl="4">
      <w:start w:val="45"/>
      <w:numFmt w:val="decimal"/>
      <w:lvlText w:val="(%5)"/>
      <w:lvlJc w:val="left"/>
      <w:pPr>
        <w:ind w:left="3600" w:hanging="360"/>
      </w:pPr>
    </w:lvl>
    <w:lvl w:ilvl="5">
      <w:start w:val="45"/>
      <w:numFmt w:val="decimal"/>
      <w:lvlText w:val="(%6)"/>
      <w:lvlJc w:val="left"/>
      <w:pPr>
        <w:ind w:left="4320" w:hanging="360"/>
      </w:pPr>
    </w:lvl>
    <w:lvl w:ilvl="6">
      <w:start w:val="45"/>
      <w:numFmt w:val="decimal"/>
      <w:lvlText w:val="(%7)"/>
      <w:lvlJc w:val="left"/>
      <w:pPr>
        <w:ind w:left="5040" w:hanging="360"/>
      </w:pPr>
    </w:lvl>
    <w:lvl w:ilvl="7">
      <w:start w:val="45"/>
      <w:numFmt w:val="decimal"/>
      <w:lvlText w:val="(%8)"/>
      <w:lvlJc w:val="left"/>
      <w:pPr>
        <w:ind w:left="5760" w:hanging="360"/>
      </w:pPr>
    </w:lvl>
    <w:lvl w:ilvl="8">
      <w:start w:val="45"/>
      <w:numFmt w:val="decimal"/>
      <w:lvlText w:val="(%9)"/>
      <w:lvlJc w:val="left"/>
      <w:pPr>
        <w:ind w:left="6480" w:hanging="360"/>
      </w:pPr>
    </w:lvl>
  </w:abstractNum>
  <w:abstractNum w:abstractNumId="994350">
    <w:nsid w:val="0A994350"/>
    <w:multiLevelType w:val="multilevel"/>
    <w:lvl w:ilvl="0">
      <w:start w:val="50"/>
      <w:numFmt w:val="decimal"/>
      <w:lvlText w:val="(%1)"/>
      <w:lvlJc w:val="left"/>
      <w:pPr>
        <w:ind w:left="720" w:hanging="360"/>
      </w:pPr>
    </w:lvl>
    <w:lvl w:ilvl="1">
      <w:start w:val="50"/>
      <w:numFmt w:val="decimal"/>
      <w:lvlText w:val="(%2)"/>
      <w:lvlJc w:val="left"/>
      <w:pPr>
        <w:ind w:left="1440" w:hanging="360"/>
      </w:pPr>
    </w:lvl>
    <w:lvl w:ilvl="2">
      <w:start w:val="50"/>
      <w:numFmt w:val="decimal"/>
      <w:lvlText w:val="(%3)"/>
      <w:lvlJc w:val="left"/>
      <w:pPr>
        <w:ind w:left="2160" w:hanging="360"/>
      </w:pPr>
    </w:lvl>
    <w:lvl w:ilvl="3">
      <w:start w:val="50"/>
      <w:numFmt w:val="decimal"/>
      <w:lvlText w:val="(%4)"/>
      <w:lvlJc w:val="left"/>
      <w:pPr>
        <w:ind w:left="2880" w:hanging="360"/>
      </w:pPr>
    </w:lvl>
    <w:lvl w:ilvl="4">
      <w:start w:val="50"/>
      <w:numFmt w:val="decimal"/>
      <w:lvlText w:val="(%5)"/>
      <w:lvlJc w:val="left"/>
      <w:pPr>
        <w:ind w:left="3600" w:hanging="360"/>
      </w:pPr>
    </w:lvl>
    <w:lvl w:ilvl="5">
      <w:start w:val="50"/>
      <w:numFmt w:val="decimal"/>
      <w:lvlText w:val="(%6)"/>
      <w:lvlJc w:val="left"/>
      <w:pPr>
        <w:ind w:left="4320" w:hanging="360"/>
      </w:pPr>
    </w:lvl>
    <w:lvl w:ilvl="6">
      <w:start w:val="50"/>
      <w:numFmt w:val="decimal"/>
      <w:lvlText w:val="(%7)"/>
      <w:lvlJc w:val="left"/>
      <w:pPr>
        <w:ind w:left="5040" w:hanging="360"/>
      </w:pPr>
    </w:lvl>
    <w:lvl w:ilvl="7">
      <w:start w:val="50"/>
      <w:numFmt w:val="decimal"/>
      <w:lvlText w:val="(%8)"/>
      <w:lvlJc w:val="left"/>
      <w:pPr>
        <w:ind w:left="5760" w:hanging="360"/>
      </w:pPr>
    </w:lvl>
    <w:lvl w:ilvl="8">
      <w:start w:val="50"/>
      <w:numFmt w:val="decimal"/>
      <w:lvlText w:val="(%9)"/>
      <w:lvlJc w:val="left"/>
      <w:pPr>
        <w:ind w:left="6480" w:hanging="360"/>
      </w:pPr>
    </w:lvl>
  </w:abstractNum>
  <w:abstractNum w:abstractNumId="994352">
    <w:nsid w:val="0A994352"/>
    <w:multiLevelType w:val="multilevel"/>
    <w:lvl w:ilvl="0">
      <w:start w:val="52"/>
      <w:numFmt w:val="decimal"/>
      <w:lvlText w:val="(%1)"/>
      <w:lvlJc w:val="left"/>
      <w:pPr>
        <w:ind w:left="720" w:hanging="360"/>
      </w:pPr>
    </w:lvl>
    <w:lvl w:ilvl="1">
      <w:start w:val="52"/>
      <w:numFmt w:val="decimal"/>
      <w:lvlText w:val="(%2)"/>
      <w:lvlJc w:val="left"/>
      <w:pPr>
        <w:ind w:left="1440" w:hanging="360"/>
      </w:pPr>
    </w:lvl>
    <w:lvl w:ilvl="2">
      <w:start w:val="52"/>
      <w:numFmt w:val="decimal"/>
      <w:lvlText w:val="(%3)"/>
      <w:lvlJc w:val="left"/>
      <w:pPr>
        <w:ind w:left="2160" w:hanging="360"/>
      </w:pPr>
    </w:lvl>
    <w:lvl w:ilvl="3">
      <w:start w:val="52"/>
      <w:numFmt w:val="decimal"/>
      <w:lvlText w:val="(%4)"/>
      <w:lvlJc w:val="left"/>
      <w:pPr>
        <w:ind w:left="2880" w:hanging="360"/>
      </w:pPr>
    </w:lvl>
    <w:lvl w:ilvl="4">
      <w:start w:val="52"/>
      <w:numFmt w:val="decimal"/>
      <w:lvlText w:val="(%5)"/>
      <w:lvlJc w:val="left"/>
      <w:pPr>
        <w:ind w:left="3600" w:hanging="360"/>
      </w:pPr>
    </w:lvl>
    <w:lvl w:ilvl="5">
      <w:start w:val="52"/>
      <w:numFmt w:val="decimal"/>
      <w:lvlText w:val="(%6)"/>
      <w:lvlJc w:val="left"/>
      <w:pPr>
        <w:ind w:left="4320" w:hanging="360"/>
      </w:pPr>
    </w:lvl>
    <w:lvl w:ilvl="6">
      <w:start w:val="52"/>
      <w:numFmt w:val="decimal"/>
      <w:lvlText w:val="(%7)"/>
      <w:lvlJc w:val="left"/>
      <w:pPr>
        <w:ind w:left="5040" w:hanging="360"/>
      </w:pPr>
    </w:lvl>
    <w:lvl w:ilvl="7">
      <w:start w:val="52"/>
      <w:numFmt w:val="decimal"/>
      <w:lvlText w:val="(%8)"/>
      <w:lvlJc w:val="left"/>
      <w:pPr>
        <w:ind w:left="5760" w:hanging="360"/>
      </w:pPr>
    </w:lvl>
    <w:lvl w:ilvl="8">
      <w:start w:val="52"/>
      <w:numFmt w:val="decimal"/>
      <w:lvlText w:val="(%9)"/>
      <w:lvlJc w:val="left"/>
      <w:pPr>
        <w:ind w:left="6480" w:hanging="360"/>
      </w:pPr>
    </w:lvl>
  </w:abstractNum>
  <w:abstractNum w:abstractNumId="994355">
    <w:nsid w:val="0A994355"/>
    <w:multiLevelType w:val="multilevel"/>
    <w:lvl w:ilvl="0">
      <w:start w:val="55"/>
      <w:numFmt w:val="decimal"/>
      <w:lvlText w:val="(%1)"/>
      <w:lvlJc w:val="left"/>
      <w:pPr>
        <w:ind w:left="720" w:hanging="360"/>
      </w:pPr>
    </w:lvl>
    <w:lvl w:ilvl="1">
      <w:start w:val="55"/>
      <w:numFmt w:val="decimal"/>
      <w:lvlText w:val="(%2)"/>
      <w:lvlJc w:val="left"/>
      <w:pPr>
        <w:ind w:left="1440" w:hanging="360"/>
      </w:pPr>
    </w:lvl>
    <w:lvl w:ilvl="2">
      <w:start w:val="55"/>
      <w:numFmt w:val="decimal"/>
      <w:lvlText w:val="(%3)"/>
      <w:lvlJc w:val="left"/>
      <w:pPr>
        <w:ind w:left="2160" w:hanging="360"/>
      </w:pPr>
    </w:lvl>
    <w:lvl w:ilvl="3">
      <w:start w:val="55"/>
      <w:numFmt w:val="decimal"/>
      <w:lvlText w:val="(%4)"/>
      <w:lvlJc w:val="left"/>
      <w:pPr>
        <w:ind w:left="2880" w:hanging="360"/>
      </w:pPr>
    </w:lvl>
    <w:lvl w:ilvl="4">
      <w:start w:val="55"/>
      <w:numFmt w:val="decimal"/>
      <w:lvlText w:val="(%5)"/>
      <w:lvlJc w:val="left"/>
      <w:pPr>
        <w:ind w:left="3600" w:hanging="360"/>
      </w:pPr>
    </w:lvl>
    <w:lvl w:ilvl="5">
      <w:start w:val="55"/>
      <w:numFmt w:val="decimal"/>
      <w:lvlText w:val="(%6)"/>
      <w:lvlJc w:val="left"/>
      <w:pPr>
        <w:ind w:left="4320" w:hanging="360"/>
      </w:pPr>
    </w:lvl>
    <w:lvl w:ilvl="6">
      <w:start w:val="55"/>
      <w:numFmt w:val="decimal"/>
      <w:lvlText w:val="(%7)"/>
      <w:lvlJc w:val="left"/>
      <w:pPr>
        <w:ind w:left="5040" w:hanging="360"/>
      </w:pPr>
    </w:lvl>
    <w:lvl w:ilvl="7">
      <w:start w:val="55"/>
      <w:numFmt w:val="decimal"/>
      <w:lvlText w:val="(%8)"/>
      <w:lvlJc w:val="left"/>
      <w:pPr>
        <w:ind w:left="5760" w:hanging="360"/>
      </w:pPr>
    </w:lvl>
    <w:lvl w:ilvl="8">
      <w:start w:val="55"/>
      <w:numFmt w:val="decimal"/>
      <w:lvlText w:val="(%9)"/>
      <w:lvlJc w:val="left"/>
      <w:pPr>
        <w:ind w:left="6480" w:hanging="360"/>
      </w:pPr>
    </w:lvl>
  </w:abstractNum>
  <w:abstractNum w:abstractNumId="994356">
    <w:nsid w:val="0A994356"/>
    <w:multiLevelType w:val="multilevel"/>
    <w:lvl w:ilvl="0">
      <w:start w:val="56"/>
      <w:numFmt w:val="decimal"/>
      <w:lvlText w:val="(%1)"/>
      <w:lvlJc w:val="left"/>
      <w:pPr>
        <w:ind w:left="720" w:hanging="360"/>
      </w:pPr>
    </w:lvl>
    <w:lvl w:ilvl="1">
      <w:start w:val="56"/>
      <w:numFmt w:val="decimal"/>
      <w:lvlText w:val="(%2)"/>
      <w:lvlJc w:val="left"/>
      <w:pPr>
        <w:ind w:left="1440" w:hanging="360"/>
      </w:pPr>
    </w:lvl>
    <w:lvl w:ilvl="2">
      <w:start w:val="56"/>
      <w:numFmt w:val="decimal"/>
      <w:lvlText w:val="(%3)"/>
      <w:lvlJc w:val="left"/>
      <w:pPr>
        <w:ind w:left="2160" w:hanging="360"/>
      </w:pPr>
    </w:lvl>
    <w:lvl w:ilvl="3">
      <w:start w:val="56"/>
      <w:numFmt w:val="decimal"/>
      <w:lvlText w:val="(%4)"/>
      <w:lvlJc w:val="left"/>
      <w:pPr>
        <w:ind w:left="2880" w:hanging="360"/>
      </w:pPr>
    </w:lvl>
    <w:lvl w:ilvl="4">
      <w:start w:val="56"/>
      <w:numFmt w:val="decimal"/>
      <w:lvlText w:val="(%5)"/>
      <w:lvlJc w:val="left"/>
      <w:pPr>
        <w:ind w:left="3600" w:hanging="360"/>
      </w:pPr>
    </w:lvl>
    <w:lvl w:ilvl="5">
      <w:start w:val="56"/>
      <w:numFmt w:val="decimal"/>
      <w:lvlText w:val="(%6)"/>
      <w:lvlJc w:val="left"/>
      <w:pPr>
        <w:ind w:left="4320" w:hanging="360"/>
      </w:pPr>
    </w:lvl>
    <w:lvl w:ilvl="6">
      <w:start w:val="56"/>
      <w:numFmt w:val="decimal"/>
      <w:lvlText w:val="(%7)"/>
      <w:lvlJc w:val="left"/>
      <w:pPr>
        <w:ind w:left="5040" w:hanging="360"/>
      </w:pPr>
    </w:lvl>
    <w:lvl w:ilvl="7">
      <w:start w:val="56"/>
      <w:numFmt w:val="decimal"/>
      <w:lvlText w:val="(%8)"/>
      <w:lvlJc w:val="left"/>
      <w:pPr>
        <w:ind w:left="5760" w:hanging="360"/>
      </w:pPr>
    </w:lvl>
    <w:lvl w:ilvl="8">
      <w:start w:val="56"/>
      <w:numFmt w:val="decimal"/>
      <w:lvlText w:val="(%9)"/>
      <w:lvlJc w:val="left"/>
      <w:pPr>
        <w:ind w:left="6480" w:hanging="360"/>
      </w:pPr>
    </w:lvl>
  </w:abstractNum>
  <w:abstractNum w:abstractNumId="994357">
    <w:nsid w:val="0A994357"/>
    <w:multiLevelType w:val="multilevel"/>
    <w:lvl w:ilvl="0">
      <w:start w:val="57"/>
      <w:numFmt w:val="decimal"/>
      <w:lvlText w:val="(%1)"/>
      <w:lvlJc w:val="left"/>
      <w:pPr>
        <w:ind w:left="720" w:hanging="360"/>
      </w:pPr>
    </w:lvl>
    <w:lvl w:ilvl="1">
      <w:start w:val="57"/>
      <w:numFmt w:val="decimal"/>
      <w:lvlText w:val="(%2)"/>
      <w:lvlJc w:val="left"/>
      <w:pPr>
        <w:ind w:left="1440" w:hanging="360"/>
      </w:pPr>
    </w:lvl>
    <w:lvl w:ilvl="2">
      <w:start w:val="57"/>
      <w:numFmt w:val="decimal"/>
      <w:lvlText w:val="(%3)"/>
      <w:lvlJc w:val="left"/>
      <w:pPr>
        <w:ind w:left="2160" w:hanging="360"/>
      </w:pPr>
    </w:lvl>
    <w:lvl w:ilvl="3">
      <w:start w:val="57"/>
      <w:numFmt w:val="decimal"/>
      <w:lvlText w:val="(%4)"/>
      <w:lvlJc w:val="left"/>
      <w:pPr>
        <w:ind w:left="2880" w:hanging="360"/>
      </w:pPr>
    </w:lvl>
    <w:lvl w:ilvl="4">
      <w:start w:val="57"/>
      <w:numFmt w:val="decimal"/>
      <w:lvlText w:val="(%5)"/>
      <w:lvlJc w:val="left"/>
      <w:pPr>
        <w:ind w:left="3600" w:hanging="360"/>
      </w:pPr>
    </w:lvl>
    <w:lvl w:ilvl="5">
      <w:start w:val="57"/>
      <w:numFmt w:val="decimal"/>
      <w:lvlText w:val="(%6)"/>
      <w:lvlJc w:val="left"/>
      <w:pPr>
        <w:ind w:left="4320" w:hanging="360"/>
      </w:pPr>
    </w:lvl>
    <w:lvl w:ilvl="6">
      <w:start w:val="57"/>
      <w:numFmt w:val="decimal"/>
      <w:lvlText w:val="(%7)"/>
      <w:lvlJc w:val="left"/>
      <w:pPr>
        <w:ind w:left="5040" w:hanging="360"/>
      </w:pPr>
    </w:lvl>
    <w:lvl w:ilvl="7">
      <w:start w:val="57"/>
      <w:numFmt w:val="decimal"/>
      <w:lvlText w:val="(%8)"/>
      <w:lvlJc w:val="left"/>
      <w:pPr>
        <w:ind w:left="5760" w:hanging="360"/>
      </w:pPr>
    </w:lvl>
    <w:lvl w:ilvl="8">
      <w:start w:val="57"/>
      <w:numFmt w:val="decimal"/>
      <w:lvlText w:val="(%9)"/>
      <w:lvlJc w:val="left"/>
      <w:pPr>
        <w:ind w:left="6480" w:hanging="360"/>
      </w:pPr>
    </w:lvl>
  </w:abstractNum>
  <w:abstractNum w:abstractNumId="994358">
    <w:nsid w:val="0A994358"/>
    <w:multiLevelType w:val="multilevel"/>
    <w:lvl w:ilvl="0">
      <w:start w:val="58"/>
      <w:numFmt w:val="decimal"/>
      <w:lvlText w:val="(%1)"/>
      <w:lvlJc w:val="left"/>
      <w:pPr>
        <w:ind w:left="720" w:hanging="360"/>
      </w:pPr>
    </w:lvl>
    <w:lvl w:ilvl="1">
      <w:start w:val="58"/>
      <w:numFmt w:val="decimal"/>
      <w:lvlText w:val="(%2)"/>
      <w:lvlJc w:val="left"/>
      <w:pPr>
        <w:ind w:left="1440" w:hanging="360"/>
      </w:pPr>
    </w:lvl>
    <w:lvl w:ilvl="2">
      <w:start w:val="58"/>
      <w:numFmt w:val="decimal"/>
      <w:lvlText w:val="(%3)"/>
      <w:lvlJc w:val="left"/>
      <w:pPr>
        <w:ind w:left="2160" w:hanging="360"/>
      </w:pPr>
    </w:lvl>
    <w:lvl w:ilvl="3">
      <w:start w:val="58"/>
      <w:numFmt w:val="decimal"/>
      <w:lvlText w:val="(%4)"/>
      <w:lvlJc w:val="left"/>
      <w:pPr>
        <w:ind w:left="2880" w:hanging="360"/>
      </w:pPr>
    </w:lvl>
    <w:lvl w:ilvl="4">
      <w:start w:val="58"/>
      <w:numFmt w:val="decimal"/>
      <w:lvlText w:val="(%5)"/>
      <w:lvlJc w:val="left"/>
      <w:pPr>
        <w:ind w:left="3600" w:hanging="360"/>
      </w:pPr>
    </w:lvl>
    <w:lvl w:ilvl="5">
      <w:start w:val="58"/>
      <w:numFmt w:val="decimal"/>
      <w:lvlText w:val="(%6)"/>
      <w:lvlJc w:val="left"/>
      <w:pPr>
        <w:ind w:left="4320" w:hanging="360"/>
      </w:pPr>
    </w:lvl>
    <w:lvl w:ilvl="6">
      <w:start w:val="58"/>
      <w:numFmt w:val="decimal"/>
      <w:lvlText w:val="(%7)"/>
      <w:lvlJc w:val="left"/>
      <w:pPr>
        <w:ind w:left="5040" w:hanging="360"/>
      </w:pPr>
    </w:lvl>
    <w:lvl w:ilvl="7">
      <w:start w:val="58"/>
      <w:numFmt w:val="decimal"/>
      <w:lvlText w:val="(%8)"/>
      <w:lvlJc w:val="left"/>
      <w:pPr>
        <w:ind w:left="5760" w:hanging="360"/>
      </w:pPr>
    </w:lvl>
    <w:lvl w:ilvl="8">
      <w:start w:val="58"/>
      <w:numFmt w:val="decimal"/>
      <w:lvlText w:val="(%9)"/>
      <w:lvlJc w:val="left"/>
      <w:pPr>
        <w:ind w:left="6480" w:hanging="360"/>
      </w:pPr>
    </w:lvl>
  </w:abstractNum>
  <w:abstractNum w:abstractNumId="994359">
    <w:nsid w:val="0A994359"/>
    <w:multiLevelType w:val="multilevel"/>
    <w:lvl w:ilvl="0">
      <w:start w:val="59"/>
      <w:numFmt w:val="decimal"/>
      <w:lvlText w:val="(%1)"/>
      <w:lvlJc w:val="left"/>
      <w:pPr>
        <w:ind w:left="720" w:hanging="360"/>
      </w:pPr>
    </w:lvl>
    <w:lvl w:ilvl="1">
      <w:start w:val="59"/>
      <w:numFmt w:val="decimal"/>
      <w:lvlText w:val="(%2)"/>
      <w:lvlJc w:val="left"/>
      <w:pPr>
        <w:ind w:left="1440" w:hanging="360"/>
      </w:pPr>
    </w:lvl>
    <w:lvl w:ilvl="2">
      <w:start w:val="59"/>
      <w:numFmt w:val="decimal"/>
      <w:lvlText w:val="(%3)"/>
      <w:lvlJc w:val="left"/>
      <w:pPr>
        <w:ind w:left="2160" w:hanging="360"/>
      </w:pPr>
    </w:lvl>
    <w:lvl w:ilvl="3">
      <w:start w:val="59"/>
      <w:numFmt w:val="decimal"/>
      <w:lvlText w:val="(%4)"/>
      <w:lvlJc w:val="left"/>
      <w:pPr>
        <w:ind w:left="2880" w:hanging="360"/>
      </w:pPr>
    </w:lvl>
    <w:lvl w:ilvl="4">
      <w:start w:val="59"/>
      <w:numFmt w:val="decimal"/>
      <w:lvlText w:val="(%5)"/>
      <w:lvlJc w:val="left"/>
      <w:pPr>
        <w:ind w:left="3600" w:hanging="360"/>
      </w:pPr>
    </w:lvl>
    <w:lvl w:ilvl="5">
      <w:start w:val="59"/>
      <w:numFmt w:val="decimal"/>
      <w:lvlText w:val="(%6)"/>
      <w:lvlJc w:val="left"/>
      <w:pPr>
        <w:ind w:left="4320" w:hanging="360"/>
      </w:pPr>
    </w:lvl>
    <w:lvl w:ilvl="6">
      <w:start w:val="59"/>
      <w:numFmt w:val="decimal"/>
      <w:lvlText w:val="(%7)"/>
      <w:lvlJc w:val="left"/>
      <w:pPr>
        <w:ind w:left="5040" w:hanging="360"/>
      </w:pPr>
    </w:lvl>
    <w:lvl w:ilvl="7">
      <w:start w:val="59"/>
      <w:numFmt w:val="decimal"/>
      <w:lvlText w:val="(%8)"/>
      <w:lvlJc w:val="left"/>
      <w:pPr>
        <w:ind w:left="5760" w:hanging="360"/>
      </w:pPr>
    </w:lvl>
    <w:lvl w:ilvl="8">
      <w:start w:val="59"/>
      <w:numFmt w:val="decimal"/>
      <w:lvlText w:val="(%9)"/>
      <w:lvlJc w:val="left"/>
      <w:pPr>
        <w:ind w:left="6480" w:hanging="360"/>
      </w:pPr>
    </w:lvl>
  </w:abstractNum>
  <w:abstractNum w:abstractNumId="9941128406">
    <w:nsid w:val="A9941128406"/>
    <w:multiLevelType w:val="multilevel"/>
    <w:lvl w:ilvl="0">
      <w:start w:val="128406"/>
      <w:numFmt w:val="decimal"/>
      <w:lvlText w:val="%1."/>
      <w:lvlJc w:val="left"/>
      <w:pPr>
        <w:ind w:left="720" w:hanging="360"/>
      </w:pPr>
    </w:lvl>
    <w:lvl w:ilvl="1">
      <w:start w:val="128406"/>
      <w:numFmt w:val="decimal"/>
      <w:lvlText w:val="%2."/>
      <w:lvlJc w:val="left"/>
      <w:pPr>
        <w:ind w:left="1440" w:hanging="360"/>
      </w:pPr>
    </w:lvl>
    <w:lvl w:ilvl="2">
      <w:start w:val="128406"/>
      <w:numFmt w:val="decimal"/>
      <w:lvlText w:val="%3."/>
      <w:lvlJc w:val="left"/>
      <w:pPr>
        <w:ind w:left="2160" w:hanging="360"/>
      </w:pPr>
    </w:lvl>
    <w:lvl w:ilvl="3">
      <w:start w:val="128406"/>
      <w:numFmt w:val="decimal"/>
      <w:lvlText w:val="%4."/>
      <w:lvlJc w:val="left"/>
      <w:pPr>
        <w:ind w:left="2880" w:hanging="360"/>
      </w:pPr>
    </w:lvl>
    <w:lvl w:ilvl="4">
      <w:start w:val="128406"/>
      <w:numFmt w:val="decimal"/>
      <w:lvlText w:val="%5."/>
      <w:lvlJc w:val="left"/>
      <w:pPr>
        <w:ind w:left="3600" w:hanging="360"/>
      </w:pPr>
    </w:lvl>
    <w:lvl w:ilvl="5">
      <w:start w:val="128406"/>
      <w:numFmt w:val="decimal"/>
      <w:lvlText w:val="%6."/>
      <w:lvlJc w:val="left"/>
      <w:pPr>
        <w:ind w:left="4320" w:hanging="360"/>
      </w:pPr>
    </w:lvl>
    <w:lvl w:ilvl="6">
      <w:start w:val="128406"/>
      <w:numFmt w:val="decimal"/>
      <w:lvlText w:val="%7."/>
      <w:lvlJc w:val="left"/>
      <w:pPr>
        <w:ind w:left="5040" w:hanging="360"/>
      </w:pPr>
    </w:lvl>
    <w:lvl w:ilvl="7">
      <w:start w:val="128406"/>
      <w:numFmt w:val="decimal"/>
      <w:lvlText w:val="%8."/>
      <w:lvlJc w:val="left"/>
      <w:pPr>
        <w:ind w:left="5760" w:hanging="360"/>
      </w:pPr>
    </w:lvl>
    <w:lvl w:ilvl="8">
      <w:start w:val="128406"/>
      <w:numFmt w:val="decimal"/>
      <w:lvlText w:val="%9."/>
      <w:lvlJc w:val="left"/>
      <w:pPr>
        <w:ind w:left="6480" w:hanging="360"/>
      </w:pPr>
    </w:lvl>
  </w:abstractNum>
  <w:abstractNum w:abstractNumId="994361">
    <w:nsid w:val="0A994361"/>
    <w:multiLevelType w:val="multilevel"/>
    <w:lvl w:ilvl="0">
      <w:start w:val="61"/>
      <w:numFmt w:val="decimal"/>
      <w:lvlText w:val="(%1)"/>
      <w:lvlJc w:val="left"/>
      <w:pPr>
        <w:ind w:left="720" w:hanging="360"/>
      </w:pPr>
    </w:lvl>
    <w:lvl w:ilvl="1">
      <w:start w:val="61"/>
      <w:numFmt w:val="decimal"/>
      <w:lvlText w:val="(%2)"/>
      <w:lvlJc w:val="left"/>
      <w:pPr>
        <w:ind w:left="1440" w:hanging="360"/>
      </w:pPr>
    </w:lvl>
    <w:lvl w:ilvl="2">
      <w:start w:val="61"/>
      <w:numFmt w:val="decimal"/>
      <w:lvlText w:val="(%3)"/>
      <w:lvlJc w:val="left"/>
      <w:pPr>
        <w:ind w:left="2160" w:hanging="360"/>
      </w:pPr>
    </w:lvl>
    <w:lvl w:ilvl="3">
      <w:start w:val="61"/>
      <w:numFmt w:val="decimal"/>
      <w:lvlText w:val="(%4)"/>
      <w:lvlJc w:val="left"/>
      <w:pPr>
        <w:ind w:left="2880" w:hanging="360"/>
      </w:pPr>
    </w:lvl>
    <w:lvl w:ilvl="4">
      <w:start w:val="61"/>
      <w:numFmt w:val="decimal"/>
      <w:lvlText w:val="(%5)"/>
      <w:lvlJc w:val="left"/>
      <w:pPr>
        <w:ind w:left="3600" w:hanging="360"/>
      </w:pPr>
    </w:lvl>
    <w:lvl w:ilvl="5">
      <w:start w:val="61"/>
      <w:numFmt w:val="decimal"/>
      <w:lvlText w:val="(%6)"/>
      <w:lvlJc w:val="left"/>
      <w:pPr>
        <w:ind w:left="4320" w:hanging="360"/>
      </w:pPr>
    </w:lvl>
    <w:lvl w:ilvl="6">
      <w:start w:val="61"/>
      <w:numFmt w:val="decimal"/>
      <w:lvlText w:val="(%7)"/>
      <w:lvlJc w:val="left"/>
      <w:pPr>
        <w:ind w:left="5040" w:hanging="360"/>
      </w:pPr>
    </w:lvl>
    <w:lvl w:ilvl="7">
      <w:start w:val="61"/>
      <w:numFmt w:val="decimal"/>
      <w:lvlText w:val="(%8)"/>
      <w:lvlJc w:val="left"/>
      <w:pPr>
        <w:ind w:left="5760" w:hanging="360"/>
      </w:pPr>
    </w:lvl>
    <w:lvl w:ilvl="8">
      <w:start w:val="61"/>
      <w:numFmt w:val="decimal"/>
      <w:lvlText w:val="(%9)"/>
      <w:lvlJc w:val="left"/>
      <w:pPr>
        <w:ind w:left="6480" w:hanging="360"/>
      </w:pPr>
    </w:lvl>
  </w:abstractNum>
  <w:abstractNum w:abstractNumId="994366">
    <w:nsid w:val="0A994366"/>
    <w:multiLevelType w:val="multilevel"/>
    <w:lvl w:ilvl="0">
      <w:start w:val="66"/>
      <w:numFmt w:val="decimal"/>
      <w:lvlText w:val="(%1)"/>
      <w:lvlJc w:val="left"/>
      <w:pPr>
        <w:ind w:left="720" w:hanging="360"/>
      </w:pPr>
    </w:lvl>
    <w:lvl w:ilvl="1">
      <w:start w:val="66"/>
      <w:numFmt w:val="decimal"/>
      <w:lvlText w:val="(%2)"/>
      <w:lvlJc w:val="left"/>
      <w:pPr>
        <w:ind w:left="1440" w:hanging="360"/>
      </w:pPr>
    </w:lvl>
    <w:lvl w:ilvl="2">
      <w:start w:val="66"/>
      <w:numFmt w:val="decimal"/>
      <w:lvlText w:val="(%3)"/>
      <w:lvlJc w:val="left"/>
      <w:pPr>
        <w:ind w:left="2160" w:hanging="360"/>
      </w:pPr>
    </w:lvl>
    <w:lvl w:ilvl="3">
      <w:start w:val="66"/>
      <w:numFmt w:val="decimal"/>
      <w:lvlText w:val="(%4)"/>
      <w:lvlJc w:val="left"/>
      <w:pPr>
        <w:ind w:left="2880" w:hanging="360"/>
      </w:pPr>
    </w:lvl>
    <w:lvl w:ilvl="4">
      <w:start w:val="66"/>
      <w:numFmt w:val="decimal"/>
      <w:lvlText w:val="(%5)"/>
      <w:lvlJc w:val="left"/>
      <w:pPr>
        <w:ind w:left="3600" w:hanging="360"/>
      </w:pPr>
    </w:lvl>
    <w:lvl w:ilvl="5">
      <w:start w:val="66"/>
      <w:numFmt w:val="decimal"/>
      <w:lvlText w:val="(%6)"/>
      <w:lvlJc w:val="left"/>
      <w:pPr>
        <w:ind w:left="4320" w:hanging="360"/>
      </w:pPr>
    </w:lvl>
    <w:lvl w:ilvl="6">
      <w:start w:val="66"/>
      <w:numFmt w:val="decimal"/>
      <w:lvlText w:val="(%7)"/>
      <w:lvlJc w:val="left"/>
      <w:pPr>
        <w:ind w:left="5040" w:hanging="360"/>
      </w:pPr>
    </w:lvl>
    <w:lvl w:ilvl="7">
      <w:start w:val="66"/>
      <w:numFmt w:val="decimal"/>
      <w:lvlText w:val="(%8)"/>
      <w:lvlJc w:val="left"/>
      <w:pPr>
        <w:ind w:left="5760" w:hanging="360"/>
      </w:pPr>
    </w:lvl>
    <w:lvl w:ilvl="8">
      <w:start w:val="66"/>
      <w:numFmt w:val="decimal"/>
      <w:lvlText w:val="(%9)"/>
      <w:lvlJc w:val="left"/>
      <w:pPr>
        <w:ind w:left="6480" w:hanging="360"/>
      </w:pPr>
    </w:lvl>
  </w:abstractNum>
  <w:abstractNum w:abstractNumId="994371">
    <w:nsid w:val="0A994371"/>
    <w:multiLevelType w:val="multilevel"/>
    <w:lvl w:ilvl="0">
      <w:start w:val="71"/>
      <w:numFmt w:val="decimal"/>
      <w:lvlText w:val="(%1)"/>
      <w:lvlJc w:val="left"/>
      <w:pPr>
        <w:ind w:left="720" w:hanging="360"/>
      </w:pPr>
    </w:lvl>
    <w:lvl w:ilvl="1">
      <w:start w:val="71"/>
      <w:numFmt w:val="decimal"/>
      <w:lvlText w:val="(%2)"/>
      <w:lvlJc w:val="left"/>
      <w:pPr>
        <w:ind w:left="1440" w:hanging="360"/>
      </w:pPr>
    </w:lvl>
    <w:lvl w:ilvl="2">
      <w:start w:val="71"/>
      <w:numFmt w:val="decimal"/>
      <w:lvlText w:val="(%3)"/>
      <w:lvlJc w:val="left"/>
      <w:pPr>
        <w:ind w:left="2160" w:hanging="360"/>
      </w:pPr>
    </w:lvl>
    <w:lvl w:ilvl="3">
      <w:start w:val="71"/>
      <w:numFmt w:val="decimal"/>
      <w:lvlText w:val="(%4)"/>
      <w:lvlJc w:val="left"/>
      <w:pPr>
        <w:ind w:left="2880" w:hanging="360"/>
      </w:pPr>
    </w:lvl>
    <w:lvl w:ilvl="4">
      <w:start w:val="71"/>
      <w:numFmt w:val="decimal"/>
      <w:lvlText w:val="(%5)"/>
      <w:lvlJc w:val="left"/>
      <w:pPr>
        <w:ind w:left="3600" w:hanging="360"/>
      </w:pPr>
    </w:lvl>
    <w:lvl w:ilvl="5">
      <w:start w:val="71"/>
      <w:numFmt w:val="decimal"/>
      <w:lvlText w:val="(%6)"/>
      <w:lvlJc w:val="left"/>
      <w:pPr>
        <w:ind w:left="4320" w:hanging="360"/>
      </w:pPr>
    </w:lvl>
    <w:lvl w:ilvl="6">
      <w:start w:val="71"/>
      <w:numFmt w:val="decimal"/>
      <w:lvlText w:val="(%7)"/>
      <w:lvlJc w:val="left"/>
      <w:pPr>
        <w:ind w:left="5040" w:hanging="360"/>
      </w:pPr>
    </w:lvl>
    <w:lvl w:ilvl="7">
      <w:start w:val="71"/>
      <w:numFmt w:val="decimal"/>
      <w:lvlText w:val="(%8)"/>
      <w:lvlJc w:val="left"/>
      <w:pPr>
        <w:ind w:left="5760" w:hanging="360"/>
      </w:pPr>
    </w:lvl>
    <w:lvl w:ilvl="8">
      <w:start w:val="71"/>
      <w:numFmt w:val="decimal"/>
      <w:lvlText w:val="(%9)"/>
      <w:lvlJc w:val="left"/>
      <w:pPr>
        <w:ind w:left="6480" w:hanging="360"/>
      </w:pPr>
    </w:lvl>
  </w:abstractNum>
  <w:abstractNum w:abstractNumId="994377">
    <w:nsid w:val="0A994377"/>
    <w:multiLevelType w:val="multilevel"/>
    <w:lvl w:ilvl="0">
      <w:start w:val="77"/>
      <w:numFmt w:val="decimal"/>
      <w:lvlText w:val="(%1)"/>
      <w:lvlJc w:val="left"/>
      <w:pPr>
        <w:ind w:left="720" w:hanging="360"/>
      </w:pPr>
    </w:lvl>
    <w:lvl w:ilvl="1">
      <w:start w:val="77"/>
      <w:numFmt w:val="decimal"/>
      <w:lvlText w:val="(%2)"/>
      <w:lvlJc w:val="left"/>
      <w:pPr>
        <w:ind w:left="1440" w:hanging="360"/>
      </w:pPr>
    </w:lvl>
    <w:lvl w:ilvl="2">
      <w:start w:val="77"/>
      <w:numFmt w:val="decimal"/>
      <w:lvlText w:val="(%3)"/>
      <w:lvlJc w:val="left"/>
      <w:pPr>
        <w:ind w:left="2160" w:hanging="360"/>
      </w:pPr>
    </w:lvl>
    <w:lvl w:ilvl="3">
      <w:start w:val="77"/>
      <w:numFmt w:val="decimal"/>
      <w:lvlText w:val="(%4)"/>
      <w:lvlJc w:val="left"/>
      <w:pPr>
        <w:ind w:left="2880" w:hanging="360"/>
      </w:pPr>
    </w:lvl>
    <w:lvl w:ilvl="4">
      <w:start w:val="77"/>
      <w:numFmt w:val="decimal"/>
      <w:lvlText w:val="(%5)"/>
      <w:lvlJc w:val="left"/>
      <w:pPr>
        <w:ind w:left="3600" w:hanging="360"/>
      </w:pPr>
    </w:lvl>
    <w:lvl w:ilvl="5">
      <w:start w:val="77"/>
      <w:numFmt w:val="decimal"/>
      <w:lvlText w:val="(%6)"/>
      <w:lvlJc w:val="left"/>
      <w:pPr>
        <w:ind w:left="4320" w:hanging="360"/>
      </w:pPr>
    </w:lvl>
    <w:lvl w:ilvl="6">
      <w:start w:val="77"/>
      <w:numFmt w:val="decimal"/>
      <w:lvlText w:val="(%7)"/>
      <w:lvlJc w:val="left"/>
      <w:pPr>
        <w:ind w:left="5040" w:hanging="360"/>
      </w:pPr>
    </w:lvl>
    <w:lvl w:ilvl="7">
      <w:start w:val="77"/>
      <w:numFmt w:val="decimal"/>
      <w:lvlText w:val="(%8)"/>
      <w:lvlJc w:val="left"/>
      <w:pPr>
        <w:ind w:left="5760" w:hanging="360"/>
      </w:pPr>
    </w:lvl>
    <w:lvl w:ilvl="8">
      <w:start w:val="77"/>
      <w:numFmt w:val="decimal"/>
      <w:lvlText w:val="(%9)"/>
      <w:lvlJc w:val="left"/>
      <w:pPr>
        <w:ind w:left="6480" w:hanging="360"/>
      </w:pPr>
    </w:lvl>
  </w:abstractNum>
  <w:abstractNum w:abstractNumId="994381">
    <w:nsid w:val="0A994381"/>
    <w:multiLevelType w:val="multilevel"/>
    <w:lvl w:ilvl="0">
      <w:start w:val="81"/>
      <w:numFmt w:val="decimal"/>
      <w:lvlText w:val="(%1)"/>
      <w:lvlJc w:val="left"/>
      <w:pPr>
        <w:ind w:left="720" w:hanging="360"/>
      </w:pPr>
    </w:lvl>
    <w:lvl w:ilvl="1">
      <w:start w:val="81"/>
      <w:numFmt w:val="decimal"/>
      <w:lvlText w:val="(%2)"/>
      <w:lvlJc w:val="left"/>
      <w:pPr>
        <w:ind w:left="1440" w:hanging="360"/>
      </w:pPr>
    </w:lvl>
    <w:lvl w:ilvl="2">
      <w:start w:val="81"/>
      <w:numFmt w:val="decimal"/>
      <w:lvlText w:val="(%3)"/>
      <w:lvlJc w:val="left"/>
      <w:pPr>
        <w:ind w:left="2160" w:hanging="360"/>
      </w:pPr>
    </w:lvl>
    <w:lvl w:ilvl="3">
      <w:start w:val="81"/>
      <w:numFmt w:val="decimal"/>
      <w:lvlText w:val="(%4)"/>
      <w:lvlJc w:val="left"/>
      <w:pPr>
        <w:ind w:left="2880" w:hanging="360"/>
      </w:pPr>
    </w:lvl>
    <w:lvl w:ilvl="4">
      <w:start w:val="81"/>
      <w:numFmt w:val="decimal"/>
      <w:lvlText w:val="(%5)"/>
      <w:lvlJc w:val="left"/>
      <w:pPr>
        <w:ind w:left="3600" w:hanging="360"/>
      </w:pPr>
    </w:lvl>
    <w:lvl w:ilvl="5">
      <w:start w:val="81"/>
      <w:numFmt w:val="decimal"/>
      <w:lvlText w:val="(%6)"/>
      <w:lvlJc w:val="left"/>
      <w:pPr>
        <w:ind w:left="4320" w:hanging="360"/>
      </w:pPr>
    </w:lvl>
    <w:lvl w:ilvl="6">
      <w:start w:val="81"/>
      <w:numFmt w:val="decimal"/>
      <w:lvlText w:val="(%7)"/>
      <w:lvlJc w:val="left"/>
      <w:pPr>
        <w:ind w:left="5040" w:hanging="360"/>
      </w:pPr>
    </w:lvl>
    <w:lvl w:ilvl="7">
      <w:start w:val="81"/>
      <w:numFmt w:val="decimal"/>
      <w:lvlText w:val="(%8)"/>
      <w:lvlJc w:val="left"/>
      <w:pPr>
        <w:ind w:left="5760" w:hanging="360"/>
      </w:pPr>
    </w:lvl>
    <w:lvl w:ilvl="8">
      <w:start w:val="81"/>
      <w:numFmt w:val="decimal"/>
      <w:lvlText w:val="(%9)"/>
      <w:lvlJc w:val="left"/>
      <w:pPr>
        <w:ind w:left="6480" w:hanging="360"/>
      </w:pPr>
    </w:lvl>
  </w:abstractNum>
  <w:abstractNum w:abstractNumId="994386">
    <w:nsid w:val="0A994386"/>
    <w:multiLevelType w:val="multilevel"/>
    <w:lvl w:ilvl="0">
      <w:start w:val="86"/>
      <w:numFmt w:val="decimal"/>
      <w:lvlText w:val="(%1)"/>
      <w:lvlJc w:val="left"/>
      <w:pPr>
        <w:ind w:left="720" w:hanging="360"/>
      </w:pPr>
    </w:lvl>
    <w:lvl w:ilvl="1">
      <w:start w:val="86"/>
      <w:numFmt w:val="decimal"/>
      <w:lvlText w:val="(%2)"/>
      <w:lvlJc w:val="left"/>
      <w:pPr>
        <w:ind w:left="1440" w:hanging="360"/>
      </w:pPr>
    </w:lvl>
    <w:lvl w:ilvl="2">
      <w:start w:val="86"/>
      <w:numFmt w:val="decimal"/>
      <w:lvlText w:val="(%3)"/>
      <w:lvlJc w:val="left"/>
      <w:pPr>
        <w:ind w:left="2160" w:hanging="360"/>
      </w:pPr>
    </w:lvl>
    <w:lvl w:ilvl="3">
      <w:start w:val="86"/>
      <w:numFmt w:val="decimal"/>
      <w:lvlText w:val="(%4)"/>
      <w:lvlJc w:val="left"/>
      <w:pPr>
        <w:ind w:left="2880" w:hanging="360"/>
      </w:pPr>
    </w:lvl>
    <w:lvl w:ilvl="4">
      <w:start w:val="86"/>
      <w:numFmt w:val="decimal"/>
      <w:lvlText w:val="(%5)"/>
      <w:lvlJc w:val="left"/>
      <w:pPr>
        <w:ind w:left="3600" w:hanging="360"/>
      </w:pPr>
    </w:lvl>
    <w:lvl w:ilvl="5">
      <w:start w:val="86"/>
      <w:numFmt w:val="decimal"/>
      <w:lvlText w:val="(%6)"/>
      <w:lvlJc w:val="left"/>
      <w:pPr>
        <w:ind w:left="4320" w:hanging="360"/>
      </w:pPr>
    </w:lvl>
    <w:lvl w:ilvl="6">
      <w:start w:val="86"/>
      <w:numFmt w:val="decimal"/>
      <w:lvlText w:val="(%7)"/>
      <w:lvlJc w:val="left"/>
      <w:pPr>
        <w:ind w:left="5040" w:hanging="360"/>
      </w:pPr>
    </w:lvl>
    <w:lvl w:ilvl="7">
      <w:start w:val="86"/>
      <w:numFmt w:val="decimal"/>
      <w:lvlText w:val="(%8)"/>
      <w:lvlJc w:val="left"/>
      <w:pPr>
        <w:ind w:left="5760" w:hanging="360"/>
      </w:pPr>
    </w:lvl>
    <w:lvl w:ilvl="8">
      <w:start w:val="86"/>
      <w:numFmt w:val="decimal"/>
      <w:lvlText w:val="(%9)"/>
      <w:lvlJc w:val="left"/>
      <w:pPr>
        <w:ind w:left="6480" w:hanging="360"/>
      </w:pPr>
    </w:lvl>
  </w:abstractNum>
  <w:abstractNum w:abstractNumId="994390">
    <w:nsid w:val="0A994390"/>
    <w:multiLevelType w:val="multilevel"/>
    <w:lvl w:ilvl="0">
      <w:start w:val="90"/>
      <w:numFmt w:val="decimal"/>
      <w:lvlText w:val="(%1)"/>
      <w:lvlJc w:val="left"/>
      <w:pPr>
        <w:ind w:left="720" w:hanging="360"/>
      </w:pPr>
    </w:lvl>
    <w:lvl w:ilvl="1">
      <w:start w:val="90"/>
      <w:numFmt w:val="decimal"/>
      <w:lvlText w:val="(%2)"/>
      <w:lvlJc w:val="left"/>
      <w:pPr>
        <w:ind w:left="1440" w:hanging="360"/>
      </w:pPr>
    </w:lvl>
    <w:lvl w:ilvl="2">
      <w:start w:val="90"/>
      <w:numFmt w:val="decimal"/>
      <w:lvlText w:val="(%3)"/>
      <w:lvlJc w:val="left"/>
      <w:pPr>
        <w:ind w:left="2160" w:hanging="360"/>
      </w:pPr>
    </w:lvl>
    <w:lvl w:ilvl="3">
      <w:start w:val="90"/>
      <w:numFmt w:val="decimal"/>
      <w:lvlText w:val="(%4)"/>
      <w:lvlJc w:val="left"/>
      <w:pPr>
        <w:ind w:left="2880" w:hanging="360"/>
      </w:pPr>
    </w:lvl>
    <w:lvl w:ilvl="4">
      <w:start w:val="90"/>
      <w:numFmt w:val="decimal"/>
      <w:lvlText w:val="(%5)"/>
      <w:lvlJc w:val="left"/>
      <w:pPr>
        <w:ind w:left="3600" w:hanging="360"/>
      </w:pPr>
    </w:lvl>
    <w:lvl w:ilvl="5">
      <w:start w:val="90"/>
      <w:numFmt w:val="decimal"/>
      <w:lvlText w:val="(%6)"/>
      <w:lvlJc w:val="left"/>
      <w:pPr>
        <w:ind w:left="4320" w:hanging="360"/>
      </w:pPr>
    </w:lvl>
    <w:lvl w:ilvl="6">
      <w:start w:val="90"/>
      <w:numFmt w:val="decimal"/>
      <w:lvlText w:val="(%7)"/>
      <w:lvlJc w:val="left"/>
      <w:pPr>
        <w:ind w:left="5040" w:hanging="360"/>
      </w:pPr>
    </w:lvl>
    <w:lvl w:ilvl="7">
      <w:start w:val="90"/>
      <w:numFmt w:val="decimal"/>
      <w:lvlText w:val="(%8)"/>
      <w:lvlJc w:val="left"/>
      <w:pPr>
        <w:ind w:left="5760" w:hanging="360"/>
      </w:pPr>
    </w:lvl>
    <w:lvl w:ilvl="8">
      <w:start w:val="90"/>
      <w:numFmt w:val="decimal"/>
      <w:lvlText w:val="(%9)"/>
      <w:lvlJc w:val="left"/>
      <w:pPr>
        <w:ind w:left="6480" w:hanging="360"/>
      </w:pPr>
    </w:lvl>
  </w:abstractNum>
  <w:abstractNum w:abstractNumId="994394">
    <w:nsid w:val="0A994394"/>
    <w:multiLevelType w:val="multilevel"/>
    <w:lvl w:ilvl="0">
      <w:start w:val="94"/>
      <w:numFmt w:val="decimal"/>
      <w:lvlText w:val="(%1)"/>
      <w:lvlJc w:val="left"/>
      <w:pPr>
        <w:ind w:left="720" w:hanging="360"/>
      </w:pPr>
    </w:lvl>
    <w:lvl w:ilvl="1">
      <w:start w:val="94"/>
      <w:numFmt w:val="decimal"/>
      <w:lvlText w:val="(%2)"/>
      <w:lvlJc w:val="left"/>
      <w:pPr>
        <w:ind w:left="1440" w:hanging="360"/>
      </w:pPr>
    </w:lvl>
    <w:lvl w:ilvl="2">
      <w:start w:val="94"/>
      <w:numFmt w:val="decimal"/>
      <w:lvlText w:val="(%3)"/>
      <w:lvlJc w:val="left"/>
      <w:pPr>
        <w:ind w:left="2160" w:hanging="360"/>
      </w:pPr>
    </w:lvl>
    <w:lvl w:ilvl="3">
      <w:start w:val="94"/>
      <w:numFmt w:val="decimal"/>
      <w:lvlText w:val="(%4)"/>
      <w:lvlJc w:val="left"/>
      <w:pPr>
        <w:ind w:left="2880" w:hanging="360"/>
      </w:pPr>
    </w:lvl>
    <w:lvl w:ilvl="4">
      <w:start w:val="94"/>
      <w:numFmt w:val="decimal"/>
      <w:lvlText w:val="(%5)"/>
      <w:lvlJc w:val="left"/>
      <w:pPr>
        <w:ind w:left="3600" w:hanging="360"/>
      </w:pPr>
    </w:lvl>
    <w:lvl w:ilvl="5">
      <w:start w:val="94"/>
      <w:numFmt w:val="decimal"/>
      <w:lvlText w:val="(%6)"/>
      <w:lvlJc w:val="left"/>
      <w:pPr>
        <w:ind w:left="4320" w:hanging="360"/>
      </w:pPr>
    </w:lvl>
    <w:lvl w:ilvl="6">
      <w:start w:val="94"/>
      <w:numFmt w:val="decimal"/>
      <w:lvlText w:val="(%7)"/>
      <w:lvlJc w:val="left"/>
      <w:pPr>
        <w:ind w:left="5040" w:hanging="360"/>
      </w:pPr>
    </w:lvl>
    <w:lvl w:ilvl="7">
      <w:start w:val="94"/>
      <w:numFmt w:val="decimal"/>
      <w:lvlText w:val="(%8)"/>
      <w:lvlJc w:val="left"/>
      <w:pPr>
        <w:ind w:left="5760" w:hanging="360"/>
      </w:pPr>
    </w:lvl>
    <w:lvl w:ilvl="8">
      <w:start w:val="94"/>
      <w:numFmt w:val="decimal"/>
      <w:lvlText w:val="(%9)"/>
      <w:lvlJc w:val="left"/>
      <w:pPr>
        <w:ind w:left="6480" w:hanging="360"/>
      </w:pPr>
    </w:lvl>
  </w:abstractNum>
  <w:abstractNum w:abstractNumId="9943102">
    <w:nsid w:val="A9943102"/>
    <w:multiLevelType w:val="multilevel"/>
    <w:lvl w:ilvl="0">
      <w:start w:val="102"/>
      <w:numFmt w:val="decimal"/>
      <w:lvlText w:val="(%1)"/>
      <w:lvlJc w:val="left"/>
      <w:pPr>
        <w:ind w:left="720" w:hanging="360"/>
      </w:pPr>
    </w:lvl>
    <w:lvl w:ilvl="1">
      <w:start w:val="102"/>
      <w:numFmt w:val="decimal"/>
      <w:lvlText w:val="(%2)"/>
      <w:lvlJc w:val="left"/>
      <w:pPr>
        <w:ind w:left="1440" w:hanging="360"/>
      </w:pPr>
    </w:lvl>
    <w:lvl w:ilvl="2">
      <w:start w:val="102"/>
      <w:numFmt w:val="decimal"/>
      <w:lvlText w:val="(%3)"/>
      <w:lvlJc w:val="left"/>
      <w:pPr>
        <w:ind w:left="2160" w:hanging="360"/>
      </w:pPr>
    </w:lvl>
    <w:lvl w:ilvl="3">
      <w:start w:val="102"/>
      <w:numFmt w:val="decimal"/>
      <w:lvlText w:val="(%4)"/>
      <w:lvlJc w:val="left"/>
      <w:pPr>
        <w:ind w:left="2880" w:hanging="360"/>
      </w:pPr>
    </w:lvl>
    <w:lvl w:ilvl="4">
      <w:start w:val="102"/>
      <w:numFmt w:val="decimal"/>
      <w:lvlText w:val="(%5)"/>
      <w:lvlJc w:val="left"/>
      <w:pPr>
        <w:ind w:left="3600" w:hanging="360"/>
      </w:pPr>
    </w:lvl>
    <w:lvl w:ilvl="5">
      <w:start w:val="102"/>
      <w:numFmt w:val="decimal"/>
      <w:lvlText w:val="(%6)"/>
      <w:lvlJc w:val="left"/>
      <w:pPr>
        <w:ind w:left="4320" w:hanging="360"/>
      </w:pPr>
    </w:lvl>
    <w:lvl w:ilvl="6">
      <w:start w:val="102"/>
      <w:numFmt w:val="decimal"/>
      <w:lvlText w:val="(%7)"/>
      <w:lvlJc w:val="left"/>
      <w:pPr>
        <w:ind w:left="5040" w:hanging="360"/>
      </w:pPr>
    </w:lvl>
    <w:lvl w:ilvl="7">
      <w:start w:val="102"/>
      <w:numFmt w:val="decimal"/>
      <w:lvlText w:val="(%8)"/>
      <w:lvlJc w:val="left"/>
      <w:pPr>
        <w:ind w:left="5760" w:hanging="360"/>
      </w:pPr>
    </w:lvl>
    <w:lvl w:ilvl="8">
      <w:start w:val="102"/>
      <w:numFmt w:val="decimal"/>
      <w:lvlText w:val="(%9)"/>
      <w:lvlJc w:val="left"/>
      <w:pPr>
        <w:ind w:left="6480" w:hanging="360"/>
      </w:pPr>
    </w:lvl>
  </w:abstractNum>
  <w:abstractNum w:abstractNumId="9943104">
    <w:nsid w:val="A9943104"/>
    <w:multiLevelType w:val="multilevel"/>
    <w:lvl w:ilvl="0">
      <w:start w:val="104"/>
      <w:numFmt w:val="decimal"/>
      <w:lvlText w:val="(%1)"/>
      <w:lvlJc w:val="left"/>
      <w:pPr>
        <w:ind w:left="720" w:hanging="360"/>
      </w:pPr>
    </w:lvl>
    <w:lvl w:ilvl="1">
      <w:start w:val="104"/>
      <w:numFmt w:val="decimal"/>
      <w:lvlText w:val="(%2)"/>
      <w:lvlJc w:val="left"/>
      <w:pPr>
        <w:ind w:left="1440" w:hanging="360"/>
      </w:pPr>
    </w:lvl>
    <w:lvl w:ilvl="2">
      <w:start w:val="104"/>
      <w:numFmt w:val="decimal"/>
      <w:lvlText w:val="(%3)"/>
      <w:lvlJc w:val="left"/>
      <w:pPr>
        <w:ind w:left="2160" w:hanging="360"/>
      </w:pPr>
    </w:lvl>
    <w:lvl w:ilvl="3">
      <w:start w:val="104"/>
      <w:numFmt w:val="decimal"/>
      <w:lvlText w:val="(%4)"/>
      <w:lvlJc w:val="left"/>
      <w:pPr>
        <w:ind w:left="2880" w:hanging="360"/>
      </w:pPr>
    </w:lvl>
    <w:lvl w:ilvl="4">
      <w:start w:val="104"/>
      <w:numFmt w:val="decimal"/>
      <w:lvlText w:val="(%5)"/>
      <w:lvlJc w:val="left"/>
      <w:pPr>
        <w:ind w:left="3600" w:hanging="360"/>
      </w:pPr>
    </w:lvl>
    <w:lvl w:ilvl="5">
      <w:start w:val="104"/>
      <w:numFmt w:val="decimal"/>
      <w:lvlText w:val="(%6)"/>
      <w:lvlJc w:val="left"/>
      <w:pPr>
        <w:ind w:left="4320" w:hanging="360"/>
      </w:pPr>
    </w:lvl>
    <w:lvl w:ilvl="6">
      <w:start w:val="104"/>
      <w:numFmt w:val="decimal"/>
      <w:lvlText w:val="(%7)"/>
      <w:lvlJc w:val="left"/>
      <w:pPr>
        <w:ind w:left="5040" w:hanging="360"/>
      </w:pPr>
    </w:lvl>
    <w:lvl w:ilvl="7">
      <w:start w:val="104"/>
      <w:numFmt w:val="decimal"/>
      <w:lvlText w:val="(%8)"/>
      <w:lvlJc w:val="left"/>
      <w:pPr>
        <w:ind w:left="5760" w:hanging="360"/>
      </w:pPr>
    </w:lvl>
    <w:lvl w:ilvl="8">
      <w:start w:val="104"/>
      <w:numFmt w:val="decimal"/>
      <w:lvlText w:val="(%9)"/>
      <w:lvlJc w:val="left"/>
      <w:pPr>
        <w:ind w:left="6480" w:hanging="360"/>
      </w:pPr>
    </w:lvl>
  </w:abstractNum>
  <w:abstractNum w:abstractNumId="9943110">
    <w:nsid w:val="A9943110"/>
    <w:multiLevelType w:val="multilevel"/>
    <w:lvl w:ilvl="0">
      <w:start w:val="110"/>
      <w:numFmt w:val="decimal"/>
      <w:lvlText w:val="(%1)"/>
      <w:lvlJc w:val="left"/>
      <w:pPr>
        <w:ind w:left="720" w:hanging="360"/>
      </w:pPr>
    </w:lvl>
    <w:lvl w:ilvl="1">
      <w:start w:val="110"/>
      <w:numFmt w:val="decimal"/>
      <w:lvlText w:val="(%2)"/>
      <w:lvlJc w:val="left"/>
      <w:pPr>
        <w:ind w:left="1440" w:hanging="360"/>
      </w:pPr>
    </w:lvl>
    <w:lvl w:ilvl="2">
      <w:start w:val="110"/>
      <w:numFmt w:val="decimal"/>
      <w:lvlText w:val="(%3)"/>
      <w:lvlJc w:val="left"/>
      <w:pPr>
        <w:ind w:left="2160" w:hanging="360"/>
      </w:pPr>
    </w:lvl>
    <w:lvl w:ilvl="3">
      <w:start w:val="110"/>
      <w:numFmt w:val="decimal"/>
      <w:lvlText w:val="(%4)"/>
      <w:lvlJc w:val="left"/>
      <w:pPr>
        <w:ind w:left="2880" w:hanging="360"/>
      </w:pPr>
    </w:lvl>
    <w:lvl w:ilvl="4">
      <w:start w:val="110"/>
      <w:numFmt w:val="decimal"/>
      <w:lvlText w:val="(%5)"/>
      <w:lvlJc w:val="left"/>
      <w:pPr>
        <w:ind w:left="3600" w:hanging="360"/>
      </w:pPr>
    </w:lvl>
    <w:lvl w:ilvl="5">
      <w:start w:val="110"/>
      <w:numFmt w:val="decimal"/>
      <w:lvlText w:val="(%6)"/>
      <w:lvlJc w:val="left"/>
      <w:pPr>
        <w:ind w:left="4320" w:hanging="360"/>
      </w:pPr>
    </w:lvl>
    <w:lvl w:ilvl="6">
      <w:start w:val="110"/>
      <w:numFmt w:val="decimal"/>
      <w:lvlText w:val="(%7)"/>
      <w:lvlJc w:val="left"/>
      <w:pPr>
        <w:ind w:left="5040" w:hanging="360"/>
      </w:pPr>
    </w:lvl>
    <w:lvl w:ilvl="7">
      <w:start w:val="110"/>
      <w:numFmt w:val="decimal"/>
      <w:lvlText w:val="(%8)"/>
      <w:lvlJc w:val="left"/>
      <w:pPr>
        <w:ind w:left="5760" w:hanging="360"/>
      </w:pPr>
    </w:lvl>
    <w:lvl w:ilvl="8">
      <w:start w:val="110"/>
      <w:numFmt w:val="decimal"/>
      <w:lvlText w:val="(%9)"/>
      <w:lvlJc w:val="left"/>
      <w:pPr>
        <w:ind w:left="6480" w:hanging="360"/>
      </w:pPr>
    </w:lvl>
  </w:abstractNum>
  <w:abstractNum w:abstractNumId="9943115">
    <w:nsid w:val="A9943115"/>
    <w:multiLevelType w:val="multilevel"/>
    <w:lvl w:ilvl="0">
      <w:start w:val="115"/>
      <w:numFmt w:val="decimal"/>
      <w:lvlText w:val="(%1)"/>
      <w:lvlJc w:val="left"/>
      <w:pPr>
        <w:ind w:left="720" w:hanging="360"/>
      </w:pPr>
    </w:lvl>
    <w:lvl w:ilvl="1">
      <w:start w:val="115"/>
      <w:numFmt w:val="decimal"/>
      <w:lvlText w:val="(%2)"/>
      <w:lvlJc w:val="left"/>
      <w:pPr>
        <w:ind w:left="1440" w:hanging="360"/>
      </w:pPr>
    </w:lvl>
    <w:lvl w:ilvl="2">
      <w:start w:val="115"/>
      <w:numFmt w:val="decimal"/>
      <w:lvlText w:val="(%3)"/>
      <w:lvlJc w:val="left"/>
      <w:pPr>
        <w:ind w:left="2160" w:hanging="360"/>
      </w:pPr>
    </w:lvl>
    <w:lvl w:ilvl="3">
      <w:start w:val="115"/>
      <w:numFmt w:val="decimal"/>
      <w:lvlText w:val="(%4)"/>
      <w:lvlJc w:val="left"/>
      <w:pPr>
        <w:ind w:left="2880" w:hanging="360"/>
      </w:pPr>
    </w:lvl>
    <w:lvl w:ilvl="4">
      <w:start w:val="115"/>
      <w:numFmt w:val="decimal"/>
      <w:lvlText w:val="(%5)"/>
      <w:lvlJc w:val="left"/>
      <w:pPr>
        <w:ind w:left="3600" w:hanging="360"/>
      </w:pPr>
    </w:lvl>
    <w:lvl w:ilvl="5">
      <w:start w:val="115"/>
      <w:numFmt w:val="decimal"/>
      <w:lvlText w:val="(%6)"/>
      <w:lvlJc w:val="left"/>
      <w:pPr>
        <w:ind w:left="4320" w:hanging="360"/>
      </w:pPr>
    </w:lvl>
    <w:lvl w:ilvl="6">
      <w:start w:val="115"/>
      <w:numFmt w:val="decimal"/>
      <w:lvlText w:val="(%7)"/>
      <w:lvlJc w:val="left"/>
      <w:pPr>
        <w:ind w:left="5040" w:hanging="360"/>
      </w:pPr>
    </w:lvl>
    <w:lvl w:ilvl="7">
      <w:start w:val="115"/>
      <w:numFmt w:val="decimal"/>
      <w:lvlText w:val="(%8)"/>
      <w:lvlJc w:val="left"/>
      <w:pPr>
        <w:ind w:left="5760" w:hanging="360"/>
      </w:pPr>
    </w:lvl>
    <w:lvl w:ilvl="8">
      <w:start w:val="115"/>
      <w:numFmt w:val="decimal"/>
      <w:lvlText w:val="(%9)"/>
      <w:lvlJc w:val="left"/>
      <w:pPr>
        <w:ind w:left="6480" w:hanging="360"/>
      </w:pPr>
    </w:lvl>
  </w:abstractNum>
  <w:abstractNum w:abstractNumId="99412021">
    <w:nsid w:val="A99412021"/>
    <w:multiLevelType w:val="multilevel"/>
    <w:lvl w:ilvl="0">
      <w:start w:val="2021"/>
      <w:numFmt w:val="decimal"/>
      <w:lvlText w:val="%1."/>
      <w:lvlJc w:val="left"/>
      <w:pPr>
        <w:ind w:left="720" w:hanging="360"/>
      </w:pPr>
    </w:lvl>
    <w:lvl w:ilvl="1">
      <w:start w:val="2021"/>
      <w:numFmt w:val="decimal"/>
      <w:lvlText w:val="%2."/>
      <w:lvlJc w:val="left"/>
      <w:pPr>
        <w:ind w:left="1440" w:hanging="360"/>
      </w:pPr>
    </w:lvl>
    <w:lvl w:ilvl="2">
      <w:start w:val="2021"/>
      <w:numFmt w:val="decimal"/>
      <w:lvlText w:val="%3."/>
      <w:lvlJc w:val="left"/>
      <w:pPr>
        <w:ind w:left="2160" w:hanging="360"/>
      </w:pPr>
    </w:lvl>
    <w:lvl w:ilvl="3">
      <w:start w:val="2021"/>
      <w:numFmt w:val="decimal"/>
      <w:lvlText w:val="%4."/>
      <w:lvlJc w:val="left"/>
      <w:pPr>
        <w:ind w:left="2880" w:hanging="360"/>
      </w:pPr>
    </w:lvl>
    <w:lvl w:ilvl="4">
      <w:start w:val="2021"/>
      <w:numFmt w:val="decimal"/>
      <w:lvlText w:val="%5."/>
      <w:lvlJc w:val="left"/>
      <w:pPr>
        <w:ind w:left="3600" w:hanging="360"/>
      </w:pPr>
    </w:lvl>
    <w:lvl w:ilvl="5">
      <w:start w:val="2021"/>
      <w:numFmt w:val="decimal"/>
      <w:lvlText w:val="%6."/>
      <w:lvlJc w:val="left"/>
      <w:pPr>
        <w:ind w:left="4320" w:hanging="360"/>
      </w:pPr>
    </w:lvl>
    <w:lvl w:ilvl="6">
      <w:start w:val="2021"/>
      <w:numFmt w:val="decimal"/>
      <w:lvlText w:val="%7."/>
      <w:lvlJc w:val="left"/>
      <w:pPr>
        <w:ind w:left="5040" w:hanging="360"/>
      </w:pPr>
    </w:lvl>
    <w:lvl w:ilvl="7">
      <w:start w:val="2021"/>
      <w:numFmt w:val="decimal"/>
      <w:lvlText w:val="%8."/>
      <w:lvlJc w:val="left"/>
      <w:pPr>
        <w:ind w:left="5760" w:hanging="360"/>
      </w:pPr>
    </w:lvl>
    <w:lvl w:ilvl="8">
      <w:start w:val="2021"/>
      <w:numFmt w:val="decimal"/>
      <w:lvlText w:val="%9."/>
      <w:lvlJc w:val="left"/>
      <w:pPr>
        <w:ind w:left="6480" w:hanging="360"/>
      </w:pPr>
    </w:lvl>
  </w:abstractNum>
  <w:abstractNum w:abstractNumId="9943116">
    <w:nsid w:val="A9943116"/>
    <w:multiLevelType w:val="multilevel"/>
    <w:lvl w:ilvl="0">
      <w:start w:val="116"/>
      <w:numFmt w:val="decimal"/>
      <w:lvlText w:val="(%1)"/>
      <w:lvlJc w:val="left"/>
      <w:pPr>
        <w:ind w:left="720" w:hanging="360"/>
      </w:pPr>
    </w:lvl>
    <w:lvl w:ilvl="1">
      <w:start w:val="116"/>
      <w:numFmt w:val="decimal"/>
      <w:lvlText w:val="(%2)"/>
      <w:lvlJc w:val="left"/>
      <w:pPr>
        <w:ind w:left="1440" w:hanging="360"/>
      </w:pPr>
    </w:lvl>
    <w:lvl w:ilvl="2">
      <w:start w:val="116"/>
      <w:numFmt w:val="decimal"/>
      <w:lvlText w:val="(%3)"/>
      <w:lvlJc w:val="left"/>
      <w:pPr>
        <w:ind w:left="2160" w:hanging="360"/>
      </w:pPr>
    </w:lvl>
    <w:lvl w:ilvl="3">
      <w:start w:val="116"/>
      <w:numFmt w:val="decimal"/>
      <w:lvlText w:val="(%4)"/>
      <w:lvlJc w:val="left"/>
      <w:pPr>
        <w:ind w:left="2880" w:hanging="360"/>
      </w:pPr>
    </w:lvl>
    <w:lvl w:ilvl="4">
      <w:start w:val="116"/>
      <w:numFmt w:val="decimal"/>
      <w:lvlText w:val="(%5)"/>
      <w:lvlJc w:val="left"/>
      <w:pPr>
        <w:ind w:left="3600" w:hanging="360"/>
      </w:pPr>
    </w:lvl>
    <w:lvl w:ilvl="5">
      <w:start w:val="116"/>
      <w:numFmt w:val="decimal"/>
      <w:lvlText w:val="(%6)"/>
      <w:lvlJc w:val="left"/>
      <w:pPr>
        <w:ind w:left="4320" w:hanging="360"/>
      </w:pPr>
    </w:lvl>
    <w:lvl w:ilvl="6">
      <w:start w:val="116"/>
      <w:numFmt w:val="decimal"/>
      <w:lvlText w:val="(%7)"/>
      <w:lvlJc w:val="left"/>
      <w:pPr>
        <w:ind w:left="5040" w:hanging="360"/>
      </w:pPr>
    </w:lvl>
    <w:lvl w:ilvl="7">
      <w:start w:val="116"/>
      <w:numFmt w:val="decimal"/>
      <w:lvlText w:val="(%8)"/>
      <w:lvlJc w:val="left"/>
      <w:pPr>
        <w:ind w:left="5760" w:hanging="360"/>
      </w:pPr>
    </w:lvl>
    <w:lvl w:ilvl="8">
      <w:start w:val="116"/>
      <w:numFmt w:val="decimal"/>
      <w:lvlText w:val="(%9)"/>
      <w:lvlJc w:val="left"/>
      <w:pPr>
        <w:ind w:left="6480" w:hanging="360"/>
      </w:pPr>
    </w:lvl>
  </w:abstractNum>
  <w:abstractNum w:abstractNumId="9943118">
    <w:nsid w:val="A9943118"/>
    <w:multiLevelType w:val="multilevel"/>
    <w:lvl w:ilvl="0">
      <w:start w:val="118"/>
      <w:numFmt w:val="decimal"/>
      <w:lvlText w:val="(%1)"/>
      <w:lvlJc w:val="left"/>
      <w:pPr>
        <w:ind w:left="720" w:hanging="360"/>
      </w:pPr>
    </w:lvl>
    <w:lvl w:ilvl="1">
      <w:start w:val="118"/>
      <w:numFmt w:val="decimal"/>
      <w:lvlText w:val="(%2)"/>
      <w:lvlJc w:val="left"/>
      <w:pPr>
        <w:ind w:left="1440" w:hanging="360"/>
      </w:pPr>
    </w:lvl>
    <w:lvl w:ilvl="2">
      <w:start w:val="118"/>
      <w:numFmt w:val="decimal"/>
      <w:lvlText w:val="(%3)"/>
      <w:lvlJc w:val="left"/>
      <w:pPr>
        <w:ind w:left="2160" w:hanging="360"/>
      </w:pPr>
    </w:lvl>
    <w:lvl w:ilvl="3">
      <w:start w:val="118"/>
      <w:numFmt w:val="decimal"/>
      <w:lvlText w:val="(%4)"/>
      <w:lvlJc w:val="left"/>
      <w:pPr>
        <w:ind w:left="2880" w:hanging="360"/>
      </w:pPr>
    </w:lvl>
    <w:lvl w:ilvl="4">
      <w:start w:val="118"/>
      <w:numFmt w:val="decimal"/>
      <w:lvlText w:val="(%5)"/>
      <w:lvlJc w:val="left"/>
      <w:pPr>
        <w:ind w:left="3600" w:hanging="360"/>
      </w:pPr>
    </w:lvl>
    <w:lvl w:ilvl="5">
      <w:start w:val="118"/>
      <w:numFmt w:val="decimal"/>
      <w:lvlText w:val="(%6)"/>
      <w:lvlJc w:val="left"/>
      <w:pPr>
        <w:ind w:left="4320" w:hanging="360"/>
      </w:pPr>
    </w:lvl>
    <w:lvl w:ilvl="6">
      <w:start w:val="118"/>
      <w:numFmt w:val="decimal"/>
      <w:lvlText w:val="(%7)"/>
      <w:lvlJc w:val="left"/>
      <w:pPr>
        <w:ind w:left="5040" w:hanging="360"/>
      </w:pPr>
    </w:lvl>
    <w:lvl w:ilvl="7">
      <w:start w:val="118"/>
      <w:numFmt w:val="decimal"/>
      <w:lvlText w:val="(%8)"/>
      <w:lvlJc w:val="left"/>
      <w:pPr>
        <w:ind w:left="5760" w:hanging="360"/>
      </w:pPr>
    </w:lvl>
    <w:lvl w:ilvl="8">
      <w:start w:val="118"/>
      <w:numFmt w:val="decimal"/>
      <w:lvlText w:val="(%9)"/>
      <w:lvlJc w:val="left"/>
      <w:pPr>
        <w:ind w:left="6480" w:hanging="360"/>
      </w:pPr>
    </w:lvl>
  </w:abstractNum>
  <w:abstractNum w:abstractNumId="9943128">
    <w:nsid w:val="A9943128"/>
    <w:multiLevelType w:val="multilevel"/>
    <w:lvl w:ilvl="0">
      <w:start w:val="128"/>
      <w:numFmt w:val="decimal"/>
      <w:lvlText w:val="(%1)"/>
      <w:lvlJc w:val="left"/>
      <w:pPr>
        <w:ind w:left="720" w:hanging="360"/>
      </w:pPr>
    </w:lvl>
    <w:lvl w:ilvl="1">
      <w:start w:val="128"/>
      <w:numFmt w:val="decimal"/>
      <w:lvlText w:val="(%2)"/>
      <w:lvlJc w:val="left"/>
      <w:pPr>
        <w:ind w:left="1440" w:hanging="360"/>
      </w:pPr>
    </w:lvl>
    <w:lvl w:ilvl="2">
      <w:start w:val="128"/>
      <w:numFmt w:val="decimal"/>
      <w:lvlText w:val="(%3)"/>
      <w:lvlJc w:val="left"/>
      <w:pPr>
        <w:ind w:left="2160" w:hanging="360"/>
      </w:pPr>
    </w:lvl>
    <w:lvl w:ilvl="3">
      <w:start w:val="128"/>
      <w:numFmt w:val="decimal"/>
      <w:lvlText w:val="(%4)"/>
      <w:lvlJc w:val="left"/>
      <w:pPr>
        <w:ind w:left="2880" w:hanging="360"/>
      </w:pPr>
    </w:lvl>
    <w:lvl w:ilvl="4">
      <w:start w:val="128"/>
      <w:numFmt w:val="decimal"/>
      <w:lvlText w:val="(%5)"/>
      <w:lvlJc w:val="left"/>
      <w:pPr>
        <w:ind w:left="3600" w:hanging="360"/>
      </w:pPr>
    </w:lvl>
    <w:lvl w:ilvl="5">
      <w:start w:val="128"/>
      <w:numFmt w:val="decimal"/>
      <w:lvlText w:val="(%6)"/>
      <w:lvlJc w:val="left"/>
      <w:pPr>
        <w:ind w:left="4320" w:hanging="360"/>
      </w:pPr>
    </w:lvl>
    <w:lvl w:ilvl="6">
      <w:start w:val="128"/>
      <w:numFmt w:val="decimal"/>
      <w:lvlText w:val="(%7)"/>
      <w:lvlJc w:val="left"/>
      <w:pPr>
        <w:ind w:left="5040" w:hanging="360"/>
      </w:pPr>
    </w:lvl>
    <w:lvl w:ilvl="7">
      <w:start w:val="128"/>
      <w:numFmt w:val="decimal"/>
      <w:lvlText w:val="(%8)"/>
      <w:lvlJc w:val="left"/>
      <w:pPr>
        <w:ind w:left="5760" w:hanging="360"/>
      </w:pPr>
    </w:lvl>
    <w:lvl w:ilvl="8">
      <w:start w:val="128"/>
      <w:numFmt w:val="decimal"/>
      <w:lvlText w:val="(%9)"/>
      <w:lvlJc w:val="left"/>
      <w:pPr>
        <w:ind w:left="6480" w:hanging="360"/>
      </w:pPr>
    </w:lvl>
  </w:abstractNum>
  <w:abstractNum w:abstractNumId="9943135">
    <w:nsid w:val="A9943135"/>
    <w:multiLevelType w:val="multilevel"/>
    <w:lvl w:ilvl="0">
      <w:start w:val="135"/>
      <w:numFmt w:val="decimal"/>
      <w:lvlText w:val="(%1)"/>
      <w:lvlJc w:val="left"/>
      <w:pPr>
        <w:ind w:left="720" w:hanging="360"/>
      </w:pPr>
    </w:lvl>
    <w:lvl w:ilvl="1">
      <w:start w:val="135"/>
      <w:numFmt w:val="decimal"/>
      <w:lvlText w:val="(%2)"/>
      <w:lvlJc w:val="left"/>
      <w:pPr>
        <w:ind w:left="1440" w:hanging="360"/>
      </w:pPr>
    </w:lvl>
    <w:lvl w:ilvl="2">
      <w:start w:val="135"/>
      <w:numFmt w:val="decimal"/>
      <w:lvlText w:val="(%3)"/>
      <w:lvlJc w:val="left"/>
      <w:pPr>
        <w:ind w:left="2160" w:hanging="360"/>
      </w:pPr>
    </w:lvl>
    <w:lvl w:ilvl="3">
      <w:start w:val="135"/>
      <w:numFmt w:val="decimal"/>
      <w:lvlText w:val="(%4)"/>
      <w:lvlJc w:val="left"/>
      <w:pPr>
        <w:ind w:left="2880" w:hanging="360"/>
      </w:pPr>
    </w:lvl>
    <w:lvl w:ilvl="4">
      <w:start w:val="135"/>
      <w:numFmt w:val="decimal"/>
      <w:lvlText w:val="(%5)"/>
      <w:lvlJc w:val="left"/>
      <w:pPr>
        <w:ind w:left="3600" w:hanging="360"/>
      </w:pPr>
    </w:lvl>
    <w:lvl w:ilvl="5">
      <w:start w:val="135"/>
      <w:numFmt w:val="decimal"/>
      <w:lvlText w:val="(%6)"/>
      <w:lvlJc w:val="left"/>
      <w:pPr>
        <w:ind w:left="4320" w:hanging="360"/>
      </w:pPr>
    </w:lvl>
    <w:lvl w:ilvl="6">
      <w:start w:val="135"/>
      <w:numFmt w:val="decimal"/>
      <w:lvlText w:val="(%7)"/>
      <w:lvlJc w:val="left"/>
      <w:pPr>
        <w:ind w:left="5040" w:hanging="360"/>
      </w:pPr>
    </w:lvl>
    <w:lvl w:ilvl="7">
      <w:start w:val="135"/>
      <w:numFmt w:val="decimal"/>
      <w:lvlText w:val="(%8)"/>
      <w:lvlJc w:val="left"/>
      <w:pPr>
        <w:ind w:left="5760" w:hanging="360"/>
      </w:pPr>
    </w:lvl>
    <w:lvl w:ilvl="8">
      <w:start w:val="135"/>
      <w:numFmt w:val="decimal"/>
      <w:lvlText w:val="(%9)"/>
      <w:lvlJc w:val="left"/>
      <w:pPr>
        <w:ind w:left="6480" w:hanging="360"/>
      </w:pPr>
    </w:lvl>
  </w:abstractNum>
  <w:abstractNum w:abstractNumId="9943142">
    <w:nsid w:val="A9943142"/>
    <w:multiLevelType w:val="multilevel"/>
    <w:lvl w:ilvl="0">
      <w:start w:val="142"/>
      <w:numFmt w:val="decimal"/>
      <w:lvlText w:val="(%1)"/>
      <w:lvlJc w:val="left"/>
      <w:pPr>
        <w:ind w:left="720" w:hanging="360"/>
      </w:pPr>
    </w:lvl>
    <w:lvl w:ilvl="1">
      <w:start w:val="142"/>
      <w:numFmt w:val="decimal"/>
      <w:lvlText w:val="(%2)"/>
      <w:lvlJc w:val="left"/>
      <w:pPr>
        <w:ind w:left="1440" w:hanging="360"/>
      </w:pPr>
    </w:lvl>
    <w:lvl w:ilvl="2">
      <w:start w:val="142"/>
      <w:numFmt w:val="decimal"/>
      <w:lvlText w:val="(%3)"/>
      <w:lvlJc w:val="left"/>
      <w:pPr>
        <w:ind w:left="2160" w:hanging="360"/>
      </w:pPr>
    </w:lvl>
    <w:lvl w:ilvl="3">
      <w:start w:val="142"/>
      <w:numFmt w:val="decimal"/>
      <w:lvlText w:val="(%4)"/>
      <w:lvlJc w:val="left"/>
      <w:pPr>
        <w:ind w:left="2880" w:hanging="360"/>
      </w:pPr>
    </w:lvl>
    <w:lvl w:ilvl="4">
      <w:start w:val="142"/>
      <w:numFmt w:val="decimal"/>
      <w:lvlText w:val="(%5)"/>
      <w:lvlJc w:val="left"/>
      <w:pPr>
        <w:ind w:left="3600" w:hanging="360"/>
      </w:pPr>
    </w:lvl>
    <w:lvl w:ilvl="5">
      <w:start w:val="142"/>
      <w:numFmt w:val="decimal"/>
      <w:lvlText w:val="(%6)"/>
      <w:lvlJc w:val="left"/>
      <w:pPr>
        <w:ind w:left="4320" w:hanging="360"/>
      </w:pPr>
    </w:lvl>
    <w:lvl w:ilvl="6">
      <w:start w:val="142"/>
      <w:numFmt w:val="decimal"/>
      <w:lvlText w:val="(%7)"/>
      <w:lvlJc w:val="left"/>
      <w:pPr>
        <w:ind w:left="5040" w:hanging="360"/>
      </w:pPr>
    </w:lvl>
    <w:lvl w:ilvl="7">
      <w:start w:val="142"/>
      <w:numFmt w:val="decimal"/>
      <w:lvlText w:val="(%8)"/>
      <w:lvlJc w:val="left"/>
      <w:pPr>
        <w:ind w:left="5760" w:hanging="360"/>
      </w:pPr>
    </w:lvl>
    <w:lvl w:ilvl="8">
      <w:start w:val="142"/>
      <w:numFmt w:val="decimal"/>
      <w:lvlText w:val="(%9)"/>
      <w:lvlJc w:val="left"/>
      <w:pPr>
        <w:ind w:left="6480" w:hanging="360"/>
      </w:pPr>
    </w:lvl>
  </w:abstractNum>
  <w:abstractNum w:abstractNumId="9943144">
    <w:nsid w:val="A9943144"/>
    <w:multiLevelType w:val="multilevel"/>
    <w:lvl w:ilvl="0">
      <w:start w:val="144"/>
      <w:numFmt w:val="decimal"/>
      <w:lvlText w:val="(%1)"/>
      <w:lvlJc w:val="left"/>
      <w:pPr>
        <w:ind w:left="720" w:hanging="360"/>
      </w:pPr>
    </w:lvl>
    <w:lvl w:ilvl="1">
      <w:start w:val="144"/>
      <w:numFmt w:val="decimal"/>
      <w:lvlText w:val="(%2)"/>
      <w:lvlJc w:val="left"/>
      <w:pPr>
        <w:ind w:left="1440" w:hanging="360"/>
      </w:pPr>
    </w:lvl>
    <w:lvl w:ilvl="2">
      <w:start w:val="144"/>
      <w:numFmt w:val="decimal"/>
      <w:lvlText w:val="(%3)"/>
      <w:lvlJc w:val="left"/>
      <w:pPr>
        <w:ind w:left="2160" w:hanging="360"/>
      </w:pPr>
    </w:lvl>
    <w:lvl w:ilvl="3">
      <w:start w:val="144"/>
      <w:numFmt w:val="decimal"/>
      <w:lvlText w:val="(%4)"/>
      <w:lvlJc w:val="left"/>
      <w:pPr>
        <w:ind w:left="2880" w:hanging="360"/>
      </w:pPr>
    </w:lvl>
    <w:lvl w:ilvl="4">
      <w:start w:val="144"/>
      <w:numFmt w:val="decimal"/>
      <w:lvlText w:val="(%5)"/>
      <w:lvlJc w:val="left"/>
      <w:pPr>
        <w:ind w:left="3600" w:hanging="360"/>
      </w:pPr>
    </w:lvl>
    <w:lvl w:ilvl="5">
      <w:start w:val="144"/>
      <w:numFmt w:val="decimal"/>
      <w:lvlText w:val="(%6)"/>
      <w:lvlJc w:val="left"/>
      <w:pPr>
        <w:ind w:left="4320" w:hanging="360"/>
      </w:pPr>
    </w:lvl>
    <w:lvl w:ilvl="6">
      <w:start w:val="144"/>
      <w:numFmt w:val="decimal"/>
      <w:lvlText w:val="(%7)"/>
      <w:lvlJc w:val="left"/>
      <w:pPr>
        <w:ind w:left="5040" w:hanging="360"/>
      </w:pPr>
    </w:lvl>
    <w:lvl w:ilvl="7">
      <w:start w:val="144"/>
      <w:numFmt w:val="decimal"/>
      <w:lvlText w:val="(%8)"/>
      <w:lvlJc w:val="left"/>
      <w:pPr>
        <w:ind w:left="5760" w:hanging="360"/>
      </w:pPr>
    </w:lvl>
    <w:lvl w:ilvl="8">
      <w:start w:val="144"/>
      <w:numFmt w:val="decimal"/>
      <w:lvlText w:val="(%9)"/>
      <w:lvlJc w:val="left"/>
      <w:pPr>
        <w:ind w:left="6480" w:hanging="360"/>
      </w:pPr>
    </w:lvl>
  </w:abstractNum>
  <w:abstractNum w:abstractNumId="9943146">
    <w:nsid w:val="A9943146"/>
    <w:multiLevelType w:val="multilevel"/>
    <w:lvl w:ilvl="0">
      <w:start w:val="146"/>
      <w:numFmt w:val="decimal"/>
      <w:lvlText w:val="(%1)"/>
      <w:lvlJc w:val="left"/>
      <w:pPr>
        <w:ind w:left="720" w:hanging="360"/>
      </w:pPr>
    </w:lvl>
    <w:lvl w:ilvl="1">
      <w:start w:val="146"/>
      <w:numFmt w:val="decimal"/>
      <w:lvlText w:val="(%2)"/>
      <w:lvlJc w:val="left"/>
      <w:pPr>
        <w:ind w:left="1440" w:hanging="360"/>
      </w:pPr>
    </w:lvl>
    <w:lvl w:ilvl="2">
      <w:start w:val="146"/>
      <w:numFmt w:val="decimal"/>
      <w:lvlText w:val="(%3)"/>
      <w:lvlJc w:val="left"/>
      <w:pPr>
        <w:ind w:left="2160" w:hanging="360"/>
      </w:pPr>
    </w:lvl>
    <w:lvl w:ilvl="3">
      <w:start w:val="146"/>
      <w:numFmt w:val="decimal"/>
      <w:lvlText w:val="(%4)"/>
      <w:lvlJc w:val="left"/>
      <w:pPr>
        <w:ind w:left="2880" w:hanging="360"/>
      </w:pPr>
    </w:lvl>
    <w:lvl w:ilvl="4">
      <w:start w:val="146"/>
      <w:numFmt w:val="decimal"/>
      <w:lvlText w:val="(%5)"/>
      <w:lvlJc w:val="left"/>
      <w:pPr>
        <w:ind w:left="3600" w:hanging="360"/>
      </w:pPr>
    </w:lvl>
    <w:lvl w:ilvl="5">
      <w:start w:val="146"/>
      <w:numFmt w:val="decimal"/>
      <w:lvlText w:val="(%6)"/>
      <w:lvlJc w:val="left"/>
      <w:pPr>
        <w:ind w:left="4320" w:hanging="360"/>
      </w:pPr>
    </w:lvl>
    <w:lvl w:ilvl="6">
      <w:start w:val="146"/>
      <w:numFmt w:val="decimal"/>
      <w:lvlText w:val="(%7)"/>
      <w:lvlJc w:val="left"/>
      <w:pPr>
        <w:ind w:left="5040" w:hanging="360"/>
      </w:pPr>
    </w:lvl>
    <w:lvl w:ilvl="7">
      <w:start w:val="146"/>
      <w:numFmt w:val="decimal"/>
      <w:lvlText w:val="(%8)"/>
      <w:lvlJc w:val="left"/>
      <w:pPr>
        <w:ind w:left="5760" w:hanging="360"/>
      </w:pPr>
    </w:lvl>
    <w:lvl w:ilvl="8">
      <w:start w:val="146"/>
      <w:numFmt w:val="decimal"/>
      <w:lvlText w:val="(%9)"/>
      <w:lvlJc w:val="left"/>
      <w:pPr>
        <w:ind w:left="6480" w:hanging="360"/>
      </w:pPr>
    </w:lvl>
  </w:abstractNum>
  <w:abstractNum w:abstractNumId="9943147">
    <w:nsid w:val="A9943147"/>
    <w:multiLevelType w:val="multilevel"/>
    <w:lvl w:ilvl="0">
      <w:start w:val="147"/>
      <w:numFmt w:val="decimal"/>
      <w:lvlText w:val="(%1)"/>
      <w:lvlJc w:val="left"/>
      <w:pPr>
        <w:ind w:left="720" w:hanging="360"/>
      </w:pPr>
    </w:lvl>
    <w:lvl w:ilvl="1">
      <w:start w:val="147"/>
      <w:numFmt w:val="decimal"/>
      <w:lvlText w:val="(%2)"/>
      <w:lvlJc w:val="left"/>
      <w:pPr>
        <w:ind w:left="1440" w:hanging="360"/>
      </w:pPr>
    </w:lvl>
    <w:lvl w:ilvl="2">
      <w:start w:val="147"/>
      <w:numFmt w:val="decimal"/>
      <w:lvlText w:val="(%3)"/>
      <w:lvlJc w:val="left"/>
      <w:pPr>
        <w:ind w:left="2160" w:hanging="360"/>
      </w:pPr>
    </w:lvl>
    <w:lvl w:ilvl="3">
      <w:start w:val="147"/>
      <w:numFmt w:val="decimal"/>
      <w:lvlText w:val="(%4)"/>
      <w:lvlJc w:val="left"/>
      <w:pPr>
        <w:ind w:left="2880" w:hanging="360"/>
      </w:pPr>
    </w:lvl>
    <w:lvl w:ilvl="4">
      <w:start w:val="147"/>
      <w:numFmt w:val="decimal"/>
      <w:lvlText w:val="(%5)"/>
      <w:lvlJc w:val="left"/>
      <w:pPr>
        <w:ind w:left="3600" w:hanging="360"/>
      </w:pPr>
    </w:lvl>
    <w:lvl w:ilvl="5">
      <w:start w:val="147"/>
      <w:numFmt w:val="decimal"/>
      <w:lvlText w:val="(%6)"/>
      <w:lvlJc w:val="left"/>
      <w:pPr>
        <w:ind w:left="4320" w:hanging="360"/>
      </w:pPr>
    </w:lvl>
    <w:lvl w:ilvl="6">
      <w:start w:val="147"/>
      <w:numFmt w:val="decimal"/>
      <w:lvlText w:val="(%7)"/>
      <w:lvlJc w:val="left"/>
      <w:pPr>
        <w:ind w:left="5040" w:hanging="360"/>
      </w:pPr>
    </w:lvl>
    <w:lvl w:ilvl="7">
      <w:start w:val="147"/>
      <w:numFmt w:val="decimal"/>
      <w:lvlText w:val="(%8)"/>
      <w:lvlJc w:val="left"/>
      <w:pPr>
        <w:ind w:left="5760" w:hanging="360"/>
      </w:pPr>
    </w:lvl>
    <w:lvl w:ilvl="8">
      <w:start w:val="147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59">
    <w:nsid w:val="A9943159"/>
    <w:multiLevelType w:val="multilevel"/>
    <w:lvl w:ilvl="0">
      <w:start w:val="159"/>
      <w:numFmt w:val="decimal"/>
      <w:lvlText w:val="(%1)"/>
      <w:lvlJc w:val="left"/>
      <w:pPr>
        <w:ind w:left="720" w:hanging="360"/>
      </w:pPr>
    </w:lvl>
    <w:lvl w:ilvl="1">
      <w:start w:val="159"/>
      <w:numFmt w:val="decimal"/>
      <w:lvlText w:val="(%2)"/>
      <w:lvlJc w:val="left"/>
      <w:pPr>
        <w:ind w:left="1440" w:hanging="360"/>
      </w:pPr>
    </w:lvl>
    <w:lvl w:ilvl="2">
      <w:start w:val="159"/>
      <w:numFmt w:val="decimal"/>
      <w:lvlText w:val="(%3)"/>
      <w:lvlJc w:val="left"/>
      <w:pPr>
        <w:ind w:left="2160" w:hanging="360"/>
      </w:pPr>
    </w:lvl>
    <w:lvl w:ilvl="3">
      <w:start w:val="159"/>
      <w:numFmt w:val="decimal"/>
      <w:lvlText w:val="(%4)"/>
      <w:lvlJc w:val="left"/>
      <w:pPr>
        <w:ind w:left="2880" w:hanging="360"/>
      </w:pPr>
    </w:lvl>
    <w:lvl w:ilvl="4">
      <w:start w:val="159"/>
      <w:numFmt w:val="decimal"/>
      <w:lvlText w:val="(%5)"/>
      <w:lvlJc w:val="left"/>
      <w:pPr>
        <w:ind w:left="3600" w:hanging="360"/>
      </w:pPr>
    </w:lvl>
    <w:lvl w:ilvl="5">
      <w:start w:val="159"/>
      <w:numFmt w:val="decimal"/>
      <w:lvlText w:val="(%6)"/>
      <w:lvlJc w:val="left"/>
      <w:pPr>
        <w:ind w:left="4320" w:hanging="360"/>
      </w:pPr>
    </w:lvl>
    <w:lvl w:ilvl="6">
      <w:start w:val="159"/>
      <w:numFmt w:val="decimal"/>
      <w:lvlText w:val="(%7)"/>
      <w:lvlJc w:val="left"/>
      <w:pPr>
        <w:ind w:left="5040" w:hanging="360"/>
      </w:pPr>
    </w:lvl>
    <w:lvl w:ilvl="7">
      <w:start w:val="159"/>
      <w:numFmt w:val="decimal"/>
      <w:lvlText w:val="(%8)"/>
      <w:lvlJc w:val="left"/>
      <w:pPr>
        <w:ind w:left="5760" w:hanging="360"/>
      </w:pPr>
    </w:lvl>
    <w:lvl w:ilvl="8">
      <w:start w:val="159"/>
      <w:numFmt w:val="decimal"/>
      <w:lvlText w:val="(%9)"/>
      <w:lvlJc w:val="left"/>
      <w:pPr>
        <w:ind w:left="6480" w:hanging="360"/>
      </w:pPr>
    </w:lvl>
  </w:abstractNum>
  <w:abstractNum w:abstractNumId="9943161">
    <w:nsid w:val="A9943161"/>
    <w:multiLevelType w:val="multilevel"/>
    <w:lvl w:ilvl="0">
      <w:start w:val="161"/>
      <w:numFmt w:val="decimal"/>
      <w:lvlText w:val="(%1)"/>
      <w:lvlJc w:val="left"/>
      <w:pPr>
        <w:ind w:left="720" w:hanging="360"/>
      </w:pPr>
    </w:lvl>
    <w:lvl w:ilvl="1">
      <w:start w:val="161"/>
      <w:numFmt w:val="decimal"/>
      <w:lvlText w:val="(%2)"/>
      <w:lvlJc w:val="left"/>
      <w:pPr>
        <w:ind w:left="1440" w:hanging="360"/>
      </w:pPr>
    </w:lvl>
    <w:lvl w:ilvl="2">
      <w:start w:val="161"/>
      <w:numFmt w:val="decimal"/>
      <w:lvlText w:val="(%3)"/>
      <w:lvlJc w:val="left"/>
      <w:pPr>
        <w:ind w:left="2160" w:hanging="360"/>
      </w:pPr>
    </w:lvl>
    <w:lvl w:ilvl="3">
      <w:start w:val="161"/>
      <w:numFmt w:val="decimal"/>
      <w:lvlText w:val="(%4)"/>
      <w:lvlJc w:val="left"/>
      <w:pPr>
        <w:ind w:left="2880" w:hanging="360"/>
      </w:pPr>
    </w:lvl>
    <w:lvl w:ilvl="4">
      <w:start w:val="161"/>
      <w:numFmt w:val="decimal"/>
      <w:lvlText w:val="(%5)"/>
      <w:lvlJc w:val="left"/>
      <w:pPr>
        <w:ind w:left="3600" w:hanging="360"/>
      </w:pPr>
    </w:lvl>
    <w:lvl w:ilvl="5">
      <w:start w:val="161"/>
      <w:numFmt w:val="decimal"/>
      <w:lvlText w:val="(%6)"/>
      <w:lvlJc w:val="left"/>
      <w:pPr>
        <w:ind w:left="4320" w:hanging="360"/>
      </w:pPr>
    </w:lvl>
    <w:lvl w:ilvl="6">
      <w:start w:val="161"/>
      <w:numFmt w:val="decimal"/>
      <w:lvlText w:val="(%7)"/>
      <w:lvlJc w:val="left"/>
      <w:pPr>
        <w:ind w:left="5040" w:hanging="360"/>
      </w:pPr>
    </w:lvl>
    <w:lvl w:ilvl="7">
      <w:start w:val="161"/>
      <w:numFmt w:val="decimal"/>
      <w:lvlText w:val="(%8)"/>
      <w:lvlJc w:val="left"/>
      <w:pPr>
        <w:ind w:left="5760" w:hanging="360"/>
      </w:pPr>
    </w:lvl>
    <w:lvl w:ilvl="8">
      <w:start w:val="161"/>
      <w:numFmt w:val="decimal"/>
      <w:lvlText w:val="(%9)"/>
      <w:lvlJc w:val="left"/>
      <w:pPr>
        <w:ind w:left="6480" w:hanging="360"/>
      </w:pPr>
    </w:lvl>
  </w:abstractNum>
  <w:abstractNum w:abstractNumId="9943162">
    <w:nsid w:val="A9943162"/>
    <w:multiLevelType w:val="multilevel"/>
    <w:lvl w:ilvl="0">
      <w:start w:val="162"/>
      <w:numFmt w:val="decimal"/>
      <w:lvlText w:val="(%1)"/>
      <w:lvlJc w:val="left"/>
      <w:pPr>
        <w:ind w:left="720" w:hanging="360"/>
      </w:pPr>
    </w:lvl>
    <w:lvl w:ilvl="1">
      <w:start w:val="162"/>
      <w:numFmt w:val="decimal"/>
      <w:lvlText w:val="(%2)"/>
      <w:lvlJc w:val="left"/>
      <w:pPr>
        <w:ind w:left="1440" w:hanging="360"/>
      </w:pPr>
    </w:lvl>
    <w:lvl w:ilvl="2">
      <w:start w:val="162"/>
      <w:numFmt w:val="decimal"/>
      <w:lvlText w:val="(%3)"/>
      <w:lvlJc w:val="left"/>
      <w:pPr>
        <w:ind w:left="2160" w:hanging="360"/>
      </w:pPr>
    </w:lvl>
    <w:lvl w:ilvl="3">
      <w:start w:val="162"/>
      <w:numFmt w:val="decimal"/>
      <w:lvlText w:val="(%4)"/>
      <w:lvlJc w:val="left"/>
      <w:pPr>
        <w:ind w:left="2880" w:hanging="360"/>
      </w:pPr>
    </w:lvl>
    <w:lvl w:ilvl="4">
      <w:start w:val="162"/>
      <w:numFmt w:val="decimal"/>
      <w:lvlText w:val="(%5)"/>
      <w:lvlJc w:val="left"/>
      <w:pPr>
        <w:ind w:left="3600" w:hanging="360"/>
      </w:pPr>
    </w:lvl>
    <w:lvl w:ilvl="5">
      <w:start w:val="162"/>
      <w:numFmt w:val="decimal"/>
      <w:lvlText w:val="(%6)"/>
      <w:lvlJc w:val="left"/>
      <w:pPr>
        <w:ind w:left="4320" w:hanging="360"/>
      </w:pPr>
    </w:lvl>
    <w:lvl w:ilvl="6">
      <w:start w:val="162"/>
      <w:numFmt w:val="decimal"/>
      <w:lvlText w:val="(%7)"/>
      <w:lvlJc w:val="left"/>
      <w:pPr>
        <w:ind w:left="5040" w:hanging="360"/>
      </w:pPr>
    </w:lvl>
    <w:lvl w:ilvl="7">
      <w:start w:val="162"/>
      <w:numFmt w:val="decimal"/>
      <w:lvlText w:val="(%8)"/>
      <w:lvlJc w:val="left"/>
      <w:pPr>
        <w:ind w:left="5760" w:hanging="360"/>
      </w:pPr>
    </w:lvl>
    <w:lvl w:ilvl="8">
      <w:start w:val="162"/>
      <w:numFmt w:val="decimal"/>
      <w:lvlText w:val="(%9)"/>
      <w:lvlJc w:val="left"/>
      <w:pPr>
        <w:ind w:left="6480" w:hanging="360"/>
      </w:pPr>
    </w:lvl>
  </w:abstractNum>
  <w:abstractNum w:abstractNumId="9943168">
    <w:nsid w:val="A9943168"/>
    <w:multiLevelType w:val="multilevel"/>
    <w:lvl w:ilvl="0">
      <w:start w:val="168"/>
      <w:numFmt w:val="decimal"/>
      <w:lvlText w:val="(%1)"/>
      <w:lvlJc w:val="left"/>
      <w:pPr>
        <w:ind w:left="720" w:hanging="360"/>
      </w:pPr>
    </w:lvl>
    <w:lvl w:ilvl="1">
      <w:start w:val="168"/>
      <w:numFmt w:val="decimal"/>
      <w:lvlText w:val="(%2)"/>
      <w:lvlJc w:val="left"/>
      <w:pPr>
        <w:ind w:left="1440" w:hanging="360"/>
      </w:pPr>
    </w:lvl>
    <w:lvl w:ilvl="2">
      <w:start w:val="168"/>
      <w:numFmt w:val="decimal"/>
      <w:lvlText w:val="(%3)"/>
      <w:lvlJc w:val="left"/>
      <w:pPr>
        <w:ind w:left="2160" w:hanging="360"/>
      </w:pPr>
    </w:lvl>
    <w:lvl w:ilvl="3">
      <w:start w:val="168"/>
      <w:numFmt w:val="decimal"/>
      <w:lvlText w:val="(%4)"/>
      <w:lvlJc w:val="left"/>
      <w:pPr>
        <w:ind w:left="2880" w:hanging="360"/>
      </w:pPr>
    </w:lvl>
    <w:lvl w:ilvl="4">
      <w:start w:val="168"/>
      <w:numFmt w:val="decimal"/>
      <w:lvlText w:val="(%5)"/>
      <w:lvlJc w:val="left"/>
      <w:pPr>
        <w:ind w:left="3600" w:hanging="360"/>
      </w:pPr>
    </w:lvl>
    <w:lvl w:ilvl="5">
      <w:start w:val="168"/>
      <w:numFmt w:val="decimal"/>
      <w:lvlText w:val="(%6)"/>
      <w:lvlJc w:val="left"/>
      <w:pPr>
        <w:ind w:left="4320" w:hanging="360"/>
      </w:pPr>
    </w:lvl>
    <w:lvl w:ilvl="6">
      <w:start w:val="168"/>
      <w:numFmt w:val="decimal"/>
      <w:lvlText w:val="(%7)"/>
      <w:lvlJc w:val="left"/>
      <w:pPr>
        <w:ind w:left="5040" w:hanging="360"/>
      </w:pPr>
    </w:lvl>
    <w:lvl w:ilvl="7">
      <w:start w:val="168"/>
      <w:numFmt w:val="decimal"/>
      <w:lvlText w:val="(%8)"/>
      <w:lvlJc w:val="left"/>
      <w:pPr>
        <w:ind w:left="5760" w:hanging="360"/>
      </w:pPr>
    </w:lvl>
    <w:lvl w:ilvl="8">
      <w:start w:val="168"/>
      <w:numFmt w:val="decimal"/>
      <w:lvlText w:val="(%9)"/>
      <w:lvlJc w:val="left"/>
      <w:pPr>
        <w:ind w:left="6480" w:hanging="360"/>
      </w:pPr>
    </w:lvl>
  </w:abstractNum>
  <w:abstractNum w:abstractNumId="9943172">
    <w:nsid w:val="A9943172"/>
    <w:multiLevelType w:val="multilevel"/>
    <w:lvl w:ilvl="0">
      <w:start w:val="172"/>
      <w:numFmt w:val="decimal"/>
      <w:lvlText w:val="(%1)"/>
      <w:lvlJc w:val="left"/>
      <w:pPr>
        <w:ind w:left="720" w:hanging="360"/>
      </w:pPr>
    </w:lvl>
    <w:lvl w:ilvl="1">
      <w:start w:val="172"/>
      <w:numFmt w:val="decimal"/>
      <w:lvlText w:val="(%2)"/>
      <w:lvlJc w:val="left"/>
      <w:pPr>
        <w:ind w:left="1440" w:hanging="360"/>
      </w:pPr>
    </w:lvl>
    <w:lvl w:ilvl="2">
      <w:start w:val="172"/>
      <w:numFmt w:val="decimal"/>
      <w:lvlText w:val="(%3)"/>
      <w:lvlJc w:val="left"/>
      <w:pPr>
        <w:ind w:left="2160" w:hanging="360"/>
      </w:pPr>
    </w:lvl>
    <w:lvl w:ilvl="3">
      <w:start w:val="172"/>
      <w:numFmt w:val="decimal"/>
      <w:lvlText w:val="(%4)"/>
      <w:lvlJc w:val="left"/>
      <w:pPr>
        <w:ind w:left="2880" w:hanging="360"/>
      </w:pPr>
    </w:lvl>
    <w:lvl w:ilvl="4">
      <w:start w:val="172"/>
      <w:numFmt w:val="decimal"/>
      <w:lvlText w:val="(%5)"/>
      <w:lvlJc w:val="left"/>
      <w:pPr>
        <w:ind w:left="3600" w:hanging="360"/>
      </w:pPr>
    </w:lvl>
    <w:lvl w:ilvl="5">
      <w:start w:val="172"/>
      <w:numFmt w:val="decimal"/>
      <w:lvlText w:val="(%6)"/>
      <w:lvlJc w:val="left"/>
      <w:pPr>
        <w:ind w:left="4320" w:hanging="360"/>
      </w:pPr>
    </w:lvl>
    <w:lvl w:ilvl="6">
      <w:start w:val="172"/>
      <w:numFmt w:val="decimal"/>
      <w:lvlText w:val="(%7)"/>
      <w:lvlJc w:val="left"/>
      <w:pPr>
        <w:ind w:left="5040" w:hanging="360"/>
      </w:pPr>
    </w:lvl>
    <w:lvl w:ilvl="7">
      <w:start w:val="172"/>
      <w:numFmt w:val="decimal"/>
      <w:lvlText w:val="(%8)"/>
      <w:lvlJc w:val="left"/>
      <w:pPr>
        <w:ind w:left="5760" w:hanging="360"/>
      </w:pPr>
    </w:lvl>
    <w:lvl w:ilvl="8">
      <w:start w:val="172"/>
      <w:numFmt w:val="decimal"/>
      <w:lvlText w:val="(%9)"/>
      <w:lvlJc w:val="left"/>
      <w:pPr>
        <w:ind w:left="6480" w:hanging="360"/>
      </w:pPr>
    </w:lvl>
  </w:abstractNum>
  <w:abstractNum w:abstractNumId="9943173">
    <w:nsid w:val="A9943173"/>
    <w:multiLevelType w:val="multilevel"/>
    <w:lvl w:ilvl="0">
      <w:start w:val="173"/>
      <w:numFmt w:val="decimal"/>
      <w:lvlText w:val="(%1)"/>
      <w:lvlJc w:val="left"/>
      <w:pPr>
        <w:ind w:left="720" w:hanging="360"/>
      </w:pPr>
    </w:lvl>
    <w:lvl w:ilvl="1">
      <w:start w:val="173"/>
      <w:numFmt w:val="decimal"/>
      <w:lvlText w:val="(%2)"/>
      <w:lvlJc w:val="left"/>
      <w:pPr>
        <w:ind w:left="1440" w:hanging="360"/>
      </w:pPr>
    </w:lvl>
    <w:lvl w:ilvl="2">
      <w:start w:val="173"/>
      <w:numFmt w:val="decimal"/>
      <w:lvlText w:val="(%3)"/>
      <w:lvlJc w:val="left"/>
      <w:pPr>
        <w:ind w:left="2160" w:hanging="360"/>
      </w:pPr>
    </w:lvl>
    <w:lvl w:ilvl="3">
      <w:start w:val="173"/>
      <w:numFmt w:val="decimal"/>
      <w:lvlText w:val="(%4)"/>
      <w:lvlJc w:val="left"/>
      <w:pPr>
        <w:ind w:left="2880" w:hanging="360"/>
      </w:pPr>
    </w:lvl>
    <w:lvl w:ilvl="4">
      <w:start w:val="173"/>
      <w:numFmt w:val="decimal"/>
      <w:lvlText w:val="(%5)"/>
      <w:lvlJc w:val="left"/>
      <w:pPr>
        <w:ind w:left="3600" w:hanging="360"/>
      </w:pPr>
    </w:lvl>
    <w:lvl w:ilvl="5">
      <w:start w:val="173"/>
      <w:numFmt w:val="decimal"/>
      <w:lvlText w:val="(%6)"/>
      <w:lvlJc w:val="left"/>
      <w:pPr>
        <w:ind w:left="4320" w:hanging="360"/>
      </w:pPr>
    </w:lvl>
    <w:lvl w:ilvl="6">
      <w:start w:val="173"/>
      <w:numFmt w:val="decimal"/>
      <w:lvlText w:val="(%7)"/>
      <w:lvlJc w:val="left"/>
      <w:pPr>
        <w:ind w:left="5040" w:hanging="360"/>
      </w:pPr>
    </w:lvl>
    <w:lvl w:ilvl="7">
      <w:start w:val="173"/>
      <w:numFmt w:val="decimal"/>
      <w:lvlText w:val="(%8)"/>
      <w:lvlJc w:val="left"/>
      <w:pPr>
        <w:ind w:left="5760" w:hanging="360"/>
      </w:pPr>
    </w:lvl>
    <w:lvl w:ilvl="8">
      <w:start w:val="173"/>
      <w:numFmt w:val="decimal"/>
      <w:lvlText w:val="(%9)"/>
      <w:lvlJc w:val="left"/>
      <w:pPr>
        <w:ind w:left="6480" w:hanging="360"/>
      </w:pPr>
    </w:lvl>
  </w:abstractNum>
  <w:abstractNum w:abstractNumId="9943174">
    <w:nsid w:val="A9943174"/>
    <w:multiLevelType w:val="multilevel"/>
    <w:lvl w:ilvl="0">
      <w:start w:val="174"/>
      <w:numFmt w:val="decimal"/>
      <w:lvlText w:val="(%1)"/>
      <w:lvlJc w:val="left"/>
      <w:pPr>
        <w:ind w:left="720" w:hanging="360"/>
      </w:pPr>
    </w:lvl>
    <w:lvl w:ilvl="1">
      <w:start w:val="174"/>
      <w:numFmt w:val="decimal"/>
      <w:lvlText w:val="(%2)"/>
      <w:lvlJc w:val="left"/>
      <w:pPr>
        <w:ind w:left="1440" w:hanging="360"/>
      </w:pPr>
    </w:lvl>
    <w:lvl w:ilvl="2">
      <w:start w:val="174"/>
      <w:numFmt w:val="decimal"/>
      <w:lvlText w:val="(%3)"/>
      <w:lvlJc w:val="left"/>
      <w:pPr>
        <w:ind w:left="2160" w:hanging="360"/>
      </w:pPr>
    </w:lvl>
    <w:lvl w:ilvl="3">
      <w:start w:val="174"/>
      <w:numFmt w:val="decimal"/>
      <w:lvlText w:val="(%4)"/>
      <w:lvlJc w:val="left"/>
      <w:pPr>
        <w:ind w:left="2880" w:hanging="360"/>
      </w:pPr>
    </w:lvl>
    <w:lvl w:ilvl="4">
      <w:start w:val="174"/>
      <w:numFmt w:val="decimal"/>
      <w:lvlText w:val="(%5)"/>
      <w:lvlJc w:val="left"/>
      <w:pPr>
        <w:ind w:left="3600" w:hanging="360"/>
      </w:pPr>
    </w:lvl>
    <w:lvl w:ilvl="5">
      <w:start w:val="174"/>
      <w:numFmt w:val="decimal"/>
      <w:lvlText w:val="(%6)"/>
      <w:lvlJc w:val="left"/>
      <w:pPr>
        <w:ind w:left="4320" w:hanging="360"/>
      </w:pPr>
    </w:lvl>
    <w:lvl w:ilvl="6">
      <w:start w:val="174"/>
      <w:numFmt w:val="decimal"/>
      <w:lvlText w:val="(%7)"/>
      <w:lvlJc w:val="left"/>
      <w:pPr>
        <w:ind w:left="5040" w:hanging="360"/>
      </w:pPr>
    </w:lvl>
    <w:lvl w:ilvl="7">
      <w:start w:val="174"/>
      <w:numFmt w:val="decimal"/>
      <w:lvlText w:val="(%8)"/>
      <w:lvlJc w:val="left"/>
      <w:pPr>
        <w:ind w:left="5760" w:hanging="360"/>
      </w:pPr>
    </w:lvl>
    <w:lvl w:ilvl="8">
      <w:start w:val="174"/>
      <w:numFmt w:val="decimal"/>
      <w:lvlText w:val="(%9)"/>
      <w:lvlJc w:val="left"/>
      <w:pPr>
        <w:ind w:left="6480" w:hanging="360"/>
      </w:pPr>
    </w:lvl>
  </w:abstractNum>
  <w:abstractNum w:abstractNumId="9943176">
    <w:nsid w:val="A9943176"/>
    <w:multiLevelType w:val="multilevel"/>
    <w:lvl w:ilvl="0">
      <w:start w:val="176"/>
      <w:numFmt w:val="decimal"/>
      <w:lvlText w:val="(%1)"/>
      <w:lvlJc w:val="left"/>
      <w:pPr>
        <w:ind w:left="720" w:hanging="360"/>
      </w:pPr>
    </w:lvl>
    <w:lvl w:ilvl="1">
      <w:start w:val="176"/>
      <w:numFmt w:val="decimal"/>
      <w:lvlText w:val="(%2)"/>
      <w:lvlJc w:val="left"/>
      <w:pPr>
        <w:ind w:left="1440" w:hanging="360"/>
      </w:pPr>
    </w:lvl>
    <w:lvl w:ilvl="2">
      <w:start w:val="176"/>
      <w:numFmt w:val="decimal"/>
      <w:lvlText w:val="(%3)"/>
      <w:lvlJc w:val="left"/>
      <w:pPr>
        <w:ind w:left="2160" w:hanging="360"/>
      </w:pPr>
    </w:lvl>
    <w:lvl w:ilvl="3">
      <w:start w:val="176"/>
      <w:numFmt w:val="decimal"/>
      <w:lvlText w:val="(%4)"/>
      <w:lvlJc w:val="left"/>
      <w:pPr>
        <w:ind w:left="2880" w:hanging="360"/>
      </w:pPr>
    </w:lvl>
    <w:lvl w:ilvl="4">
      <w:start w:val="176"/>
      <w:numFmt w:val="decimal"/>
      <w:lvlText w:val="(%5)"/>
      <w:lvlJc w:val="left"/>
      <w:pPr>
        <w:ind w:left="3600" w:hanging="360"/>
      </w:pPr>
    </w:lvl>
    <w:lvl w:ilvl="5">
      <w:start w:val="176"/>
      <w:numFmt w:val="decimal"/>
      <w:lvlText w:val="(%6)"/>
      <w:lvlJc w:val="left"/>
      <w:pPr>
        <w:ind w:left="4320" w:hanging="360"/>
      </w:pPr>
    </w:lvl>
    <w:lvl w:ilvl="6">
      <w:start w:val="176"/>
      <w:numFmt w:val="decimal"/>
      <w:lvlText w:val="(%7)"/>
      <w:lvlJc w:val="left"/>
      <w:pPr>
        <w:ind w:left="5040" w:hanging="360"/>
      </w:pPr>
    </w:lvl>
    <w:lvl w:ilvl="7">
      <w:start w:val="176"/>
      <w:numFmt w:val="decimal"/>
      <w:lvlText w:val="(%8)"/>
      <w:lvlJc w:val="left"/>
      <w:pPr>
        <w:ind w:left="5760" w:hanging="360"/>
      </w:pPr>
    </w:lvl>
    <w:lvl w:ilvl="8">
      <w:start w:val="176"/>
      <w:numFmt w:val="decimal"/>
      <w:lvlText w:val="(%9)"/>
      <w:lvlJc w:val="left"/>
      <w:pPr>
        <w:ind w:left="6480" w:hanging="360"/>
      </w:pPr>
    </w:lvl>
  </w:abstractNum>
  <w:abstractNum w:abstractNumId="9943178">
    <w:nsid w:val="A9943178"/>
    <w:multiLevelType w:val="multilevel"/>
    <w:lvl w:ilvl="0">
      <w:start w:val="178"/>
      <w:numFmt w:val="decimal"/>
      <w:lvlText w:val="(%1)"/>
      <w:lvlJc w:val="left"/>
      <w:pPr>
        <w:ind w:left="720" w:hanging="360"/>
      </w:pPr>
    </w:lvl>
    <w:lvl w:ilvl="1">
      <w:start w:val="178"/>
      <w:numFmt w:val="decimal"/>
      <w:lvlText w:val="(%2)"/>
      <w:lvlJc w:val="left"/>
      <w:pPr>
        <w:ind w:left="1440" w:hanging="360"/>
      </w:pPr>
    </w:lvl>
    <w:lvl w:ilvl="2">
      <w:start w:val="178"/>
      <w:numFmt w:val="decimal"/>
      <w:lvlText w:val="(%3)"/>
      <w:lvlJc w:val="left"/>
      <w:pPr>
        <w:ind w:left="2160" w:hanging="360"/>
      </w:pPr>
    </w:lvl>
    <w:lvl w:ilvl="3">
      <w:start w:val="178"/>
      <w:numFmt w:val="decimal"/>
      <w:lvlText w:val="(%4)"/>
      <w:lvlJc w:val="left"/>
      <w:pPr>
        <w:ind w:left="2880" w:hanging="360"/>
      </w:pPr>
    </w:lvl>
    <w:lvl w:ilvl="4">
      <w:start w:val="178"/>
      <w:numFmt w:val="decimal"/>
      <w:lvlText w:val="(%5)"/>
      <w:lvlJc w:val="left"/>
      <w:pPr>
        <w:ind w:left="3600" w:hanging="360"/>
      </w:pPr>
    </w:lvl>
    <w:lvl w:ilvl="5">
      <w:start w:val="178"/>
      <w:numFmt w:val="decimal"/>
      <w:lvlText w:val="(%6)"/>
      <w:lvlJc w:val="left"/>
      <w:pPr>
        <w:ind w:left="4320" w:hanging="360"/>
      </w:pPr>
    </w:lvl>
    <w:lvl w:ilvl="6">
      <w:start w:val="178"/>
      <w:numFmt w:val="decimal"/>
      <w:lvlText w:val="(%7)"/>
      <w:lvlJc w:val="left"/>
      <w:pPr>
        <w:ind w:left="5040" w:hanging="360"/>
      </w:pPr>
    </w:lvl>
    <w:lvl w:ilvl="7">
      <w:start w:val="178"/>
      <w:numFmt w:val="decimal"/>
      <w:lvlText w:val="(%8)"/>
      <w:lvlJc w:val="left"/>
      <w:pPr>
        <w:ind w:left="5760" w:hanging="360"/>
      </w:pPr>
    </w:lvl>
    <w:lvl w:ilvl="8">
      <w:start w:val="178"/>
      <w:numFmt w:val="decimal"/>
      <w:lvlText w:val="(%9)"/>
      <w:lvlJc w:val="left"/>
      <w:pPr>
        <w:ind w:left="6480" w:hanging="360"/>
      </w:pPr>
    </w:lvl>
  </w:abstractNum>
  <w:abstractNum w:abstractNumId="9943179">
    <w:nsid w:val="A9943179"/>
    <w:multiLevelType w:val="multilevel"/>
    <w:lvl w:ilvl="0">
      <w:start w:val="179"/>
      <w:numFmt w:val="decimal"/>
      <w:lvlText w:val="(%1)"/>
      <w:lvlJc w:val="left"/>
      <w:pPr>
        <w:ind w:left="720" w:hanging="360"/>
      </w:pPr>
    </w:lvl>
    <w:lvl w:ilvl="1">
      <w:start w:val="179"/>
      <w:numFmt w:val="decimal"/>
      <w:lvlText w:val="(%2)"/>
      <w:lvlJc w:val="left"/>
      <w:pPr>
        <w:ind w:left="1440" w:hanging="360"/>
      </w:pPr>
    </w:lvl>
    <w:lvl w:ilvl="2">
      <w:start w:val="179"/>
      <w:numFmt w:val="decimal"/>
      <w:lvlText w:val="(%3)"/>
      <w:lvlJc w:val="left"/>
      <w:pPr>
        <w:ind w:left="2160" w:hanging="360"/>
      </w:pPr>
    </w:lvl>
    <w:lvl w:ilvl="3">
      <w:start w:val="179"/>
      <w:numFmt w:val="decimal"/>
      <w:lvlText w:val="(%4)"/>
      <w:lvlJc w:val="left"/>
      <w:pPr>
        <w:ind w:left="2880" w:hanging="360"/>
      </w:pPr>
    </w:lvl>
    <w:lvl w:ilvl="4">
      <w:start w:val="179"/>
      <w:numFmt w:val="decimal"/>
      <w:lvlText w:val="(%5)"/>
      <w:lvlJc w:val="left"/>
      <w:pPr>
        <w:ind w:left="3600" w:hanging="360"/>
      </w:pPr>
    </w:lvl>
    <w:lvl w:ilvl="5">
      <w:start w:val="179"/>
      <w:numFmt w:val="decimal"/>
      <w:lvlText w:val="(%6)"/>
      <w:lvlJc w:val="left"/>
      <w:pPr>
        <w:ind w:left="4320" w:hanging="360"/>
      </w:pPr>
    </w:lvl>
    <w:lvl w:ilvl="6">
      <w:start w:val="179"/>
      <w:numFmt w:val="decimal"/>
      <w:lvlText w:val="(%7)"/>
      <w:lvlJc w:val="left"/>
      <w:pPr>
        <w:ind w:left="5040" w:hanging="360"/>
      </w:pPr>
    </w:lvl>
    <w:lvl w:ilvl="7">
      <w:start w:val="179"/>
      <w:numFmt w:val="decimal"/>
      <w:lvlText w:val="(%8)"/>
      <w:lvlJc w:val="left"/>
      <w:pPr>
        <w:ind w:left="5760" w:hanging="360"/>
      </w:pPr>
    </w:lvl>
    <w:lvl w:ilvl="8">
      <w:start w:val="179"/>
      <w:numFmt w:val="decimal"/>
      <w:lvlText w:val="(%9)"/>
      <w:lvlJc w:val="left"/>
      <w:pPr>
        <w:ind w:left="6480" w:hanging="360"/>
      </w:pPr>
    </w:lvl>
  </w:abstractNum>
  <w:abstractNum w:abstractNumId="9943184">
    <w:nsid w:val="A9943184"/>
    <w:multiLevelType w:val="multilevel"/>
    <w:lvl w:ilvl="0">
      <w:start w:val="184"/>
      <w:numFmt w:val="decimal"/>
      <w:lvlText w:val="(%1)"/>
      <w:lvlJc w:val="left"/>
      <w:pPr>
        <w:ind w:left="720" w:hanging="360"/>
      </w:pPr>
    </w:lvl>
    <w:lvl w:ilvl="1">
      <w:start w:val="184"/>
      <w:numFmt w:val="decimal"/>
      <w:lvlText w:val="(%2)"/>
      <w:lvlJc w:val="left"/>
      <w:pPr>
        <w:ind w:left="1440" w:hanging="360"/>
      </w:pPr>
    </w:lvl>
    <w:lvl w:ilvl="2">
      <w:start w:val="184"/>
      <w:numFmt w:val="decimal"/>
      <w:lvlText w:val="(%3)"/>
      <w:lvlJc w:val="left"/>
      <w:pPr>
        <w:ind w:left="2160" w:hanging="360"/>
      </w:pPr>
    </w:lvl>
    <w:lvl w:ilvl="3">
      <w:start w:val="184"/>
      <w:numFmt w:val="decimal"/>
      <w:lvlText w:val="(%4)"/>
      <w:lvlJc w:val="left"/>
      <w:pPr>
        <w:ind w:left="2880" w:hanging="360"/>
      </w:pPr>
    </w:lvl>
    <w:lvl w:ilvl="4">
      <w:start w:val="184"/>
      <w:numFmt w:val="decimal"/>
      <w:lvlText w:val="(%5)"/>
      <w:lvlJc w:val="left"/>
      <w:pPr>
        <w:ind w:left="3600" w:hanging="360"/>
      </w:pPr>
    </w:lvl>
    <w:lvl w:ilvl="5">
      <w:start w:val="184"/>
      <w:numFmt w:val="decimal"/>
      <w:lvlText w:val="(%6)"/>
      <w:lvlJc w:val="left"/>
      <w:pPr>
        <w:ind w:left="4320" w:hanging="360"/>
      </w:pPr>
    </w:lvl>
    <w:lvl w:ilvl="6">
      <w:start w:val="184"/>
      <w:numFmt w:val="decimal"/>
      <w:lvlText w:val="(%7)"/>
      <w:lvlJc w:val="left"/>
      <w:pPr>
        <w:ind w:left="5040" w:hanging="360"/>
      </w:pPr>
    </w:lvl>
    <w:lvl w:ilvl="7">
      <w:start w:val="184"/>
      <w:numFmt w:val="decimal"/>
      <w:lvlText w:val="(%8)"/>
      <w:lvlJc w:val="left"/>
      <w:pPr>
        <w:ind w:left="5760" w:hanging="360"/>
      </w:pPr>
    </w:lvl>
    <w:lvl w:ilvl="8">
      <w:start w:val="184"/>
      <w:numFmt w:val="decimal"/>
      <w:lvlText w:val="(%9)"/>
      <w:lvlJc w:val="left"/>
      <w:pPr>
        <w:ind w:left="6480" w:hanging="360"/>
      </w:pPr>
    </w:lvl>
  </w:abstractNum>
  <w:abstractNum w:abstractNumId="9943190">
    <w:nsid w:val="A9943190"/>
    <w:multiLevelType w:val="multilevel"/>
    <w:lvl w:ilvl="0">
      <w:start w:val="190"/>
      <w:numFmt w:val="decimal"/>
      <w:lvlText w:val="(%1)"/>
      <w:lvlJc w:val="left"/>
      <w:pPr>
        <w:ind w:left="720" w:hanging="360"/>
      </w:pPr>
    </w:lvl>
    <w:lvl w:ilvl="1">
      <w:start w:val="190"/>
      <w:numFmt w:val="decimal"/>
      <w:lvlText w:val="(%2)"/>
      <w:lvlJc w:val="left"/>
      <w:pPr>
        <w:ind w:left="1440" w:hanging="360"/>
      </w:pPr>
    </w:lvl>
    <w:lvl w:ilvl="2">
      <w:start w:val="190"/>
      <w:numFmt w:val="decimal"/>
      <w:lvlText w:val="(%3)"/>
      <w:lvlJc w:val="left"/>
      <w:pPr>
        <w:ind w:left="2160" w:hanging="360"/>
      </w:pPr>
    </w:lvl>
    <w:lvl w:ilvl="3">
      <w:start w:val="190"/>
      <w:numFmt w:val="decimal"/>
      <w:lvlText w:val="(%4)"/>
      <w:lvlJc w:val="left"/>
      <w:pPr>
        <w:ind w:left="2880" w:hanging="360"/>
      </w:pPr>
    </w:lvl>
    <w:lvl w:ilvl="4">
      <w:start w:val="190"/>
      <w:numFmt w:val="decimal"/>
      <w:lvlText w:val="(%5)"/>
      <w:lvlJc w:val="left"/>
      <w:pPr>
        <w:ind w:left="3600" w:hanging="360"/>
      </w:pPr>
    </w:lvl>
    <w:lvl w:ilvl="5">
      <w:start w:val="190"/>
      <w:numFmt w:val="decimal"/>
      <w:lvlText w:val="(%6)"/>
      <w:lvlJc w:val="left"/>
      <w:pPr>
        <w:ind w:left="4320" w:hanging="360"/>
      </w:pPr>
    </w:lvl>
    <w:lvl w:ilvl="6">
      <w:start w:val="190"/>
      <w:numFmt w:val="decimal"/>
      <w:lvlText w:val="(%7)"/>
      <w:lvlJc w:val="left"/>
      <w:pPr>
        <w:ind w:left="5040" w:hanging="360"/>
      </w:pPr>
    </w:lvl>
    <w:lvl w:ilvl="7">
      <w:start w:val="190"/>
      <w:numFmt w:val="decimal"/>
      <w:lvlText w:val="(%8)"/>
      <w:lvlJc w:val="left"/>
      <w:pPr>
        <w:ind w:left="5760" w:hanging="360"/>
      </w:pPr>
    </w:lvl>
    <w:lvl w:ilvl="8">
      <w:start w:val="190"/>
      <w:numFmt w:val="decimal"/>
      <w:lvlText w:val="(%9)"/>
      <w:lvlJc w:val="left"/>
      <w:pPr>
        <w:ind w:left="6480" w:hanging="360"/>
      </w:pPr>
    </w:lvl>
  </w:abstractNum>
  <w:abstractNum w:abstractNumId="9943192">
    <w:nsid w:val="A9943192"/>
    <w:multiLevelType w:val="multilevel"/>
    <w:lvl w:ilvl="0">
      <w:start w:val="192"/>
      <w:numFmt w:val="decimal"/>
      <w:lvlText w:val="(%1)"/>
      <w:lvlJc w:val="left"/>
      <w:pPr>
        <w:ind w:left="720" w:hanging="360"/>
      </w:pPr>
    </w:lvl>
    <w:lvl w:ilvl="1">
      <w:start w:val="192"/>
      <w:numFmt w:val="decimal"/>
      <w:lvlText w:val="(%2)"/>
      <w:lvlJc w:val="left"/>
      <w:pPr>
        <w:ind w:left="1440" w:hanging="360"/>
      </w:pPr>
    </w:lvl>
    <w:lvl w:ilvl="2">
      <w:start w:val="192"/>
      <w:numFmt w:val="decimal"/>
      <w:lvlText w:val="(%3)"/>
      <w:lvlJc w:val="left"/>
      <w:pPr>
        <w:ind w:left="2160" w:hanging="360"/>
      </w:pPr>
    </w:lvl>
    <w:lvl w:ilvl="3">
      <w:start w:val="192"/>
      <w:numFmt w:val="decimal"/>
      <w:lvlText w:val="(%4)"/>
      <w:lvlJc w:val="left"/>
      <w:pPr>
        <w:ind w:left="2880" w:hanging="360"/>
      </w:pPr>
    </w:lvl>
    <w:lvl w:ilvl="4">
      <w:start w:val="192"/>
      <w:numFmt w:val="decimal"/>
      <w:lvlText w:val="(%5)"/>
      <w:lvlJc w:val="left"/>
      <w:pPr>
        <w:ind w:left="3600" w:hanging="360"/>
      </w:pPr>
    </w:lvl>
    <w:lvl w:ilvl="5">
      <w:start w:val="192"/>
      <w:numFmt w:val="decimal"/>
      <w:lvlText w:val="(%6)"/>
      <w:lvlJc w:val="left"/>
      <w:pPr>
        <w:ind w:left="4320" w:hanging="360"/>
      </w:pPr>
    </w:lvl>
    <w:lvl w:ilvl="6">
      <w:start w:val="192"/>
      <w:numFmt w:val="decimal"/>
      <w:lvlText w:val="(%7)"/>
      <w:lvlJc w:val="left"/>
      <w:pPr>
        <w:ind w:left="5040" w:hanging="360"/>
      </w:pPr>
    </w:lvl>
    <w:lvl w:ilvl="7">
      <w:start w:val="192"/>
      <w:numFmt w:val="decimal"/>
      <w:lvlText w:val="(%8)"/>
      <w:lvlJc w:val="left"/>
      <w:pPr>
        <w:ind w:left="5760" w:hanging="360"/>
      </w:pPr>
    </w:lvl>
    <w:lvl w:ilvl="8">
      <w:start w:val="192"/>
      <w:numFmt w:val="decimal"/>
      <w:lvlText w:val="(%9)"/>
      <w:lvlJc w:val="left"/>
      <w:pPr>
        <w:ind w:left="6480" w:hanging="360"/>
      </w:pPr>
    </w:lvl>
  </w:abstractNum>
  <w:abstractNum w:abstractNumId="9943197">
    <w:nsid w:val="A9943197"/>
    <w:multiLevelType w:val="multilevel"/>
    <w:lvl w:ilvl="0">
      <w:start w:val="197"/>
      <w:numFmt w:val="decimal"/>
      <w:lvlText w:val="(%1)"/>
      <w:lvlJc w:val="left"/>
      <w:pPr>
        <w:ind w:left="720" w:hanging="360"/>
      </w:pPr>
    </w:lvl>
    <w:lvl w:ilvl="1">
      <w:start w:val="197"/>
      <w:numFmt w:val="decimal"/>
      <w:lvlText w:val="(%2)"/>
      <w:lvlJc w:val="left"/>
      <w:pPr>
        <w:ind w:left="1440" w:hanging="360"/>
      </w:pPr>
    </w:lvl>
    <w:lvl w:ilvl="2">
      <w:start w:val="197"/>
      <w:numFmt w:val="decimal"/>
      <w:lvlText w:val="(%3)"/>
      <w:lvlJc w:val="left"/>
      <w:pPr>
        <w:ind w:left="2160" w:hanging="360"/>
      </w:pPr>
    </w:lvl>
    <w:lvl w:ilvl="3">
      <w:start w:val="197"/>
      <w:numFmt w:val="decimal"/>
      <w:lvlText w:val="(%4)"/>
      <w:lvlJc w:val="left"/>
      <w:pPr>
        <w:ind w:left="2880" w:hanging="360"/>
      </w:pPr>
    </w:lvl>
    <w:lvl w:ilvl="4">
      <w:start w:val="197"/>
      <w:numFmt w:val="decimal"/>
      <w:lvlText w:val="(%5)"/>
      <w:lvlJc w:val="left"/>
      <w:pPr>
        <w:ind w:left="3600" w:hanging="360"/>
      </w:pPr>
    </w:lvl>
    <w:lvl w:ilvl="5">
      <w:start w:val="197"/>
      <w:numFmt w:val="decimal"/>
      <w:lvlText w:val="(%6)"/>
      <w:lvlJc w:val="left"/>
      <w:pPr>
        <w:ind w:left="4320" w:hanging="360"/>
      </w:pPr>
    </w:lvl>
    <w:lvl w:ilvl="6">
      <w:start w:val="197"/>
      <w:numFmt w:val="decimal"/>
      <w:lvlText w:val="(%7)"/>
      <w:lvlJc w:val="left"/>
      <w:pPr>
        <w:ind w:left="5040" w:hanging="360"/>
      </w:pPr>
    </w:lvl>
    <w:lvl w:ilvl="7">
      <w:start w:val="197"/>
      <w:numFmt w:val="decimal"/>
      <w:lvlText w:val="(%8)"/>
      <w:lvlJc w:val="left"/>
      <w:pPr>
        <w:ind w:left="5760" w:hanging="360"/>
      </w:pPr>
    </w:lvl>
    <w:lvl w:ilvl="8">
      <w:start w:val="197"/>
      <w:numFmt w:val="decimal"/>
      <w:lvlText w:val="(%9)"/>
      <w:lvlJc w:val="left"/>
      <w:pPr>
        <w:ind w:left="6480" w:hanging="360"/>
      </w:pPr>
    </w:lvl>
  </w:abstractNum>
  <w:abstractNum w:abstractNumId="9943207">
    <w:nsid w:val="A9943207"/>
    <w:multiLevelType w:val="multilevel"/>
    <w:lvl w:ilvl="0">
      <w:start w:val="207"/>
      <w:numFmt w:val="decimal"/>
      <w:lvlText w:val="(%1)"/>
      <w:lvlJc w:val="left"/>
      <w:pPr>
        <w:ind w:left="720" w:hanging="360"/>
      </w:pPr>
    </w:lvl>
    <w:lvl w:ilvl="1">
      <w:start w:val="207"/>
      <w:numFmt w:val="decimal"/>
      <w:lvlText w:val="(%2)"/>
      <w:lvlJc w:val="left"/>
      <w:pPr>
        <w:ind w:left="1440" w:hanging="360"/>
      </w:pPr>
    </w:lvl>
    <w:lvl w:ilvl="2">
      <w:start w:val="207"/>
      <w:numFmt w:val="decimal"/>
      <w:lvlText w:val="(%3)"/>
      <w:lvlJc w:val="left"/>
      <w:pPr>
        <w:ind w:left="2160" w:hanging="360"/>
      </w:pPr>
    </w:lvl>
    <w:lvl w:ilvl="3">
      <w:start w:val="207"/>
      <w:numFmt w:val="decimal"/>
      <w:lvlText w:val="(%4)"/>
      <w:lvlJc w:val="left"/>
      <w:pPr>
        <w:ind w:left="2880" w:hanging="360"/>
      </w:pPr>
    </w:lvl>
    <w:lvl w:ilvl="4">
      <w:start w:val="207"/>
      <w:numFmt w:val="decimal"/>
      <w:lvlText w:val="(%5)"/>
      <w:lvlJc w:val="left"/>
      <w:pPr>
        <w:ind w:left="3600" w:hanging="360"/>
      </w:pPr>
    </w:lvl>
    <w:lvl w:ilvl="5">
      <w:start w:val="207"/>
      <w:numFmt w:val="decimal"/>
      <w:lvlText w:val="(%6)"/>
      <w:lvlJc w:val="left"/>
      <w:pPr>
        <w:ind w:left="4320" w:hanging="360"/>
      </w:pPr>
    </w:lvl>
    <w:lvl w:ilvl="6">
      <w:start w:val="207"/>
      <w:numFmt w:val="decimal"/>
      <w:lvlText w:val="(%7)"/>
      <w:lvlJc w:val="left"/>
      <w:pPr>
        <w:ind w:left="5040" w:hanging="360"/>
      </w:pPr>
    </w:lvl>
    <w:lvl w:ilvl="7">
      <w:start w:val="207"/>
      <w:numFmt w:val="decimal"/>
      <w:lvlText w:val="(%8)"/>
      <w:lvlJc w:val="left"/>
      <w:pPr>
        <w:ind w:left="5760" w:hanging="360"/>
      </w:pPr>
    </w:lvl>
    <w:lvl w:ilvl="8">
      <w:start w:val="207"/>
      <w:numFmt w:val="decimal"/>
      <w:lvlText w:val="(%9)"/>
      <w:lvlJc w:val="left"/>
      <w:pPr>
        <w:ind w:left="6480" w:hanging="360"/>
      </w:pPr>
    </w:lvl>
  </w:abstractNum>
  <w:abstractNum w:abstractNumId="9943223">
    <w:nsid w:val="A9943223"/>
    <w:multiLevelType w:val="multilevel"/>
    <w:lvl w:ilvl="0">
      <w:start w:val="223"/>
      <w:numFmt w:val="decimal"/>
      <w:lvlText w:val="(%1)"/>
      <w:lvlJc w:val="left"/>
      <w:pPr>
        <w:ind w:left="720" w:hanging="360"/>
      </w:pPr>
    </w:lvl>
    <w:lvl w:ilvl="1">
      <w:start w:val="223"/>
      <w:numFmt w:val="decimal"/>
      <w:lvlText w:val="(%2)"/>
      <w:lvlJc w:val="left"/>
      <w:pPr>
        <w:ind w:left="1440" w:hanging="360"/>
      </w:pPr>
    </w:lvl>
    <w:lvl w:ilvl="2">
      <w:start w:val="223"/>
      <w:numFmt w:val="decimal"/>
      <w:lvlText w:val="(%3)"/>
      <w:lvlJc w:val="left"/>
      <w:pPr>
        <w:ind w:left="2160" w:hanging="360"/>
      </w:pPr>
    </w:lvl>
    <w:lvl w:ilvl="3">
      <w:start w:val="223"/>
      <w:numFmt w:val="decimal"/>
      <w:lvlText w:val="(%4)"/>
      <w:lvlJc w:val="left"/>
      <w:pPr>
        <w:ind w:left="2880" w:hanging="360"/>
      </w:pPr>
    </w:lvl>
    <w:lvl w:ilvl="4">
      <w:start w:val="223"/>
      <w:numFmt w:val="decimal"/>
      <w:lvlText w:val="(%5)"/>
      <w:lvlJc w:val="left"/>
      <w:pPr>
        <w:ind w:left="3600" w:hanging="360"/>
      </w:pPr>
    </w:lvl>
    <w:lvl w:ilvl="5">
      <w:start w:val="223"/>
      <w:numFmt w:val="decimal"/>
      <w:lvlText w:val="(%6)"/>
      <w:lvlJc w:val="left"/>
      <w:pPr>
        <w:ind w:left="4320" w:hanging="360"/>
      </w:pPr>
    </w:lvl>
    <w:lvl w:ilvl="6">
      <w:start w:val="223"/>
      <w:numFmt w:val="decimal"/>
      <w:lvlText w:val="(%7)"/>
      <w:lvlJc w:val="left"/>
      <w:pPr>
        <w:ind w:left="5040" w:hanging="360"/>
      </w:pPr>
    </w:lvl>
    <w:lvl w:ilvl="7">
      <w:start w:val="223"/>
      <w:numFmt w:val="decimal"/>
      <w:lvlText w:val="(%8)"/>
      <w:lvlJc w:val="left"/>
      <w:pPr>
        <w:ind w:left="5760" w:hanging="360"/>
      </w:pPr>
    </w:lvl>
    <w:lvl w:ilvl="8">
      <w:start w:val="223"/>
      <w:numFmt w:val="decimal"/>
      <w:lvlText w:val="(%9)"/>
      <w:lvlJc w:val="left"/>
      <w:pPr>
        <w:ind w:left="6480" w:hanging="360"/>
      </w:pPr>
    </w:lvl>
  </w:abstractNum>
  <w:abstractNum w:abstractNumId="9941440">
    <w:nsid w:val="A9941440"/>
    <w:multiLevelType w:val="multilevel"/>
    <w:lvl w:ilvl="0">
      <w:start w:val="440"/>
      <w:numFmt w:val="decimal"/>
      <w:lvlText w:val="%1."/>
      <w:lvlJc w:val="left"/>
      <w:pPr>
        <w:ind w:left="720" w:hanging="360"/>
      </w:pPr>
    </w:lvl>
    <w:lvl w:ilvl="1">
      <w:start w:val="440"/>
      <w:numFmt w:val="decimal"/>
      <w:lvlText w:val="%2."/>
      <w:lvlJc w:val="left"/>
      <w:pPr>
        <w:ind w:left="1440" w:hanging="360"/>
      </w:pPr>
    </w:lvl>
    <w:lvl w:ilvl="2">
      <w:start w:val="440"/>
      <w:numFmt w:val="decimal"/>
      <w:lvlText w:val="%3."/>
      <w:lvlJc w:val="left"/>
      <w:pPr>
        <w:ind w:left="2160" w:hanging="360"/>
      </w:pPr>
    </w:lvl>
    <w:lvl w:ilvl="3">
      <w:start w:val="440"/>
      <w:numFmt w:val="decimal"/>
      <w:lvlText w:val="%4."/>
      <w:lvlJc w:val="left"/>
      <w:pPr>
        <w:ind w:left="2880" w:hanging="360"/>
      </w:pPr>
    </w:lvl>
    <w:lvl w:ilvl="4">
      <w:start w:val="440"/>
      <w:numFmt w:val="decimal"/>
      <w:lvlText w:val="%5."/>
      <w:lvlJc w:val="left"/>
      <w:pPr>
        <w:ind w:left="3600" w:hanging="360"/>
      </w:pPr>
    </w:lvl>
    <w:lvl w:ilvl="5">
      <w:start w:val="440"/>
      <w:numFmt w:val="decimal"/>
      <w:lvlText w:val="%6."/>
      <w:lvlJc w:val="left"/>
      <w:pPr>
        <w:ind w:left="4320" w:hanging="360"/>
      </w:pPr>
    </w:lvl>
    <w:lvl w:ilvl="6">
      <w:start w:val="440"/>
      <w:numFmt w:val="decimal"/>
      <w:lvlText w:val="%7."/>
      <w:lvlJc w:val="left"/>
      <w:pPr>
        <w:ind w:left="5040" w:hanging="360"/>
      </w:pPr>
    </w:lvl>
    <w:lvl w:ilvl="7">
      <w:start w:val="440"/>
      <w:numFmt w:val="decimal"/>
      <w:lvlText w:val="%8."/>
      <w:lvlJc w:val="left"/>
      <w:pPr>
        <w:ind w:left="5760" w:hanging="360"/>
      </w:pPr>
    </w:lvl>
    <w:lvl w:ilvl="8">
      <w:start w:val="440"/>
      <w:numFmt w:val="decimal"/>
      <w:lvlText w:val="%9."/>
      <w:lvlJc w:val="left"/>
      <w:pPr>
        <w:ind w:left="6480" w:hanging="360"/>
      </w:pPr>
    </w:lvl>
  </w:abstractNum>
  <w:abstractNum w:abstractNumId="9943226">
    <w:nsid w:val="A9943226"/>
    <w:multiLevelType w:val="multilevel"/>
    <w:lvl w:ilvl="0">
      <w:start w:val="226"/>
      <w:numFmt w:val="decimal"/>
      <w:lvlText w:val="(%1)"/>
      <w:lvlJc w:val="left"/>
      <w:pPr>
        <w:ind w:left="720" w:hanging="360"/>
      </w:pPr>
    </w:lvl>
    <w:lvl w:ilvl="1">
      <w:start w:val="226"/>
      <w:numFmt w:val="decimal"/>
      <w:lvlText w:val="(%2)"/>
      <w:lvlJc w:val="left"/>
      <w:pPr>
        <w:ind w:left="1440" w:hanging="360"/>
      </w:pPr>
    </w:lvl>
    <w:lvl w:ilvl="2">
      <w:start w:val="226"/>
      <w:numFmt w:val="decimal"/>
      <w:lvlText w:val="(%3)"/>
      <w:lvlJc w:val="left"/>
      <w:pPr>
        <w:ind w:left="2160" w:hanging="360"/>
      </w:pPr>
    </w:lvl>
    <w:lvl w:ilvl="3">
      <w:start w:val="226"/>
      <w:numFmt w:val="decimal"/>
      <w:lvlText w:val="(%4)"/>
      <w:lvlJc w:val="left"/>
      <w:pPr>
        <w:ind w:left="2880" w:hanging="360"/>
      </w:pPr>
    </w:lvl>
    <w:lvl w:ilvl="4">
      <w:start w:val="226"/>
      <w:numFmt w:val="decimal"/>
      <w:lvlText w:val="(%5)"/>
      <w:lvlJc w:val="left"/>
      <w:pPr>
        <w:ind w:left="3600" w:hanging="360"/>
      </w:pPr>
    </w:lvl>
    <w:lvl w:ilvl="5">
      <w:start w:val="226"/>
      <w:numFmt w:val="decimal"/>
      <w:lvlText w:val="(%6)"/>
      <w:lvlJc w:val="left"/>
      <w:pPr>
        <w:ind w:left="4320" w:hanging="360"/>
      </w:pPr>
    </w:lvl>
    <w:lvl w:ilvl="6">
      <w:start w:val="226"/>
      <w:numFmt w:val="decimal"/>
      <w:lvlText w:val="(%7)"/>
      <w:lvlJc w:val="left"/>
      <w:pPr>
        <w:ind w:left="5040" w:hanging="360"/>
      </w:pPr>
    </w:lvl>
    <w:lvl w:ilvl="7">
      <w:start w:val="226"/>
      <w:numFmt w:val="decimal"/>
      <w:lvlText w:val="(%8)"/>
      <w:lvlJc w:val="left"/>
      <w:pPr>
        <w:ind w:left="5760" w:hanging="360"/>
      </w:pPr>
    </w:lvl>
    <w:lvl w:ilvl="8">
      <w:start w:val="226"/>
      <w:numFmt w:val="decimal"/>
      <w:lvlText w:val="(%9)"/>
      <w:lvlJc w:val="left"/>
      <w:pPr>
        <w:ind w:left="6480" w:hanging="360"/>
      </w:pPr>
    </w:lvl>
  </w:abstractNum>
  <w:abstractNum w:abstractNumId="9943232">
    <w:nsid w:val="A9943232"/>
    <w:multiLevelType w:val="multilevel"/>
    <w:lvl w:ilvl="0">
      <w:start w:val="232"/>
      <w:numFmt w:val="decimal"/>
      <w:lvlText w:val="(%1)"/>
      <w:lvlJc w:val="left"/>
      <w:pPr>
        <w:ind w:left="720" w:hanging="360"/>
      </w:pPr>
    </w:lvl>
    <w:lvl w:ilvl="1">
      <w:start w:val="232"/>
      <w:numFmt w:val="decimal"/>
      <w:lvlText w:val="(%2)"/>
      <w:lvlJc w:val="left"/>
      <w:pPr>
        <w:ind w:left="1440" w:hanging="360"/>
      </w:pPr>
    </w:lvl>
    <w:lvl w:ilvl="2">
      <w:start w:val="232"/>
      <w:numFmt w:val="decimal"/>
      <w:lvlText w:val="(%3)"/>
      <w:lvlJc w:val="left"/>
      <w:pPr>
        <w:ind w:left="2160" w:hanging="360"/>
      </w:pPr>
    </w:lvl>
    <w:lvl w:ilvl="3">
      <w:start w:val="232"/>
      <w:numFmt w:val="decimal"/>
      <w:lvlText w:val="(%4)"/>
      <w:lvlJc w:val="left"/>
      <w:pPr>
        <w:ind w:left="2880" w:hanging="360"/>
      </w:pPr>
    </w:lvl>
    <w:lvl w:ilvl="4">
      <w:start w:val="232"/>
      <w:numFmt w:val="decimal"/>
      <w:lvlText w:val="(%5)"/>
      <w:lvlJc w:val="left"/>
      <w:pPr>
        <w:ind w:left="3600" w:hanging="360"/>
      </w:pPr>
    </w:lvl>
    <w:lvl w:ilvl="5">
      <w:start w:val="232"/>
      <w:numFmt w:val="decimal"/>
      <w:lvlText w:val="(%6)"/>
      <w:lvlJc w:val="left"/>
      <w:pPr>
        <w:ind w:left="4320" w:hanging="360"/>
      </w:pPr>
    </w:lvl>
    <w:lvl w:ilvl="6">
      <w:start w:val="232"/>
      <w:numFmt w:val="decimal"/>
      <w:lvlText w:val="(%7)"/>
      <w:lvlJc w:val="left"/>
      <w:pPr>
        <w:ind w:left="5040" w:hanging="360"/>
      </w:pPr>
    </w:lvl>
    <w:lvl w:ilvl="7">
      <w:start w:val="232"/>
      <w:numFmt w:val="decimal"/>
      <w:lvlText w:val="(%8)"/>
      <w:lvlJc w:val="left"/>
      <w:pPr>
        <w:ind w:left="5760" w:hanging="360"/>
      </w:pPr>
    </w:lvl>
    <w:lvl w:ilvl="8">
      <w:start w:val="232"/>
      <w:numFmt w:val="decimal"/>
      <w:lvlText w:val="(%9)"/>
      <w:lvlJc w:val="left"/>
      <w:pPr>
        <w:ind w:left="6480" w:hanging="360"/>
      </w:pPr>
    </w:lvl>
  </w:abstractNum>
  <w:abstractNum w:abstractNumId="9943236">
    <w:nsid w:val="A9943236"/>
    <w:multiLevelType w:val="multilevel"/>
    <w:lvl w:ilvl="0">
      <w:start w:val="236"/>
      <w:numFmt w:val="decimal"/>
      <w:lvlText w:val="(%1)"/>
      <w:lvlJc w:val="left"/>
      <w:pPr>
        <w:ind w:left="720" w:hanging="360"/>
      </w:pPr>
    </w:lvl>
    <w:lvl w:ilvl="1">
      <w:start w:val="236"/>
      <w:numFmt w:val="decimal"/>
      <w:lvlText w:val="(%2)"/>
      <w:lvlJc w:val="left"/>
      <w:pPr>
        <w:ind w:left="1440" w:hanging="360"/>
      </w:pPr>
    </w:lvl>
    <w:lvl w:ilvl="2">
      <w:start w:val="236"/>
      <w:numFmt w:val="decimal"/>
      <w:lvlText w:val="(%3)"/>
      <w:lvlJc w:val="left"/>
      <w:pPr>
        <w:ind w:left="2160" w:hanging="360"/>
      </w:pPr>
    </w:lvl>
    <w:lvl w:ilvl="3">
      <w:start w:val="236"/>
      <w:numFmt w:val="decimal"/>
      <w:lvlText w:val="(%4)"/>
      <w:lvlJc w:val="left"/>
      <w:pPr>
        <w:ind w:left="2880" w:hanging="360"/>
      </w:pPr>
    </w:lvl>
    <w:lvl w:ilvl="4">
      <w:start w:val="236"/>
      <w:numFmt w:val="decimal"/>
      <w:lvlText w:val="(%5)"/>
      <w:lvlJc w:val="left"/>
      <w:pPr>
        <w:ind w:left="3600" w:hanging="360"/>
      </w:pPr>
    </w:lvl>
    <w:lvl w:ilvl="5">
      <w:start w:val="236"/>
      <w:numFmt w:val="decimal"/>
      <w:lvlText w:val="(%6)"/>
      <w:lvlJc w:val="left"/>
      <w:pPr>
        <w:ind w:left="4320" w:hanging="360"/>
      </w:pPr>
    </w:lvl>
    <w:lvl w:ilvl="6">
      <w:start w:val="236"/>
      <w:numFmt w:val="decimal"/>
      <w:lvlText w:val="(%7)"/>
      <w:lvlJc w:val="left"/>
      <w:pPr>
        <w:ind w:left="5040" w:hanging="360"/>
      </w:pPr>
    </w:lvl>
    <w:lvl w:ilvl="7">
      <w:start w:val="236"/>
      <w:numFmt w:val="decimal"/>
      <w:lvlText w:val="(%8)"/>
      <w:lvlJc w:val="left"/>
      <w:pPr>
        <w:ind w:left="5760" w:hanging="360"/>
      </w:pPr>
    </w:lvl>
    <w:lvl w:ilvl="8">
      <w:start w:val="236"/>
      <w:numFmt w:val="decimal"/>
      <w:lvlText w:val="(%9)"/>
      <w:lvlJc w:val="left"/>
      <w:pPr>
        <w:ind w:left="6480" w:hanging="360"/>
      </w:pPr>
    </w:lvl>
  </w:abstractNum>
  <w:abstractNum w:abstractNumId="9943237">
    <w:nsid w:val="A9943237"/>
    <w:multiLevelType w:val="multilevel"/>
    <w:lvl w:ilvl="0">
      <w:start w:val="237"/>
      <w:numFmt w:val="decimal"/>
      <w:lvlText w:val="(%1)"/>
      <w:lvlJc w:val="left"/>
      <w:pPr>
        <w:ind w:left="720" w:hanging="360"/>
      </w:pPr>
    </w:lvl>
    <w:lvl w:ilvl="1">
      <w:start w:val="237"/>
      <w:numFmt w:val="decimal"/>
      <w:lvlText w:val="(%2)"/>
      <w:lvlJc w:val="left"/>
      <w:pPr>
        <w:ind w:left="1440" w:hanging="360"/>
      </w:pPr>
    </w:lvl>
    <w:lvl w:ilvl="2">
      <w:start w:val="237"/>
      <w:numFmt w:val="decimal"/>
      <w:lvlText w:val="(%3)"/>
      <w:lvlJc w:val="left"/>
      <w:pPr>
        <w:ind w:left="2160" w:hanging="360"/>
      </w:pPr>
    </w:lvl>
    <w:lvl w:ilvl="3">
      <w:start w:val="237"/>
      <w:numFmt w:val="decimal"/>
      <w:lvlText w:val="(%4)"/>
      <w:lvlJc w:val="left"/>
      <w:pPr>
        <w:ind w:left="2880" w:hanging="360"/>
      </w:pPr>
    </w:lvl>
    <w:lvl w:ilvl="4">
      <w:start w:val="237"/>
      <w:numFmt w:val="decimal"/>
      <w:lvlText w:val="(%5)"/>
      <w:lvlJc w:val="left"/>
      <w:pPr>
        <w:ind w:left="3600" w:hanging="360"/>
      </w:pPr>
    </w:lvl>
    <w:lvl w:ilvl="5">
      <w:start w:val="237"/>
      <w:numFmt w:val="decimal"/>
      <w:lvlText w:val="(%6)"/>
      <w:lvlJc w:val="left"/>
      <w:pPr>
        <w:ind w:left="4320" w:hanging="360"/>
      </w:pPr>
    </w:lvl>
    <w:lvl w:ilvl="6">
      <w:start w:val="237"/>
      <w:numFmt w:val="decimal"/>
      <w:lvlText w:val="(%7)"/>
      <w:lvlJc w:val="left"/>
      <w:pPr>
        <w:ind w:left="5040" w:hanging="360"/>
      </w:pPr>
    </w:lvl>
    <w:lvl w:ilvl="7">
      <w:start w:val="237"/>
      <w:numFmt w:val="decimal"/>
      <w:lvlText w:val="(%8)"/>
      <w:lvlJc w:val="left"/>
      <w:pPr>
        <w:ind w:left="5760" w:hanging="360"/>
      </w:pPr>
    </w:lvl>
    <w:lvl w:ilvl="8">
      <w:start w:val="237"/>
      <w:numFmt w:val="decimal"/>
      <w:lvlText w:val="(%9)"/>
      <w:lvlJc w:val="left"/>
      <w:pPr>
        <w:ind w:left="6480" w:hanging="360"/>
      </w:pPr>
    </w:lvl>
  </w:abstractNum>
  <w:abstractNum w:abstractNumId="9943240">
    <w:nsid w:val="A9943240"/>
    <w:multiLevelType w:val="multilevel"/>
    <w:lvl w:ilvl="0">
      <w:start w:val="240"/>
      <w:numFmt w:val="decimal"/>
      <w:lvlText w:val="(%1)"/>
      <w:lvlJc w:val="left"/>
      <w:pPr>
        <w:ind w:left="720" w:hanging="360"/>
      </w:pPr>
    </w:lvl>
    <w:lvl w:ilvl="1">
      <w:start w:val="240"/>
      <w:numFmt w:val="decimal"/>
      <w:lvlText w:val="(%2)"/>
      <w:lvlJc w:val="left"/>
      <w:pPr>
        <w:ind w:left="1440" w:hanging="360"/>
      </w:pPr>
    </w:lvl>
    <w:lvl w:ilvl="2">
      <w:start w:val="240"/>
      <w:numFmt w:val="decimal"/>
      <w:lvlText w:val="(%3)"/>
      <w:lvlJc w:val="left"/>
      <w:pPr>
        <w:ind w:left="2160" w:hanging="360"/>
      </w:pPr>
    </w:lvl>
    <w:lvl w:ilvl="3">
      <w:start w:val="240"/>
      <w:numFmt w:val="decimal"/>
      <w:lvlText w:val="(%4)"/>
      <w:lvlJc w:val="left"/>
      <w:pPr>
        <w:ind w:left="2880" w:hanging="360"/>
      </w:pPr>
    </w:lvl>
    <w:lvl w:ilvl="4">
      <w:start w:val="240"/>
      <w:numFmt w:val="decimal"/>
      <w:lvlText w:val="(%5)"/>
      <w:lvlJc w:val="left"/>
      <w:pPr>
        <w:ind w:left="3600" w:hanging="360"/>
      </w:pPr>
    </w:lvl>
    <w:lvl w:ilvl="5">
      <w:start w:val="240"/>
      <w:numFmt w:val="decimal"/>
      <w:lvlText w:val="(%6)"/>
      <w:lvlJc w:val="left"/>
      <w:pPr>
        <w:ind w:left="4320" w:hanging="360"/>
      </w:pPr>
    </w:lvl>
    <w:lvl w:ilvl="6">
      <w:start w:val="240"/>
      <w:numFmt w:val="decimal"/>
      <w:lvlText w:val="(%7)"/>
      <w:lvlJc w:val="left"/>
      <w:pPr>
        <w:ind w:left="5040" w:hanging="360"/>
      </w:pPr>
    </w:lvl>
    <w:lvl w:ilvl="7">
      <w:start w:val="240"/>
      <w:numFmt w:val="decimal"/>
      <w:lvlText w:val="(%8)"/>
      <w:lvlJc w:val="left"/>
      <w:pPr>
        <w:ind w:left="5760" w:hanging="360"/>
      </w:pPr>
    </w:lvl>
    <w:lvl w:ilvl="8">
      <w:start w:val="240"/>
      <w:numFmt w:val="decimal"/>
      <w:lvlText w:val="(%9)"/>
      <w:lvlJc w:val="left"/>
      <w:pPr>
        <w:ind w:left="6480" w:hanging="360"/>
      </w:pPr>
    </w:lvl>
  </w:abstractNum>
  <w:abstractNum w:abstractNumId="9943244">
    <w:nsid w:val="A9943244"/>
    <w:multiLevelType w:val="multilevel"/>
    <w:lvl w:ilvl="0">
      <w:start w:val="244"/>
      <w:numFmt w:val="decimal"/>
      <w:lvlText w:val="(%1)"/>
      <w:lvlJc w:val="left"/>
      <w:pPr>
        <w:ind w:left="720" w:hanging="360"/>
      </w:pPr>
    </w:lvl>
    <w:lvl w:ilvl="1">
      <w:start w:val="244"/>
      <w:numFmt w:val="decimal"/>
      <w:lvlText w:val="(%2)"/>
      <w:lvlJc w:val="left"/>
      <w:pPr>
        <w:ind w:left="1440" w:hanging="360"/>
      </w:pPr>
    </w:lvl>
    <w:lvl w:ilvl="2">
      <w:start w:val="244"/>
      <w:numFmt w:val="decimal"/>
      <w:lvlText w:val="(%3)"/>
      <w:lvlJc w:val="left"/>
      <w:pPr>
        <w:ind w:left="2160" w:hanging="360"/>
      </w:pPr>
    </w:lvl>
    <w:lvl w:ilvl="3">
      <w:start w:val="244"/>
      <w:numFmt w:val="decimal"/>
      <w:lvlText w:val="(%4)"/>
      <w:lvlJc w:val="left"/>
      <w:pPr>
        <w:ind w:left="2880" w:hanging="360"/>
      </w:pPr>
    </w:lvl>
    <w:lvl w:ilvl="4">
      <w:start w:val="244"/>
      <w:numFmt w:val="decimal"/>
      <w:lvlText w:val="(%5)"/>
      <w:lvlJc w:val="left"/>
      <w:pPr>
        <w:ind w:left="3600" w:hanging="360"/>
      </w:pPr>
    </w:lvl>
    <w:lvl w:ilvl="5">
      <w:start w:val="244"/>
      <w:numFmt w:val="decimal"/>
      <w:lvlText w:val="(%6)"/>
      <w:lvlJc w:val="left"/>
      <w:pPr>
        <w:ind w:left="4320" w:hanging="360"/>
      </w:pPr>
    </w:lvl>
    <w:lvl w:ilvl="6">
      <w:start w:val="244"/>
      <w:numFmt w:val="decimal"/>
      <w:lvlText w:val="(%7)"/>
      <w:lvlJc w:val="left"/>
      <w:pPr>
        <w:ind w:left="5040" w:hanging="360"/>
      </w:pPr>
    </w:lvl>
    <w:lvl w:ilvl="7">
      <w:start w:val="244"/>
      <w:numFmt w:val="decimal"/>
      <w:lvlText w:val="(%8)"/>
      <w:lvlJc w:val="left"/>
      <w:pPr>
        <w:ind w:left="5760" w:hanging="360"/>
      </w:pPr>
    </w:lvl>
    <w:lvl w:ilvl="8">
      <w:start w:val="244"/>
      <w:numFmt w:val="decimal"/>
      <w:lvlText w:val="(%9)"/>
      <w:lvlJc w:val="left"/>
      <w:pPr>
        <w:ind w:left="6480" w:hanging="360"/>
      </w:pPr>
    </w:lvl>
  </w:abstractNum>
  <w:abstractNum w:abstractNumId="9943245">
    <w:nsid w:val="A9943245"/>
    <w:multiLevelType w:val="multilevel"/>
    <w:lvl w:ilvl="0">
      <w:start w:val="245"/>
      <w:numFmt w:val="decimal"/>
      <w:lvlText w:val="(%1)"/>
      <w:lvlJc w:val="left"/>
      <w:pPr>
        <w:ind w:left="720" w:hanging="360"/>
      </w:pPr>
    </w:lvl>
    <w:lvl w:ilvl="1">
      <w:start w:val="245"/>
      <w:numFmt w:val="decimal"/>
      <w:lvlText w:val="(%2)"/>
      <w:lvlJc w:val="left"/>
      <w:pPr>
        <w:ind w:left="1440" w:hanging="360"/>
      </w:pPr>
    </w:lvl>
    <w:lvl w:ilvl="2">
      <w:start w:val="245"/>
      <w:numFmt w:val="decimal"/>
      <w:lvlText w:val="(%3)"/>
      <w:lvlJc w:val="left"/>
      <w:pPr>
        <w:ind w:left="2160" w:hanging="360"/>
      </w:pPr>
    </w:lvl>
    <w:lvl w:ilvl="3">
      <w:start w:val="245"/>
      <w:numFmt w:val="decimal"/>
      <w:lvlText w:val="(%4)"/>
      <w:lvlJc w:val="left"/>
      <w:pPr>
        <w:ind w:left="2880" w:hanging="360"/>
      </w:pPr>
    </w:lvl>
    <w:lvl w:ilvl="4">
      <w:start w:val="245"/>
      <w:numFmt w:val="decimal"/>
      <w:lvlText w:val="(%5)"/>
      <w:lvlJc w:val="left"/>
      <w:pPr>
        <w:ind w:left="3600" w:hanging="360"/>
      </w:pPr>
    </w:lvl>
    <w:lvl w:ilvl="5">
      <w:start w:val="245"/>
      <w:numFmt w:val="decimal"/>
      <w:lvlText w:val="(%6)"/>
      <w:lvlJc w:val="left"/>
      <w:pPr>
        <w:ind w:left="4320" w:hanging="360"/>
      </w:pPr>
    </w:lvl>
    <w:lvl w:ilvl="6">
      <w:start w:val="245"/>
      <w:numFmt w:val="decimal"/>
      <w:lvlText w:val="(%7)"/>
      <w:lvlJc w:val="left"/>
      <w:pPr>
        <w:ind w:left="5040" w:hanging="360"/>
      </w:pPr>
    </w:lvl>
    <w:lvl w:ilvl="7">
      <w:start w:val="245"/>
      <w:numFmt w:val="decimal"/>
      <w:lvlText w:val="(%8)"/>
      <w:lvlJc w:val="left"/>
      <w:pPr>
        <w:ind w:left="5760" w:hanging="360"/>
      </w:pPr>
    </w:lvl>
    <w:lvl w:ilvl="8">
      <w:start w:val="245"/>
      <w:numFmt w:val="decimal"/>
      <w:lvlText w:val="(%9)"/>
      <w:lvlJc w:val="left"/>
      <w:pPr>
        <w:ind w:left="6480" w:hanging="360"/>
      </w:pPr>
    </w:lvl>
  </w:abstractNum>
  <w:abstractNum w:abstractNumId="9943252">
    <w:nsid w:val="A9943252"/>
    <w:multiLevelType w:val="multilevel"/>
    <w:lvl w:ilvl="0">
      <w:start w:val="252"/>
      <w:numFmt w:val="decimal"/>
      <w:lvlText w:val="(%1)"/>
      <w:lvlJc w:val="left"/>
      <w:pPr>
        <w:ind w:left="720" w:hanging="360"/>
      </w:pPr>
    </w:lvl>
    <w:lvl w:ilvl="1">
      <w:start w:val="252"/>
      <w:numFmt w:val="decimal"/>
      <w:lvlText w:val="(%2)"/>
      <w:lvlJc w:val="left"/>
      <w:pPr>
        <w:ind w:left="1440" w:hanging="360"/>
      </w:pPr>
    </w:lvl>
    <w:lvl w:ilvl="2">
      <w:start w:val="252"/>
      <w:numFmt w:val="decimal"/>
      <w:lvlText w:val="(%3)"/>
      <w:lvlJc w:val="left"/>
      <w:pPr>
        <w:ind w:left="2160" w:hanging="360"/>
      </w:pPr>
    </w:lvl>
    <w:lvl w:ilvl="3">
      <w:start w:val="252"/>
      <w:numFmt w:val="decimal"/>
      <w:lvlText w:val="(%4)"/>
      <w:lvlJc w:val="left"/>
      <w:pPr>
        <w:ind w:left="2880" w:hanging="360"/>
      </w:pPr>
    </w:lvl>
    <w:lvl w:ilvl="4">
      <w:start w:val="252"/>
      <w:numFmt w:val="decimal"/>
      <w:lvlText w:val="(%5)"/>
      <w:lvlJc w:val="left"/>
      <w:pPr>
        <w:ind w:left="3600" w:hanging="360"/>
      </w:pPr>
    </w:lvl>
    <w:lvl w:ilvl="5">
      <w:start w:val="252"/>
      <w:numFmt w:val="decimal"/>
      <w:lvlText w:val="(%6)"/>
      <w:lvlJc w:val="left"/>
      <w:pPr>
        <w:ind w:left="4320" w:hanging="360"/>
      </w:pPr>
    </w:lvl>
    <w:lvl w:ilvl="6">
      <w:start w:val="252"/>
      <w:numFmt w:val="decimal"/>
      <w:lvlText w:val="(%7)"/>
      <w:lvlJc w:val="left"/>
      <w:pPr>
        <w:ind w:left="5040" w:hanging="360"/>
      </w:pPr>
    </w:lvl>
    <w:lvl w:ilvl="7">
      <w:start w:val="252"/>
      <w:numFmt w:val="decimal"/>
      <w:lvlText w:val="(%8)"/>
      <w:lvlJc w:val="left"/>
      <w:pPr>
        <w:ind w:left="5760" w:hanging="360"/>
      </w:pPr>
    </w:lvl>
    <w:lvl w:ilvl="8">
      <w:start w:val="252"/>
      <w:numFmt w:val="decimal"/>
      <w:lvlText w:val="(%9)"/>
      <w:lvlJc w:val="left"/>
      <w:pPr>
        <w:ind w:left="6480" w:hanging="360"/>
      </w:pPr>
    </w:lvl>
  </w:abstractNum>
  <w:abstractNum w:abstractNumId="9943254">
    <w:nsid w:val="A9943254"/>
    <w:multiLevelType w:val="multilevel"/>
    <w:lvl w:ilvl="0">
      <w:start w:val="254"/>
      <w:numFmt w:val="decimal"/>
      <w:lvlText w:val="(%1)"/>
      <w:lvlJc w:val="left"/>
      <w:pPr>
        <w:ind w:left="720" w:hanging="360"/>
      </w:pPr>
    </w:lvl>
    <w:lvl w:ilvl="1">
      <w:start w:val="254"/>
      <w:numFmt w:val="decimal"/>
      <w:lvlText w:val="(%2)"/>
      <w:lvlJc w:val="left"/>
      <w:pPr>
        <w:ind w:left="1440" w:hanging="360"/>
      </w:pPr>
    </w:lvl>
    <w:lvl w:ilvl="2">
      <w:start w:val="254"/>
      <w:numFmt w:val="decimal"/>
      <w:lvlText w:val="(%3)"/>
      <w:lvlJc w:val="left"/>
      <w:pPr>
        <w:ind w:left="2160" w:hanging="360"/>
      </w:pPr>
    </w:lvl>
    <w:lvl w:ilvl="3">
      <w:start w:val="254"/>
      <w:numFmt w:val="decimal"/>
      <w:lvlText w:val="(%4)"/>
      <w:lvlJc w:val="left"/>
      <w:pPr>
        <w:ind w:left="2880" w:hanging="360"/>
      </w:pPr>
    </w:lvl>
    <w:lvl w:ilvl="4">
      <w:start w:val="254"/>
      <w:numFmt w:val="decimal"/>
      <w:lvlText w:val="(%5)"/>
      <w:lvlJc w:val="left"/>
      <w:pPr>
        <w:ind w:left="3600" w:hanging="360"/>
      </w:pPr>
    </w:lvl>
    <w:lvl w:ilvl="5">
      <w:start w:val="254"/>
      <w:numFmt w:val="decimal"/>
      <w:lvlText w:val="(%6)"/>
      <w:lvlJc w:val="left"/>
      <w:pPr>
        <w:ind w:left="4320" w:hanging="360"/>
      </w:pPr>
    </w:lvl>
    <w:lvl w:ilvl="6">
      <w:start w:val="254"/>
      <w:numFmt w:val="decimal"/>
      <w:lvlText w:val="(%7)"/>
      <w:lvlJc w:val="left"/>
      <w:pPr>
        <w:ind w:left="5040" w:hanging="360"/>
      </w:pPr>
    </w:lvl>
    <w:lvl w:ilvl="7">
      <w:start w:val="254"/>
      <w:numFmt w:val="decimal"/>
      <w:lvlText w:val="(%8)"/>
      <w:lvlJc w:val="left"/>
      <w:pPr>
        <w:ind w:left="5760" w:hanging="360"/>
      </w:pPr>
    </w:lvl>
    <w:lvl w:ilvl="8">
      <w:start w:val="254"/>
      <w:numFmt w:val="decimal"/>
      <w:lvlText w:val="(%9)"/>
      <w:lvlJc w:val="left"/>
      <w:pPr>
        <w:ind w:left="6480" w:hanging="360"/>
      </w:pPr>
    </w:lvl>
  </w:abstractNum>
  <w:abstractNum w:abstractNumId="9943255">
    <w:nsid w:val="A9943255"/>
    <w:multiLevelType w:val="multilevel"/>
    <w:lvl w:ilvl="0">
      <w:start w:val="255"/>
      <w:numFmt w:val="decimal"/>
      <w:lvlText w:val="(%1)"/>
      <w:lvlJc w:val="left"/>
      <w:pPr>
        <w:ind w:left="720" w:hanging="360"/>
      </w:pPr>
    </w:lvl>
    <w:lvl w:ilvl="1">
      <w:start w:val="255"/>
      <w:numFmt w:val="decimal"/>
      <w:lvlText w:val="(%2)"/>
      <w:lvlJc w:val="left"/>
      <w:pPr>
        <w:ind w:left="1440" w:hanging="360"/>
      </w:pPr>
    </w:lvl>
    <w:lvl w:ilvl="2">
      <w:start w:val="255"/>
      <w:numFmt w:val="decimal"/>
      <w:lvlText w:val="(%3)"/>
      <w:lvlJc w:val="left"/>
      <w:pPr>
        <w:ind w:left="2160" w:hanging="360"/>
      </w:pPr>
    </w:lvl>
    <w:lvl w:ilvl="3">
      <w:start w:val="255"/>
      <w:numFmt w:val="decimal"/>
      <w:lvlText w:val="(%4)"/>
      <w:lvlJc w:val="left"/>
      <w:pPr>
        <w:ind w:left="2880" w:hanging="360"/>
      </w:pPr>
    </w:lvl>
    <w:lvl w:ilvl="4">
      <w:start w:val="255"/>
      <w:numFmt w:val="decimal"/>
      <w:lvlText w:val="(%5)"/>
      <w:lvlJc w:val="left"/>
      <w:pPr>
        <w:ind w:left="3600" w:hanging="360"/>
      </w:pPr>
    </w:lvl>
    <w:lvl w:ilvl="5">
      <w:start w:val="255"/>
      <w:numFmt w:val="decimal"/>
      <w:lvlText w:val="(%6)"/>
      <w:lvlJc w:val="left"/>
      <w:pPr>
        <w:ind w:left="4320" w:hanging="360"/>
      </w:pPr>
    </w:lvl>
    <w:lvl w:ilvl="6">
      <w:start w:val="255"/>
      <w:numFmt w:val="decimal"/>
      <w:lvlText w:val="(%7)"/>
      <w:lvlJc w:val="left"/>
      <w:pPr>
        <w:ind w:left="5040" w:hanging="360"/>
      </w:pPr>
    </w:lvl>
    <w:lvl w:ilvl="7">
      <w:start w:val="255"/>
      <w:numFmt w:val="decimal"/>
      <w:lvlText w:val="(%8)"/>
      <w:lvlJc w:val="left"/>
      <w:pPr>
        <w:ind w:left="5760" w:hanging="360"/>
      </w:pPr>
    </w:lvl>
    <w:lvl w:ilvl="8">
      <w:start w:val="255"/>
      <w:numFmt w:val="decimal"/>
      <w:lvlText w:val="(%9)"/>
      <w:lvlJc w:val="left"/>
      <w:pPr>
        <w:ind w:left="6480" w:hanging="360"/>
      </w:pPr>
    </w:lvl>
  </w:abstractNum>
  <w:abstractNum w:abstractNumId="9943258">
    <w:nsid w:val="A9943258"/>
    <w:multiLevelType w:val="multilevel"/>
    <w:lvl w:ilvl="0">
      <w:start w:val="258"/>
      <w:numFmt w:val="decimal"/>
      <w:lvlText w:val="(%1)"/>
      <w:lvlJc w:val="left"/>
      <w:pPr>
        <w:ind w:left="720" w:hanging="360"/>
      </w:pPr>
    </w:lvl>
    <w:lvl w:ilvl="1">
      <w:start w:val="258"/>
      <w:numFmt w:val="decimal"/>
      <w:lvlText w:val="(%2)"/>
      <w:lvlJc w:val="left"/>
      <w:pPr>
        <w:ind w:left="1440" w:hanging="360"/>
      </w:pPr>
    </w:lvl>
    <w:lvl w:ilvl="2">
      <w:start w:val="258"/>
      <w:numFmt w:val="decimal"/>
      <w:lvlText w:val="(%3)"/>
      <w:lvlJc w:val="left"/>
      <w:pPr>
        <w:ind w:left="2160" w:hanging="360"/>
      </w:pPr>
    </w:lvl>
    <w:lvl w:ilvl="3">
      <w:start w:val="258"/>
      <w:numFmt w:val="decimal"/>
      <w:lvlText w:val="(%4)"/>
      <w:lvlJc w:val="left"/>
      <w:pPr>
        <w:ind w:left="2880" w:hanging="360"/>
      </w:pPr>
    </w:lvl>
    <w:lvl w:ilvl="4">
      <w:start w:val="258"/>
      <w:numFmt w:val="decimal"/>
      <w:lvlText w:val="(%5)"/>
      <w:lvlJc w:val="left"/>
      <w:pPr>
        <w:ind w:left="3600" w:hanging="360"/>
      </w:pPr>
    </w:lvl>
    <w:lvl w:ilvl="5">
      <w:start w:val="258"/>
      <w:numFmt w:val="decimal"/>
      <w:lvlText w:val="(%6)"/>
      <w:lvlJc w:val="left"/>
      <w:pPr>
        <w:ind w:left="4320" w:hanging="360"/>
      </w:pPr>
    </w:lvl>
    <w:lvl w:ilvl="6">
      <w:start w:val="258"/>
      <w:numFmt w:val="decimal"/>
      <w:lvlText w:val="(%7)"/>
      <w:lvlJc w:val="left"/>
      <w:pPr>
        <w:ind w:left="5040" w:hanging="360"/>
      </w:pPr>
    </w:lvl>
    <w:lvl w:ilvl="7">
      <w:start w:val="258"/>
      <w:numFmt w:val="decimal"/>
      <w:lvlText w:val="(%8)"/>
      <w:lvlJc w:val="left"/>
      <w:pPr>
        <w:ind w:left="5760" w:hanging="360"/>
      </w:pPr>
    </w:lvl>
    <w:lvl w:ilvl="8">
      <w:start w:val="258"/>
      <w:numFmt w:val="decimal"/>
      <w:lvlText w:val="(%9)"/>
      <w:lvlJc w:val="left"/>
      <w:pPr>
        <w:ind w:left="6480" w:hanging="360"/>
      </w:pPr>
    </w:lvl>
  </w:abstractNum>
  <w:abstractNum w:abstractNumId="9943262">
    <w:nsid w:val="A9943262"/>
    <w:multiLevelType w:val="multilevel"/>
    <w:lvl w:ilvl="0">
      <w:start w:val="262"/>
      <w:numFmt w:val="decimal"/>
      <w:lvlText w:val="(%1)"/>
      <w:lvlJc w:val="left"/>
      <w:pPr>
        <w:ind w:left="720" w:hanging="360"/>
      </w:pPr>
    </w:lvl>
    <w:lvl w:ilvl="1">
      <w:start w:val="262"/>
      <w:numFmt w:val="decimal"/>
      <w:lvlText w:val="(%2)"/>
      <w:lvlJc w:val="left"/>
      <w:pPr>
        <w:ind w:left="1440" w:hanging="360"/>
      </w:pPr>
    </w:lvl>
    <w:lvl w:ilvl="2">
      <w:start w:val="262"/>
      <w:numFmt w:val="decimal"/>
      <w:lvlText w:val="(%3)"/>
      <w:lvlJc w:val="left"/>
      <w:pPr>
        <w:ind w:left="2160" w:hanging="360"/>
      </w:pPr>
    </w:lvl>
    <w:lvl w:ilvl="3">
      <w:start w:val="262"/>
      <w:numFmt w:val="decimal"/>
      <w:lvlText w:val="(%4)"/>
      <w:lvlJc w:val="left"/>
      <w:pPr>
        <w:ind w:left="2880" w:hanging="360"/>
      </w:pPr>
    </w:lvl>
    <w:lvl w:ilvl="4">
      <w:start w:val="262"/>
      <w:numFmt w:val="decimal"/>
      <w:lvlText w:val="(%5)"/>
      <w:lvlJc w:val="left"/>
      <w:pPr>
        <w:ind w:left="3600" w:hanging="360"/>
      </w:pPr>
    </w:lvl>
    <w:lvl w:ilvl="5">
      <w:start w:val="262"/>
      <w:numFmt w:val="decimal"/>
      <w:lvlText w:val="(%6)"/>
      <w:lvlJc w:val="left"/>
      <w:pPr>
        <w:ind w:left="4320" w:hanging="360"/>
      </w:pPr>
    </w:lvl>
    <w:lvl w:ilvl="6">
      <w:start w:val="262"/>
      <w:numFmt w:val="decimal"/>
      <w:lvlText w:val="(%7)"/>
      <w:lvlJc w:val="left"/>
      <w:pPr>
        <w:ind w:left="5040" w:hanging="360"/>
      </w:pPr>
    </w:lvl>
    <w:lvl w:ilvl="7">
      <w:start w:val="262"/>
      <w:numFmt w:val="decimal"/>
      <w:lvlText w:val="(%8)"/>
      <w:lvlJc w:val="left"/>
      <w:pPr>
        <w:ind w:left="5760" w:hanging="360"/>
      </w:pPr>
    </w:lvl>
    <w:lvl w:ilvl="8">
      <w:start w:val="262"/>
      <w:numFmt w:val="decimal"/>
      <w:lvlText w:val="(%9)"/>
      <w:lvlJc w:val="left"/>
      <w:pPr>
        <w:ind w:left="6480" w:hanging="360"/>
      </w:pPr>
    </w:lvl>
  </w:abstractNum>
  <w:abstractNum w:abstractNumId="9943263">
    <w:nsid w:val="A9943263"/>
    <w:multiLevelType w:val="multilevel"/>
    <w:lvl w:ilvl="0">
      <w:start w:val="263"/>
      <w:numFmt w:val="decimal"/>
      <w:lvlText w:val="(%1)"/>
      <w:lvlJc w:val="left"/>
      <w:pPr>
        <w:ind w:left="720" w:hanging="360"/>
      </w:pPr>
    </w:lvl>
    <w:lvl w:ilvl="1">
      <w:start w:val="263"/>
      <w:numFmt w:val="decimal"/>
      <w:lvlText w:val="(%2)"/>
      <w:lvlJc w:val="left"/>
      <w:pPr>
        <w:ind w:left="1440" w:hanging="360"/>
      </w:pPr>
    </w:lvl>
    <w:lvl w:ilvl="2">
      <w:start w:val="263"/>
      <w:numFmt w:val="decimal"/>
      <w:lvlText w:val="(%3)"/>
      <w:lvlJc w:val="left"/>
      <w:pPr>
        <w:ind w:left="2160" w:hanging="360"/>
      </w:pPr>
    </w:lvl>
    <w:lvl w:ilvl="3">
      <w:start w:val="263"/>
      <w:numFmt w:val="decimal"/>
      <w:lvlText w:val="(%4)"/>
      <w:lvlJc w:val="left"/>
      <w:pPr>
        <w:ind w:left="2880" w:hanging="360"/>
      </w:pPr>
    </w:lvl>
    <w:lvl w:ilvl="4">
      <w:start w:val="263"/>
      <w:numFmt w:val="decimal"/>
      <w:lvlText w:val="(%5)"/>
      <w:lvlJc w:val="left"/>
      <w:pPr>
        <w:ind w:left="3600" w:hanging="360"/>
      </w:pPr>
    </w:lvl>
    <w:lvl w:ilvl="5">
      <w:start w:val="263"/>
      <w:numFmt w:val="decimal"/>
      <w:lvlText w:val="(%6)"/>
      <w:lvlJc w:val="left"/>
      <w:pPr>
        <w:ind w:left="4320" w:hanging="360"/>
      </w:pPr>
    </w:lvl>
    <w:lvl w:ilvl="6">
      <w:start w:val="263"/>
      <w:numFmt w:val="decimal"/>
      <w:lvlText w:val="(%7)"/>
      <w:lvlJc w:val="left"/>
      <w:pPr>
        <w:ind w:left="5040" w:hanging="360"/>
      </w:pPr>
    </w:lvl>
    <w:lvl w:ilvl="7">
      <w:start w:val="263"/>
      <w:numFmt w:val="decimal"/>
      <w:lvlText w:val="(%8)"/>
      <w:lvlJc w:val="left"/>
      <w:pPr>
        <w:ind w:left="5760" w:hanging="360"/>
      </w:pPr>
    </w:lvl>
    <w:lvl w:ilvl="8">
      <w:start w:val="263"/>
      <w:numFmt w:val="decimal"/>
      <w:lvlText w:val="(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3264">
    <w:nsid w:val="A9943264"/>
    <w:multiLevelType w:val="multilevel"/>
    <w:lvl w:ilvl="0">
      <w:start w:val="264"/>
      <w:numFmt w:val="decimal"/>
      <w:lvlText w:val="(%1)"/>
      <w:lvlJc w:val="left"/>
      <w:pPr>
        <w:ind w:left="720" w:hanging="360"/>
      </w:pPr>
    </w:lvl>
    <w:lvl w:ilvl="1">
      <w:start w:val="264"/>
      <w:numFmt w:val="decimal"/>
      <w:lvlText w:val="(%2)"/>
      <w:lvlJc w:val="left"/>
      <w:pPr>
        <w:ind w:left="1440" w:hanging="360"/>
      </w:pPr>
    </w:lvl>
    <w:lvl w:ilvl="2">
      <w:start w:val="264"/>
      <w:numFmt w:val="decimal"/>
      <w:lvlText w:val="(%3)"/>
      <w:lvlJc w:val="left"/>
      <w:pPr>
        <w:ind w:left="2160" w:hanging="360"/>
      </w:pPr>
    </w:lvl>
    <w:lvl w:ilvl="3">
      <w:start w:val="264"/>
      <w:numFmt w:val="decimal"/>
      <w:lvlText w:val="(%4)"/>
      <w:lvlJc w:val="left"/>
      <w:pPr>
        <w:ind w:left="2880" w:hanging="360"/>
      </w:pPr>
    </w:lvl>
    <w:lvl w:ilvl="4">
      <w:start w:val="264"/>
      <w:numFmt w:val="decimal"/>
      <w:lvlText w:val="(%5)"/>
      <w:lvlJc w:val="left"/>
      <w:pPr>
        <w:ind w:left="3600" w:hanging="360"/>
      </w:pPr>
    </w:lvl>
    <w:lvl w:ilvl="5">
      <w:start w:val="264"/>
      <w:numFmt w:val="decimal"/>
      <w:lvlText w:val="(%6)"/>
      <w:lvlJc w:val="left"/>
      <w:pPr>
        <w:ind w:left="4320" w:hanging="360"/>
      </w:pPr>
    </w:lvl>
    <w:lvl w:ilvl="6">
      <w:start w:val="264"/>
      <w:numFmt w:val="decimal"/>
      <w:lvlText w:val="(%7)"/>
      <w:lvlJc w:val="left"/>
      <w:pPr>
        <w:ind w:left="5040" w:hanging="360"/>
      </w:pPr>
    </w:lvl>
    <w:lvl w:ilvl="7">
      <w:start w:val="264"/>
      <w:numFmt w:val="decimal"/>
      <w:lvlText w:val="(%8)"/>
      <w:lvlJc w:val="left"/>
      <w:pPr>
        <w:ind w:left="5760" w:hanging="360"/>
      </w:pPr>
    </w:lvl>
    <w:lvl w:ilvl="8">
      <w:start w:val="264"/>
      <w:numFmt w:val="decimal"/>
      <w:lvlText w:val="(%9)"/>
      <w:lvlJc w:val="left"/>
      <w:pPr>
        <w:ind w:left="6480" w:hanging="360"/>
      </w:pPr>
    </w:lvl>
  </w:abstractNum>
  <w:abstractNum w:abstractNumId="9943267">
    <w:nsid w:val="A9943267"/>
    <w:multiLevelType w:val="multilevel"/>
    <w:lvl w:ilvl="0">
      <w:start w:val="267"/>
      <w:numFmt w:val="decimal"/>
      <w:lvlText w:val="(%1)"/>
      <w:lvlJc w:val="left"/>
      <w:pPr>
        <w:ind w:left="720" w:hanging="360"/>
      </w:pPr>
    </w:lvl>
    <w:lvl w:ilvl="1">
      <w:start w:val="267"/>
      <w:numFmt w:val="decimal"/>
      <w:lvlText w:val="(%2)"/>
      <w:lvlJc w:val="left"/>
      <w:pPr>
        <w:ind w:left="1440" w:hanging="360"/>
      </w:pPr>
    </w:lvl>
    <w:lvl w:ilvl="2">
      <w:start w:val="267"/>
      <w:numFmt w:val="decimal"/>
      <w:lvlText w:val="(%3)"/>
      <w:lvlJc w:val="left"/>
      <w:pPr>
        <w:ind w:left="2160" w:hanging="360"/>
      </w:pPr>
    </w:lvl>
    <w:lvl w:ilvl="3">
      <w:start w:val="267"/>
      <w:numFmt w:val="decimal"/>
      <w:lvlText w:val="(%4)"/>
      <w:lvlJc w:val="left"/>
      <w:pPr>
        <w:ind w:left="2880" w:hanging="360"/>
      </w:pPr>
    </w:lvl>
    <w:lvl w:ilvl="4">
      <w:start w:val="267"/>
      <w:numFmt w:val="decimal"/>
      <w:lvlText w:val="(%5)"/>
      <w:lvlJc w:val="left"/>
      <w:pPr>
        <w:ind w:left="3600" w:hanging="360"/>
      </w:pPr>
    </w:lvl>
    <w:lvl w:ilvl="5">
      <w:start w:val="267"/>
      <w:numFmt w:val="decimal"/>
      <w:lvlText w:val="(%6)"/>
      <w:lvlJc w:val="left"/>
      <w:pPr>
        <w:ind w:left="4320" w:hanging="360"/>
      </w:pPr>
    </w:lvl>
    <w:lvl w:ilvl="6">
      <w:start w:val="267"/>
      <w:numFmt w:val="decimal"/>
      <w:lvlText w:val="(%7)"/>
      <w:lvlJc w:val="left"/>
      <w:pPr>
        <w:ind w:left="5040" w:hanging="360"/>
      </w:pPr>
    </w:lvl>
    <w:lvl w:ilvl="7">
      <w:start w:val="267"/>
      <w:numFmt w:val="decimal"/>
      <w:lvlText w:val="(%8)"/>
      <w:lvlJc w:val="left"/>
      <w:pPr>
        <w:ind w:left="5760" w:hanging="360"/>
      </w:pPr>
    </w:lvl>
    <w:lvl w:ilvl="8">
      <w:start w:val="267"/>
      <w:numFmt w:val="decimal"/>
      <w:lvlText w:val="(%9)"/>
      <w:lvlJc w:val="left"/>
      <w:pPr>
        <w:ind w:left="6480" w:hanging="360"/>
      </w:pPr>
    </w:lvl>
  </w:abstractNum>
  <w:abstractNum w:abstractNumId="9943275">
    <w:nsid w:val="A9943275"/>
    <w:multiLevelType w:val="multilevel"/>
    <w:lvl w:ilvl="0">
      <w:start w:val="275"/>
      <w:numFmt w:val="decimal"/>
      <w:lvlText w:val="(%1)"/>
      <w:lvlJc w:val="left"/>
      <w:pPr>
        <w:ind w:left="720" w:hanging="360"/>
      </w:pPr>
    </w:lvl>
    <w:lvl w:ilvl="1">
      <w:start w:val="275"/>
      <w:numFmt w:val="decimal"/>
      <w:lvlText w:val="(%2)"/>
      <w:lvlJc w:val="left"/>
      <w:pPr>
        <w:ind w:left="1440" w:hanging="360"/>
      </w:pPr>
    </w:lvl>
    <w:lvl w:ilvl="2">
      <w:start w:val="275"/>
      <w:numFmt w:val="decimal"/>
      <w:lvlText w:val="(%3)"/>
      <w:lvlJc w:val="left"/>
      <w:pPr>
        <w:ind w:left="2160" w:hanging="360"/>
      </w:pPr>
    </w:lvl>
    <w:lvl w:ilvl="3">
      <w:start w:val="275"/>
      <w:numFmt w:val="decimal"/>
      <w:lvlText w:val="(%4)"/>
      <w:lvlJc w:val="left"/>
      <w:pPr>
        <w:ind w:left="2880" w:hanging="360"/>
      </w:pPr>
    </w:lvl>
    <w:lvl w:ilvl="4">
      <w:start w:val="275"/>
      <w:numFmt w:val="decimal"/>
      <w:lvlText w:val="(%5)"/>
      <w:lvlJc w:val="left"/>
      <w:pPr>
        <w:ind w:left="3600" w:hanging="360"/>
      </w:pPr>
    </w:lvl>
    <w:lvl w:ilvl="5">
      <w:start w:val="275"/>
      <w:numFmt w:val="decimal"/>
      <w:lvlText w:val="(%6)"/>
      <w:lvlJc w:val="left"/>
      <w:pPr>
        <w:ind w:left="4320" w:hanging="360"/>
      </w:pPr>
    </w:lvl>
    <w:lvl w:ilvl="6">
      <w:start w:val="275"/>
      <w:numFmt w:val="decimal"/>
      <w:lvlText w:val="(%7)"/>
      <w:lvlJc w:val="left"/>
      <w:pPr>
        <w:ind w:left="5040" w:hanging="360"/>
      </w:pPr>
    </w:lvl>
    <w:lvl w:ilvl="7">
      <w:start w:val="275"/>
      <w:numFmt w:val="decimal"/>
      <w:lvlText w:val="(%8)"/>
      <w:lvlJc w:val="left"/>
      <w:pPr>
        <w:ind w:left="5760" w:hanging="360"/>
      </w:pPr>
    </w:lvl>
    <w:lvl w:ilvl="8">
      <w:start w:val="275"/>
      <w:numFmt w:val="decimal"/>
      <w:lvlText w:val="(%9)"/>
      <w:lvlJc w:val="left"/>
      <w:pPr>
        <w:ind w:left="6480" w:hanging="360"/>
      </w:pPr>
    </w:lvl>
  </w:abstractNum>
  <w:abstractNum w:abstractNumId="9943279">
    <w:nsid w:val="A9943279"/>
    <w:multiLevelType w:val="multilevel"/>
    <w:lvl w:ilvl="0">
      <w:start w:val="279"/>
      <w:numFmt w:val="decimal"/>
      <w:lvlText w:val="(%1)"/>
      <w:lvlJc w:val="left"/>
      <w:pPr>
        <w:ind w:left="720" w:hanging="360"/>
      </w:pPr>
    </w:lvl>
    <w:lvl w:ilvl="1">
      <w:start w:val="279"/>
      <w:numFmt w:val="decimal"/>
      <w:lvlText w:val="(%2)"/>
      <w:lvlJc w:val="left"/>
      <w:pPr>
        <w:ind w:left="1440" w:hanging="360"/>
      </w:pPr>
    </w:lvl>
    <w:lvl w:ilvl="2">
      <w:start w:val="279"/>
      <w:numFmt w:val="decimal"/>
      <w:lvlText w:val="(%3)"/>
      <w:lvlJc w:val="left"/>
      <w:pPr>
        <w:ind w:left="2160" w:hanging="360"/>
      </w:pPr>
    </w:lvl>
    <w:lvl w:ilvl="3">
      <w:start w:val="279"/>
      <w:numFmt w:val="decimal"/>
      <w:lvlText w:val="(%4)"/>
      <w:lvlJc w:val="left"/>
      <w:pPr>
        <w:ind w:left="2880" w:hanging="360"/>
      </w:pPr>
    </w:lvl>
    <w:lvl w:ilvl="4">
      <w:start w:val="279"/>
      <w:numFmt w:val="decimal"/>
      <w:lvlText w:val="(%5)"/>
      <w:lvlJc w:val="left"/>
      <w:pPr>
        <w:ind w:left="3600" w:hanging="360"/>
      </w:pPr>
    </w:lvl>
    <w:lvl w:ilvl="5">
      <w:start w:val="279"/>
      <w:numFmt w:val="decimal"/>
      <w:lvlText w:val="(%6)"/>
      <w:lvlJc w:val="left"/>
      <w:pPr>
        <w:ind w:left="4320" w:hanging="360"/>
      </w:pPr>
    </w:lvl>
    <w:lvl w:ilvl="6">
      <w:start w:val="279"/>
      <w:numFmt w:val="decimal"/>
      <w:lvlText w:val="(%7)"/>
      <w:lvlJc w:val="left"/>
      <w:pPr>
        <w:ind w:left="5040" w:hanging="360"/>
      </w:pPr>
    </w:lvl>
    <w:lvl w:ilvl="7">
      <w:start w:val="279"/>
      <w:numFmt w:val="decimal"/>
      <w:lvlText w:val="(%8)"/>
      <w:lvlJc w:val="left"/>
      <w:pPr>
        <w:ind w:left="5760" w:hanging="360"/>
      </w:pPr>
    </w:lvl>
    <w:lvl w:ilvl="8">
      <w:start w:val="279"/>
      <w:numFmt w:val="decimal"/>
      <w:lvlText w:val="(%9)"/>
      <w:lvlJc w:val="left"/>
      <w:pPr>
        <w:ind w:left="6480" w:hanging="360"/>
      </w:pPr>
    </w:lvl>
  </w:abstractNum>
  <w:abstractNum w:abstractNumId="9943293">
    <w:nsid w:val="A9943293"/>
    <w:multiLevelType w:val="multilevel"/>
    <w:lvl w:ilvl="0">
      <w:start w:val="293"/>
      <w:numFmt w:val="decimal"/>
      <w:lvlText w:val="(%1)"/>
      <w:lvlJc w:val="left"/>
      <w:pPr>
        <w:ind w:left="720" w:hanging="360"/>
      </w:pPr>
    </w:lvl>
    <w:lvl w:ilvl="1">
      <w:start w:val="293"/>
      <w:numFmt w:val="decimal"/>
      <w:lvlText w:val="(%2)"/>
      <w:lvlJc w:val="left"/>
      <w:pPr>
        <w:ind w:left="1440" w:hanging="360"/>
      </w:pPr>
    </w:lvl>
    <w:lvl w:ilvl="2">
      <w:start w:val="293"/>
      <w:numFmt w:val="decimal"/>
      <w:lvlText w:val="(%3)"/>
      <w:lvlJc w:val="left"/>
      <w:pPr>
        <w:ind w:left="2160" w:hanging="360"/>
      </w:pPr>
    </w:lvl>
    <w:lvl w:ilvl="3">
      <w:start w:val="293"/>
      <w:numFmt w:val="decimal"/>
      <w:lvlText w:val="(%4)"/>
      <w:lvlJc w:val="left"/>
      <w:pPr>
        <w:ind w:left="2880" w:hanging="360"/>
      </w:pPr>
    </w:lvl>
    <w:lvl w:ilvl="4">
      <w:start w:val="293"/>
      <w:numFmt w:val="decimal"/>
      <w:lvlText w:val="(%5)"/>
      <w:lvlJc w:val="left"/>
      <w:pPr>
        <w:ind w:left="3600" w:hanging="360"/>
      </w:pPr>
    </w:lvl>
    <w:lvl w:ilvl="5">
      <w:start w:val="293"/>
      <w:numFmt w:val="decimal"/>
      <w:lvlText w:val="(%6)"/>
      <w:lvlJc w:val="left"/>
      <w:pPr>
        <w:ind w:left="4320" w:hanging="360"/>
      </w:pPr>
    </w:lvl>
    <w:lvl w:ilvl="6">
      <w:start w:val="293"/>
      <w:numFmt w:val="decimal"/>
      <w:lvlText w:val="(%7)"/>
      <w:lvlJc w:val="left"/>
      <w:pPr>
        <w:ind w:left="5040" w:hanging="360"/>
      </w:pPr>
    </w:lvl>
    <w:lvl w:ilvl="7">
      <w:start w:val="293"/>
      <w:numFmt w:val="decimal"/>
      <w:lvlText w:val="(%8)"/>
      <w:lvlJc w:val="left"/>
      <w:pPr>
        <w:ind w:left="5760" w:hanging="360"/>
      </w:pPr>
    </w:lvl>
    <w:lvl w:ilvl="8">
      <w:start w:val="293"/>
      <w:numFmt w:val="decimal"/>
      <w:lvlText w:val="(%9)"/>
      <w:lvlJc w:val="left"/>
      <w:pPr>
        <w:ind w:left="6480" w:hanging="360"/>
      </w:pPr>
    </w:lvl>
  </w:abstractNum>
  <w:abstractNum w:abstractNumId="9943300">
    <w:nsid w:val="A9943300"/>
    <w:multiLevelType w:val="multilevel"/>
    <w:lvl w:ilvl="0">
      <w:start w:val="300"/>
      <w:numFmt w:val="decimal"/>
      <w:lvlText w:val="(%1)"/>
      <w:lvlJc w:val="left"/>
      <w:pPr>
        <w:ind w:left="720" w:hanging="360"/>
      </w:pPr>
    </w:lvl>
    <w:lvl w:ilvl="1">
      <w:start w:val="300"/>
      <w:numFmt w:val="decimal"/>
      <w:lvlText w:val="(%2)"/>
      <w:lvlJc w:val="left"/>
      <w:pPr>
        <w:ind w:left="1440" w:hanging="360"/>
      </w:pPr>
    </w:lvl>
    <w:lvl w:ilvl="2">
      <w:start w:val="300"/>
      <w:numFmt w:val="decimal"/>
      <w:lvlText w:val="(%3)"/>
      <w:lvlJc w:val="left"/>
      <w:pPr>
        <w:ind w:left="2160" w:hanging="360"/>
      </w:pPr>
    </w:lvl>
    <w:lvl w:ilvl="3">
      <w:start w:val="300"/>
      <w:numFmt w:val="decimal"/>
      <w:lvlText w:val="(%4)"/>
      <w:lvlJc w:val="left"/>
      <w:pPr>
        <w:ind w:left="2880" w:hanging="360"/>
      </w:pPr>
    </w:lvl>
    <w:lvl w:ilvl="4">
      <w:start w:val="300"/>
      <w:numFmt w:val="decimal"/>
      <w:lvlText w:val="(%5)"/>
      <w:lvlJc w:val="left"/>
      <w:pPr>
        <w:ind w:left="3600" w:hanging="360"/>
      </w:pPr>
    </w:lvl>
    <w:lvl w:ilvl="5">
      <w:start w:val="300"/>
      <w:numFmt w:val="decimal"/>
      <w:lvlText w:val="(%6)"/>
      <w:lvlJc w:val="left"/>
      <w:pPr>
        <w:ind w:left="4320" w:hanging="360"/>
      </w:pPr>
    </w:lvl>
    <w:lvl w:ilvl="6">
      <w:start w:val="300"/>
      <w:numFmt w:val="decimal"/>
      <w:lvlText w:val="(%7)"/>
      <w:lvlJc w:val="left"/>
      <w:pPr>
        <w:ind w:left="5040" w:hanging="360"/>
      </w:pPr>
    </w:lvl>
    <w:lvl w:ilvl="7">
      <w:start w:val="300"/>
      <w:numFmt w:val="decimal"/>
      <w:lvlText w:val="(%8)"/>
      <w:lvlJc w:val="left"/>
      <w:pPr>
        <w:ind w:left="5760" w:hanging="360"/>
      </w:pPr>
    </w:lvl>
    <w:lvl w:ilvl="8">
      <w:start w:val="300"/>
      <w:numFmt w:val="decimal"/>
      <w:lvlText w:val="(%9)"/>
      <w:lvlJc w:val="left"/>
      <w:pPr>
        <w:ind w:left="6480" w:hanging="360"/>
      </w:pPr>
    </w:lvl>
  </w:abstractNum>
  <w:abstractNum w:abstractNumId="9943305">
    <w:nsid w:val="A9943305"/>
    <w:multiLevelType w:val="multilevel"/>
    <w:lvl w:ilvl="0">
      <w:start w:val="305"/>
      <w:numFmt w:val="decimal"/>
      <w:lvlText w:val="(%1)"/>
      <w:lvlJc w:val="left"/>
      <w:pPr>
        <w:ind w:left="720" w:hanging="360"/>
      </w:pPr>
    </w:lvl>
    <w:lvl w:ilvl="1">
      <w:start w:val="305"/>
      <w:numFmt w:val="decimal"/>
      <w:lvlText w:val="(%2)"/>
      <w:lvlJc w:val="left"/>
      <w:pPr>
        <w:ind w:left="1440" w:hanging="360"/>
      </w:pPr>
    </w:lvl>
    <w:lvl w:ilvl="2">
      <w:start w:val="305"/>
      <w:numFmt w:val="decimal"/>
      <w:lvlText w:val="(%3)"/>
      <w:lvlJc w:val="left"/>
      <w:pPr>
        <w:ind w:left="2160" w:hanging="360"/>
      </w:pPr>
    </w:lvl>
    <w:lvl w:ilvl="3">
      <w:start w:val="305"/>
      <w:numFmt w:val="decimal"/>
      <w:lvlText w:val="(%4)"/>
      <w:lvlJc w:val="left"/>
      <w:pPr>
        <w:ind w:left="2880" w:hanging="360"/>
      </w:pPr>
    </w:lvl>
    <w:lvl w:ilvl="4">
      <w:start w:val="305"/>
      <w:numFmt w:val="decimal"/>
      <w:lvlText w:val="(%5)"/>
      <w:lvlJc w:val="left"/>
      <w:pPr>
        <w:ind w:left="3600" w:hanging="360"/>
      </w:pPr>
    </w:lvl>
    <w:lvl w:ilvl="5">
      <w:start w:val="305"/>
      <w:numFmt w:val="decimal"/>
      <w:lvlText w:val="(%6)"/>
      <w:lvlJc w:val="left"/>
      <w:pPr>
        <w:ind w:left="4320" w:hanging="360"/>
      </w:pPr>
    </w:lvl>
    <w:lvl w:ilvl="6">
      <w:start w:val="305"/>
      <w:numFmt w:val="decimal"/>
      <w:lvlText w:val="(%7)"/>
      <w:lvlJc w:val="left"/>
      <w:pPr>
        <w:ind w:left="5040" w:hanging="360"/>
      </w:pPr>
    </w:lvl>
    <w:lvl w:ilvl="7">
      <w:start w:val="305"/>
      <w:numFmt w:val="decimal"/>
      <w:lvlText w:val="(%8)"/>
      <w:lvlJc w:val="left"/>
      <w:pPr>
        <w:ind w:left="5760" w:hanging="360"/>
      </w:pPr>
    </w:lvl>
    <w:lvl w:ilvl="8">
      <w:start w:val="305"/>
      <w:numFmt w:val="decimal"/>
      <w:lvlText w:val="(%9)"/>
      <w:lvlJc w:val="left"/>
      <w:pPr>
        <w:ind w:left="6480" w:hanging="360"/>
      </w:pPr>
    </w:lvl>
  </w:abstractNum>
  <w:abstractNum w:abstractNumId="9943310">
    <w:nsid w:val="A9943310"/>
    <w:multiLevelType w:val="multilevel"/>
    <w:lvl w:ilvl="0">
      <w:start w:val="310"/>
      <w:numFmt w:val="decimal"/>
      <w:lvlText w:val="(%1)"/>
      <w:lvlJc w:val="left"/>
      <w:pPr>
        <w:ind w:left="720" w:hanging="360"/>
      </w:pPr>
    </w:lvl>
    <w:lvl w:ilvl="1">
      <w:start w:val="310"/>
      <w:numFmt w:val="decimal"/>
      <w:lvlText w:val="(%2)"/>
      <w:lvlJc w:val="left"/>
      <w:pPr>
        <w:ind w:left="1440" w:hanging="360"/>
      </w:pPr>
    </w:lvl>
    <w:lvl w:ilvl="2">
      <w:start w:val="310"/>
      <w:numFmt w:val="decimal"/>
      <w:lvlText w:val="(%3)"/>
      <w:lvlJc w:val="left"/>
      <w:pPr>
        <w:ind w:left="2160" w:hanging="360"/>
      </w:pPr>
    </w:lvl>
    <w:lvl w:ilvl="3">
      <w:start w:val="310"/>
      <w:numFmt w:val="decimal"/>
      <w:lvlText w:val="(%4)"/>
      <w:lvlJc w:val="left"/>
      <w:pPr>
        <w:ind w:left="2880" w:hanging="360"/>
      </w:pPr>
    </w:lvl>
    <w:lvl w:ilvl="4">
      <w:start w:val="310"/>
      <w:numFmt w:val="decimal"/>
      <w:lvlText w:val="(%5)"/>
      <w:lvlJc w:val="left"/>
      <w:pPr>
        <w:ind w:left="3600" w:hanging="360"/>
      </w:pPr>
    </w:lvl>
    <w:lvl w:ilvl="5">
      <w:start w:val="310"/>
      <w:numFmt w:val="decimal"/>
      <w:lvlText w:val="(%6)"/>
      <w:lvlJc w:val="left"/>
      <w:pPr>
        <w:ind w:left="4320" w:hanging="360"/>
      </w:pPr>
    </w:lvl>
    <w:lvl w:ilvl="6">
      <w:start w:val="310"/>
      <w:numFmt w:val="decimal"/>
      <w:lvlText w:val="(%7)"/>
      <w:lvlJc w:val="left"/>
      <w:pPr>
        <w:ind w:left="5040" w:hanging="360"/>
      </w:pPr>
    </w:lvl>
    <w:lvl w:ilvl="7">
      <w:start w:val="310"/>
      <w:numFmt w:val="decimal"/>
      <w:lvlText w:val="(%8)"/>
      <w:lvlJc w:val="left"/>
      <w:pPr>
        <w:ind w:left="5760" w:hanging="360"/>
      </w:pPr>
    </w:lvl>
    <w:lvl w:ilvl="8">
      <w:start w:val="310"/>
      <w:numFmt w:val="decimal"/>
      <w:lvlText w:val="(%9)"/>
      <w:lvlJc w:val="left"/>
      <w:pPr>
        <w:ind w:left="6480" w:hanging="360"/>
      </w:pPr>
    </w:lvl>
  </w:abstractNum>
  <w:abstractNum w:abstractNumId="9943313">
    <w:nsid w:val="A9943313"/>
    <w:multiLevelType w:val="multilevel"/>
    <w:lvl w:ilvl="0">
      <w:start w:val="313"/>
      <w:numFmt w:val="decimal"/>
      <w:lvlText w:val="(%1)"/>
      <w:lvlJc w:val="left"/>
      <w:pPr>
        <w:ind w:left="720" w:hanging="360"/>
      </w:pPr>
    </w:lvl>
    <w:lvl w:ilvl="1">
      <w:start w:val="313"/>
      <w:numFmt w:val="decimal"/>
      <w:lvlText w:val="(%2)"/>
      <w:lvlJc w:val="left"/>
      <w:pPr>
        <w:ind w:left="1440" w:hanging="360"/>
      </w:pPr>
    </w:lvl>
    <w:lvl w:ilvl="2">
      <w:start w:val="313"/>
      <w:numFmt w:val="decimal"/>
      <w:lvlText w:val="(%3)"/>
      <w:lvlJc w:val="left"/>
      <w:pPr>
        <w:ind w:left="2160" w:hanging="360"/>
      </w:pPr>
    </w:lvl>
    <w:lvl w:ilvl="3">
      <w:start w:val="313"/>
      <w:numFmt w:val="decimal"/>
      <w:lvlText w:val="(%4)"/>
      <w:lvlJc w:val="left"/>
      <w:pPr>
        <w:ind w:left="2880" w:hanging="360"/>
      </w:pPr>
    </w:lvl>
    <w:lvl w:ilvl="4">
      <w:start w:val="313"/>
      <w:numFmt w:val="decimal"/>
      <w:lvlText w:val="(%5)"/>
      <w:lvlJc w:val="left"/>
      <w:pPr>
        <w:ind w:left="3600" w:hanging="360"/>
      </w:pPr>
    </w:lvl>
    <w:lvl w:ilvl="5">
      <w:start w:val="313"/>
      <w:numFmt w:val="decimal"/>
      <w:lvlText w:val="(%6)"/>
      <w:lvlJc w:val="left"/>
      <w:pPr>
        <w:ind w:left="4320" w:hanging="360"/>
      </w:pPr>
    </w:lvl>
    <w:lvl w:ilvl="6">
      <w:start w:val="313"/>
      <w:numFmt w:val="decimal"/>
      <w:lvlText w:val="(%7)"/>
      <w:lvlJc w:val="left"/>
      <w:pPr>
        <w:ind w:left="5040" w:hanging="360"/>
      </w:pPr>
    </w:lvl>
    <w:lvl w:ilvl="7">
      <w:start w:val="313"/>
      <w:numFmt w:val="decimal"/>
      <w:lvlText w:val="(%8)"/>
      <w:lvlJc w:val="left"/>
      <w:pPr>
        <w:ind w:left="5760" w:hanging="360"/>
      </w:pPr>
    </w:lvl>
    <w:lvl w:ilvl="8">
      <w:start w:val="313"/>
      <w:numFmt w:val="decimal"/>
      <w:lvlText w:val="(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3314">
    <w:nsid w:val="A9943314"/>
    <w:multiLevelType w:val="multilevel"/>
    <w:lvl w:ilvl="0">
      <w:start w:val="314"/>
      <w:numFmt w:val="decimal"/>
      <w:lvlText w:val="(%1)"/>
      <w:lvlJc w:val="left"/>
      <w:pPr>
        <w:ind w:left="720" w:hanging="360"/>
      </w:pPr>
    </w:lvl>
    <w:lvl w:ilvl="1">
      <w:start w:val="314"/>
      <w:numFmt w:val="decimal"/>
      <w:lvlText w:val="(%2)"/>
      <w:lvlJc w:val="left"/>
      <w:pPr>
        <w:ind w:left="1440" w:hanging="360"/>
      </w:pPr>
    </w:lvl>
    <w:lvl w:ilvl="2">
      <w:start w:val="314"/>
      <w:numFmt w:val="decimal"/>
      <w:lvlText w:val="(%3)"/>
      <w:lvlJc w:val="left"/>
      <w:pPr>
        <w:ind w:left="2160" w:hanging="360"/>
      </w:pPr>
    </w:lvl>
    <w:lvl w:ilvl="3">
      <w:start w:val="314"/>
      <w:numFmt w:val="decimal"/>
      <w:lvlText w:val="(%4)"/>
      <w:lvlJc w:val="left"/>
      <w:pPr>
        <w:ind w:left="2880" w:hanging="360"/>
      </w:pPr>
    </w:lvl>
    <w:lvl w:ilvl="4">
      <w:start w:val="314"/>
      <w:numFmt w:val="decimal"/>
      <w:lvlText w:val="(%5)"/>
      <w:lvlJc w:val="left"/>
      <w:pPr>
        <w:ind w:left="3600" w:hanging="360"/>
      </w:pPr>
    </w:lvl>
    <w:lvl w:ilvl="5">
      <w:start w:val="314"/>
      <w:numFmt w:val="decimal"/>
      <w:lvlText w:val="(%6)"/>
      <w:lvlJc w:val="left"/>
      <w:pPr>
        <w:ind w:left="4320" w:hanging="360"/>
      </w:pPr>
    </w:lvl>
    <w:lvl w:ilvl="6">
      <w:start w:val="314"/>
      <w:numFmt w:val="decimal"/>
      <w:lvlText w:val="(%7)"/>
      <w:lvlJc w:val="left"/>
      <w:pPr>
        <w:ind w:left="5040" w:hanging="360"/>
      </w:pPr>
    </w:lvl>
    <w:lvl w:ilvl="7">
      <w:start w:val="314"/>
      <w:numFmt w:val="decimal"/>
      <w:lvlText w:val="(%8)"/>
      <w:lvlJc w:val="left"/>
      <w:pPr>
        <w:ind w:left="5760" w:hanging="360"/>
      </w:pPr>
    </w:lvl>
    <w:lvl w:ilvl="8">
      <w:start w:val="314"/>
      <w:numFmt w:val="decimal"/>
      <w:lvlText w:val="(%9)"/>
      <w:lvlJc w:val="left"/>
      <w:pPr>
        <w:ind w:left="6480" w:hanging="360"/>
      </w:pPr>
    </w:lvl>
  </w:abstractNum>
  <w:abstractNum w:abstractNumId="9943315">
    <w:nsid w:val="A9943315"/>
    <w:multiLevelType w:val="multilevel"/>
    <w:lvl w:ilvl="0">
      <w:start w:val="315"/>
      <w:numFmt w:val="decimal"/>
      <w:lvlText w:val="(%1)"/>
      <w:lvlJc w:val="left"/>
      <w:pPr>
        <w:ind w:left="720" w:hanging="360"/>
      </w:pPr>
    </w:lvl>
    <w:lvl w:ilvl="1">
      <w:start w:val="315"/>
      <w:numFmt w:val="decimal"/>
      <w:lvlText w:val="(%2)"/>
      <w:lvlJc w:val="left"/>
      <w:pPr>
        <w:ind w:left="1440" w:hanging="360"/>
      </w:pPr>
    </w:lvl>
    <w:lvl w:ilvl="2">
      <w:start w:val="315"/>
      <w:numFmt w:val="decimal"/>
      <w:lvlText w:val="(%3)"/>
      <w:lvlJc w:val="left"/>
      <w:pPr>
        <w:ind w:left="2160" w:hanging="360"/>
      </w:pPr>
    </w:lvl>
    <w:lvl w:ilvl="3">
      <w:start w:val="315"/>
      <w:numFmt w:val="decimal"/>
      <w:lvlText w:val="(%4)"/>
      <w:lvlJc w:val="left"/>
      <w:pPr>
        <w:ind w:left="2880" w:hanging="360"/>
      </w:pPr>
    </w:lvl>
    <w:lvl w:ilvl="4">
      <w:start w:val="315"/>
      <w:numFmt w:val="decimal"/>
      <w:lvlText w:val="(%5)"/>
      <w:lvlJc w:val="left"/>
      <w:pPr>
        <w:ind w:left="3600" w:hanging="360"/>
      </w:pPr>
    </w:lvl>
    <w:lvl w:ilvl="5">
      <w:start w:val="315"/>
      <w:numFmt w:val="decimal"/>
      <w:lvlText w:val="(%6)"/>
      <w:lvlJc w:val="left"/>
      <w:pPr>
        <w:ind w:left="4320" w:hanging="360"/>
      </w:pPr>
    </w:lvl>
    <w:lvl w:ilvl="6">
      <w:start w:val="315"/>
      <w:numFmt w:val="decimal"/>
      <w:lvlText w:val="(%7)"/>
      <w:lvlJc w:val="left"/>
      <w:pPr>
        <w:ind w:left="5040" w:hanging="360"/>
      </w:pPr>
    </w:lvl>
    <w:lvl w:ilvl="7">
      <w:start w:val="315"/>
      <w:numFmt w:val="decimal"/>
      <w:lvlText w:val="(%8)"/>
      <w:lvlJc w:val="left"/>
      <w:pPr>
        <w:ind w:left="5760" w:hanging="360"/>
      </w:pPr>
    </w:lvl>
    <w:lvl w:ilvl="8">
      <w:start w:val="315"/>
      <w:numFmt w:val="decimal"/>
      <w:lvlText w:val="(%9)"/>
      <w:lvlJc w:val="left"/>
      <w:pPr>
        <w:ind w:left="6480" w:hanging="360"/>
      </w:pPr>
    </w:lvl>
  </w:abstractNum>
  <w:abstractNum w:abstractNumId="994163">
    <w:nsid w:val="0A994163"/>
    <w:multiLevelType w:val="multilevel"/>
    <w:lvl w:ilvl="0">
      <w:start w:val="63"/>
      <w:numFmt w:val="decimal"/>
      <w:lvlText w:val="%1."/>
      <w:lvlJc w:val="left"/>
      <w:pPr>
        <w:ind w:left="720" w:hanging="360"/>
      </w:pPr>
    </w:lvl>
    <w:lvl w:ilvl="1">
      <w:start w:val="63"/>
      <w:numFmt w:val="decimal"/>
      <w:lvlText w:val="%2."/>
      <w:lvlJc w:val="left"/>
      <w:pPr>
        <w:ind w:left="1440" w:hanging="360"/>
      </w:pPr>
    </w:lvl>
    <w:lvl w:ilvl="2">
      <w:start w:val="63"/>
      <w:numFmt w:val="decimal"/>
      <w:lvlText w:val="%3."/>
      <w:lvlJc w:val="left"/>
      <w:pPr>
        <w:ind w:left="2160" w:hanging="360"/>
      </w:pPr>
    </w:lvl>
    <w:lvl w:ilvl="3">
      <w:start w:val="63"/>
      <w:numFmt w:val="decimal"/>
      <w:lvlText w:val="%4."/>
      <w:lvlJc w:val="left"/>
      <w:pPr>
        <w:ind w:left="2880" w:hanging="360"/>
      </w:pPr>
    </w:lvl>
    <w:lvl w:ilvl="4">
      <w:start w:val="63"/>
      <w:numFmt w:val="decimal"/>
      <w:lvlText w:val="%5."/>
      <w:lvlJc w:val="left"/>
      <w:pPr>
        <w:ind w:left="3600" w:hanging="360"/>
      </w:pPr>
    </w:lvl>
    <w:lvl w:ilvl="5">
      <w:start w:val="63"/>
      <w:numFmt w:val="decimal"/>
      <w:lvlText w:val="%6."/>
      <w:lvlJc w:val="left"/>
      <w:pPr>
        <w:ind w:left="4320" w:hanging="360"/>
      </w:pPr>
    </w:lvl>
    <w:lvl w:ilvl="6">
      <w:start w:val="63"/>
      <w:numFmt w:val="decimal"/>
      <w:lvlText w:val="%7."/>
      <w:lvlJc w:val="left"/>
      <w:pPr>
        <w:ind w:left="5040" w:hanging="360"/>
      </w:pPr>
    </w:lvl>
    <w:lvl w:ilvl="7">
      <w:start w:val="63"/>
      <w:numFmt w:val="decimal"/>
      <w:lvlText w:val="%8."/>
      <w:lvlJc w:val="left"/>
      <w:pPr>
        <w:ind w:left="5760" w:hanging="360"/>
      </w:pPr>
    </w:lvl>
    <w:lvl w:ilvl="8">
      <w:start w:val="63"/>
      <w:numFmt w:val="decimal"/>
      <w:lvlText w:val="%9."/>
      <w:lvlJc w:val="left"/>
      <w:pPr>
        <w:ind w:left="6480" w:hanging="360"/>
      </w:pPr>
    </w:lvl>
  </w:abstractNum>
  <w:abstractNum w:abstractNumId="9943325">
    <w:nsid w:val="A9943325"/>
    <w:multiLevelType w:val="multilevel"/>
    <w:lvl w:ilvl="0">
      <w:start w:val="325"/>
      <w:numFmt w:val="decimal"/>
      <w:lvlText w:val="(%1)"/>
      <w:lvlJc w:val="left"/>
      <w:pPr>
        <w:ind w:left="720" w:hanging="360"/>
      </w:pPr>
    </w:lvl>
    <w:lvl w:ilvl="1">
      <w:start w:val="325"/>
      <w:numFmt w:val="decimal"/>
      <w:lvlText w:val="(%2)"/>
      <w:lvlJc w:val="left"/>
      <w:pPr>
        <w:ind w:left="1440" w:hanging="360"/>
      </w:pPr>
    </w:lvl>
    <w:lvl w:ilvl="2">
      <w:start w:val="325"/>
      <w:numFmt w:val="decimal"/>
      <w:lvlText w:val="(%3)"/>
      <w:lvlJc w:val="left"/>
      <w:pPr>
        <w:ind w:left="2160" w:hanging="360"/>
      </w:pPr>
    </w:lvl>
    <w:lvl w:ilvl="3">
      <w:start w:val="325"/>
      <w:numFmt w:val="decimal"/>
      <w:lvlText w:val="(%4)"/>
      <w:lvlJc w:val="left"/>
      <w:pPr>
        <w:ind w:left="2880" w:hanging="360"/>
      </w:pPr>
    </w:lvl>
    <w:lvl w:ilvl="4">
      <w:start w:val="325"/>
      <w:numFmt w:val="decimal"/>
      <w:lvlText w:val="(%5)"/>
      <w:lvlJc w:val="left"/>
      <w:pPr>
        <w:ind w:left="3600" w:hanging="360"/>
      </w:pPr>
    </w:lvl>
    <w:lvl w:ilvl="5">
      <w:start w:val="325"/>
      <w:numFmt w:val="decimal"/>
      <w:lvlText w:val="(%6)"/>
      <w:lvlJc w:val="left"/>
      <w:pPr>
        <w:ind w:left="4320" w:hanging="360"/>
      </w:pPr>
    </w:lvl>
    <w:lvl w:ilvl="6">
      <w:start w:val="325"/>
      <w:numFmt w:val="decimal"/>
      <w:lvlText w:val="(%7)"/>
      <w:lvlJc w:val="left"/>
      <w:pPr>
        <w:ind w:left="5040" w:hanging="360"/>
      </w:pPr>
    </w:lvl>
    <w:lvl w:ilvl="7">
      <w:start w:val="325"/>
      <w:numFmt w:val="decimal"/>
      <w:lvlText w:val="(%8)"/>
      <w:lvlJc w:val="left"/>
      <w:pPr>
        <w:ind w:left="5760" w:hanging="360"/>
      </w:pPr>
    </w:lvl>
    <w:lvl w:ilvl="8">
      <w:start w:val="325"/>
      <w:numFmt w:val="decimal"/>
      <w:lvlText w:val="(%9)"/>
      <w:lvlJc w:val="left"/>
      <w:pPr>
        <w:ind w:left="6480" w:hanging="360"/>
      </w:pPr>
    </w:lvl>
  </w:abstractNum>
  <w:abstractNum w:abstractNumId="9943329">
    <w:nsid w:val="A9943329"/>
    <w:multiLevelType w:val="multilevel"/>
    <w:lvl w:ilvl="0">
      <w:start w:val="329"/>
      <w:numFmt w:val="decimal"/>
      <w:lvlText w:val="(%1)"/>
      <w:lvlJc w:val="left"/>
      <w:pPr>
        <w:ind w:left="720" w:hanging="360"/>
      </w:pPr>
    </w:lvl>
    <w:lvl w:ilvl="1">
      <w:start w:val="329"/>
      <w:numFmt w:val="decimal"/>
      <w:lvlText w:val="(%2)"/>
      <w:lvlJc w:val="left"/>
      <w:pPr>
        <w:ind w:left="1440" w:hanging="360"/>
      </w:pPr>
    </w:lvl>
    <w:lvl w:ilvl="2">
      <w:start w:val="329"/>
      <w:numFmt w:val="decimal"/>
      <w:lvlText w:val="(%3)"/>
      <w:lvlJc w:val="left"/>
      <w:pPr>
        <w:ind w:left="2160" w:hanging="360"/>
      </w:pPr>
    </w:lvl>
    <w:lvl w:ilvl="3">
      <w:start w:val="329"/>
      <w:numFmt w:val="decimal"/>
      <w:lvlText w:val="(%4)"/>
      <w:lvlJc w:val="left"/>
      <w:pPr>
        <w:ind w:left="2880" w:hanging="360"/>
      </w:pPr>
    </w:lvl>
    <w:lvl w:ilvl="4">
      <w:start w:val="329"/>
      <w:numFmt w:val="decimal"/>
      <w:lvlText w:val="(%5)"/>
      <w:lvlJc w:val="left"/>
      <w:pPr>
        <w:ind w:left="3600" w:hanging="360"/>
      </w:pPr>
    </w:lvl>
    <w:lvl w:ilvl="5">
      <w:start w:val="329"/>
      <w:numFmt w:val="decimal"/>
      <w:lvlText w:val="(%6)"/>
      <w:lvlJc w:val="left"/>
      <w:pPr>
        <w:ind w:left="4320" w:hanging="360"/>
      </w:pPr>
    </w:lvl>
    <w:lvl w:ilvl="6">
      <w:start w:val="329"/>
      <w:numFmt w:val="decimal"/>
      <w:lvlText w:val="(%7)"/>
      <w:lvlJc w:val="left"/>
      <w:pPr>
        <w:ind w:left="5040" w:hanging="360"/>
      </w:pPr>
    </w:lvl>
    <w:lvl w:ilvl="7">
      <w:start w:val="329"/>
      <w:numFmt w:val="decimal"/>
      <w:lvlText w:val="(%8)"/>
      <w:lvlJc w:val="left"/>
      <w:pPr>
        <w:ind w:left="5760" w:hanging="360"/>
      </w:pPr>
    </w:lvl>
    <w:lvl w:ilvl="8">
      <w:start w:val="329"/>
      <w:numFmt w:val="decimal"/>
      <w:lvlText w:val="(%9)"/>
      <w:lvlJc w:val="left"/>
      <w:pPr>
        <w:ind w:left="6480" w:hanging="360"/>
      </w:pPr>
    </w:lvl>
  </w:abstractNum>
  <w:abstractNum w:abstractNumId="9943338">
    <w:nsid w:val="A9943338"/>
    <w:multiLevelType w:val="multilevel"/>
    <w:lvl w:ilvl="0">
      <w:start w:val="338"/>
      <w:numFmt w:val="decimal"/>
      <w:lvlText w:val="(%1)"/>
      <w:lvlJc w:val="left"/>
      <w:pPr>
        <w:ind w:left="720" w:hanging="360"/>
      </w:pPr>
    </w:lvl>
    <w:lvl w:ilvl="1">
      <w:start w:val="338"/>
      <w:numFmt w:val="decimal"/>
      <w:lvlText w:val="(%2)"/>
      <w:lvlJc w:val="left"/>
      <w:pPr>
        <w:ind w:left="1440" w:hanging="360"/>
      </w:pPr>
    </w:lvl>
    <w:lvl w:ilvl="2">
      <w:start w:val="338"/>
      <w:numFmt w:val="decimal"/>
      <w:lvlText w:val="(%3)"/>
      <w:lvlJc w:val="left"/>
      <w:pPr>
        <w:ind w:left="2160" w:hanging="360"/>
      </w:pPr>
    </w:lvl>
    <w:lvl w:ilvl="3">
      <w:start w:val="338"/>
      <w:numFmt w:val="decimal"/>
      <w:lvlText w:val="(%4)"/>
      <w:lvlJc w:val="left"/>
      <w:pPr>
        <w:ind w:left="2880" w:hanging="360"/>
      </w:pPr>
    </w:lvl>
    <w:lvl w:ilvl="4">
      <w:start w:val="338"/>
      <w:numFmt w:val="decimal"/>
      <w:lvlText w:val="(%5)"/>
      <w:lvlJc w:val="left"/>
      <w:pPr>
        <w:ind w:left="3600" w:hanging="360"/>
      </w:pPr>
    </w:lvl>
    <w:lvl w:ilvl="5">
      <w:start w:val="338"/>
      <w:numFmt w:val="decimal"/>
      <w:lvlText w:val="(%6)"/>
      <w:lvlJc w:val="left"/>
      <w:pPr>
        <w:ind w:left="4320" w:hanging="360"/>
      </w:pPr>
    </w:lvl>
    <w:lvl w:ilvl="6">
      <w:start w:val="338"/>
      <w:numFmt w:val="decimal"/>
      <w:lvlText w:val="(%7)"/>
      <w:lvlJc w:val="left"/>
      <w:pPr>
        <w:ind w:left="5040" w:hanging="360"/>
      </w:pPr>
    </w:lvl>
    <w:lvl w:ilvl="7">
      <w:start w:val="338"/>
      <w:numFmt w:val="decimal"/>
      <w:lvlText w:val="(%8)"/>
      <w:lvlJc w:val="left"/>
      <w:pPr>
        <w:ind w:left="5760" w:hanging="360"/>
      </w:pPr>
    </w:lvl>
    <w:lvl w:ilvl="8">
      <w:start w:val="338"/>
      <w:numFmt w:val="decimal"/>
      <w:lvlText w:val="(%9)"/>
      <w:lvlJc w:val="left"/>
      <w:pPr>
        <w:ind w:left="6480" w:hanging="360"/>
      </w:pPr>
    </w:lvl>
  </w:abstractNum>
  <w:abstractNum w:abstractNumId="99411081">
    <w:nsid w:val="A99411081"/>
    <w:multiLevelType w:val="multilevel"/>
    <w:lvl w:ilvl="0">
      <w:start w:val="1081"/>
      <w:numFmt w:val="decimal"/>
      <w:lvlText w:val="%1."/>
      <w:lvlJc w:val="left"/>
      <w:pPr>
        <w:ind w:left="720" w:hanging="360"/>
      </w:pPr>
    </w:lvl>
    <w:lvl w:ilvl="1">
      <w:start w:val="1081"/>
      <w:numFmt w:val="decimal"/>
      <w:lvlText w:val="%2."/>
      <w:lvlJc w:val="left"/>
      <w:pPr>
        <w:ind w:left="1440" w:hanging="360"/>
      </w:pPr>
    </w:lvl>
    <w:lvl w:ilvl="2">
      <w:start w:val="1081"/>
      <w:numFmt w:val="decimal"/>
      <w:lvlText w:val="%3."/>
      <w:lvlJc w:val="left"/>
      <w:pPr>
        <w:ind w:left="2160" w:hanging="360"/>
      </w:pPr>
    </w:lvl>
    <w:lvl w:ilvl="3">
      <w:start w:val="1081"/>
      <w:numFmt w:val="decimal"/>
      <w:lvlText w:val="%4."/>
      <w:lvlJc w:val="left"/>
      <w:pPr>
        <w:ind w:left="2880" w:hanging="360"/>
      </w:pPr>
    </w:lvl>
    <w:lvl w:ilvl="4">
      <w:start w:val="1081"/>
      <w:numFmt w:val="decimal"/>
      <w:lvlText w:val="%5."/>
      <w:lvlJc w:val="left"/>
      <w:pPr>
        <w:ind w:left="3600" w:hanging="360"/>
      </w:pPr>
    </w:lvl>
    <w:lvl w:ilvl="5">
      <w:start w:val="1081"/>
      <w:numFmt w:val="decimal"/>
      <w:lvlText w:val="%6."/>
      <w:lvlJc w:val="left"/>
      <w:pPr>
        <w:ind w:left="4320" w:hanging="360"/>
      </w:pPr>
    </w:lvl>
    <w:lvl w:ilvl="6">
      <w:start w:val="1081"/>
      <w:numFmt w:val="decimal"/>
      <w:lvlText w:val="%7."/>
      <w:lvlJc w:val="left"/>
      <w:pPr>
        <w:ind w:left="5040" w:hanging="360"/>
      </w:pPr>
    </w:lvl>
    <w:lvl w:ilvl="7">
      <w:start w:val="1081"/>
      <w:numFmt w:val="decimal"/>
      <w:lvlText w:val="%8."/>
      <w:lvlJc w:val="left"/>
      <w:pPr>
        <w:ind w:left="5760" w:hanging="360"/>
      </w:pPr>
    </w:lvl>
    <w:lvl w:ilvl="8">
      <w:start w:val="1081"/>
      <w:numFmt w:val="decimal"/>
      <w:lvlText w:val="%9."/>
      <w:lvlJc w:val="left"/>
      <w:pPr>
        <w:ind w:left="6480" w:hanging="360"/>
      </w:pPr>
    </w:lvl>
  </w:abstractNum>
  <w:abstractNum w:abstractNumId="9943339">
    <w:nsid w:val="A9943339"/>
    <w:multiLevelType w:val="multilevel"/>
    <w:lvl w:ilvl="0">
      <w:start w:val="339"/>
      <w:numFmt w:val="decimal"/>
      <w:lvlText w:val="(%1)"/>
      <w:lvlJc w:val="left"/>
      <w:pPr>
        <w:ind w:left="720" w:hanging="360"/>
      </w:pPr>
    </w:lvl>
    <w:lvl w:ilvl="1">
      <w:start w:val="339"/>
      <w:numFmt w:val="decimal"/>
      <w:lvlText w:val="(%2)"/>
      <w:lvlJc w:val="left"/>
      <w:pPr>
        <w:ind w:left="1440" w:hanging="360"/>
      </w:pPr>
    </w:lvl>
    <w:lvl w:ilvl="2">
      <w:start w:val="339"/>
      <w:numFmt w:val="decimal"/>
      <w:lvlText w:val="(%3)"/>
      <w:lvlJc w:val="left"/>
      <w:pPr>
        <w:ind w:left="2160" w:hanging="360"/>
      </w:pPr>
    </w:lvl>
    <w:lvl w:ilvl="3">
      <w:start w:val="339"/>
      <w:numFmt w:val="decimal"/>
      <w:lvlText w:val="(%4)"/>
      <w:lvlJc w:val="left"/>
      <w:pPr>
        <w:ind w:left="2880" w:hanging="360"/>
      </w:pPr>
    </w:lvl>
    <w:lvl w:ilvl="4">
      <w:start w:val="339"/>
      <w:numFmt w:val="decimal"/>
      <w:lvlText w:val="(%5)"/>
      <w:lvlJc w:val="left"/>
      <w:pPr>
        <w:ind w:left="3600" w:hanging="360"/>
      </w:pPr>
    </w:lvl>
    <w:lvl w:ilvl="5">
      <w:start w:val="339"/>
      <w:numFmt w:val="decimal"/>
      <w:lvlText w:val="(%6)"/>
      <w:lvlJc w:val="left"/>
      <w:pPr>
        <w:ind w:left="4320" w:hanging="360"/>
      </w:pPr>
    </w:lvl>
    <w:lvl w:ilvl="6">
      <w:start w:val="339"/>
      <w:numFmt w:val="decimal"/>
      <w:lvlText w:val="(%7)"/>
      <w:lvlJc w:val="left"/>
      <w:pPr>
        <w:ind w:left="5040" w:hanging="360"/>
      </w:pPr>
    </w:lvl>
    <w:lvl w:ilvl="7">
      <w:start w:val="339"/>
      <w:numFmt w:val="decimal"/>
      <w:lvlText w:val="(%8)"/>
      <w:lvlJc w:val="left"/>
      <w:pPr>
        <w:ind w:left="5760" w:hanging="360"/>
      </w:pPr>
    </w:lvl>
    <w:lvl w:ilvl="8">
      <w:start w:val="339"/>
      <w:numFmt w:val="decimal"/>
      <w:lvlText w:val="(%9)"/>
      <w:lvlJc w:val="left"/>
      <w:pPr>
        <w:ind w:left="6480" w:hanging="360"/>
      </w:pPr>
    </w:lvl>
  </w:abstractNum>
  <w:abstractNum w:abstractNumId="9943342">
    <w:nsid w:val="A9943342"/>
    <w:multiLevelType w:val="multilevel"/>
    <w:lvl w:ilvl="0">
      <w:start w:val="342"/>
      <w:numFmt w:val="decimal"/>
      <w:lvlText w:val="(%1)"/>
      <w:lvlJc w:val="left"/>
      <w:pPr>
        <w:ind w:left="720" w:hanging="360"/>
      </w:pPr>
    </w:lvl>
    <w:lvl w:ilvl="1">
      <w:start w:val="342"/>
      <w:numFmt w:val="decimal"/>
      <w:lvlText w:val="(%2)"/>
      <w:lvlJc w:val="left"/>
      <w:pPr>
        <w:ind w:left="1440" w:hanging="360"/>
      </w:pPr>
    </w:lvl>
    <w:lvl w:ilvl="2">
      <w:start w:val="342"/>
      <w:numFmt w:val="decimal"/>
      <w:lvlText w:val="(%3)"/>
      <w:lvlJc w:val="left"/>
      <w:pPr>
        <w:ind w:left="2160" w:hanging="360"/>
      </w:pPr>
    </w:lvl>
    <w:lvl w:ilvl="3">
      <w:start w:val="342"/>
      <w:numFmt w:val="decimal"/>
      <w:lvlText w:val="(%4)"/>
      <w:lvlJc w:val="left"/>
      <w:pPr>
        <w:ind w:left="2880" w:hanging="360"/>
      </w:pPr>
    </w:lvl>
    <w:lvl w:ilvl="4">
      <w:start w:val="342"/>
      <w:numFmt w:val="decimal"/>
      <w:lvlText w:val="(%5)"/>
      <w:lvlJc w:val="left"/>
      <w:pPr>
        <w:ind w:left="3600" w:hanging="360"/>
      </w:pPr>
    </w:lvl>
    <w:lvl w:ilvl="5">
      <w:start w:val="342"/>
      <w:numFmt w:val="decimal"/>
      <w:lvlText w:val="(%6)"/>
      <w:lvlJc w:val="left"/>
      <w:pPr>
        <w:ind w:left="4320" w:hanging="360"/>
      </w:pPr>
    </w:lvl>
    <w:lvl w:ilvl="6">
      <w:start w:val="342"/>
      <w:numFmt w:val="decimal"/>
      <w:lvlText w:val="(%7)"/>
      <w:lvlJc w:val="left"/>
      <w:pPr>
        <w:ind w:left="5040" w:hanging="360"/>
      </w:pPr>
    </w:lvl>
    <w:lvl w:ilvl="7">
      <w:start w:val="342"/>
      <w:numFmt w:val="decimal"/>
      <w:lvlText w:val="(%8)"/>
      <w:lvlJc w:val="left"/>
      <w:pPr>
        <w:ind w:left="5760" w:hanging="360"/>
      </w:pPr>
    </w:lvl>
    <w:lvl w:ilvl="8">
      <w:start w:val="342"/>
      <w:numFmt w:val="decimal"/>
      <w:lvlText w:val="(%9)"/>
      <w:lvlJc w:val="left"/>
      <w:pPr>
        <w:ind w:left="6480" w:hanging="360"/>
      </w:pPr>
    </w:lvl>
  </w:abstractNum>
  <w:abstractNum w:abstractNumId="9943347">
    <w:nsid w:val="A9943347"/>
    <w:multiLevelType w:val="multilevel"/>
    <w:lvl w:ilvl="0">
      <w:start w:val="347"/>
      <w:numFmt w:val="decimal"/>
      <w:lvlText w:val="(%1)"/>
      <w:lvlJc w:val="left"/>
      <w:pPr>
        <w:ind w:left="720" w:hanging="360"/>
      </w:pPr>
    </w:lvl>
    <w:lvl w:ilvl="1">
      <w:start w:val="347"/>
      <w:numFmt w:val="decimal"/>
      <w:lvlText w:val="(%2)"/>
      <w:lvlJc w:val="left"/>
      <w:pPr>
        <w:ind w:left="1440" w:hanging="360"/>
      </w:pPr>
    </w:lvl>
    <w:lvl w:ilvl="2">
      <w:start w:val="347"/>
      <w:numFmt w:val="decimal"/>
      <w:lvlText w:val="(%3)"/>
      <w:lvlJc w:val="left"/>
      <w:pPr>
        <w:ind w:left="2160" w:hanging="360"/>
      </w:pPr>
    </w:lvl>
    <w:lvl w:ilvl="3">
      <w:start w:val="347"/>
      <w:numFmt w:val="decimal"/>
      <w:lvlText w:val="(%4)"/>
      <w:lvlJc w:val="left"/>
      <w:pPr>
        <w:ind w:left="2880" w:hanging="360"/>
      </w:pPr>
    </w:lvl>
    <w:lvl w:ilvl="4">
      <w:start w:val="347"/>
      <w:numFmt w:val="decimal"/>
      <w:lvlText w:val="(%5)"/>
      <w:lvlJc w:val="left"/>
      <w:pPr>
        <w:ind w:left="3600" w:hanging="360"/>
      </w:pPr>
    </w:lvl>
    <w:lvl w:ilvl="5">
      <w:start w:val="347"/>
      <w:numFmt w:val="decimal"/>
      <w:lvlText w:val="(%6)"/>
      <w:lvlJc w:val="left"/>
      <w:pPr>
        <w:ind w:left="4320" w:hanging="360"/>
      </w:pPr>
    </w:lvl>
    <w:lvl w:ilvl="6">
      <w:start w:val="347"/>
      <w:numFmt w:val="decimal"/>
      <w:lvlText w:val="(%7)"/>
      <w:lvlJc w:val="left"/>
      <w:pPr>
        <w:ind w:left="5040" w:hanging="360"/>
      </w:pPr>
    </w:lvl>
    <w:lvl w:ilvl="7">
      <w:start w:val="347"/>
      <w:numFmt w:val="decimal"/>
      <w:lvlText w:val="(%8)"/>
      <w:lvlJc w:val="left"/>
      <w:pPr>
        <w:ind w:left="5760" w:hanging="360"/>
      </w:pPr>
    </w:lvl>
    <w:lvl w:ilvl="8">
      <w:start w:val="347"/>
      <w:numFmt w:val="decimal"/>
      <w:lvlText w:val="(%9)"/>
      <w:lvlJc w:val="left"/>
      <w:pPr>
        <w:ind w:left="6480" w:hanging="360"/>
      </w:pPr>
    </w:lvl>
  </w:abstractNum>
  <w:abstractNum w:abstractNumId="9943349">
    <w:nsid w:val="A9943349"/>
    <w:multiLevelType w:val="multilevel"/>
    <w:lvl w:ilvl="0">
      <w:start w:val="349"/>
      <w:numFmt w:val="decimal"/>
      <w:lvlText w:val="(%1)"/>
      <w:lvlJc w:val="left"/>
      <w:pPr>
        <w:ind w:left="720" w:hanging="360"/>
      </w:pPr>
    </w:lvl>
    <w:lvl w:ilvl="1">
      <w:start w:val="349"/>
      <w:numFmt w:val="decimal"/>
      <w:lvlText w:val="(%2)"/>
      <w:lvlJc w:val="left"/>
      <w:pPr>
        <w:ind w:left="1440" w:hanging="360"/>
      </w:pPr>
    </w:lvl>
    <w:lvl w:ilvl="2">
      <w:start w:val="349"/>
      <w:numFmt w:val="decimal"/>
      <w:lvlText w:val="(%3)"/>
      <w:lvlJc w:val="left"/>
      <w:pPr>
        <w:ind w:left="2160" w:hanging="360"/>
      </w:pPr>
    </w:lvl>
    <w:lvl w:ilvl="3">
      <w:start w:val="349"/>
      <w:numFmt w:val="decimal"/>
      <w:lvlText w:val="(%4)"/>
      <w:lvlJc w:val="left"/>
      <w:pPr>
        <w:ind w:left="2880" w:hanging="360"/>
      </w:pPr>
    </w:lvl>
    <w:lvl w:ilvl="4">
      <w:start w:val="349"/>
      <w:numFmt w:val="decimal"/>
      <w:lvlText w:val="(%5)"/>
      <w:lvlJc w:val="left"/>
      <w:pPr>
        <w:ind w:left="3600" w:hanging="360"/>
      </w:pPr>
    </w:lvl>
    <w:lvl w:ilvl="5">
      <w:start w:val="349"/>
      <w:numFmt w:val="decimal"/>
      <w:lvlText w:val="(%6)"/>
      <w:lvlJc w:val="left"/>
      <w:pPr>
        <w:ind w:left="4320" w:hanging="360"/>
      </w:pPr>
    </w:lvl>
    <w:lvl w:ilvl="6">
      <w:start w:val="349"/>
      <w:numFmt w:val="decimal"/>
      <w:lvlText w:val="(%7)"/>
      <w:lvlJc w:val="left"/>
      <w:pPr>
        <w:ind w:left="5040" w:hanging="360"/>
      </w:pPr>
    </w:lvl>
    <w:lvl w:ilvl="7">
      <w:start w:val="349"/>
      <w:numFmt w:val="decimal"/>
      <w:lvlText w:val="(%8)"/>
      <w:lvlJc w:val="left"/>
      <w:pPr>
        <w:ind w:left="5760" w:hanging="360"/>
      </w:pPr>
    </w:lvl>
    <w:lvl w:ilvl="8">
      <w:start w:val="349"/>
      <w:numFmt w:val="decimal"/>
      <w:lvlText w:val="(%9)"/>
      <w:lvlJc w:val="left"/>
      <w:pPr>
        <w:ind w:left="6480" w:hanging="360"/>
      </w:pPr>
    </w:lvl>
  </w:abstractNum>
  <w:abstractNum w:abstractNumId="9943351">
    <w:nsid w:val="A9943351"/>
    <w:multiLevelType w:val="multilevel"/>
    <w:lvl w:ilvl="0">
      <w:start w:val="351"/>
      <w:numFmt w:val="decimal"/>
      <w:lvlText w:val="(%1)"/>
      <w:lvlJc w:val="left"/>
      <w:pPr>
        <w:ind w:left="720" w:hanging="360"/>
      </w:pPr>
    </w:lvl>
    <w:lvl w:ilvl="1">
      <w:start w:val="351"/>
      <w:numFmt w:val="decimal"/>
      <w:lvlText w:val="(%2)"/>
      <w:lvlJc w:val="left"/>
      <w:pPr>
        <w:ind w:left="1440" w:hanging="360"/>
      </w:pPr>
    </w:lvl>
    <w:lvl w:ilvl="2">
      <w:start w:val="351"/>
      <w:numFmt w:val="decimal"/>
      <w:lvlText w:val="(%3)"/>
      <w:lvlJc w:val="left"/>
      <w:pPr>
        <w:ind w:left="2160" w:hanging="360"/>
      </w:pPr>
    </w:lvl>
    <w:lvl w:ilvl="3">
      <w:start w:val="351"/>
      <w:numFmt w:val="decimal"/>
      <w:lvlText w:val="(%4)"/>
      <w:lvlJc w:val="left"/>
      <w:pPr>
        <w:ind w:left="2880" w:hanging="360"/>
      </w:pPr>
    </w:lvl>
    <w:lvl w:ilvl="4">
      <w:start w:val="351"/>
      <w:numFmt w:val="decimal"/>
      <w:lvlText w:val="(%5)"/>
      <w:lvlJc w:val="left"/>
      <w:pPr>
        <w:ind w:left="3600" w:hanging="360"/>
      </w:pPr>
    </w:lvl>
    <w:lvl w:ilvl="5">
      <w:start w:val="351"/>
      <w:numFmt w:val="decimal"/>
      <w:lvlText w:val="(%6)"/>
      <w:lvlJc w:val="left"/>
      <w:pPr>
        <w:ind w:left="4320" w:hanging="360"/>
      </w:pPr>
    </w:lvl>
    <w:lvl w:ilvl="6">
      <w:start w:val="351"/>
      <w:numFmt w:val="decimal"/>
      <w:lvlText w:val="(%7)"/>
      <w:lvlJc w:val="left"/>
      <w:pPr>
        <w:ind w:left="5040" w:hanging="360"/>
      </w:pPr>
    </w:lvl>
    <w:lvl w:ilvl="7">
      <w:start w:val="351"/>
      <w:numFmt w:val="decimal"/>
      <w:lvlText w:val="(%8)"/>
      <w:lvlJc w:val="left"/>
      <w:pPr>
        <w:ind w:left="5760" w:hanging="360"/>
      </w:pPr>
    </w:lvl>
    <w:lvl w:ilvl="8">
      <w:start w:val="351"/>
      <w:numFmt w:val="decimal"/>
      <w:lvlText w:val="(%9)"/>
      <w:lvlJc w:val="left"/>
      <w:pPr>
        <w:ind w:left="6480" w:hanging="360"/>
      </w:pPr>
    </w:lvl>
  </w:abstractNum>
  <w:abstractNum w:abstractNumId="9943355">
    <w:nsid w:val="A9943355"/>
    <w:multiLevelType w:val="multilevel"/>
    <w:lvl w:ilvl="0">
      <w:start w:val="355"/>
      <w:numFmt w:val="decimal"/>
      <w:lvlText w:val="(%1)"/>
      <w:lvlJc w:val="left"/>
      <w:pPr>
        <w:ind w:left="720" w:hanging="360"/>
      </w:pPr>
    </w:lvl>
    <w:lvl w:ilvl="1">
      <w:start w:val="355"/>
      <w:numFmt w:val="decimal"/>
      <w:lvlText w:val="(%2)"/>
      <w:lvlJc w:val="left"/>
      <w:pPr>
        <w:ind w:left="1440" w:hanging="360"/>
      </w:pPr>
    </w:lvl>
    <w:lvl w:ilvl="2">
      <w:start w:val="355"/>
      <w:numFmt w:val="decimal"/>
      <w:lvlText w:val="(%3)"/>
      <w:lvlJc w:val="left"/>
      <w:pPr>
        <w:ind w:left="2160" w:hanging="360"/>
      </w:pPr>
    </w:lvl>
    <w:lvl w:ilvl="3">
      <w:start w:val="355"/>
      <w:numFmt w:val="decimal"/>
      <w:lvlText w:val="(%4)"/>
      <w:lvlJc w:val="left"/>
      <w:pPr>
        <w:ind w:left="2880" w:hanging="360"/>
      </w:pPr>
    </w:lvl>
    <w:lvl w:ilvl="4">
      <w:start w:val="355"/>
      <w:numFmt w:val="decimal"/>
      <w:lvlText w:val="(%5)"/>
      <w:lvlJc w:val="left"/>
      <w:pPr>
        <w:ind w:left="3600" w:hanging="360"/>
      </w:pPr>
    </w:lvl>
    <w:lvl w:ilvl="5">
      <w:start w:val="355"/>
      <w:numFmt w:val="decimal"/>
      <w:lvlText w:val="(%6)"/>
      <w:lvlJc w:val="left"/>
      <w:pPr>
        <w:ind w:left="4320" w:hanging="360"/>
      </w:pPr>
    </w:lvl>
    <w:lvl w:ilvl="6">
      <w:start w:val="355"/>
      <w:numFmt w:val="decimal"/>
      <w:lvlText w:val="(%7)"/>
      <w:lvlJc w:val="left"/>
      <w:pPr>
        <w:ind w:left="5040" w:hanging="360"/>
      </w:pPr>
    </w:lvl>
    <w:lvl w:ilvl="7">
      <w:start w:val="355"/>
      <w:numFmt w:val="decimal"/>
      <w:lvlText w:val="(%8)"/>
      <w:lvlJc w:val="left"/>
      <w:pPr>
        <w:ind w:left="5760" w:hanging="360"/>
      </w:pPr>
    </w:lvl>
    <w:lvl w:ilvl="8">
      <w:start w:val="355"/>
      <w:numFmt w:val="decimal"/>
      <w:lvlText w:val="(%9)"/>
      <w:lvlJc w:val="left"/>
      <w:pPr>
        <w:ind w:left="6480" w:hanging="360"/>
      </w:pPr>
    </w:lvl>
  </w:abstractNum>
  <w:abstractNum w:abstractNumId="9943363">
    <w:nsid w:val="A9943363"/>
    <w:multiLevelType w:val="multilevel"/>
    <w:lvl w:ilvl="0">
      <w:start w:val="363"/>
      <w:numFmt w:val="decimal"/>
      <w:lvlText w:val="(%1)"/>
      <w:lvlJc w:val="left"/>
      <w:pPr>
        <w:ind w:left="720" w:hanging="360"/>
      </w:pPr>
    </w:lvl>
    <w:lvl w:ilvl="1">
      <w:start w:val="363"/>
      <w:numFmt w:val="decimal"/>
      <w:lvlText w:val="(%2)"/>
      <w:lvlJc w:val="left"/>
      <w:pPr>
        <w:ind w:left="1440" w:hanging="360"/>
      </w:pPr>
    </w:lvl>
    <w:lvl w:ilvl="2">
      <w:start w:val="363"/>
      <w:numFmt w:val="decimal"/>
      <w:lvlText w:val="(%3)"/>
      <w:lvlJc w:val="left"/>
      <w:pPr>
        <w:ind w:left="2160" w:hanging="360"/>
      </w:pPr>
    </w:lvl>
    <w:lvl w:ilvl="3">
      <w:start w:val="363"/>
      <w:numFmt w:val="decimal"/>
      <w:lvlText w:val="(%4)"/>
      <w:lvlJc w:val="left"/>
      <w:pPr>
        <w:ind w:left="2880" w:hanging="360"/>
      </w:pPr>
    </w:lvl>
    <w:lvl w:ilvl="4">
      <w:start w:val="363"/>
      <w:numFmt w:val="decimal"/>
      <w:lvlText w:val="(%5)"/>
      <w:lvlJc w:val="left"/>
      <w:pPr>
        <w:ind w:left="3600" w:hanging="360"/>
      </w:pPr>
    </w:lvl>
    <w:lvl w:ilvl="5">
      <w:start w:val="363"/>
      <w:numFmt w:val="decimal"/>
      <w:lvlText w:val="(%6)"/>
      <w:lvlJc w:val="left"/>
      <w:pPr>
        <w:ind w:left="4320" w:hanging="360"/>
      </w:pPr>
    </w:lvl>
    <w:lvl w:ilvl="6">
      <w:start w:val="363"/>
      <w:numFmt w:val="decimal"/>
      <w:lvlText w:val="(%7)"/>
      <w:lvlJc w:val="left"/>
      <w:pPr>
        <w:ind w:left="5040" w:hanging="360"/>
      </w:pPr>
    </w:lvl>
    <w:lvl w:ilvl="7">
      <w:start w:val="363"/>
      <w:numFmt w:val="decimal"/>
      <w:lvlText w:val="(%8)"/>
      <w:lvlJc w:val="left"/>
      <w:pPr>
        <w:ind w:left="5760" w:hanging="360"/>
      </w:pPr>
    </w:lvl>
    <w:lvl w:ilvl="8">
      <w:start w:val="363"/>
      <w:numFmt w:val="decimal"/>
      <w:lvlText w:val="(%9)"/>
      <w:lvlJc w:val="left"/>
      <w:pPr>
        <w:ind w:left="6480" w:hanging="360"/>
      </w:pPr>
    </w:lvl>
  </w:abstractNum>
  <w:abstractNum w:abstractNumId="9943364">
    <w:nsid w:val="A9943364"/>
    <w:multiLevelType w:val="multilevel"/>
    <w:lvl w:ilvl="0">
      <w:start w:val="364"/>
      <w:numFmt w:val="decimal"/>
      <w:lvlText w:val="(%1)"/>
      <w:lvlJc w:val="left"/>
      <w:pPr>
        <w:ind w:left="720" w:hanging="360"/>
      </w:pPr>
    </w:lvl>
    <w:lvl w:ilvl="1">
      <w:start w:val="364"/>
      <w:numFmt w:val="decimal"/>
      <w:lvlText w:val="(%2)"/>
      <w:lvlJc w:val="left"/>
      <w:pPr>
        <w:ind w:left="1440" w:hanging="360"/>
      </w:pPr>
    </w:lvl>
    <w:lvl w:ilvl="2">
      <w:start w:val="364"/>
      <w:numFmt w:val="decimal"/>
      <w:lvlText w:val="(%3)"/>
      <w:lvlJc w:val="left"/>
      <w:pPr>
        <w:ind w:left="2160" w:hanging="360"/>
      </w:pPr>
    </w:lvl>
    <w:lvl w:ilvl="3">
      <w:start w:val="364"/>
      <w:numFmt w:val="decimal"/>
      <w:lvlText w:val="(%4)"/>
      <w:lvlJc w:val="left"/>
      <w:pPr>
        <w:ind w:left="2880" w:hanging="360"/>
      </w:pPr>
    </w:lvl>
    <w:lvl w:ilvl="4">
      <w:start w:val="364"/>
      <w:numFmt w:val="decimal"/>
      <w:lvlText w:val="(%5)"/>
      <w:lvlJc w:val="left"/>
      <w:pPr>
        <w:ind w:left="3600" w:hanging="360"/>
      </w:pPr>
    </w:lvl>
    <w:lvl w:ilvl="5">
      <w:start w:val="364"/>
      <w:numFmt w:val="decimal"/>
      <w:lvlText w:val="(%6)"/>
      <w:lvlJc w:val="left"/>
      <w:pPr>
        <w:ind w:left="4320" w:hanging="360"/>
      </w:pPr>
    </w:lvl>
    <w:lvl w:ilvl="6">
      <w:start w:val="364"/>
      <w:numFmt w:val="decimal"/>
      <w:lvlText w:val="(%7)"/>
      <w:lvlJc w:val="left"/>
      <w:pPr>
        <w:ind w:left="5040" w:hanging="360"/>
      </w:pPr>
    </w:lvl>
    <w:lvl w:ilvl="7">
      <w:start w:val="364"/>
      <w:numFmt w:val="decimal"/>
      <w:lvlText w:val="(%8)"/>
      <w:lvlJc w:val="left"/>
      <w:pPr>
        <w:ind w:left="5760" w:hanging="360"/>
      </w:pPr>
    </w:lvl>
    <w:lvl w:ilvl="8">
      <w:start w:val="364"/>
      <w:numFmt w:val="decimal"/>
      <w:lvlText w:val="(%9)"/>
      <w:lvlJc w:val="left"/>
      <w:pPr>
        <w:ind w:left="6480" w:hanging="360"/>
      </w:pPr>
    </w:lvl>
  </w:abstractNum>
  <w:abstractNum w:abstractNumId="9943366">
    <w:nsid w:val="A9943366"/>
    <w:multiLevelType w:val="multilevel"/>
    <w:lvl w:ilvl="0">
      <w:start w:val="366"/>
      <w:numFmt w:val="decimal"/>
      <w:lvlText w:val="(%1)"/>
      <w:lvlJc w:val="left"/>
      <w:pPr>
        <w:ind w:left="720" w:hanging="360"/>
      </w:pPr>
    </w:lvl>
    <w:lvl w:ilvl="1">
      <w:start w:val="366"/>
      <w:numFmt w:val="decimal"/>
      <w:lvlText w:val="(%2)"/>
      <w:lvlJc w:val="left"/>
      <w:pPr>
        <w:ind w:left="1440" w:hanging="360"/>
      </w:pPr>
    </w:lvl>
    <w:lvl w:ilvl="2">
      <w:start w:val="366"/>
      <w:numFmt w:val="decimal"/>
      <w:lvlText w:val="(%3)"/>
      <w:lvlJc w:val="left"/>
      <w:pPr>
        <w:ind w:left="2160" w:hanging="360"/>
      </w:pPr>
    </w:lvl>
    <w:lvl w:ilvl="3">
      <w:start w:val="366"/>
      <w:numFmt w:val="decimal"/>
      <w:lvlText w:val="(%4)"/>
      <w:lvlJc w:val="left"/>
      <w:pPr>
        <w:ind w:left="2880" w:hanging="360"/>
      </w:pPr>
    </w:lvl>
    <w:lvl w:ilvl="4">
      <w:start w:val="366"/>
      <w:numFmt w:val="decimal"/>
      <w:lvlText w:val="(%5)"/>
      <w:lvlJc w:val="left"/>
      <w:pPr>
        <w:ind w:left="3600" w:hanging="360"/>
      </w:pPr>
    </w:lvl>
    <w:lvl w:ilvl="5">
      <w:start w:val="366"/>
      <w:numFmt w:val="decimal"/>
      <w:lvlText w:val="(%6)"/>
      <w:lvlJc w:val="left"/>
      <w:pPr>
        <w:ind w:left="4320" w:hanging="360"/>
      </w:pPr>
    </w:lvl>
    <w:lvl w:ilvl="6">
      <w:start w:val="366"/>
      <w:numFmt w:val="decimal"/>
      <w:lvlText w:val="(%7)"/>
      <w:lvlJc w:val="left"/>
      <w:pPr>
        <w:ind w:left="5040" w:hanging="360"/>
      </w:pPr>
    </w:lvl>
    <w:lvl w:ilvl="7">
      <w:start w:val="366"/>
      <w:numFmt w:val="decimal"/>
      <w:lvlText w:val="(%8)"/>
      <w:lvlJc w:val="left"/>
      <w:pPr>
        <w:ind w:left="5760" w:hanging="360"/>
      </w:pPr>
    </w:lvl>
    <w:lvl w:ilvl="8">
      <w:start w:val="366"/>
      <w:numFmt w:val="decimal"/>
      <w:lvlText w:val="(%9)"/>
      <w:lvlJc w:val="left"/>
      <w:pPr>
        <w:ind w:left="6480" w:hanging="360"/>
      </w:pPr>
    </w:lvl>
  </w:abstractNum>
  <w:abstractNum w:abstractNumId="9943368">
    <w:nsid w:val="A9943368"/>
    <w:multiLevelType w:val="multilevel"/>
    <w:lvl w:ilvl="0">
      <w:start w:val="368"/>
      <w:numFmt w:val="decimal"/>
      <w:lvlText w:val="(%1)"/>
      <w:lvlJc w:val="left"/>
      <w:pPr>
        <w:ind w:left="720" w:hanging="360"/>
      </w:pPr>
    </w:lvl>
    <w:lvl w:ilvl="1">
      <w:start w:val="368"/>
      <w:numFmt w:val="decimal"/>
      <w:lvlText w:val="(%2)"/>
      <w:lvlJc w:val="left"/>
      <w:pPr>
        <w:ind w:left="1440" w:hanging="360"/>
      </w:pPr>
    </w:lvl>
    <w:lvl w:ilvl="2">
      <w:start w:val="368"/>
      <w:numFmt w:val="decimal"/>
      <w:lvlText w:val="(%3)"/>
      <w:lvlJc w:val="left"/>
      <w:pPr>
        <w:ind w:left="2160" w:hanging="360"/>
      </w:pPr>
    </w:lvl>
    <w:lvl w:ilvl="3">
      <w:start w:val="368"/>
      <w:numFmt w:val="decimal"/>
      <w:lvlText w:val="(%4)"/>
      <w:lvlJc w:val="left"/>
      <w:pPr>
        <w:ind w:left="2880" w:hanging="360"/>
      </w:pPr>
    </w:lvl>
    <w:lvl w:ilvl="4">
      <w:start w:val="368"/>
      <w:numFmt w:val="decimal"/>
      <w:lvlText w:val="(%5)"/>
      <w:lvlJc w:val="left"/>
      <w:pPr>
        <w:ind w:left="3600" w:hanging="360"/>
      </w:pPr>
    </w:lvl>
    <w:lvl w:ilvl="5">
      <w:start w:val="368"/>
      <w:numFmt w:val="decimal"/>
      <w:lvlText w:val="(%6)"/>
      <w:lvlJc w:val="left"/>
      <w:pPr>
        <w:ind w:left="4320" w:hanging="360"/>
      </w:pPr>
    </w:lvl>
    <w:lvl w:ilvl="6">
      <w:start w:val="368"/>
      <w:numFmt w:val="decimal"/>
      <w:lvlText w:val="(%7)"/>
      <w:lvlJc w:val="left"/>
      <w:pPr>
        <w:ind w:left="5040" w:hanging="360"/>
      </w:pPr>
    </w:lvl>
    <w:lvl w:ilvl="7">
      <w:start w:val="368"/>
      <w:numFmt w:val="decimal"/>
      <w:lvlText w:val="(%8)"/>
      <w:lvlJc w:val="left"/>
      <w:pPr>
        <w:ind w:left="5760" w:hanging="360"/>
      </w:pPr>
    </w:lvl>
    <w:lvl w:ilvl="8">
      <w:start w:val="368"/>
      <w:numFmt w:val="decimal"/>
      <w:lvlText w:val="(%9)"/>
      <w:lvlJc w:val="left"/>
      <w:pPr>
        <w:ind w:left="6480" w:hanging="360"/>
      </w:pPr>
    </w:lvl>
  </w:abstractNum>
  <w:abstractNum w:abstractNumId="9943375">
    <w:nsid w:val="A9943375"/>
    <w:multiLevelType w:val="multilevel"/>
    <w:lvl w:ilvl="0">
      <w:start w:val="375"/>
      <w:numFmt w:val="decimal"/>
      <w:lvlText w:val="(%1)"/>
      <w:lvlJc w:val="left"/>
      <w:pPr>
        <w:ind w:left="720" w:hanging="360"/>
      </w:pPr>
    </w:lvl>
    <w:lvl w:ilvl="1">
      <w:start w:val="375"/>
      <w:numFmt w:val="decimal"/>
      <w:lvlText w:val="(%2)"/>
      <w:lvlJc w:val="left"/>
      <w:pPr>
        <w:ind w:left="1440" w:hanging="360"/>
      </w:pPr>
    </w:lvl>
    <w:lvl w:ilvl="2">
      <w:start w:val="375"/>
      <w:numFmt w:val="decimal"/>
      <w:lvlText w:val="(%3)"/>
      <w:lvlJc w:val="left"/>
      <w:pPr>
        <w:ind w:left="2160" w:hanging="360"/>
      </w:pPr>
    </w:lvl>
    <w:lvl w:ilvl="3">
      <w:start w:val="375"/>
      <w:numFmt w:val="decimal"/>
      <w:lvlText w:val="(%4)"/>
      <w:lvlJc w:val="left"/>
      <w:pPr>
        <w:ind w:left="2880" w:hanging="360"/>
      </w:pPr>
    </w:lvl>
    <w:lvl w:ilvl="4">
      <w:start w:val="375"/>
      <w:numFmt w:val="decimal"/>
      <w:lvlText w:val="(%5)"/>
      <w:lvlJc w:val="left"/>
      <w:pPr>
        <w:ind w:left="3600" w:hanging="360"/>
      </w:pPr>
    </w:lvl>
    <w:lvl w:ilvl="5">
      <w:start w:val="375"/>
      <w:numFmt w:val="decimal"/>
      <w:lvlText w:val="(%6)"/>
      <w:lvlJc w:val="left"/>
      <w:pPr>
        <w:ind w:left="4320" w:hanging="360"/>
      </w:pPr>
    </w:lvl>
    <w:lvl w:ilvl="6">
      <w:start w:val="375"/>
      <w:numFmt w:val="decimal"/>
      <w:lvlText w:val="(%7)"/>
      <w:lvlJc w:val="left"/>
      <w:pPr>
        <w:ind w:left="5040" w:hanging="360"/>
      </w:pPr>
    </w:lvl>
    <w:lvl w:ilvl="7">
      <w:start w:val="375"/>
      <w:numFmt w:val="decimal"/>
      <w:lvlText w:val="(%8)"/>
      <w:lvlJc w:val="left"/>
      <w:pPr>
        <w:ind w:left="5760" w:hanging="360"/>
      </w:pPr>
    </w:lvl>
    <w:lvl w:ilvl="8">
      <w:start w:val="375"/>
      <w:numFmt w:val="decimal"/>
      <w:lvlText w:val="(%9)"/>
      <w:lvlJc w:val="left"/>
      <w:pPr>
        <w:ind w:left="6480" w:hanging="360"/>
      </w:pPr>
    </w:lvl>
  </w:abstractNum>
  <w:abstractNum w:abstractNumId="9943377">
    <w:nsid w:val="A9943377"/>
    <w:multiLevelType w:val="multilevel"/>
    <w:lvl w:ilvl="0">
      <w:start w:val="377"/>
      <w:numFmt w:val="decimal"/>
      <w:lvlText w:val="(%1)"/>
      <w:lvlJc w:val="left"/>
      <w:pPr>
        <w:ind w:left="720" w:hanging="360"/>
      </w:pPr>
    </w:lvl>
    <w:lvl w:ilvl="1">
      <w:start w:val="377"/>
      <w:numFmt w:val="decimal"/>
      <w:lvlText w:val="(%2)"/>
      <w:lvlJc w:val="left"/>
      <w:pPr>
        <w:ind w:left="1440" w:hanging="360"/>
      </w:pPr>
    </w:lvl>
    <w:lvl w:ilvl="2">
      <w:start w:val="377"/>
      <w:numFmt w:val="decimal"/>
      <w:lvlText w:val="(%3)"/>
      <w:lvlJc w:val="left"/>
      <w:pPr>
        <w:ind w:left="2160" w:hanging="360"/>
      </w:pPr>
    </w:lvl>
    <w:lvl w:ilvl="3">
      <w:start w:val="377"/>
      <w:numFmt w:val="decimal"/>
      <w:lvlText w:val="(%4)"/>
      <w:lvlJc w:val="left"/>
      <w:pPr>
        <w:ind w:left="2880" w:hanging="360"/>
      </w:pPr>
    </w:lvl>
    <w:lvl w:ilvl="4">
      <w:start w:val="377"/>
      <w:numFmt w:val="decimal"/>
      <w:lvlText w:val="(%5)"/>
      <w:lvlJc w:val="left"/>
      <w:pPr>
        <w:ind w:left="3600" w:hanging="360"/>
      </w:pPr>
    </w:lvl>
    <w:lvl w:ilvl="5">
      <w:start w:val="377"/>
      <w:numFmt w:val="decimal"/>
      <w:lvlText w:val="(%6)"/>
      <w:lvlJc w:val="left"/>
      <w:pPr>
        <w:ind w:left="4320" w:hanging="360"/>
      </w:pPr>
    </w:lvl>
    <w:lvl w:ilvl="6">
      <w:start w:val="377"/>
      <w:numFmt w:val="decimal"/>
      <w:lvlText w:val="(%7)"/>
      <w:lvlJc w:val="left"/>
      <w:pPr>
        <w:ind w:left="5040" w:hanging="360"/>
      </w:pPr>
    </w:lvl>
    <w:lvl w:ilvl="7">
      <w:start w:val="377"/>
      <w:numFmt w:val="decimal"/>
      <w:lvlText w:val="(%8)"/>
      <w:lvlJc w:val="left"/>
      <w:pPr>
        <w:ind w:left="5760" w:hanging="360"/>
      </w:pPr>
    </w:lvl>
    <w:lvl w:ilvl="8">
      <w:start w:val="377"/>
      <w:numFmt w:val="decimal"/>
      <w:lvlText w:val="(%9)"/>
      <w:lvlJc w:val="left"/>
      <w:pPr>
        <w:ind w:left="6480" w:hanging="360"/>
      </w:pPr>
    </w:lvl>
  </w:abstractNum>
  <w:abstractNum w:abstractNumId="9943383">
    <w:nsid w:val="A9943383"/>
    <w:multiLevelType w:val="multilevel"/>
    <w:lvl w:ilvl="0">
      <w:start w:val="383"/>
      <w:numFmt w:val="decimal"/>
      <w:lvlText w:val="(%1)"/>
      <w:lvlJc w:val="left"/>
      <w:pPr>
        <w:ind w:left="720" w:hanging="360"/>
      </w:pPr>
    </w:lvl>
    <w:lvl w:ilvl="1">
      <w:start w:val="383"/>
      <w:numFmt w:val="decimal"/>
      <w:lvlText w:val="(%2)"/>
      <w:lvlJc w:val="left"/>
      <w:pPr>
        <w:ind w:left="1440" w:hanging="360"/>
      </w:pPr>
    </w:lvl>
    <w:lvl w:ilvl="2">
      <w:start w:val="383"/>
      <w:numFmt w:val="decimal"/>
      <w:lvlText w:val="(%3)"/>
      <w:lvlJc w:val="left"/>
      <w:pPr>
        <w:ind w:left="2160" w:hanging="360"/>
      </w:pPr>
    </w:lvl>
    <w:lvl w:ilvl="3">
      <w:start w:val="383"/>
      <w:numFmt w:val="decimal"/>
      <w:lvlText w:val="(%4)"/>
      <w:lvlJc w:val="left"/>
      <w:pPr>
        <w:ind w:left="2880" w:hanging="360"/>
      </w:pPr>
    </w:lvl>
    <w:lvl w:ilvl="4">
      <w:start w:val="383"/>
      <w:numFmt w:val="decimal"/>
      <w:lvlText w:val="(%5)"/>
      <w:lvlJc w:val="left"/>
      <w:pPr>
        <w:ind w:left="3600" w:hanging="360"/>
      </w:pPr>
    </w:lvl>
    <w:lvl w:ilvl="5">
      <w:start w:val="383"/>
      <w:numFmt w:val="decimal"/>
      <w:lvlText w:val="(%6)"/>
      <w:lvlJc w:val="left"/>
      <w:pPr>
        <w:ind w:left="4320" w:hanging="360"/>
      </w:pPr>
    </w:lvl>
    <w:lvl w:ilvl="6">
      <w:start w:val="383"/>
      <w:numFmt w:val="decimal"/>
      <w:lvlText w:val="(%7)"/>
      <w:lvlJc w:val="left"/>
      <w:pPr>
        <w:ind w:left="5040" w:hanging="360"/>
      </w:pPr>
    </w:lvl>
    <w:lvl w:ilvl="7">
      <w:start w:val="383"/>
      <w:numFmt w:val="decimal"/>
      <w:lvlText w:val="(%8)"/>
      <w:lvlJc w:val="left"/>
      <w:pPr>
        <w:ind w:left="5760" w:hanging="360"/>
      </w:pPr>
    </w:lvl>
    <w:lvl w:ilvl="8">
      <w:start w:val="383"/>
      <w:numFmt w:val="decimal"/>
      <w:lvlText w:val="(%9)"/>
      <w:lvlJc w:val="left"/>
      <w:pPr>
        <w:ind w:left="6480" w:hanging="360"/>
      </w:pPr>
    </w:lvl>
  </w:abstractNum>
  <w:abstractNum w:abstractNumId="9943387">
    <w:nsid w:val="A9943387"/>
    <w:multiLevelType w:val="multilevel"/>
    <w:lvl w:ilvl="0">
      <w:start w:val="387"/>
      <w:numFmt w:val="decimal"/>
      <w:lvlText w:val="(%1)"/>
      <w:lvlJc w:val="left"/>
      <w:pPr>
        <w:ind w:left="720" w:hanging="360"/>
      </w:pPr>
    </w:lvl>
    <w:lvl w:ilvl="1">
      <w:start w:val="387"/>
      <w:numFmt w:val="decimal"/>
      <w:lvlText w:val="(%2)"/>
      <w:lvlJc w:val="left"/>
      <w:pPr>
        <w:ind w:left="1440" w:hanging="360"/>
      </w:pPr>
    </w:lvl>
    <w:lvl w:ilvl="2">
      <w:start w:val="387"/>
      <w:numFmt w:val="decimal"/>
      <w:lvlText w:val="(%3)"/>
      <w:lvlJc w:val="left"/>
      <w:pPr>
        <w:ind w:left="2160" w:hanging="360"/>
      </w:pPr>
    </w:lvl>
    <w:lvl w:ilvl="3">
      <w:start w:val="387"/>
      <w:numFmt w:val="decimal"/>
      <w:lvlText w:val="(%4)"/>
      <w:lvlJc w:val="left"/>
      <w:pPr>
        <w:ind w:left="2880" w:hanging="360"/>
      </w:pPr>
    </w:lvl>
    <w:lvl w:ilvl="4">
      <w:start w:val="387"/>
      <w:numFmt w:val="decimal"/>
      <w:lvlText w:val="(%5)"/>
      <w:lvlJc w:val="left"/>
      <w:pPr>
        <w:ind w:left="3600" w:hanging="360"/>
      </w:pPr>
    </w:lvl>
    <w:lvl w:ilvl="5">
      <w:start w:val="387"/>
      <w:numFmt w:val="decimal"/>
      <w:lvlText w:val="(%6)"/>
      <w:lvlJc w:val="left"/>
      <w:pPr>
        <w:ind w:left="4320" w:hanging="360"/>
      </w:pPr>
    </w:lvl>
    <w:lvl w:ilvl="6">
      <w:start w:val="387"/>
      <w:numFmt w:val="decimal"/>
      <w:lvlText w:val="(%7)"/>
      <w:lvlJc w:val="left"/>
      <w:pPr>
        <w:ind w:left="5040" w:hanging="360"/>
      </w:pPr>
    </w:lvl>
    <w:lvl w:ilvl="7">
      <w:start w:val="387"/>
      <w:numFmt w:val="decimal"/>
      <w:lvlText w:val="(%8)"/>
      <w:lvlJc w:val="left"/>
      <w:pPr>
        <w:ind w:left="5760" w:hanging="360"/>
      </w:pPr>
    </w:lvl>
    <w:lvl w:ilvl="8">
      <w:start w:val="387"/>
      <w:numFmt w:val="decimal"/>
      <w:lvlText w:val="(%9)"/>
      <w:lvlJc w:val="left"/>
      <w:pPr>
        <w:ind w:left="6480" w:hanging="360"/>
      </w:pPr>
    </w:lvl>
  </w:abstractNum>
  <w:abstractNum w:abstractNumId="9943389">
    <w:nsid w:val="A9943389"/>
    <w:multiLevelType w:val="multilevel"/>
    <w:lvl w:ilvl="0">
      <w:start w:val="389"/>
      <w:numFmt w:val="decimal"/>
      <w:lvlText w:val="(%1)"/>
      <w:lvlJc w:val="left"/>
      <w:pPr>
        <w:ind w:left="720" w:hanging="360"/>
      </w:pPr>
    </w:lvl>
    <w:lvl w:ilvl="1">
      <w:start w:val="389"/>
      <w:numFmt w:val="decimal"/>
      <w:lvlText w:val="(%2)"/>
      <w:lvlJc w:val="left"/>
      <w:pPr>
        <w:ind w:left="1440" w:hanging="360"/>
      </w:pPr>
    </w:lvl>
    <w:lvl w:ilvl="2">
      <w:start w:val="389"/>
      <w:numFmt w:val="decimal"/>
      <w:lvlText w:val="(%3)"/>
      <w:lvlJc w:val="left"/>
      <w:pPr>
        <w:ind w:left="2160" w:hanging="360"/>
      </w:pPr>
    </w:lvl>
    <w:lvl w:ilvl="3">
      <w:start w:val="389"/>
      <w:numFmt w:val="decimal"/>
      <w:lvlText w:val="(%4)"/>
      <w:lvlJc w:val="left"/>
      <w:pPr>
        <w:ind w:left="2880" w:hanging="360"/>
      </w:pPr>
    </w:lvl>
    <w:lvl w:ilvl="4">
      <w:start w:val="389"/>
      <w:numFmt w:val="decimal"/>
      <w:lvlText w:val="(%5)"/>
      <w:lvlJc w:val="left"/>
      <w:pPr>
        <w:ind w:left="3600" w:hanging="360"/>
      </w:pPr>
    </w:lvl>
    <w:lvl w:ilvl="5">
      <w:start w:val="389"/>
      <w:numFmt w:val="decimal"/>
      <w:lvlText w:val="(%6)"/>
      <w:lvlJc w:val="left"/>
      <w:pPr>
        <w:ind w:left="4320" w:hanging="360"/>
      </w:pPr>
    </w:lvl>
    <w:lvl w:ilvl="6">
      <w:start w:val="389"/>
      <w:numFmt w:val="decimal"/>
      <w:lvlText w:val="(%7)"/>
      <w:lvlJc w:val="left"/>
      <w:pPr>
        <w:ind w:left="5040" w:hanging="360"/>
      </w:pPr>
    </w:lvl>
    <w:lvl w:ilvl="7">
      <w:start w:val="389"/>
      <w:numFmt w:val="decimal"/>
      <w:lvlText w:val="(%8)"/>
      <w:lvlJc w:val="left"/>
      <w:pPr>
        <w:ind w:left="5760" w:hanging="360"/>
      </w:pPr>
    </w:lvl>
    <w:lvl w:ilvl="8">
      <w:start w:val="389"/>
      <w:numFmt w:val="decimal"/>
      <w:lvlText w:val="(%9)"/>
      <w:lvlJc w:val="left"/>
      <w:pPr>
        <w:ind w:left="6480" w:hanging="360"/>
      </w:pPr>
    </w:lvl>
  </w:abstractNum>
  <w:abstractNum w:abstractNumId="9943393">
    <w:nsid w:val="A9943393"/>
    <w:multiLevelType w:val="multilevel"/>
    <w:lvl w:ilvl="0">
      <w:start w:val="393"/>
      <w:numFmt w:val="decimal"/>
      <w:lvlText w:val="(%1)"/>
      <w:lvlJc w:val="left"/>
      <w:pPr>
        <w:ind w:left="720" w:hanging="360"/>
      </w:pPr>
    </w:lvl>
    <w:lvl w:ilvl="1">
      <w:start w:val="393"/>
      <w:numFmt w:val="decimal"/>
      <w:lvlText w:val="(%2)"/>
      <w:lvlJc w:val="left"/>
      <w:pPr>
        <w:ind w:left="1440" w:hanging="360"/>
      </w:pPr>
    </w:lvl>
    <w:lvl w:ilvl="2">
      <w:start w:val="393"/>
      <w:numFmt w:val="decimal"/>
      <w:lvlText w:val="(%3)"/>
      <w:lvlJc w:val="left"/>
      <w:pPr>
        <w:ind w:left="2160" w:hanging="360"/>
      </w:pPr>
    </w:lvl>
    <w:lvl w:ilvl="3">
      <w:start w:val="393"/>
      <w:numFmt w:val="decimal"/>
      <w:lvlText w:val="(%4)"/>
      <w:lvlJc w:val="left"/>
      <w:pPr>
        <w:ind w:left="2880" w:hanging="360"/>
      </w:pPr>
    </w:lvl>
    <w:lvl w:ilvl="4">
      <w:start w:val="393"/>
      <w:numFmt w:val="decimal"/>
      <w:lvlText w:val="(%5)"/>
      <w:lvlJc w:val="left"/>
      <w:pPr>
        <w:ind w:left="3600" w:hanging="360"/>
      </w:pPr>
    </w:lvl>
    <w:lvl w:ilvl="5">
      <w:start w:val="393"/>
      <w:numFmt w:val="decimal"/>
      <w:lvlText w:val="(%6)"/>
      <w:lvlJc w:val="left"/>
      <w:pPr>
        <w:ind w:left="4320" w:hanging="360"/>
      </w:pPr>
    </w:lvl>
    <w:lvl w:ilvl="6">
      <w:start w:val="393"/>
      <w:numFmt w:val="decimal"/>
      <w:lvlText w:val="(%7)"/>
      <w:lvlJc w:val="left"/>
      <w:pPr>
        <w:ind w:left="5040" w:hanging="360"/>
      </w:pPr>
    </w:lvl>
    <w:lvl w:ilvl="7">
      <w:start w:val="393"/>
      <w:numFmt w:val="decimal"/>
      <w:lvlText w:val="(%8)"/>
      <w:lvlJc w:val="left"/>
      <w:pPr>
        <w:ind w:left="5760" w:hanging="360"/>
      </w:pPr>
    </w:lvl>
    <w:lvl w:ilvl="8">
      <w:start w:val="393"/>
      <w:numFmt w:val="decimal"/>
      <w:lvlText w:val="(%9)"/>
      <w:lvlJc w:val="left"/>
      <w:pPr>
        <w:ind w:left="6480" w:hanging="360"/>
      </w:pPr>
    </w:lvl>
  </w:abstractNum>
  <w:abstractNum w:abstractNumId="9943401">
    <w:nsid w:val="A9943401"/>
    <w:multiLevelType w:val="multilevel"/>
    <w:lvl w:ilvl="0">
      <w:start w:val="401"/>
      <w:numFmt w:val="decimal"/>
      <w:lvlText w:val="(%1)"/>
      <w:lvlJc w:val="left"/>
      <w:pPr>
        <w:ind w:left="720" w:hanging="360"/>
      </w:pPr>
    </w:lvl>
    <w:lvl w:ilvl="1">
      <w:start w:val="401"/>
      <w:numFmt w:val="decimal"/>
      <w:lvlText w:val="(%2)"/>
      <w:lvlJc w:val="left"/>
      <w:pPr>
        <w:ind w:left="1440" w:hanging="360"/>
      </w:pPr>
    </w:lvl>
    <w:lvl w:ilvl="2">
      <w:start w:val="401"/>
      <w:numFmt w:val="decimal"/>
      <w:lvlText w:val="(%3)"/>
      <w:lvlJc w:val="left"/>
      <w:pPr>
        <w:ind w:left="2160" w:hanging="360"/>
      </w:pPr>
    </w:lvl>
    <w:lvl w:ilvl="3">
      <w:start w:val="401"/>
      <w:numFmt w:val="decimal"/>
      <w:lvlText w:val="(%4)"/>
      <w:lvlJc w:val="left"/>
      <w:pPr>
        <w:ind w:left="2880" w:hanging="360"/>
      </w:pPr>
    </w:lvl>
    <w:lvl w:ilvl="4">
      <w:start w:val="401"/>
      <w:numFmt w:val="decimal"/>
      <w:lvlText w:val="(%5)"/>
      <w:lvlJc w:val="left"/>
      <w:pPr>
        <w:ind w:left="3600" w:hanging="360"/>
      </w:pPr>
    </w:lvl>
    <w:lvl w:ilvl="5">
      <w:start w:val="401"/>
      <w:numFmt w:val="decimal"/>
      <w:lvlText w:val="(%6)"/>
      <w:lvlJc w:val="left"/>
      <w:pPr>
        <w:ind w:left="4320" w:hanging="360"/>
      </w:pPr>
    </w:lvl>
    <w:lvl w:ilvl="6">
      <w:start w:val="401"/>
      <w:numFmt w:val="decimal"/>
      <w:lvlText w:val="(%7)"/>
      <w:lvlJc w:val="left"/>
      <w:pPr>
        <w:ind w:left="5040" w:hanging="360"/>
      </w:pPr>
    </w:lvl>
    <w:lvl w:ilvl="7">
      <w:start w:val="401"/>
      <w:numFmt w:val="decimal"/>
      <w:lvlText w:val="(%8)"/>
      <w:lvlJc w:val="left"/>
      <w:pPr>
        <w:ind w:left="5760" w:hanging="360"/>
      </w:pPr>
    </w:lvl>
    <w:lvl w:ilvl="8">
      <w:start w:val="401"/>
      <w:numFmt w:val="decimal"/>
      <w:lvlText w:val="(%9)"/>
      <w:lvlJc w:val="left"/>
      <w:pPr>
        <w:ind w:left="6480" w:hanging="360"/>
      </w:pPr>
    </w:lvl>
  </w:abstractNum>
  <w:abstractNum w:abstractNumId="9943402">
    <w:nsid w:val="A9943402"/>
    <w:multiLevelType w:val="multilevel"/>
    <w:lvl w:ilvl="0">
      <w:start w:val="402"/>
      <w:numFmt w:val="decimal"/>
      <w:lvlText w:val="(%1)"/>
      <w:lvlJc w:val="left"/>
      <w:pPr>
        <w:ind w:left="720" w:hanging="360"/>
      </w:pPr>
    </w:lvl>
    <w:lvl w:ilvl="1">
      <w:start w:val="402"/>
      <w:numFmt w:val="decimal"/>
      <w:lvlText w:val="(%2)"/>
      <w:lvlJc w:val="left"/>
      <w:pPr>
        <w:ind w:left="1440" w:hanging="360"/>
      </w:pPr>
    </w:lvl>
    <w:lvl w:ilvl="2">
      <w:start w:val="402"/>
      <w:numFmt w:val="decimal"/>
      <w:lvlText w:val="(%3)"/>
      <w:lvlJc w:val="left"/>
      <w:pPr>
        <w:ind w:left="2160" w:hanging="360"/>
      </w:pPr>
    </w:lvl>
    <w:lvl w:ilvl="3">
      <w:start w:val="402"/>
      <w:numFmt w:val="decimal"/>
      <w:lvlText w:val="(%4)"/>
      <w:lvlJc w:val="left"/>
      <w:pPr>
        <w:ind w:left="2880" w:hanging="360"/>
      </w:pPr>
    </w:lvl>
    <w:lvl w:ilvl="4">
      <w:start w:val="402"/>
      <w:numFmt w:val="decimal"/>
      <w:lvlText w:val="(%5)"/>
      <w:lvlJc w:val="left"/>
      <w:pPr>
        <w:ind w:left="3600" w:hanging="360"/>
      </w:pPr>
    </w:lvl>
    <w:lvl w:ilvl="5">
      <w:start w:val="402"/>
      <w:numFmt w:val="decimal"/>
      <w:lvlText w:val="(%6)"/>
      <w:lvlJc w:val="left"/>
      <w:pPr>
        <w:ind w:left="4320" w:hanging="360"/>
      </w:pPr>
    </w:lvl>
    <w:lvl w:ilvl="6">
      <w:start w:val="402"/>
      <w:numFmt w:val="decimal"/>
      <w:lvlText w:val="(%7)"/>
      <w:lvlJc w:val="left"/>
      <w:pPr>
        <w:ind w:left="5040" w:hanging="360"/>
      </w:pPr>
    </w:lvl>
    <w:lvl w:ilvl="7">
      <w:start w:val="402"/>
      <w:numFmt w:val="decimal"/>
      <w:lvlText w:val="(%8)"/>
      <w:lvlJc w:val="left"/>
      <w:pPr>
        <w:ind w:left="5760" w:hanging="360"/>
      </w:pPr>
    </w:lvl>
    <w:lvl w:ilvl="8">
      <w:start w:val="402"/>
      <w:numFmt w:val="decimal"/>
      <w:lvlText w:val="(%9)"/>
      <w:lvlJc w:val="left"/>
      <w:pPr>
        <w:ind w:left="6480" w:hanging="360"/>
      </w:pPr>
    </w:lvl>
  </w:abstractNum>
  <w:abstractNum w:abstractNumId="9943403">
    <w:nsid w:val="A9943403"/>
    <w:multiLevelType w:val="multilevel"/>
    <w:lvl w:ilvl="0">
      <w:start w:val="403"/>
      <w:numFmt w:val="decimal"/>
      <w:lvlText w:val="(%1)"/>
      <w:lvlJc w:val="left"/>
      <w:pPr>
        <w:ind w:left="720" w:hanging="360"/>
      </w:pPr>
    </w:lvl>
    <w:lvl w:ilvl="1">
      <w:start w:val="403"/>
      <w:numFmt w:val="decimal"/>
      <w:lvlText w:val="(%2)"/>
      <w:lvlJc w:val="left"/>
      <w:pPr>
        <w:ind w:left="1440" w:hanging="360"/>
      </w:pPr>
    </w:lvl>
    <w:lvl w:ilvl="2">
      <w:start w:val="403"/>
      <w:numFmt w:val="decimal"/>
      <w:lvlText w:val="(%3)"/>
      <w:lvlJc w:val="left"/>
      <w:pPr>
        <w:ind w:left="2160" w:hanging="360"/>
      </w:pPr>
    </w:lvl>
    <w:lvl w:ilvl="3">
      <w:start w:val="403"/>
      <w:numFmt w:val="decimal"/>
      <w:lvlText w:val="(%4)"/>
      <w:lvlJc w:val="left"/>
      <w:pPr>
        <w:ind w:left="2880" w:hanging="360"/>
      </w:pPr>
    </w:lvl>
    <w:lvl w:ilvl="4">
      <w:start w:val="403"/>
      <w:numFmt w:val="decimal"/>
      <w:lvlText w:val="(%5)"/>
      <w:lvlJc w:val="left"/>
      <w:pPr>
        <w:ind w:left="3600" w:hanging="360"/>
      </w:pPr>
    </w:lvl>
    <w:lvl w:ilvl="5">
      <w:start w:val="403"/>
      <w:numFmt w:val="decimal"/>
      <w:lvlText w:val="(%6)"/>
      <w:lvlJc w:val="left"/>
      <w:pPr>
        <w:ind w:left="4320" w:hanging="360"/>
      </w:pPr>
    </w:lvl>
    <w:lvl w:ilvl="6">
      <w:start w:val="403"/>
      <w:numFmt w:val="decimal"/>
      <w:lvlText w:val="(%7)"/>
      <w:lvlJc w:val="left"/>
      <w:pPr>
        <w:ind w:left="5040" w:hanging="360"/>
      </w:pPr>
    </w:lvl>
    <w:lvl w:ilvl="7">
      <w:start w:val="403"/>
      <w:numFmt w:val="decimal"/>
      <w:lvlText w:val="(%8)"/>
      <w:lvlJc w:val="left"/>
      <w:pPr>
        <w:ind w:left="5760" w:hanging="360"/>
      </w:pPr>
    </w:lvl>
    <w:lvl w:ilvl="8">
      <w:start w:val="403"/>
      <w:numFmt w:val="decimal"/>
      <w:lvlText w:val="(%9)"/>
      <w:lvlJc w:val="left"/>
      <w:pPr>
        <w:ind w:left="6480" w:hanging="360"/>
      </w:pPr>
    </w:lvl>
  </w:abstractNum>
  <w:abstractNum w:abstractNumId="9943406">
    <w:nsid w:val="A9943406"/>
    <w:multiLevelType w:val="multilevel"/>
    <w:lvl w:ilvl="0">
      <w:start w:val="406"/>
      <w:numFmt w:val="decimal"/>
      <w:lvlText w:val="(%1)"/>
      <w:lvlJc w:val="left"/>
      <w:pPr>
        <w:ind w:left="720" w:hanging="360"/>
      </w:pPr>
    </w:lvl>
    <w:lvl w:ilvl="1">
      <w:start w:val="406"/>
      <w:numFmt w:val="decimal"/>
      <w:lvlText w:val="(%2)"/>
      <w:lvlJc w:val="left"/>
      <w:pPr>
        <w:ind w:left="1440" w:hanging="360"/>
      </w:pPr>
    </w:lvl>
    <w:lvl w:ilvl="2">
      <w:start w:val="406"/>
      <w:numFmt w:val="decimal"/>
      <w:lvlText w:val="(%3)"/>
      <w:lvlJc w:val="left"/>
      <w:pPr>
        <w:ind w:left="2160" w:hanging="360"/>
      </w:pPr>
    </w:lvl>
    <w:lvl w:ilvl="3">
      <w:start w:val="406"/>
      <w:numFmt w:val="decimal"/>
      <w:lvlText w:val="(%4)"/>
      <w:lvlJc w:val="left"/>
      <w:pPr>
        <w:ind w:left="2880" w:hanging="360"/>
      </w:pPr>
    </w:lvl>
    <w:lvl w:ilvl="4">
      <w:start w:val="406"/>
      <w:numFmt w:val="decimal"/>
      <w:lvlText w:val="(%5)"/>
      <w:lvlJc w:val="left"/>
      <w:pPr>
        <w:ind w:left="3600" w:hanging="360"/>
      </w:pPr>
    </w:lvl>
    <w:lvl w:ilvl="5">
      <w:start w:val="406"/>
      <w:numFmt w:val="decimal"/>
      <w:lvlText w:val="(%6)"/>
      <w:lvlJc w:val="left"/>
      <w:pPr>
        <w:ind w:left="4320" w:hanging="360"/>
      </w:pPr>
    </w:lvl>
    <w:lvl w:ilvl="6">
      <w:start w:val="406"/>
      <w:numFmt w:val="decimal"/>
      <w:lvlText w:val="(%7)"/>
      <w:lvlJc w:val="left"/>
      <w:pPr>
        <w:ind w:left="5040" w:hanging="360"/>
      </w:pPr>
    </w:lvl>
    <w:lvl w:ilvl="7">
      <w:start w:val="406"/>
      <w:numFmt w:val="decimal"/>
      <w:lvlText w:val="(%8)"/>
      <w:lvlJc w:val="left"/>
      <w:pPr>
        <w:ind w:left="5760" w:hanging="360"/>
      </w:pPr>
    </w:lvl>
    <w:lvl w:ilvl="8">
      <w:start w:val="406"/>
      <w:numFmt w:val="decimal"/>
      <w:lvlText w:val="(%9)"/>
      <w:lvlJc w:val="left"/>
      <w:pPr>
        <w:ind w:left="6480" w:hanging="360"/>
      </w:pPr>
    </w:lvl>
  </w:abstractNum>
  <w:abstractNum w:abstractNumId="9943410">
    <w:nsid w:val="A9943410"/>
    <w:multiLevelType w:val="multilevel"/>
    <w:lvl w:ilvl="0">
      <w:start w:val="410"/>
      <w:numFmt w:val="decimal"/>
      <w:lvlText w:val="(%1)"/>
      <w:lvlJc w:val="left"/>
      <w:pPr>
        <w:ind w:left="720" w:hanging="360"/>
      </w:pPr>
    </w:lvl>
    <w:lvl w:ilvl="1">
      <w:start w:val="410"/>
      <w:numFmt w:val="decimal"/>
      <w:lvlText w:val="(%2)"/>
      <w:lvlJc w:val="left"/>
      <w:pPr>
        <w:ind w:left="1440" w:hanging="360"/>
      </w:pPr>
    </w:lvl>
    <w:lvl w:ilvl="2">
      <w:start w:val="410"/>
      <w:numFmt w:val="decimal"/>
      <w:lvlText w:val="(%3)"/>
      <w:lvlJc w:val="left"/>
      <w:pPr>
        <w:ind w:left="2160" w:hanging="360"/>
      </w:pPr>
    </w:lvl>
    <w:lvl w:ilvl="3">
      <w:start w:val="410"/>
      <w:numFmt w:val="decimal"/>
      <w:lvlText w:val="(%4)"/>
      <w:lvlJc w:val="left"/>
      <w:pPr>
        <w:ind w:left="2880" w:hanging="360"/>
      </w:pPr>
    </w:lvl>
    <w:lvl w:ilvl="4">
      <w:start w:val="410"/>
      <w:numFmt w:val="decimal"/>
      <w:lvlText w:val="(%5)"/>
      <w:lvlJc w:val="left"/>
      <w:pPr>
        <w:ind w:left="3600" w:hanging="360"/>
      </w:pPr>
    </w:lvl>
    <w:lvl w:ilvl="5">
      <w:start w:val="410"/>
      <w:numFmt w:val="decimal"/>
      <w:lvlText w:val="(%6)"/>
      <w:lvlJc w:val="left"/>
      <w:pPr>
        <w:ind w:left="4320" w:hanging="360"/>
      </w:pPr>
    </w:lvl>
    <w:lvl w:ilvl="6">
      <w:start w:val="410"/>
      <w:numFmt w:val="decimal"/>
      <w:lvlText w:val="(%7)"/>
      <w:lvlJc w:val="left"/>
      <w:pPr>
        <w:ind w:left="5040" w:hanging="360"/>
      </w:pPr>
    </w:lvl>
    <w:lvl w:ilvl="7">
      <w:start w:val="410"/>
      <w:numFmt w:val="decimal"/>
      <w:lvlText w:val="(%8)"/>
      <w:lvlJc w:val="left"/>
      <w:pPr>
        <w:ind w:left="5760" w:hanging="360"/>
      </w:pPr>
    </w:lvl>
    <w:lvl w:ilvl="8">
      <w:start w:val="410"/>
      <w:numFmt w:val="decimal"/>
      <w:lvlText w:val="(%9)"/>
      <w:lvlJc w:val="left"/>
      <w:pPr>
        <w:ind w:left="6480" w:hanging="360"/>
      </w:pPr>
    </w:lvl>
  </w:abstractNum>
  <w:abstractNum w:abstractNumId="9943411">
    <w:nsid w:val="A9943411"/>
    <w:multiLevelType w:val="multilevel"/>
    <w:lvl w:ilvl="0">
      <w:start w:val="411"/>
      <w:numFmt w:val="decimal"/>
      <w:lvlText w:val="(%1)"/>
      <w:lvlJc w:val="left"/>
      <w:pPr>
        <w:ind w:left="720" w:hanging="360"/>
      </w:pPr>
    </w:lvl>
    <w:lvl w:ilvl="1">
      <w:start w:val="411"/>
      <w:numFmt w:val="decimal"/>
      <w:lvlText w:val="(%2)"/>
      <w:lvlJc w:val="left"/>
      <w:pPr>
        <w:ind w:left="1440" w:hanging="360"/>
      </w:pPr>
    </w:lvl>
    <w:lvl w:ilvl="2">
      <w:start w:val="411"/>
      <w:numFmt w:val="decimal"/>
      <w:lvlText w:val="(%3)"/>
      <w:lvlJc w:val="left"/>
      <w:pPr>
        <w:ind w:left="2160" w:hanging="360"/>
      </w:pPr>
    </w:lvl>
    <w:lvl w:ilvl="3">
      <w:start w:val="411"/>
      <w:numFmt w:val="decimal"/>
      <w:lvlText w:val="(%4)"/>
      <w:lvlJc w:val="left"/>
      <w:pPr>
        <w:ind w:left="2880" w:hanging="360"/>
      </w:pPr>
    </w:lvl>
    <w:lvl w:ilvl="4">
      <w:start w:val="411"/>
      <w:numFmt w:val="decimal"/>
      <w:lvlText w:val="(%5)"/>
      <w:lvlJc w:val="left"/>
      <w:pPr>
        <w:ind w:left="3600" w:hanging="360"/>
      </w:pPr>
    </w:lvl>
    <w:lvl w:ilvl="5">
      <w:start w:val="411"/>
      <w:numFmt w:val="decimal"/>
      <w:lvlText w:val="(%6)"/>
      <w:lvlJc w:val="left"/>
      <w:pPr>
        <w:ind w:left="4320" w:hanging="360"/>
      </w:pPr>
    </w:lvl>
    <w:lvl w:ilvl="6">
      <w:start w:val="411"/>
      <w:numFmt w:val="decimal"/>
      <w:lvlText w:val="(%7)"/>
      <w:lvlJc w:val="left"/>
      <w:pPr>
        <w:ind w:left="5040" w:hanging="360"/>
      </w:pPr>
    </w:lvl>
    <w:lvl w:ilvl="7">
      <w:start w:val="411"/>
      <w:numFmt w:val="decimal"/>
      <w:lvlText w:val="(%8)"/>
      <w:lvlJc w:val="left"/>
      <w:pPr>
        <w:ind w:left="5760" w:hanging="360"/>
      </w:pPr>
    </w:lvl>
    <w:lvl w:ilvl="8">
      <w:start w:val="411"/>
      <w:numFmt w:val="decimal"/>
      <w:lvlText w:val="(%9)"/>
      <w:lvlJc w:val="left"/>
      <w:pPr>
        <w:ind w:left="6480" w:hanging="360"/>
      </w:pPr>
    </w:lvl>
  </w:abstractNum>
  <w:abstractNum w:abstractNumId="9943414">
    <w:nsid w:val="A9943414"/>
    <w:multiLevelType w:val="multilevel"/>
    <w:lvl w:ilvl="0">
      <w:start w:val="414"/>
      <w:numFmt w:val="decimal"/>
      <w:lvlText w:val="(%1)"/>
      <w:lvlJc w:val="left"/>
      <w:pPr>
        <w:ind w:left="720" w:hanging="360"/>
      </w:pPr>
    </w:lvl>
    <w:lvl w:ilvl="1">
      <w:start w:val="414"/>
      <w:numFmt w:val="decimal"/>
      <w:lvlText w:val="(%2)"/>
      <w:lvlJc w:val="left"/>
      <w:pPr>
        <w:ind w:left="1440" w:hanging="360"/>
      </w:pPr>
    </w:lvl>
    <w:lvl w:ilvl="2">
      <w:start w:val="414"/>
      <w:numFmt w:val="decimal"/>
      <w:lvlText w:val="(%3)"/>
      <w:lvlJc w:val="left"/>
      <w:pPr>
        <w:ind w:left="2160" w:hanging="360"/>
      </w:pPr>
    </w:lvl>
    <w:lvl w:ilvl="3">
      <w:start w:val="414"/>
      <w:numFmt w:val="decimal"/>
      <w:lvlText w:val="(%4)"/>
      <w:lvlJc w:val="left"/>
      <w:pPr>
        <w:ind w:left="2880" w:hanging="360"/>
      </w:pPr>
    </w:lvl>
    <w:lvl w:ilvl="4">
      <w:start w:val="414"/>
      <w:numFmt w:val="decimal"/>
      <w:lvlText w:val="(%5)"/>
      <w:lvlJc w:val="left"/>
      <w:pPr>
        <w:ind w:left="3600" w:hanging="360"/>
      </w:pPr>
    </w:lvl>
    <w:lvl w:ilvl="5">
      <w:start w:val="414"/>
      <w:numFmt w:val="decimal"/>
      <w:lvlText w:val="(%6)"/>
      <w:lvlJc w:val="left"/>
      <w:pPr>
        <w:ind w:left="4320" w:hanging="360"/>
      </w:pPr>
    </w:lvl>
    <w:lvl w:ilvl="6">
      <w:start w:val="414"/>
      <w:numFmt w:val="decimal"/>
      <w:lvlText w:val="(%7)"/>
      <w:lvlJc w:val="left"/>
      <w:pPr>
        <w:ind w:left="5040" w:hanging="360"/>
      </w:pPr>
    </w:lvl>
    <w:lvl w:ilvl="7">
      <w:start w:val="414"/>
      <w:numFmt w:val="decimal"/>
      <w:lvlText w:val="(%8)"/>
      <w:lvlJc w:val="left"/>
      <w:pPr>
        <w:ind w:left="5760" w:hanging="360"/>
      </w:pPr>
    </w:lvl>
    <w:lvl w:ilvl="8">
      <w:start w:val="414"/>
      <w:numFmt w:val="decimal"/>
      <w:lvlText w:val="(%9)"/>
      <w:lvlJc w:val="left"/>
      <w:pPr>
        <w:ind w:left="6480" w:hanging="360"/>
      </w:pPr>
    </w:lvl>
  </w:abstractNum>
  <w:abstractNum w:abstractNumId="9943419">
    <w:nsid w:val="A9943419"/>
    <w:multiLevelType w:val="multilevel"/>
    <w:lvl w:ilvl="0">
      <w:start w:val="419"/>
      <w:numFmt w:val="decimal"/>
      <w:lvlText w:val="(%1)"/>
      <w:lvlJc w:val="left"/>
      <w:pPr>
        <w:ind w:left="720" w:hanging="360"/>
      </w:pPr>
    </w:lvl>
    <w:lvl w:ilvl="1">
      <w:start w:val="419"/>
      <w:numFmt w:val="decimal"/>
      <w:lvlText w:val="(%2)"/>
      <w:lvlJc w:val="left"/>
      <w:pPr>
        <w:ind w:left="1440" w:hanging="360"/>
      </w:pPr>
    </w:lvl>
    <w:lvl w:ilvl="2">
      <w:start w:val="419"/>
      <w:numFmt w:val="decimal"/>
      <w:lvlText w:val="(%3)"/>
      <w:lvlJc w:val="left"/>
      <w:pPr>
        <w:ind w:left="2160" w:hanging="360"/>
      </w:pPr>
    </w:lvl>
    <w:lvl w:ilvl="3">
      <w:start w:val="419"/>
      <w:numFmt w:val="decimal"/>
      <w:lvlText w:val="(%4)"/>
      <w:lvlJc w:val="left"/>
      <w:pPr>
        <w:ind w:left="2880" w:hanging="360"/>
      </w:pPr>
    </w:lvl>
    <w:lvl w:ilvl="4">
      <w:start w:val="419"/>
      <w:numFmt w:val="decimal"/>
      <w:lvlText w:val="(%5)"/>
      <w:lvlJc w:val="left"/>
      <w:pPr>
        <w:ind w:left="3600" w:hanging="360"/>
      </w:pPr>
    </w:lvl>
    <w:lvl w:ilvl="5">
      <w:start w:val="419"/>
      <w:numFmt w:val="decimal"/>
      <w:lvlText w:val="(%6)"/>
      <w:lvlJc w:val="left"/>
      <w:pPr>
        <w:ind w:left="4320" w:hanging="360"/>
      </w:pPr>
    </w:lvl>
    <w:lvl w:ilvl="6">
      <w:start w:val="419"/>
      <w:numFmt w:val="decimal"/>
      <w:lvlText w:val="(%7)"/>
      <w:lvlJc w:val="left"/>
      <w:pPr>
        <w:ind w:left="5040" w:hanging="360"/>
      </w:pPr>
    </w:lvl>
    <w:lvl w:ilvl="7">
      <w:start w:val="419"/>
      <w:numFmt w:val="decimal"/>
      <w:lvlText w:val="(%8)"/>
      <w:lvlJc w:val="left"/>
      <w:pPr>
        <w:ind w:left="5760" w:hanging="360"/>
      </w:pPr>
    </w:lvl>
    <w:lvl w:ilvl="8">
      <w:start w:val="419"/>
      <w:numFmt w:val="decimal"/>
      <w:lvlText w:val="(%9)"/>
      <w:lvlJc w:val="left"/>
      <w:pPr>
        <w:ind w:left="6480" w:hanging="360"/>
      </w:pPr>
    </w:lvl>
  </w:abstractNum>
  <w:abstractNum w:abstractNumId="9943422">
    <w:nsid w:val="A9943422"/>
    <w:multiLevelType w:val="multilevel"/>
    <w:lvl w:ilvl="0">
      <w:start w:val="422"/>
      <w:numFmt w:val="decimal"/>
      <w:lvlText w:val="(%1)"/>
      <w:lvlJc w:val="left"/>
      <w:pPr>
        <w:ind w:left="720" w:hanging="360"/>
      </w:pPr>
    </w:lvl>
    <w:lvl w:ilvl="1">
      <w:start w:val="422"/>
      <w:numFmt w:val="decimal"/>
      <w:lvlText w:val="(%2)"/>
      <w:lvlJc w:val="left"/>
      <w:pPr>
        <w:ind w:left="1440" w:hanging="360"/>
      </w:pPr>
    </w:lvl>
    <w:lvl w:ilvl="2">
      <w:start w:val="422"/>
      <w:numFmt w:val="decimal"/>
      <w:lvlText w:val="(%3)"/>
      <w:lvlJc w:val="left"/>
      <w:pPr>
        <w:ind w:left="2160" w:hanging="360"/>
      </w:pPr>
    </w:lvl>
    <w:lvl w:ilvl="3">
      <w:start w:val="422"/>
      <w:numFmt w:val="decimal"/>
      <w:lvlText w:val="(%4)"/>
      <w:lvlJc w:val="left"/>
      <w:pPr>
        <w:ind w:left="2880" w:hanging="360"/>
      </w:pPr>
    </w:lvl>
    <w:lvl w:ilvl="4">
      <w:start w:val="422"/>
      <w:numFmt w:val="decimal"/>
      <w:lvlText w:val="(%5)"/>
      <w:lvlJc w:val="left"/>
      <w:pPr>
        <w:ind w:left="3600" w:hanging="360"/>
      </w:pPr>
    </w:lvl>
    <w:lvl w:ilvl="5">
      <w:start w:val="422"/>
      <w:numFmt w:val="decimal"/>
      <w:lvlText w:val="(%6)"/>
      <w:lvlJc w:val="left"/>
      <w:pPr>
        <w:ind w:left="4320" w:hanging="360"/>
      </w:pPr>
    </w:lvl>
    <w:lvl w:ilvl="6">
      <w:start w:val="422"/>
      <w:numFmt w:val="decimal"/>
      <w:lvlText w:val="(%7)"/>
      <w:lvlJc w:val="left"/>
      <w:pPr>
        <w:ind w:left="5040" w:hanging="360"/>
      </w:pPr>
    </w:lvl>
    <w:lvl w:ilvl="7">
      <w:start w:val="422"/>
      <w:numFmt w:val="decimal"/>
      <w:lvlText w:val="(%8)"/>
      <w:lvlJc w:val="left"/>
      <w:pPr>
        <w:ind w:left="5760" w:hanging="360"/>
      </w:pPr>
    </w:lvl>
    <w:lvl w:ilvl="8">
      <w:start w:val="422"/>
      <w:numFmt w:val="decimal"/>
      <w:lvlText w:val="(%9)"/>
      <w:lvlJc w:val="left"/>
      <w:pPr>
        <w:ind w:left="6480" w:hanging="360"/>
      </w:pPr>
    </w:lvl>
  </w:abstractNum>
  <w:abstractNum w:abstractNumId="99412022">
    <w:nsid w:val="A99412022"/>
    <w:multiLevelType w:val="multilevel"/>
    <w:lvl w:ilvl="0">
      <w:start w:val="2022"/>
      <w:numFmt w:val="decimal"/>
      <w:lvlText w:val="%1."/>
      <w:lvlJc w:val="left"/>
      <w:pPr>
        <w:ind w:left="720" w:hanging="360"/>
      </w:pPr>
    </w:lvl>
    <w:lvl w:ilvl="1">
      <w:start w:val="2022"/>
      <w:numFmt w:val="decimal"/>
      <w:lvlText w:val="%2."/>
      <w:lvlJc w:val="left"/>
      <w:pPr>
        <w:ind w:left="1440" w:hanging="360"/>
      </w:pPr>
    </w:lvl>
    <w:lvl w:ilvl="2">
      <w:start w:val="2022"/>
      <w:numFmt w:val="decimal"/>
      <w:lvlText w:val="%3."/>
      <w:lvlJc w:val="left"/>
      <w:pPr>
        <w:ind w:left="2160" w:hanging="360"/>
      </w:pPr>
    </w:lvl>
    <w:lvl w:ilvl="3">
      <w:start w:val="2022"/>
      <w:numFmt w:val="decimal"/>
      <w:lvlText w:val="%4."/>
      <w:lvlJc w:val="left"/>
      <w:pPr>
        <w:ind w:left="2880" w:hanging="360"/>
      </w:pPr>
    </w:lvl>
    <w:lvl w:ilvl="4">
      <w:start w:val="2022"/>
      <w:numFmt w:val="decimal"/>
      <w:lvlText w:val="%5."/>
      <w:lvlJc w:val="left"/>
      <w:pPr>
        <w:ind w:left="3600" w:hanging="360"/>
      </w:pPr>
    </w:lvl>
    <w:lvl w:ilvl="5">
      <w:start w:val="2022"/>
      <w:numFmt w:val="decimal"/>
      <w:lvlText w:val="%6."/>
      <w:lvlJc w:val="left"/>
      <w:pPr>
        <w:ind w:left="4320" w:hanging="360"/>
      </w:pPr>
    </w:lvl>
    <w:lvl w:ilvl="6">
      <w:start w:val="2022"/>
      <w:numFmt w:val="decimal"/>
      <w:lvlText w:val="%7."/>
      <w:lvlJc w:val="left"/>
      <w:pPr>
        <w:ind w:left="5040" w:hanging="360"/>
      </w:pPr>
    </w:lvl>
    <w:lvl w:ilvl="7">
      <w:start w:val="2022"/>
      <w:numFmt w:val="decimal"/>
      <w:lvlText w:val="%8."/>
      <w:lvlJc w:val="left"/>
      <w:pPr>
        <w:ind w:left="5760" w:hanging="360"/>
      </w:pPr>
    </w:lvl>
    <w:lvl w:ilvl="8">
      <w:start w:val="2022"/>
      <w:numFmt w:val="decimal"/>
      <w:lvlText w:val="%9."/>
      <w:lvlJc w:val="left"/>
      <w:pPr>
        <w:ind w:left="6480" w:hanging="360"/>
      </w:pPr>
    </w:lvl>
  </w:abstractNum>
  <w:abstractNum w:abstractNumId="9943423">
    <w:nsid w:val="A9943423"/>
    <w:multiLevelType w:val="multilevel"/>
    <w:lvl w:ilvl="0">
      <w:start w:val="423"/>
      <w:numFmt w:val="decimal"/>
      <w:lvlText w:val="(%1)"/>
      <w:lvlJc w:val="left"/>
      <w:pPr>
        <w:ind w:left="720" w:hanging="360"/>
      </w:pPr>
    </w:lvl>
    <w:lvl w:ilvl="1">
      <w:start w:val="423"/>
      <w:numFmt w:val="decimal"/>
      <w:lvlText w:val="(%2)"/>
      <w:lvlJc w:val="left"/>
      <w:pPr>
        <w:ind w:left="1440" w:hanging="360"/>
      </w:pPr>
    </w:lvl>
    <w:lvl w:ilvl="2">
      <w:start w:val="423"/>
      <w:numFmt w:val="decimal"/>
      <w:lvlText w:val="(%3)"/>
      <w:lvlJc w:val="left"/>
      <w:pPr>
        <w:ind w:left="2160" w:hanging="360"/>
      </w:pPr>
    </w:lvl>
    <w:lvl w:ilvl="3">
      <w:start w:val="423"/>
      <w:numFmt w:val="decimal"/>
      <w:lvlText w:val="(%4)"/>
      <w:lvlJc w:val="left"/>
      <w:pPr>
        <w:ind w:left="2880" w:hanging="360"/>
      </w:pPr>
    </w:lvl>
    <w:lvl w:ilvl="4">
      <w:start w:val="423"/>
      <w:numFmt w:val="decimal"/>
      <w:lvlText w:val="(%5)"/>
      <w:lvlJc w:val="left"/>
      <w:pPr>
        <w:ind w:left="3600" w:hanging="360"/>
      </w:pPr>
    </w:lvl>
    <w:lvl w:ilvl="5">
      <w:start w:val="423"/>
      <w:numFmt w:val="decimal"/>
      <w:lvlText w:val="(%6)"/>
      <w:lvlJc w:val="left"/>
      <w:pPr>
        <w:ind w:left="4320" w:hanging="360"/>
      </w:pPr>
    </w:lvl>
    <w:lvl w:ilvl="6">
      <w:start w:val="423"/>
      <w:numFmt w:val="decimal"/>
      <w:lvlText w:val="(%7)"/>
      <w:lvlJc w:val="left"/>
      <w:pPr>
        <w:ind w:left="5040" w:hanging="360"/>
      </w:pPr>
    </w:lvl>
    <w:lvl w:ilvl="7">
      <w:start w:val="423"/>
      <w:numFmt w:val="decimal"/>
      <w:lvlText w:val="(%8)"/>
      <w:lvlJc w:val="left"/>
      <w:pPr>
        <w:ind w:left="5760" w:hanging="360"/>
      </w:pPr>
    </w:lvl>
    <w:lvl w:ilvl="8">
      <w:start w:val="423"/>
      <w:numFmt w:val="decimal"/>
      <w:lvlText w:val="(%9)"/>
      <w:lvlJc w:val="left"/>
      <w:pPr>
        <w:ind w:left="6480" w:hanging="360"/>
      </w:pPr>
    </w:lvl>
  </w:abstractNum>
  <w:abstractNum w:abstractNumId="998112">
    <w:nsid w:val="0A998112"/>
    <w:multiLevelType w:val="multilevel"/>
    <w:lvl w:ilvl="0">
      <w:start w:val="12"/>
      <w:numFmt w:val="upperLetter"/>
      <w:lvlText w:val="%1."/>
      <w:lvlJc w:val="left"/>
      <w:pPr>
        <w:ind w:left="720" w:hanging="360"/>
      </w:pPr>
    </w:lvl>
    <w:lvl w:ilvl="1">
      <w:start w:val="12"/>
      <w:numFmt w:val="upperLetter"/>
      <w:lvlText w:val="%2."/>
      <w:lvlJc w:val="left"/>
      <w:pPr>
        <w:ind w:left="1440" w:hanging="360"/>
      </w:pPr>
    </w:lvl>
    <w:lvl w:ilvl="2">
      <w:start w:val="12"/>
      <w:numFmt w:val="upperLetter"/>
      <w:lvlText w:val="%3."/>
      <w:lvlJc w:val="left"/>
      <w:pPr>
        <w:ind w:left="2160" w:hanging="360"/>
      </w:pPr>
    </w:lvl>
    <w:lvl w:ilvl="3">
      <w:start w:val="12"/>
      <w:numFmt w:val="upperLetter"/>
      <w:lvlText w:val="%4."/>
      <w:lvlJc w:val="left"/>
      <w:pPr>
        <w:ind w:left="2880" w:hanging="360"/>
      </w:pPr>
    </w:lvl>
    <w:lvl w:ilvl="4">
      <w:start w:val="12"/>
      <w:numFmt w:val="upperLetter"/>
      <w:lvlText w:val="%5."/>
      <w:lvlJc w:val="left"/>
      <w:pPr>
        <w:ind w:left="3600" w:hanging="360"/>
      </w:pPr>
    </w:lvl>
    <w:lvl w:ilvl="5">
      <w:start w:val="12"/>
      <w:numFmt w:val="upperLetter"/>
      <w:lvlText w:val="%6."/>
      <w:lvlJc w:val="left"/>
      <w:pPr>
        <w:ind w:left="4320" w:hanging="360"/>
      </w:pPr>
    </w:lvl>
    <w:lvl w:ilvl="6">
      <w:start w:val="12"/>
      <w:numFmt w:val="upperLetter"/>
      <w:lvlText w:val="%7."/>
      <w:lvlJc w:val="left"/>
      <w:pPr>
        <w:ind w:left="5040" w:hanging="360"/>
      </w:pPr>
    </w:lvl>
    <w:lvl w:ilvl="7">
      <w:start w:val="12"/>
      <w:numFmt w:val="upperLetter"/>
      <w:lvlText w:val="%8."/>
      <w:lvlJc w:val="left"/>
      <w:pPr>
        <w:ind w:left="5760" w:hanging="360"/>
      </w:pPr>
    </w:lvl>
    <w:lvl w:ilvl="8">
      <w:start w:val="12"/>
      <w:numFmt w:val="upperLetter"/>
      <w:lvlText w:val="%9."/>
      <w:lvlJc w:val="left"/>
      <w:pPr>
        <w:ind w:left="6480" w:hanging="360"/>
      </w:pPr>
    </w:lvl>
  </w:abstractNum>
  <w:abstractNum w:abstractNumId="9943425">
    <w:nsid w:val="A9943425"/>
    <w:multiLevelType w:val="multilevel"/>
    <w:lvl w:ilvl="0">
      <w:start w:val="425"/>
      <w:numFmt w:val="decimal"/>
      <w:lvlText w:val="(%1)"/>
      <w:lvlJc w:val="left"/>
      <w:pPr>
        <w:ind w:left="720" w:hanging="360"/>
      </w:pPr>
    </w:lvl>
    <w:lvl w:ilvl="1">
      <w:start w:val="425"/>
      <w:numFmt w:val="decimal"/>
      <w:lvlText w:val="(%2)"/>
      <w:lvlJc w:val="left"/>
      <w:pPr>
        <w:ind w:left="1440" w:hanging="360"/>
      </w:pPr>
    </w:lvl>
    <w:lvl w:ilvl="2">
      <w:start w:val="425"/>
      <w:numFmt w:val="decimal"/>
      <w:lvlText w:val="(%3)"/>
      <w:lvlJc w:val="left"/>
      <w:pPr>
        <w:ind w:left="2160" w:hanging="360"/>
      </w:pPr>
    </w:lvl>
    <w:lvl w:ilvl="3">
      <w:start w:val="425"/>
      <w:numFmt w:val="decimal"/>
      <w:lvlText w:val="(%4)"/>
      <w:lvlJc w:val="left"/>
      <w:pPr>
        <w:ind w:left="2880" w:hanging="360"/>
      </w:pPr>
    </w:lvl>
    <w:lvl w:ilvl="4">
      <w:start w:val="425"/>
      <w:numFmt w:val="decimal"/>
      <w:lvlText w:val="(%5)"/>
      <w:lvlJc w:val="left"/>
      <w:pPr>
        <w:ind w:left="3600" w:hanging="360"/>
      </w:pPr>
    </w:lvl>
    <w:lvl w:ilvl="5">
      <w:start w:val="425"/>
      <w:numFmt w:val="decimal"/>
      <w:lvlText w:val="(%6)"/>
      <w:lvlJc w:val="left"/>
      <w:pPr>
        <w:ind w:left="4320" w:hanging="360"/>
      </w:pPr>
    </w:lvl>
    <w:lvl w:ilvl="6">
      <w:start w:val="425"/>
      <w:numFmt w:val="decimal"/>
      <w:lvlText w:val="(%7)"/>
      <w:lvlJc w:val="left"/>
      <w:pPr>
        <w:ind w:left="5040" w:hanging="360"/>
      </w:pPr>
    </w:lvl>
    <w:lvl w:ilvl="7">
      <w:start w:val="425"/>
      <w:numFmt w:val="decimal"/>
      <w:lvlText w:val="(%8)"/>
      <w:lvlJc w:val="left"/>
      <w:pPr>
        <w:ind w:left="5760" w:hanging="360"/>
      </w:pPr>
    </w:lvl>
    <w:lvl w:ilvl="8">
      <w:start w:val="425"/>
      <w:numFmt w:val="decimal"/>
      <w:lvlText w:val="(%9)"/>
      <w:lvlJc w:val="left"/>
      <w:pPr>
        <w:ind w:left="6480" w:hanging="360"/>
      </w:pPr>
    </w:lvl>
  </w:abstractNum>
  <w:abstractNum w:abstractNumId="9943429">
    <w:nsid w:val="A9943429"/>
    <w:multiLevelType w:val="multilevel"/>
    <w:lvl w:ilvl="0">
      <w:start w:val="429"/>
      <w:numFmt w:val="decimal"/>
      <w:lvlText w:val="(%1)"/>
      <w:lvlJc w:val="left"/>
      <w:pPr>
        <w:ind w:left="720" w:hanging="360"/>
      </w:pPr>
    </w:lvl>
    <w:lvl w:ilvl="1">
      <w:start w:val="429"/>
      <w:numFmt w:val="decimal"/>
      <w:lvlText w:val="(%2)"/>
      <w:lvlJc w:val="left"/>
      <w:pPr>
        <w:ind w:left="1440" w:hanging="360"/>
      </w:pPr>
    </w:lvl>
    <w:lvl w:ilvl="2">
      <w:start w:val="429"/>
      <w:numFmt w:val="decimal"/>
      <w:lvlText w:val="(%3)"/>
      <w:lvlJc w:val="left"/>
      <w:pPr>
        <w:ind w:left="2160" w:hanging="360"/>
      </w:pPr>
    </w:lvl>
    <w:lvl w:ilvl="3">
      <w:start w:val="429"/>
      <w:numFmt w:val="decimal"/>
      <w:lvlText w:val="(%4)"/>
      <w:lvlJc w:val="left"/>
      <w:pPr>
        <w:ind w:left="2880" w:hanging="360"/>
      </w:pPr>
    </w:lvl>
    <w:lvl w:ilvl="4">
      <w:start w:val="429"/>
      <w:numFmt w:val="decimal"/>
      <w:lvlText w:val="(%5)"/>
      <w:lvlJc w:val="left"/>
      <w:pPr>
        <w:ind w:left="3600" w:hanging="360"/>
      </w:pPr>
    </w:lvl>
    <w:lvl w:ilvl="5">
      <w:start w:val="429"/>
      <w:numFmt w:val="decimal"/>
      <w:lvlText w:val="(%6)"/>
      <w:lvlJc w:val="left"/>
      <w:pPr>
        <w:ind w:left="4320" w:hanging="360"/>
      </w:pPr>
    </w:lvl>
    <w:lvl w:ilvl="6">
      <w:start w:val="429"/>
      <w:numFmt w:val="decimal"/>
      <w:lvlText w:val="(%7)"/>
      <w:lvlJc w:val="left"/>
      <w:pPr>
        <w:ind w:left="5040" w:hanging="360"/>
      </w:pPr>
    </w:lvl>
    <w:lvl w:ilvl="7">
      <w:start w:val="429"/>
      <w:numFmt w:val="decimal"/>
      <w:lvlText w:val="(%8)"/>
      <w:lvlJc w:val="left"/>
      <w:pPr>
        <w:ind w:left="5760" w:hanging="360"/>
      </w:pPr>
    </w:lvl>
    <w:lvl w:ilvl="8">
      <w:start w:val="429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3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5">
    <w:abstractNumId w:val="9943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06">
    <w:abstractNumId w:val="994334"/>
    <w:lvlOverride w:ilvl="0">
      <w:startOverride w:val="34"/>
    </w:lvlOverride>
    <w:lvlOverride w:ilvl="1">
      <w:startOverride w:val="34"/>
    </w:lvlOverride>
    <w:lvlOverride w:ilvl="2">
      <w:startOverride w:val="34"/>
    </w:lvlOverride>
    <w:lvlOverride w:ilvl="3">
      <w:startOverride w:val="34"/>
    </w:lvlOverride>
    <w:lvlOverride w:ilvl="4">
      <w:startOverride w:val="34"/>
    </w:lvlOverride>
    <w:lvlOverride w:ilvl="5">
      <w:startOverride w:val="34"/>
    </w:lvlOverride>
    <w:lvlOverride w:ilvl="6">
      <w:startOverride w:val="34"/>
    </w:lvlOverride>
    <w:lvlOverride w:ilvl="7">
      <w:startOverride w:val="34"/>
    </w:lvlOverride>
    <w:lvlOverride w:ilvl="8">
      <w:startOverride w:val="34"/>
    </w:lvlOverride>
  </w:num>
  <w:num w:numId="1007">
    <w:abstractNumId w:val="994339"/>
    <w:lvlOverride w:ilvl="0">
      <w:startOverride w:val="39"/>
    </w:lvlOverride>
    <w:lvlOverride w:ilvl="1">
      <w:startOverride w:val="39"/>
    </w:lvlOverride>
    <w:lvlOverride w:ilvl="2">
      <w:startOverride w:val="39"/>
    </w:lvlOverride>
    <w:lvlOverride w:ilvl="3">
      <w:startOverride w:val="39"/>
    </w:lvlOverride>
    <w:lvlOverride w:ilvl="4">
      <w:startOverride w:val="39"/>
    </w:lvlOverride>
    <w:lvlOverride w:ilvl="5">
      <w:startOverride w:val="39"/>
    </w:lvlOverride>
    <w:lvlOverride w:ilvl="6">
      <w:startOverride w:val="39"/>
    </w:lvlOverride>
    <w:lvlOverride w:ilvl="7">
      <w:startOverride w:val="39"/>
    </w:lvlOverride>
    <w:lvlOverride w:ilvl="8">
      <w:startOverride w:val="39"/>
    </w:lvlOverride>
  </w:num>
  <w:num w:numId="1008">
    <w:abstractNumId w:val="994345"/>
    <w:lvlOverride w:ilvl="0">
      <w:startOverride w:val="45"/>
    </w:lvlOverride>
    <w:lvlOverride w:ilvl="1">
      <w:startOverride w:val="45"/>
    </w:lvlOverride>
    <w:lvlOverride w:ilvl="2">
      <w:startOverride w:val="45"/>
    </w:lvlOverride>
    <w:lvlOverride w:ilvl="3">
      <w:startOverride w:val="45"/>
    </w:lvlOverride>
    <w:lvlOverride w:ilvl="4">
      <w:startOverride w:val="45"/>
    </w:lvlOverride>
    <w:lvlOverride w:ilvl="5">
      <w:startOverride w:val="45"/>
    </w:lvlOverride>
    <w:lvlOverride w:ilvl="6">
      <w:startOverride w:val="45"/>
    </w:lvlOverride>
    <w:lvlOverride w:ilvl="7">
      <w:startOverride w:val="45"/>
    </w:lvlOverride>
    <w:lvlOverride w:ilvl="8">
      <w:startOverride w:val="45"/>
    </w:lvlOverride>
  </w:num>
  <w:num w:numId="1009">
    <w:abstractNumId w:val="994350"/>
    <w:lvlOverride w:ilvl="0">
      <w:startOverride w:val="50"/>
    </w:lvlOverride>
    <w:lvlOverride w:ilvl="1">
      <w:startOverride w:val="50"/>
    </w:lvlOverride>
    <w:lvlOverride w:ilvl="2">
      <w:startOverride w:val="50"/>
    </w:lvlOverride>
    <w:lvlOverride w:ilvl="3">
      <w:startOverride w:val="50"/>
    </w:lvlOverride>
    <w:lvlOverride w:ilvl="4">
      <w:startOverride w:val="50"/>
    </w:lvlOverride>
    <w:lvlOverride w:ilvl="5">
      <w:startOverride w:val="50"/>
    </w:lvlOverride>
    <w:lvlOverride w:ilvl="6">
      <w:startOverride w:val="50"/>
    </w:lvlOverride>
    <w:lvlOverride w:ilvl="7">
      <w:startOverride w:val="50"/>
    </w:lvlOverride>
    <w:lvlOverride w:ilvl="8">
      <w:startOverride w:val="50"/>
    </w:lvlOverride>
  </w:num>
  <w:num w:numId="1010">
    <w:abstractNumId w:val="994352"/>
    <w:lvlOverride w:ilvl="0">
      <w:startOverride w:val="52"/>
    </w:lvlOverride>
    <w:lvlOverride w:ilvl="1">
      <w:startOverride w:val="52"/>
    </w:lvlOverride>
    <w:lvlOverride w:ilvl="2">
      <w:startOverride w:val="52"/>
    </w:lvlOverride>
    <w:lvlOverride w:ilvl="3">
      <w:startOverride w:val="52"/>
    </w:lvlOverride>
    <w:lvlOverride w:ilvl="4">
      <w:startOverride w:val="52"/>
    </w:lvlOverride>
    <w:lvlOverride w:ilvl="5">
      <w:startOverride w:val="52"/>
    </w:lvlOverride>
    <w:lvlOverride w:ilvl="6">
      <w:startOverride w:val="52"/>
    </w:lvlOverride>
    <w:lvlOverride w:ilvl="7">
      <w:startOverride w:val="52"/>
    </w:lvlOverride>
    <w:lvlOverride w:ilvl="8">
      <w:startOverride w:val="52"/>
    </w:lvlOverride>
  </w:num>
  <w:num w:numId="1011">
    <w:abstractNumId w:val="994355"/>
    <w:lvlOverride w:ilvl="0">
      <w:startOverride w:val="55"/>
    </w:lvlOverride>
    <w:lvlOverride w:ilvl="1">
      <w:startOverride w:val="55"/>
    </w:lvlOverride>
    <w:lvlOverride w:ilvl="2">
      <w:startOverride w:val="55"/>
    </w:lvlOverride>
    <w:lvlOverride w:ilvl="3">
      <w:startOverride w:val="55"/>
    </w:lvlOverride>
    <w:lvlOverride w:ilvl="4">
      <w:startOverride w:val="55"/>
    </w:lvlOverride>
    <w:lvlOverride w:ilvl="5">
      <w:startOverride w:val="55"/>
    </w:lvlOverride>
    <w:lvlOverride w:ilvl="6">
      <w:startOverride w:val="55"/>
    </w:lvlOverride>
    <w:lvlOverride w:ilvl="7">
      <w:startOverride w:val="55"/>
    </w:lvlOverride>
    <w:lvlOverride w:ilvl="8">
      <w:startOverride w:val="55"/>
    </w:lvlOverride>
  </w:num>
  <w:num w:numId="1012">
    <w:abstractNumId w:val="994356"/>
    <w:lvlOverride w:ilvl="0">
      <w:startOverride w:val="56"/>
    </w:lvlOverride>
    <w:lvlOverride w:ilvl="1">
      <w:startOverride w:val="56"/>
    </w:lvlOverride>
    <w:lvlOverride w:ilvl="2">
      <w:startOverride w:val="56"/>
    </w:lvlOverride>
    <w:lvlOverride w:ilvl="3">
      <w:startOverride w:val="56"/>
    </w:lvlOverride>
    <w:lvlOverride w:ilvl="4">
      <w:startOverride w:val="56"/>
    </w:lvlOverride>
    <w:lvlOverride w:ilvl="5">
      <w:startOverride w:val="56"/>
    </w:lvlOverride>
    <w:lvlOverride w:ilvl="6">
      <w:startOverride w:val="56"/>
    </w:lvlOverride>
    <w:lvlOverride w:ilvl="7">
      <w:startOverride w:val="56"/>
    </w:lvlOverride>
    <w:lvlOverride w:ilvl="8">
      <w:startOverride w:val="56"/>
    </w:lvlOverride>
  </w:num>
  <w:num w:numId="1013">
    <w:abstractNumId w:val="994357"/>
    <w:lvlOverride w:ilvl="0">
      <w:startOverride w:val="57"/>
    </w:lvlOverride>
    <w:lvlOverride w:ilvl="1">
      <w:startOverride w:val="57"/>
    </w:lvlOverride>
    <w:lvlOverride w:ilvl="2">
      <w:startOverride w:val="57"/>
    </w:lvlOverride>
    <w:lvlOverride w:ilvl="3">
      <w:startOverride w:val="57"/>
    </w:lvlOverride>
    <w:lvlOverride w:ilvl="4">
      <w:startOverride w:val="57"/>
    </w:lvlOverride>
    <w:lvlOverride w:ilvl="5">
      <w:startOverride w:val="57"/>
    </w:lvlOverride>
    <w:lvlOverride w:ilvl="6">
      <w:startOverride w:val="57"/>
    </w:lvlOverride>
    <w:lvlOverride w:ilvl="7">
      <w:startOverride w:val="57"/>
    </w:lvlOverride>
    <w:lvlOverride w:ilvl="8">
      <w:startOverride w:val="57"/>
    </w:lvlOverride>
  </w:num>
  <w:num w:numId="1014">
    <w:abstractNumId w:val="994358"/>
    <w:lvlOverride w:ilvl="0">
      <w:startOverride w:val="58"/>
    </w:lvlOverride>
    <w:lvlOverride w:ilvl="1">
      <w:startOverride w:val="58"/>
    </w:lvlOverride>
    <w:lvlOverride w:ilvl="2">
      <w:startOverride w:val="58"/>
    </w:lvlOverride>
    <w:lvlOverride w:ilvl="3">
      <w:startOverride w:val="58"/>
    </w:lvlOverride>
    <w:lvlOverride w:ilvl="4">
      <w:startOverride w:val="58"/>
    </w:lvlOverride>
    <w:lvlOverride w:ilvl="5">
      <w:startOverride w:val="58"/>
    </w:lvlOverride>
    <w:lvlOverride w:ilvl="6">
      <w:startOverride w:val="58"/>
    </w:lvlOverride>
    <w:lvlOverride w:ilvl="7">
      <w:startOverride w:val="58"/>
    </w:lvlOverride>
    <w:lvlOverride w:ilvl="8">
      <w:startOverride w:val="58"/>
    </w:lvlOverride>
  </w:num>
  <w:num w:numId="1015">
    <w:abstractNumId w:val="994359"/>
    <w:lvlOverride w:ilvl="0">
      <w:startOverride w:val="59"/>
    </w:lvlOverride>
    <w:lvlOverride w:ilvl="1">
      <w:startOverride w:val="59"/>
    </w:lvlOverride>
    <w:lvlOverride w:ilvl="2">
      <w:startOverride w:val="59"/>
    </w:lvlOverride>
    <w:lvlOverride w:ilvl="3">
      <w:startOverride w:val="59"/>
    </w:lvlOverride>
    <w:lvlOverride w:ilvl="4">
      <w:startOverride w:val="59"/>
    </w:lvlOverride>
    <w:lvlOverride w:ilvl="5">
      <w:startOverride w:val="59"/>
    </w:lvlOverride>
    <w:lvlOverride w:ilvl="6">
      <w:startOverride w:val="59"/>
    </w:lvlOverride>
    <w:lvlOverride w:ilvl="7">
      <w:startOverride w:val="59"/>
    </w:lvlOverride>
    <w:lvlOverride w:ilvl="8">
      <w:startOverride w:val="59"/>
    </w:lvlOverride>
  </w:num>
  <w:num w:numId="1016">
    <w:abstractNumId w:val="9941128406"/>
    <w:lvlOverride w:ilvl="0">
      <w:startOverride w:val="128406"/>
    </w:lvlOverride>
    <w:lvlOverride w:ilvl="1">
      <w:startOverride w:val="128406"/>
    </w:lvlOverride>
    <w:lvlOverride w:ilvl="2">
      <w:startOverride w:val="128406"/>
    </w:lvlOverride>
    <w:lvlOverride w:ilvl="3">
      <w:startOverride w:val="128406"/>
    </w:lvlOverride>
    <w:lvlOverride w:ilvl="4">
      <w:startOverride w:val="128406"/>
    </w:lvlOverride>
    <w:lvlOverride w:ilvl="5">
      <w:startOverride w:val="128406"/>
    </w:lvlOverride>
    <w:lvlOverride w:ilvl="6">
      <w:startOverride w:val="128406"/>
    </w:lvlOverride>
    <w:lvlOverride w:ilvl="7">
      <w:startOverride w:val="128406"/>
    </w:lvlOverride>
    <w:lvlOverride w:ilvl="8">
      <w:startOverride w:val="128406"/>
    </w:lvlOverride>
  </w:num>
  <w:num w:numId="1017">
    <w:abstractNumId w:val="994361"/>
    <w:lvlOverride w:ilvl="0">
      <w:startOverride w:val="61"/>
    </w:lvlOverride>
    <w:lvlOverride w:ilvl="1">
      <w:startOverride w:val="61"/>
    </w:lvlOverride>
    <w:lvlOverride w:ilvl="2">
      <w:startOverride w:val="61"/>
    </w:lvlOverride>
    <w:lvlOverride w:ilvl="3">
      <w:startOverride w:val="61"/>
    </w:lvlOverride>
    <w:lvlOverride w:ilvl="4">
      <w:startOverride w:val="61"/>
    </w:lvlOverride>
    <w:lvlOverride w:ilvl="5">
      <w:startOverride w:val="61"/>
    </w:lvlOverride>
    <w:lvlOverride w:ilvl="6">
      <w:startOverride w:val="61"/>
    </w:lvlOverride>
    <w:lvlOverride w:ilvl="7">
      <w:startOverride w:val="61"/>
    </w:lvlOverride>
    <w:lvlOverride w:ilvl="8">
      <w:startOverride w:val="61"/>
    </w:lvlOverride>
  </w:num>
  <w:num w:numId="1018">
    <w:abstractNumId w:val="994366"/>
    <w:lvlOverride w:ilvl="0">
      <w:startOverride w:val="66"/>
    </w:lvlOverride>
    <w:lvlOverride w:ilvl="1">
      <w:startOverride w:val="66"/>
    </w:lvlOverride>
    <w:lvlOverride w:ilvl="2">
      <w:startOverride w:val="66"/>
    </w:lvlOverride>
    <w:lvlOverride w:ilvl="3">
      <w:startOverride w:val="66"/>
    </w:lvlOverride>
    <w:lvlOverride w:ilvl="4">
      <w:startOverride w:val="66"/>
    </w:lvlOverride>
    <w:lvlOverride w:ilvl="5">
      <w:startOverride w:val="66"/>
    </w:lvlOverride>
    <w:lvlOverride w:ilvl="6">
      <w:startOverride w:val="66"/>
    </w:lvlOverride>
    <w:lvlOverride w:ilvl="7">
      <w:startOverride w:val="66"/>
    </w:lvlOverride>
    <w:lvlOverride w:ilvl="8">
      <w:startOverride w:val="66"/>
    </w:lvlOverride>
  </w:num>
  <w:num w:numId="1019">
    <w:abstractNumId w:val="994371"/>
    <w:lvlOverride w:ilvl="0">
      <w:startOverride w:val="71"/>
    </w:lvlOverride>
    <w:lvlOverride w:ilvl="1">
      <w:startOverride w:val="71"/>
    </w:lvlOverride>
    <w:lvlOverride w:ilvl="2">
      <w:startOverride w:val="71"/>
    </w:lvlOverride>
    <w:lvlOverride w:ilvl="3">
      <w:startOverride w:val="71"/>
    </w:lvlOverride>
    <w:lvlOverride w:ilvl="4">
      <w:startOverride w:val="71"/>
    </w:lvlOverride>
    <w:lvlOverride w:ilvl="5">
      <w:startOverride w:val="71"/>
    </w:lvlOverride>
    <w:lvlOverride w:ilvl="6">
      <w:startOverride w:val="71"/>
    </w:lvlOverride>
    <w:lvlOverride w:ilvl="7">
      <w:startOverride w:val="71"/>
    </w:lvlOverride>
    <w:lvlOverride w:ilvl="8">
      <w:startOverride w:val="71"/>
    </w:lvlOverride>
  </w:num>
  <w:num w:numId="1020">
    <w:abstractNumId w:val="994377"/>
    <w:lvlOverride w:ilvl="0">
      <w:startOverride w:val="77"/>
    </w:lvlOverride>
    <w:lvlOverride w:ilvl="1">
      <w:startOverride w:val="77"/>
    </w:lvlOverride>
    <w:lvlOverride w:ilvl="2">
      <w:startOverride w:val="77"/>
    </w:lvlOverride>
    <w:lvlOverride w:ilvl="3">
      <w:startOverride w:val="77"/>
    </w:lvlOverride>
    <w:lvlOverride w:ilvl="4">
      <w:startOverride w:val="77"/>
    </w:lvlOverride>
    <w:lvlOverride w:ilvl="5">
      <w:startOverride w:val="77"/>
    </w:lvlOverride>
    <w:lvlOverride w:ilvl="6">
      <w:startOverride w:val="77"/>
    </w:lvlOverride>
    <w:lvlOverride w:ilvl="7">
      <w:startOverride w:val="77"/>
    </w:lvlOverride>
    <w:lvlOverride w:ilvl="8">
      <w:startOverride w:val="77"/>
    </w:lvlOverride>
  </w:num>
  <w:num w:numId="1021">
    <w:abstractNumId w:val="9943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22">
    <w:abstractNumId w:val="994386"/>
    <w:lvlOverride w:ilvl="0">
      <w:startOverride w:val="86"/>
    </w:lvlOverride>
    <w:lvlOverride w:ilvl="1">
      <w:startOverride w:val="86"/>
    </w:lvlOverride>
    <w:lvlOverride w:ilvl="2">
      <w:startOverride w:val="86"/>
    </w:lvlOverride>
    <w:lvlOverride w:ilvl="3">
      <w:startOverride w:val="86"/>
    </w:lvlOverride>
    <w:lvlOverride w:ilvl="4">
      <w:startOverride w:val="86"/>
    </w:lvlOverride>
    <w:lvlOverride w:ilvl="5">
      <w:startOverride w:val="86"/>
    </w:lvlOverride>
    <w:lvlOverride w:ilvl="6">
      <w:startOverride w:val="86"/>
    </w:lvlOverride>
    <w:lvlOverride w:ilvl="7">
      <w:startOverride w:val="86"/>
    </w:lvlOverride>
    <w:lvlOverride w:ilvl="8">
      <w:startOverride w:val="86"/>
    </w:lvlOverride>
  </w:num>
  <w:num w:numId="1023">
    <w:abstractNumId w:val="994390"/>
    <w:lvlOverride w:ilvl="0">
      <w:startOverride w:val="90"/>
    </w:lvlOverride>
    <w:lvlOverride w:ilvl="1">
      <w:startOverride w:val="90"/>
    </w:lvlOverride>
    <w:lvlOverride w:ilvl="2">
      <w:startOverride w:val="90"/>
    </w:lvlOverride>
    <w:lvlOverride w:ilvl="3">
      <w:startOverride w:val="90"/>
    </w:lvlOverride>
    <w:lvlOverride w:ilvl="4">
      <w:startOverride w:val="90"/>
    </w:lvlOverride>
    <w:lvlOverride w:ilvl="5">
      <w:startOverride w:val="90"/>
    </w:lvlOverride>
    <w:lvlOverride w:ilvl="6">
      <w:startOverride w:val="90"/>
    </w:lvlOverride>
    <w:lvlOverride w:ilvl="7">
      <w:startOverride w:val="90"/>
    </w:lvlOverride>
    <w:lvlOverride w:ilvl="8">
      <w:startOverride w:val="90"/>
    </w:lvlOverride>
  </w:num>
  <w:num w:numId="1024">
    <w:abstractNumId w:val="994394"/>
    <w:lvlOverride w:ilvl="0">
      <w:startOverride w:val="94"/>
    </w:lvlOverride>
    <w:lvlOverride w:ilvl="1">
      <w:startOverride w:val="94"/>
    </w:lvlOverride>
    <w:lvlOverride w:ilvl="2">
      <w:startOverride w:val="94"/>
    </w:lvlOverride>
    <w:lvlOverride w:ilvl="3">
      <w:startOverride w:val="94"/>
    </w:lvlOverride>
    <w:lvlOverride w:ilvl="4">
      <w:startOverride w:val="94"/>
    </w:lvlOverride>
    <w:lvlOverride w:ilvl="5">
      <w:startOverride w:val="94"/>
    </w:lvlOverride>
    <w:lvlOverride w:ilvl="6">
      <w:startOverride w:val="94"/>
    </w:lvlOverride>
    <w:lvlOverride w:ilvl="7">
      <w:startOverride w:val="94"/>
    </w:lvlOverride>
    <w:lvlOverride w:ilvl="8">
      <w:startOverride w:val="94"/>
    </w:lvlOverride>
  </w:num>
  <w:num w:numId="1025">
    <w:abstractNumId w:val="9943102"/>
    <w:lvlOverride w:ilvl="0">
      <w:startOverride w:val="102"/>
    </w:lvlOverride>
    <w:lvlOverride w:ilvl="1">
      <w:startOverride w:val="102"/>
    </w:lvlOverride>
    <w:lvlOverride w:ilvl="2">
      <w:startOverride w:val="102"/>
    </w:lvlOverride>
    <w:lvlOverride w:ilvl="3">
      <w:startOverride w:val="102"/>
    </w:lvlOverride>
    <w:lvlOverride w:ilvl="4">
      <w:startOverride w:val="102"/>
    </w:lvlOverride>
    <w:lvlOverride w:ilvl="5">
      <w:startOverride w:val="102"/>
    </w:lvlOverride>
    <w:lvlOverride w:ilvl="6">
      <w:startOverride w:val="102"/>
    </w:lvlOverride>
    <w:lvlOverride w:ilvl="7">
      <w:startOverride w:val="102"/>
    </w:lvlOverride>
    <w:lvlOverride w:ilvl="8">
      <w:startOverride w:val="102"/>
    </w:lvlOverride>
  </w:num>
  <w:num w:numId="1026">
    <w:abstractNumId w:val="9943104"/>
    <w:lvlOverride w:ilvl="0">
      <w:startOverride w:val="104"/>
    </w:lvlOverride>
    <w:lvlOverride w:ilvl="1">
      <w:startOverride w:val="104"/>
    </w:lvlOverride>
    <w:lvlOverride w:ilvl="2">
      <w:startOverride w:val="104"/>
    </w:lvlOverride>
    <w:lvlOverride w:ilvl="3">
      <w:startOverride w:val="104"/>
    </w:lvlOverride>
    <w:lvlOverride w:ilvl="4">
      <w:startOverride w:val="104"/>
    </w:lvlOverride>
    <w:lvlOverride w:ilvl="5">
      <w:startOverride w:val="104"/>
    </w:lvlOverride>
    <w:lvlOverride w:ilvl="6">
      <w:startOverride w:val="104"/>
    </w:lvlOverride>
    <w:lvlOverride w:ilvl="7">
      <w:startOverride w:val="104"/>
    </w:lvlOverride>
    <w:lvlOverride w:ilvl="8">
      <w:startOverride w:val="104"/>
    </w:lvlOverride>
  </w:num>
  <w:num w:numId="1027">
    <w:abstractNumId w:val="9943110"/>
    <w:lvlOverride w:ilvl="0">
      <w:startOverride w:val="110"/>
    </w:lvlOverride>
    <w:lvlOverride w:ilvl="1">
      <w:startOverride w:val="110"/>
    </w:lvlOverride>
    <w:lvlOverride w:ilvl="2">
      <w:startOverride w:val="110"/>
    </w:lvlOverride>
    <w:lvlOverride w:ilvl="3">
      <w:startOverride w:val="110"/>
    </w:lvlOverride>
    <w:lvlOverride w:ilvl="4">
      <w:startOverride w:val="110"/>
    </w:lvlOverride>
    <w:lvlOverride w:ilvl="5">
      <w:startOverride w:val="110"/>
    </w:lvlOverride>
    <w:lvlOverride w:ilvl="6">
      <w:startOverride w:val="110"/>
    </w:lvlOverride>
    <w:lvlOverride w:ilvl="7">
      <w:startOverride w:val="110"/>
    </w:lvlOverride>
    <w:lvlOverride w:ilvl="8">
      <w:startOverride w:val="110"/>
    </w:lvlOverride>
  </w:num>
  <w:num w:numId="1028">
    <w:abstractNumId w:val="9943115"/>
    <w:lvlOverride w:ilvl="0">
      <w:startOverride w:val="115"/>
    </w:lvlOverride>
    <w:lvlOverride w:ilvl="1">
      <w:startOverride w:val="115"/>
    </w:lvlOverride>
    <w:lvlOverride w:ilvl="2">
      <w:startOverride w:val="115"/>
    </w:lvlOverride>
    <w:lvlOverride w:ilvl="3">
      <w:startOverride w:val="115"/>
    </w:lvlOverride>
    <w:lvlOverride w:ilvl="4">
      <w:startOverride w:val="115"/>
    </w:lvlOverride>
    <w:lvlOverride w:ilvl="5">
      <w:startOverride w:val="115"/>
    </w:lvlOverride>
    <w:lvlOverride w:ilvl="6">
      <w:startOverride w:val="115"/>
    </w:lvlOverride>
    <w:lvlOverride w:ilvl="7">
      <w:startOverride w:val="115"/>
    </w:lvlOverride>
    <w:lvlOverride w:ilvl="8">
      <w:startOverride w:val="115"/>
    </w:lvlOverride>
  </w:num>
  <w:num w:numId="1029">
    <w:abstractNumId w:val="99412021"/>
    <w:lvlOverride w:ilvl="0">
      <w:startOverride w:val="2021"/>
    </w:lvlOverride>
    <w:lvlOverride w:ilvl="1">
      <w:startOverride w:val="2021"/>
    </w:lvlOverride>
    <w:lvlOverride w:ilvl="2">
      <w:startOverride w:val="2021"/>
    </w:lvlOverride>
    <w:lvlOverride w:ilvl="3">
      <w:startOverride w:val="2021"/>
    </w:lvlOverride>
    <w:lvlOverride w:ilvl="4">
      <w:startOverride w:val="2021"/>
    </w:lvlOverride>
    <w:lvlOverride w:ilvl="5">
      <w:startOverride w:val="2021"/>
    </w:lvlOverride>
    <w:lvlOverride w:ilvl="6">
      <w:startOverride w:val="2021"/>
    </w:lvlOverride>
    <w:lvlOverride w:ilvl="7">
      <w:startOverride w:val="2021"/>
    </w:lvlOverride>
    <w:lvlOverride w:ilvl="8">
      <w:startOverride w:val="2021"/>
    </w:lvlOverride>
  </w:num>
  <w:num w:numId="1030">
    <w:abstractNumId w:val="9943116"/>
    <w:lvlOverride w:ilvl="0">
      <w:startOverride w:val="116"/>
    </w:lvlOverride>
    <w:lvlOverride w:ilvl="1">
      <w:startOverride w:val="116"/>
    </w:lvlOverride>
    <w:lvlOverride w:ilvl="2">
      <w:startOverride w:val="116"/>
    </w:lvlOverride>
    <w:lvlOverride w:ilvl="3">
      <w:startOverride w:val="116"/>
    </w:lvlOverride>
    <w:lvlOverride w:ilvl="4">
      <w:startOverride w:val="116"/>
    </w:lvlOverride>
    <w:lvlOverride w:ilvl="5">
      <w:startOverride w:val="116"/>
    </w:lvlOverride>
    <w:lvlOverride w:ilvl="6">
      <w:startOverride w:val="116"/>
    </w:lvlOverride>
    <w:lvlOverride w:ilvl="7">
      <w:startOverride w:val="116"/>
    </w:lvlOverride>
    <w:lvlOverride w:ilvl="8">
      <w:startOverride w:val="116"/>
    </w:lvlOverride>
  </w:num>
  <w:num w:numId="1031">
    <w:abstractNumId w:val="9943118"/>
    <w:lvlOverride w:ilvl="0">
      <w:startOverride w:val="118"/>
    </w:lvlOverride>
    <w:lvlOverride w:ilvl="1">
      <w:startOverride w:val="118"/>
    </w:lvlOverride>
    <w:lvlOverride w:ilvl="2">
      <w:startOverride w:val="118"/>
    </w:lvlOverride>
    <w:lvlOverride w:ilvl="3">
      <w:startOverride w:val="118"/>
    </w:lvlOverride>
    <w:lvlOverride w:ilvl="4">
      <w:startOverride w:val="118"/>
    </w:lvlOverride>
    <w:lvlOverride w:ilvl="5">
      <w:startOverride w:val="118"/>
    </w:lvlOverride>
    <w:lvlOverride w:ilvl="6">
      <w:startOverride w:val="118"/>
    </w:lvlOverride>
    <w:lvlOverride w:ilvl="7">
      <w:startOverride w:val="118"/>
    </w:lvlOverride>
    <w:lvlOverride w:ilvl="8">
      <w:startOverride w:val="118"/>
    </w:lvlOverride>
  </w:num>
  <w:num w:numId="1032">
    <w:abstractNumId w:val="9943128"/>
    <w:lvlOverride w:ilvl="0">
      <w:startOverride w:val="128"/>
    </w:lvlOverride>
    <w:lvlOverride w:ilvl="1">
      <w:startOverride w:val="128"/>
    </w:lvlOverride>
    <w:lvlOverride w:ilvl="2">
      <w:startOverride w:val="128"/>
    </w:lvlOverride>
    <w:lvlOverride w:ilvl="3">
      <w:startOverride w:val="128"/>
    </w:lvlOverride>
    <w:lvlOverride w:ilvl="4">
      <w:startOverride w:val="128"/>
    </w:lvlOverride>
    <w:lvlOverride w:ilvl="5">
      <w:startOverride w:val="128"/>
    </w:lvlOverride>
    <w:lvlOverride w:ilvl="6">
      <w:startOverride w:val="128"/>
    </w:lvlOverride>
    <w:lvlOverride w:ilvl="7">
      <w:startOverride w:val="128"/>
    </w:lvlOverride>
    <w:lvlOverride w:ilvl="8">
      <w:startOverride w:val="128"/>
    </w:lvlOverride>
  </w:num>
  <w:num w:numId="1033">
    <w:abstractNumId w:val="9943135"/>
    <w:lvlOverride w:ilvl="0">
      <w:startOverride w:val="135"/>
    </w:lvlOverride>
    <w:lvlOverride w:ilvl="1">
      <w:startOverride w:val="135"/>
    </w:lvlOverride>
    <w:lvlOverride w:ilvl="2">
      <w:startOverride w:val="135"/>
    </w:lvlOverride>
    <w:lvlOverride w:ilvl="3">
      <w:startOverride w:val="135"/>
    </w:lvlOverride>
    <w:lvlOverride w:ilvl="4">
      <w:startOverride w:val="135"/>
    </w:lvlOverride>
    <w:lvlOverride w:ilvl="5">
      <w:startOverride w:val="135"/>
    </w:lvlOverride>
    <w:lvlOverride w:ilvl="6">
      <w:startOverride w:val="135"/>
    </w:lvlOverride>
    <w:lvlOverride w:ilvl="7">
      <w:startOverride w:val="135"/>
    </w:lvlOverride>
    <w:lvlOverride w:ilvl="8">
      <w:startOverride w:val="135"/>
    </w:lvlOverride>
  </w:num>
  <w:num w:numId="1034">
    <w:abstractNumId w:val="9943142"/>
    <w:lvlOverride w:ilvl="0">
      <w:startOverride w:val="142"/>
    </w:lvlOverride>
    <w:lvlOverride w:ilvl="1">
      <w:startOverride w:val="142"/>
    </w:lvlOverride>
    <w:lvlOverride w:ilvl="2">
      <w:startOverride w:val="142"/>
    </w:lvlOverride>
    <w:lvlOverride w:ilvl="3">
      <w:startOverride w:val="142"/>
    </w:lvlOverride>
    <w:lvlOverride w:ilvl="4">
      <w:startOverride w:val="142"/>
    </w:lvlOverride>
    <w:lvlOverride w:ilvl="5">
      <w:startOverride w:val="142"/>
    </w:lvlOverride>
    <w:lvlOverride w:ilvl="6">
      <w:startOverride w:val="142"/>
    </w:lvlOverride>
    <w:lvlOverride w:ilvl="7">
      <w:startOverride w:val="142"/>
    </w:lvlOverride>
    <w:lvlOverride w:ilvl="8">
      <w:startOverride w:val="142"/>
    </w:lvlOverride>
  </w:num>
  <w:num w:numId="1035">
    <w:abstractNumId w:val="9943144"/>
    <w:lvlOverride w:ilvl="0">
      <w:startOverride w:val="144"/>
    </w:lvlOverride>
    <w:lvlOverride w:ilvl="1">
      <w:startOverride w:val="144"/>
    </w:lvlOverride>
    <w:lvlOverride w:ilvl="2">
      <w:startOverride w:val="144"/>
    </w:lvlOverride>
    <w:lvlOverride w:ilvl="3">
      <w:startOverride w:val="144"/>
    </w:lvlOverride>
    <w:lvlOverride w:ilvl="4">
      <w:startOverride w:val="144"/>
    </w:lvlOverride>
    <w:lvlOverride w:ilvl="5">
      <w:startOverride w:val="144"/>
    </w:lvlOverride>
    <w:lvlOverride w:ilvl="6">
      <w:startOverride w:val="144"/>
    </w:lvlOverride>
    <w:lvlOverride w:ilvl="7">
      <w:startOverride w:val="144"/>
    </w:lvlOverride>
    <w:lvlOverride w:ilvl="8">
      <w:startOverride w:val="144"/>
    </w:lvlOverride>
  </w:num>
  <w:num w:numId="1036">
    <w:abstractNumId w:val="9943146"/>
    <w:lvlOverride w:ilvl="0">
      <w:startOverride w:val="146"/>
    </w:lvlOverride>
    <w:lvlOverride w:ilvl="1">
      <w:startOverride w:val="146"/>
    </w:lvlOverride>
    <w:lvlOverride w:ilvl="2">
      <w:startOverride w:val="146"/>
    </w:lvlOverride>
    <w:lvlOverride w:ilvl="3">
      <w:startOverride w:val="146"/>
    </w:lvlOverride>
    <w:lvlOverride w:ilvl="4">
      <w:startOverride w:val="146"/>
    </w:lvlOverride>
    <w:lvlOverride w:ilvl="5">
      <w:startOverride w:val="146"/>
    </w:lvlOverride>
    <w:lvlOverride w:ilvl="6">
      <w:startOverride w:val="146"/>
    </w:lvlOverride>
    <w:lvlOverride w:ilvl="7">
      <w:startOverride w:val="146"/>
    </w:lvlOverride>
    <w:lvlOverride w:ilvl="8">
      <w:startOverride w:val="146"/>
    </w:lvlOverride>
  </w:num>
  <w:num w:numId="1037">
    <w:abstractNumId w:val="9943147"/>
    <w:lvlOverride w:ilvl="0">
      <w:startOverride w:val="147"/>
    </w:lvlOverride>
    <w:lvlOverride w:ilvl="1">
      <w:startOverride w:val="147"/>
    </w:lvlOverride>
    <w:lvlOverride w:ilvl="2">
      <w:startOverride w:val="147"/>
    </w:lvlOverride>
    <w:lvlOverride w:ilvl="3">
      <w:startOverride w:val="147"/>
    </w:lvlOverride>
    <w:lvlOverride w:ilvl="4">
      <w:startOverride w:val="147"/>
    </w:lvlOverride>
    <w:lvlOverride w:ilvl="5">
      <w:startOverride w:val="147"/>
    </w:lvlOverride>
    <w:lvlOverride w:ilvl="6">
      <w:startOverride w:val="147"/>
    </w:lvlOverride>
    <w:lvlOverride w:ilvl="7">
      <w:startOverride w:val="147"/>
    </w:lvlOverride>
    <w:lvlOverride w:ilvl="8">
      <w:startOverride w:val="147"/>
    </w:lvlOverride>
  </w:num>
  <w:num w:numId="1038">
    <w:abstractNumId w:val="991"/>
  </w:num>
  <w:num w:numId="1039">
    <w:abstractNumId w:val="9943159"/>
    <w:lvlOverride w:ilvl="0">
      <w:startOverride w:val="159"/>
    </w:lvlOverride>
    <w:lvlOverride w:ilvl="1">
      <w:startOverride w:val="159"/>
    </w:lvlOverride>
    <w:lvlOverride w:ilvl="2">
      <w:startOverride w:val="159"/>
    </w:lvlOverride>
    <w:lvlOverride w:ilvl="3">
      <w:startOverride w:val="159"/>
    </w:lvlOverride>
    <w:lvlOverride w:ilvl="4">
      <w:startOverride w:val="159"/>
    </w:lvlOverride>
    <w:lvlOverride w:ilvl="5">
      <w:startOverride w:val="159"/>
    </w:lvlOverride>
    <w:lvlOverride w:ilvl="6">
      <w:startOverride w:val="159"/>
    </w:lvlOverride>
    <w:lvlOverride w:ilvl="7">
      <w:startOverride w:val="159"/>
    </w:lvlOverride>
    <w:lvlOverride w:ilvl="8">
      <w:startOverride w:val="159"/>
    </w:lvlOverride>
  </w:num>
  <w:num w:numId="1040">
    <w:abstractNumId w:val="9943161"/>
    <w:lvlOverride w:ilvl="0">
      <w:startOverride w:val="161"/>
    </w:lvlOverride>
    <w:lvlOverride w:ilvl="1">
      <w:startOverride w:val="161"/>
    </w:lvlOverride>
    <w:lvlOverride w:ilvl="2">
      <w:startOverride w:val="161"/>
    </w:lvlOverride>
    <w:lvlOverride w:ilvl="3">
      <w:startOverride w:val="161"/>
    </w:lvlOverride>
    <w:lvlOverride w:ilvl="4">
      <w:startOverride w:val="161"/>
    </w:lvlOverride>
    <w:lvlOverride w:ilvl="5">
      <w:startOverride w:val="161"/>
    </w:lvlOverride>
    <w:lvlOverride w:ilvl="6">
      <w:startOverride w:val="161"/>
    </w:lvlOverride>
    <w:lvlOverride w:ilvl="7">
      <w:startOverride w:val="161"/>
    </w:lvlOverride>
    <w:lvlOverride w:ilvl="8">
      <w:startOverride w:val="161"/>
    </w:lvlOverride>
  </w:num>
  <w:num w:numId="1041">
    <w:abstractNumId w:val="9943162"/>
    <w:lvlOverride w:ilvl="0">
      <w:startOverride w:val="162"/>
    </w:lvlOverride>
    <w:lvlOverride w:ilvl="1">
      <w:startOverride w:val="162"/>
    </w:lvlOverride>
    <w:lvlOverride w:ilvl="2">
      <w:startOverride w:val="162"/>
    </w:lvlOverride>
    <w:lvlOverride w:ilvl="3">
      <w:startOverride w:val="162"/>
    </w:lvlOverride>
    <w:lvlOverride w:ilvl="4">
      <w:startOverride w:val="162"/>
    </w:lvlOverride>
    <w:lvlOverride w:ilvl="5">
      <w:startOverride w:val="162"/>
    </w:lvlOverride>
    <w:lvlOverride w:ilvl="6">
      <w:startOverride w:val="162"/>
    </w:lvlOverride>
    <w:lvlOverride w:ilvl="7">
      <w:startOverride w:val="162"/>
    </w:lvlOverride>
    <w:lvlOverride w:ilvl="8">
      <w:startOverride w:val="162"/>
    </w:lvlOverride>
  </w:num>
  <w:num w:numId="1042">
    <w:abstractNumId w:val="9943168"/>
    <w:lvlOverride w:ilvl="0">
      <w:startOverride w:val="168"/>
    </w:lvlOverride>
    <w:lvlOverride w:ilvl="1">
      <w:startOverride w:val="168"/>
    </w:lvlOverride>
    <w:lvlOverride w:ilvl="2">
      <w:startOverride w:val="168"/>
    </w:lvlOverride>
    <w:lvlOverride w:ilvl="3">
      <w:startOverride w:val="168"/>
    </w:lvlOverride>
    <w:lvlOverride w:ilvl="4">
      <w:startOverride w:val="168"/>
    </w:lvlOverride>
    <w:lvlOverride w:ilvl="5">
      <w:startOverride w:val="168"/>
    </w:lvlOverride>
    <w:lvlOverride w:ilvl="6">
      <w:startOverride w:val="168"/>
    </w:lvlOverride>
    <w:lvlOverride w:ilvl="7">
      <w:startOverride w:val="168"/>
    </w:lvlOverride>
    <w:lvlOverride w:ilvl="8">
      <w:startOverride w:val="168"/>
    </w:lvlOverride>
  </w:num>
  <w:num w:numId="1043">
    <w:abstractNumId w:val="9943172"/>
    <w:lvlOverride w:ilvl="0">
      <w:startOverride w:val="172"/>
    </w:lvlOverride>
    <w:lvlOverride w:ilvl="1">
      <w:startOverride w:val="172"/>
    </w:lvlOverride>
    <w:lvlOverride w:ilvl="2">
      <w:startOverride w:val="172"/>
    </w:lvlOverride>
    <w:lvlOverride w:ilvl="3">
      <w:startOverride w:val="172"/>
    </w:lvlOverride>
    <w:lvlOverride w:ilvl="4">
      <w:startOverride w:val="172"/>
    </w:lvlOverride>
    <w:lvlOverride w:ilvl="5">
      <w:startOverride w:val="172"/>
    </w:lvlOverride>
    <w:lvlOverride w:ilvl="6">
      <w:startOverride w:val="172"/>
    </w:lvlOverride>
    <w:lvlOverride w:ilvl="7">
      <w:startOverride w:val="172"/>
    </w:lvlOverride>
    <w:lvlOverride w:ilvl="8">
      <w:startOverride w:val="172"/>
    </w:lvlOverride>
  </w:num>
  <w:num w:numId="1044">
    <w:abstractNumId w:val="9943173"/>
    <w:lvlOverride w:ilvl="0">
      <w:startOverride w:val="173"/>
    </w:lvlOverride>
    <w:lvlOverride w:ilvl="1">
      <w:startOverride w:val="173"/>
    </w:lvlOverride>
    <w:lvlOverride w:ilvl="2">
      <w:startOverride w:val="173"/>
    </w:lvlOverride>
    <w:lvlOverride w:ilvl="3">
      <w:startOverride w:val="173"/>
    </w:lvlOverride>
    <w:lvlOverride w:ilvl="4">
      <w:startOverride w:val="173"/>
    </w:lvlOverride>
    <w:lvlOverride w:ilvl="5">
      <w:startOverride w:val="173"/>
    </w:lvlOverride>
    <w:lvlOverride w:ilvl="6">
      <w:startOverride w:val="173"/>
    </w:lvlOverride>
    <w:lvlOverride w:ilvl="7">
      <w:startOverride w:val="173"/>
    </w:lvlOverride>
    <w:lvlOverride w:ilvl="8">
      <w:startOverride w:val="173"/>
    </w:lvlOverride>
  </w:num>
  <w:num w:numId="1045">
    <w:abstractNumId w:val="9943174"/>
    <w:lvlOverride w:ilvl="0">
      <w:startOverride w:val="174"/>
    </w:lvlOverride>
    <w:lvlOverride w:ilvl="1">
      <w:startOverride w:val="174"/>
    </w:lvlOverride>
    <w:lvlOverride w:ilvl="2">
      <w:startOverride w:val="174"/>
    </w:lvlOverride>
    <w:lvlOverride w:ilvl="3">
      <w:startOverride w:val="174"/>
    </w:lvlOverride>
    <w:lvlOverride w:ilvl="4">
      <w:startOverride w:val="174"/>
    </w:lvlOverride>
    <w:lvlOverride w:ilvl="5">
      <w:startOverride w:val="174"/>
    </w:lvlOverride>
    <w:lvlOverride w:ilvl="6">
      <w:startOverride w:val="174"/>
    </w:lvlOverride>
    <w:lvlOverride w:ilvl="7">
      <w:startOverride w:val="174"/>
    </w:lvlOverride>
    <w:lvlOverride w:ilvl="8">
      <w:startOverride w:val="174"/>
    </w:lvlOverride>
  </w:num>
  <w:num w:numId="1046">
    <w:abstractNumId w:val="9943176"/>
    <w:lvlOverride w:ilvl="0">
      <w:startOverride w:val="176"/>
    </w:lvlOverride>
    <w:lvlOverride w:ilvl="1">
      <w:startOverride w:val="176"/>
    </w:lvlOverride>
    <w:lvlOverride w:ilvl="2">
      <w:startOverride w:val="176"/>
    </w:lvlOverride>
    <w:lvlOverride w:ilvl="3">
      <w:startOverride w:val="176"/>
    </w:lvlOverride>
    <w:lvlOverride w:ilvl="4">
      <w:startOverride w:val="176"/>
    </w:lvlOverride>
    <w:lvlOverride w:ilvl="5">
      <w:startOverride w:val="176"/>
    </w:lvlOverride>
    <w:lvlOverride w:ilvl="6">
      <w:startOverride w:val="176"/>
    </w:lvlOverride>
    <w:lvlOverride w:ilvl="7">
      <w:startOverride w:val="176"/>
    </w:lvlOverride>
    <w:lvlOverride w:ilvl="8">
      <w:startOverride w:val="176"/>
    </w:lvlOverride>
  </w:num>
  <w:num w:numId="1047">
    <w:abstractNumId w:val="9943178"/>
    <w:lvlOverride w:ilvl="0">
      <w:startOverride w:val="178"/>
    </w:lvlOverride>
    <w:lvlOverride w:ilvl="1">
      <w:startOverride w:val="178"/>
    </w:lvlOverride>
    <w:lvlOverride w:ilvl="2">
      <w:startOverride w:val="178"/>
    </w:lvlOverride>
    <w:lvlOverride w:ilvl="3">
      <w:startOverride w:val="178"/>
    </w:lvlOverride>
    <w:lvlOverride w:ilvl="4">
      <w:startOverride w:val="178"/>
    </w:lvlOverride>
    <w:lvlOverride w:ilvl="5">
      <w:startOverride w:val="178"/>
    </w:lvlOverride>
    <w:lvlOverride w:ilvl="6">
      <w:startOverride w:val="178"/>
    </w:lvlOverride>
    <w:lvlOverride w:ilvl="7">
      <w:startOverride w:val="178"/>
    </w:lvlOverride>
    <w:lvlOverride w:ilvl="8">
      <w:startOverride w:val="178"/>
    </w:lvlOverride>
  </w:num>
  <w:num w:numId="1048">
    <w:abstractNumId w:val="9943179"/>
    <w:lvlOverride w:ilvl="0">
      <w:startOverride w:val="179"/>
    </w:lvlOverride>
    <w:lvlOverride w:ilvl="1">
      <w:startOverride w:val="179"/>
    </w:lvlOverride>
    <w:lvlOverride w:ilvl="2">
      <w:startOverride w:val="179"/>
    </w:lvlOverride>
    <w:lvlOverride w:ilvl="3">
      <w:startOverride w:val="179"/>
    </w:lvlOverride>
    <w:lvlOverride w:ilvl="4">
      <w:startOverride w:val="179"/>
    </w:lvlOverride>
    <w:lvlOverride w:ilvl="5">
      <w:startOverride w:val="179"/>
    </w:lvlOverride>
    <w:lvlOverride w:ilvl="6">
      <w:startOverride w:val="179"/>
    </w:lvlOverride>
    <w:lvlOverride w:ilvl="7">
      <w:startOverride w:val="179"/>
    </w:lvlOverride>
    <w:lvlOverride w:ilvl="8">
      <w:startOverride w:val="179"/>
    </w:lvlOverride>
  </w:num>
  <w:num w:numId="1049">
    <w:abstractNumId w:val="9943184"/>
    <w:lvlOverride w:ilvl="0">
      <w:startOverride w:val="184"/>
    </w:lvlOverride>
    <w:lvlOverride w:ilvl="1">
      <w:startOverride w:val="184"/>
    </w:lvlOverride>
    <w:lvlOverride w:ilvl="2">
      <w:startOverride w:val="184"/>
    </w:lvlOverride>
    <w:lvlOverride w:ilvl="3">
      <w:startOverride w:val="184"/>
    </w:lvlOverride>
    <w:lvlOverride w:ilvl="4">
      <w:startOverride w:val="184"/>
    </w:lvlOverride>
    <w:lvlOverride w:ilvl="5">
      <w:startOverride w:val="184"/>
    </w:lvlOverride>
    <w:lvlOverride w:ilvl="6">
      <w:startOverride w:val="184"/>
    </w:lvlOverride>
    <w:lvlOverride w:ilvl="7">
      <w:startOverride w:val="184"/>
    </w:lvlOverride>
    <w:lvlOverride w:ilvl="8">
      <w:startOverride w:val="184"/>
    </w:lvlOverride>
  </w:num>
  <w:num w:numId="1050">
    <w:abstractNumId w:val="9943190"/>
    <w:lvlOverride w:ilvl="0">
      <w:startOverride w:val="190"/>
    </w:lvlOverride>
    <w:lvlOverride w:ilvl="1">
      <w:startOverride w:val="190"/>
    </w:lvlOverride>
    <w:lvlOverride w:ilvl="2">
      <w:startOverride w:val="190"/>
    </w:lvlOverride>
    <w:lvlOverride w:ilvl="3">
      <w:startOverride w:val="190"/>
    </w:lvlOverride>
    <w:lvlOverride w:ilvl="4">
      <w:startOverride w:val="190"/>
    </w:lvlOverride>
    <w:lvlOverride w:ilvl="5">
      <w:startOverride w:val="190"/>
    </w:lvlOverride>
    <w:lvlOverride w:ilvl="6">
      <w:startOverride w:val="190"/>
    </w:lvlOverride>
    <w:lvlOverride w:ilvl="7">
      <w:startOverride w:val="190"/>
    </w:lvlOverride>
    <w:lvlOverride w:ilvl="8">
      <w:startOverride w:val="190"/>
    </w:lvlOverride>
  </w:num>
  <w:num w:numId="1051">
    <w:abstractNumId w:val="9943192"/>
    <w:lvlOverride w:ilvl="0">
      <w:startOverride w:val="192"/>
    </w:lvlOverride>
    <w:lvlOverride w:ilvl="1">
      <w:startOverride w:val="192"/>
    </w:lvlOverride>
    <w:lvlOverride w:ilvl="2">
      <w:startOverride w:val="192"/>
    </w:lvlOverride>
    <w:lvlOverride w:ilvl="3">
      <w:startOverride w:val="192"/>
    </w:lvlOverride>
    <w:lvlOverride w:ilvl="4">
      <w:startOverride w:val="192"/>
    </w:lvlOverride>
    <w:lvlOverride w:ilvl="5">
      <w:startOverride w:val="192"/>
    </w:lvlOverride>
    <w:lvlOverride w:ilvl="6">
      <w:startOverride w:val="192"/>
    </w:lvlOverride>
    <w:lvlOverride w:ilvl="7">
      <w:startOverride w:val="192"/>
    </w:lvlOverride>
    <w:lvlOverride w:ilvl="8">
      <w:startOverride w:val="192"/>
    </w:lvlOverride>
  </w:num>
  <w:num w:numId="1052">
    <w:abstractNumId w:val="9943197"/>
    <w:lvlOverride w:ilvl="0">
      <w:startOverride w:val="197"/>
    </w:lvlOverride>
    <w:lvlOverride w:ilvl="1">
      <w:startOverride w:val="197"/>
    </w:lvlOverride>
    <w:lvlOverride w:ilvl="2">
      <w:startOverride w:val="197"/>
    </w:lvlOverride>
    <w:lvlOverride w:ilvl="3">
      <w:startOverride w:val="197"/>
    </w:lvlOverride>
    <w:lvlOverride w:ilvl="4">
      <w:startOverride w:val="197"/>
    </w:lvlOverride>
    <w:lvlOverride w:ilvl="5">
      <w:startOverride w:val="197"/>
    </w:lvlOverride>
    <w:lvlOverride w:ilvl="6">
      <w:startOverride w:val="197"/>
    </w:lvlOverride>
    <w:lvlOverride w:ilvl="7">
      <w:startOverride w:val="197"/>
    </w:lvlOverride>
    <w:lvlOverride w:ilvl="8">
      <w:startOverride w:val="197"/>
    </w:lvlOverride>
  </w:num>
  <w:num w:numId="1053">
    <w:abstractNumId w:val="9943207"/>
    <w:lvlOverride w:ilvl="0">
      <w:startOverride w:val="207"/>
    </w:lvlOverride>
    <w:lvlOverride w:ilvl="1">
      <w:startOverride w:val="207"/>
    </w:lvlOverride>
    <w:lvlOverride w:ilvl="2">
      <w:startOverride w:val="207"/>
    </w:lvlOverride>
    <w:lvlOverride w:ilvl="3">
      <w:startOverride w:val="207"/>
    </w:lvlOverride>
    <w:lvlOverride w:ilvl="4">
      <w:startOverride w:val="207"/>
    </w:lvlOverride>
    <w:lvlOverride w:ilvl="5">
      <w:startOverride w:val="207"/>
    </w:lvlOverride>
    <w:lvlOverride w:ilvl="6">
      <w:startOverride w:val="207"/>
    </w:lvlOverride>
    <w:lvlOverride w:ilvl="7">
      <w:startOverride w:val="207"/>
    </w:lvlOverride>
    <w:lvlOverride w:ilvl="8">
      <w:startOverride w:val="207"/>
    </w:lvlOverride>
  </w:num>
  <w:num w:numId="1054">
    <w:abstractNumId w:val="9943223"/>
    <w:lvlOverride w:ilvl="0">
      <w:startOverride w:val="223"/>
    </w:lvlOverride>
    <w:lvlOverride w:ilvl="1">
      <w:startOverride w:val="223"/>
    </w:lvlOverride>
    <w:lvlOverride w:ilvl="2">
      <w:startOverride w:val="223"/>
    </w:lvlOverride>
    <w:lvlOverride w:ilvl="3">
      <w:startOverride w:val="223"/>
    </w:lvlOverride>
    <w:lvlOverride w:ilvl="4">
      <w:startOverride w:val="223"/>
    </w:lvlOverride>
    <w:lvlOverride w:ilvl="5">
      <w:startOverride w:val="223"/>
    </w:lvlOverride>
    <w:lvlOverride w:ilvl="6">
      <w:startOverride w:val="223"/>
    </w:lvlOverride>
    <w:lvlOverride w:ilvl="7">
      <w:startOverride w:val="223"/>
    </w:lvlOverride>
    <w:lvlOverride w:ilvl="8">
      <w:startOverride w:val="223"/>
    </w:lvlOverride>
  </w:num>
  <w:num w:numId="1055">
    <w:abstractNumId w:val="9941440"/>
    <w:lvlOverride w:ilvl="0">
      <w:startOverride w:val="440"/>
    </w:lvlOverride>
    <w:lvlOverride w:ilvl="1">
      <w:startOverride w:val="440"/>
    </w:lvlOverride>
    <w:lvlOverride w:ilvl="2">
      <w:startOverride w:val="440"/>
    </w:lvlOverride>
    <w:lvlOverride w:ilvl="3">
      <w:startOverride w:val="440"/>
    </w:lvlOverride>
    <w:lvlOverride w:ilvl="4">
      <w:startOverride w:val="440"/>
    </w:lvlOverride>
    <w:lvlOverride w:ilvl="5">
      <w:startOverride w:val="440"/>
    </w:lvlOverride>
    <w:lvlOverride w:ilvl="6">
      <w:startOverride w:val="440"/>
    </w:lvlOverride>
    <w:lvlOverride w:ilvl="7">
      <w:startOverride w:val="440"/>
    </w:lvlOverride>
    <w:lvlOverride w:ilvl="8">
      <w:startOverride w:val="440"/>
    </w:lvlOverride>
  </w:num>
  <w:num w:numId="1056">
    <w:abstractNumId w:val="9943226"/>
    <w:lvlOverride w:ilvl="0">
      <w:startOverride w:val="226"/>
    </w:lvlOverride>
    <w:lvlOverride w:ilvl="1">
      <w:startOverride w:val="226"/>
    </w:lvlOverride>
    <w:lvlOverride w:ilvl="2">
      <w:startOverride w:val="226"/>
    </w:lvlOverride>
    <w:lvlOverride w:ilvl="3">
      <w:startOverride w:val="226"/>
    </w:lvlOverride>
    <w:lvlOverride w:ilvl="4">
      <w:startOverride w:val="226"/>
    </w:lvlOverride>
    <w:lvlOverride w:ilvl="5">
      <w:startOverride w:val="226"/>
    </w:lvlOverride>
    <w:lvlOverride w:ilvl="6">
      <w:startOverride w:val="226"/>
    </w:lvlOverride>
    <w:lvlOverride w:ilvl="7">
      <w:startOverride w:val="226"/>
    </w:lvlOverride>
    <w:lvlOverride w:ilvl="8">
      <w:startOverride w:val="226"/>
    </w:lvlOverride>
  </w:num>
  <w:num w:numId="1057">
    <w:abstractNumId w:val="9943232"/>
    <w:lvlOverride w:ilvl="0">
      <w:startOverride w:val="232"/>
    </w:lvlOverride>
    <w:lvlOverride w:ilvl="1">
      <w:startOverride w:val="232"/>
    </w:lvlOverride>
    <w:lvlOverride w:ilvl="2">
      <w:startOverride w:val="232"/>
    </w:lvlOverride>
    <w:lvlOverride w:ilvl="3">
      <w:startOverride w:val="232"/>
    </w:lvlOverride>
    <w:lvlOverride w:ilvl="4">
      <w:startOverride w:val="232"/>
    </w:lvlOverride>
    <w:lvlOverride w:ilvl="5">
      <w:startOverride w:val="232"/>
    </w:lvlOverride>
    <w:lvlOverride w:ilvl="6">
      <w:startOverride w:val="232"/>
    </w:lvlOverride>
    <w:lvlOverride w:ilvl="7">
      <w:startOverride w:val="232"/>
    </w:lvlOverride>
    <w:lvlOverride w:ilvl="8">
      <w:startOverride w:val="232"/>
    </w:lvlOverride>
  </w:num>
  <w:num w:numId="1058">
    <w:abstractNumId w:val="9943236"/>
    <w:lvlOverride w:ilvl="0">
      <w:startOverride w:val="236"/>
    </w:lvlOverride>
    <w:lvlOverride w:ilvl="1">
      <w:startOverride w:val="236"/>
    </w:lvlOverride>
    <w:lvlOverride w:ilvl="2">
      <w:startOverride w:val="236"/>
    </w:lvlOverride>
    <w:lvlOverride w:ilvl="3">
      <w:startOverride w:val="236"/>
    </w:lvlOverride>
    <w:lvlOverride w:ilvl="4">
      <w:startOverride w:val="236"/>
    </w:lvlOverride>
    <w:lvlOverride w:ilvl="5">
      <w:startOverride w:val="236"/>
    </w:lvlOverride>
    <w:lvlOverride w:ilvl="6">
      <w:startOverride w:val="236"/>
    </w:lvlOverride>
    <w:lvlOverride w:ilvl="7">
      <w:startOverride w:val="236"/>
    </w:lvlOverride>
    <w:lvlOverride w:ilvl="8">
      <w:startOverride w:val="236"/>
    </w:lvlOverride>
  </w:num>
  <w:num w:numId="1059">
    <w:abstractNumId w:val="9943237"/>
    <w:lvlOverride w:ilvl="0">
      <w:startOverride w:val="237"/>
    </w:lvlOverride>
    <w:lvlOverride w:ilvl="1">
      <w:startOverride w:val="237"/>
    </w:lvlOverride>
    <w:lvlOverride w:ilvl="2">
      <w:startOverride w:val="237"/>
    </w:lvlOverride>
    <w:lvlOverride w:ilvl="3">
      <w:startOverride w:val="237"/>
    </w:lvlOverride>
    <w:lvlOverride w:ilvl="4">
      <w:startOverride w:val="237"/>
    </w:lvlOverride>
    <w:lvlOverride w:ilvl="5">
      <w:startOverride w:val="237"/>
    </w:lvlOverride>
    <w:lvlOverride w:ilvl="6">
      <w:startOverride w:val="237"/>
    </w:lvlOverride>
    <w:lvlOverride w:ilvl="7">
      <w:startOverride w:val="237"/>
    </w:lvlOverride>
    <w:lvlOverride w:ilvl="8">
      <w:startOverride w:val="237"/>
    </w:lvlOverride>
  </w:num>
  <w:num w:numId="1060">
    <w:abstractNumId w:val="9943240"/>
    <w:lvlOverride w:ilvl="0">
      <w:startOverride w:val="240"/>
    </w:lvlOverride>
    <w:lvlOverride w:ilvl="1">
      <w:startOverride w:val="240"/>
    </w:lvlOverride>
    <w:lvlOverride w:ilvl="2">
      <w:startOverride w:val="240"/>
    </w:lvlOverride>
    <w:lvlOverride w:ilvl="3">
      <w:startOverride w:val="240"/>
    </w:lvlOverride>
    <w:lvlOverride w:ilvl="4">
      <w:startOverride w:val="240"/>
    </w:lvlOverride>
    <w:lvlOverride w:ilvl="5">
      <w:startOverride w:val="240"/>
    </w:lvlOverride>
    <w:lvlOverride w:ilvl="6">
      <w:startOverride w:val="240"/>
    </w:lvlOverride>
    <w:lvlOverride w:ilvl="7">
      <w:startOverride w:val="240"/>
    </w:lvlOverride>
    <w:lvlOverride w:ilvl="8">
      <w:startOverride w:val="240"/>
    </w:lvlOverride>
  </w:num>
  <w:num w:numId="1061">
    <w:abstractNumId w:val="9943244"/>
    <w:lvlOverride w:ilvl="0">
      <w:startOverride w:val="244"/>
    </w:lvlOverride>
    <w:lvlOverride w:ilvl="1">
      <w:startOverride w:val="244"/>
    </w:lvlOverride>
    <w:lvlOverride w:ilvl="2">
      <w:startOverride w:val="244"/>
    </w:lvlOverride>
    <w:lvlOverride w:ilvl="3">
      <w:startOverride w:val="244"/>
    </w:lvlOverride>
    <w:lvlOverride w:ilvl="4">
      <w:startOverride w:val="244"/>
    </w:lvlOverride>
    <w:lvlOverride w:ilvl="5">
      <w:startOverride w:val="244"/>
    </w:lvlOverride>
    <w:lvlOverride w:ilvl="6">
      <w:startOverride w:val="244"/>
    </w:lvlOverride>
    <w:lvlOverride w:ilvl="7">
      <w:startOverride w:val="244"/>
    </w:lvlOverride>
    <w:lvlOverride w:ilvl="8">
      <w:startOverride w:val="244"/>
    </w:lvlOverride>
  </w:num>
  <w:num w:numId="1062">
    <w:abstractNumId w:val="9943245"/>
    <w:lvlOverride w:ilvl="0">
      <w:startOverride w:val="245"/>
    </w:lvlOverride>
    <w:lvlOverride w:ilvl="1">
      <w:startOverride w:val="245"/>
    </w:lvlOverride>
    <w:lvlOverride w:ilvl="2">
      <w:startOverride w:val="245"/>
    </w:lvlOverride>
    <w:lvlOverride w:ilvl="3">
      <w:startOverride w:val="245"/>
    </w:lvlOverride>
    <w:lvlOverride w:ilvl="4">
      <w:startOverride w:val="245"/>
    </w:lvlOverride>
    <w:lvlOverride w:ilvl="5">
      <w:startOverride w:val="245"/>
    </w:lvlOverride>
    <w:lvlOverride w:ilvl="6">
      <w:startOverride w:val="245"/>
    </w:lvlOverride>
    <w:lvlOverride w:ilvl="7">
      <w:startOverride w:val="245"/>
    </w:lvlOverride>
    <w:lvlOverride w:ilvl="8">
      <w:startOverride w:val="245"/>
    </w:lvlOverride>
  </w:num>
  <w:num w:numId="1063">
    <w:abstractNumId w:val="9943252"/>
    <w:lvlOverride w:ilvl="0">
      <w:startOverride w:val="252"/>
    </w:lvlOverride>
    <w:lvlOverride w:ilvl="1">
      <w:startOverride w:val="252"/>
    </w:lvlOverride>
    <w:lvlOverride w:ilvl="2">
      <w:startOverride w:val="252"/>
    </w:lvlOverride>
    <w:lvlOverride w:ilvl="3">
      <w:startOverride w:val="252"/>
    </w:lvlOverride>
    <w:lvlOverride w:ilvl="4">
      <w:startOverride w:val="252"/>
    </w:lvlOverride>
    <w:lvlOverride w:ilvl="5">
      <w:startOverride w:val="252"/>
    </w:lvlOverride>
    <w:lvlOverride w:ilvl="6">
      <w:startOverride w:val="252"/>
    </w:lvlOverride>
    <w:lvlOverride w:ilvl="7">
      <w:startOverride w:val="252"/>
    </w:lvlOverride>
    <w:lvlOverride w:ilvl="8">
      <w:startOverride w:val="252"/>
    </w:lvlOverride>
  </w:num>
  <w:num w:numId="1064">
    <w:abstractNumId w:val="9943254"/>
    <w:lvlOverride w:ilvl="0">
      <w:startOverride w:val="254"/>
    </w:lvlOverride>
    <w:lvlOverride w:ilvl="1">
      <w:startOverride w:val="254"/>
    </w:lvlOverride>
    <w:lvlOverride w:ilvl="2">
      <w:startOverride w:val="254"/>
    </w:lvlOverride>
    <w:lvlOverride w:ilvl="3">
      <w:startOverride w:val="254"/>
    </w:lvlOverride>
    <w:lvlOverride w:ilvl="4">
      <w:startOverride w:val="254"/>
    </w:lvlOverride>
    <w:lvlOverride w:ilvl="5">
      <w:startOverride w:val="254"/>
    </w:lvlOverride>
    <w:lvlOverride w:ilvl="6">
      <w:startOverride w:val="254"/>
    </w:lvlOverride>
    <w:lvlOverride w:ilvl="7">
      <w:startOverride w:val="254"/>
    </w:lvlOverride>
    <w:lvlOverride w:ilvl="8">
      <w:startOverride w:val="254"/>
    </w:lvlOverride>
  </w:num>
  <w:num w:numId="1065">
    <w:abstractNumId w:val="9943255"/>
    <w:lvlOverride w:ilvl="0">
      <w:startOverride w:val="255"/>
    </w:lvlOverride>
    <w:lvlOverride w:ilvl="1">
      <w:startOverride w:val="255"/>
    </w:lvlOverride>
    <w:lvlOverride w:ilvl="2">
      <w:startOverride w:val="255"/>
    </w:lvlOverride>
    <w:lvlOverride w:ilvl="3">
      <w:startOverride w:val="255"/>
    </w:lvlOverride>
    <w:lvlOverride w:ilvl="4">
      <w:startOverride w:val="255"/>
    </w:lvlOverride>
    <w:lvlOverride w:ilvl="5">
      <w:startOverride w:val="255"/>
    </w:lvlOverride>
    <w:lvlOverride w:ilvl="6">
      <w:startOverride w:val="255"/>
    </w:lvlOverride>
    <w:lvlOverride w:ilvl="7">
      <w:startOverride w:val="255"/>
    </w:lvlOverride>
    <w:lvlOverride w:ilvl="8">
      <w:startOverride w:val="255"/>
    </w:lvlOverride>
  </w:num>
  <w:num w:numId="1066">
    <w:abstractNumId w:val="9943258"/>
    <w:lvlOverride w:ilvl="0">
      <w:startOverride w:val="258"/>
    </w:lvlOverride>
    <w:lvlOverride w:ilvl="1">
      <w:startOverride w:val="258"/>
    </w:lvlOverride>
    <w:lvlOverride w:ilvl="2">
      <w:startOverride w:val="258"/>
    </w:lvlOverride>
    <w:lvlOverride w:ilvl="3">
      <w:startOverride w:val="258"/>
    </w:lvlOverride>
    <w:lvlOverride w:ilvl="4">
      <w:startOverride w:val="258"/>
    </w:lvlOverride>
    <w:lvlOverride w:ilvl="5">
      <w:startOverride w:val="258"/>
    </w:lvlOverride>
    <w:lvlOverride w:ilvl="6">
      <w:startOverride w:val="258"/>
    </w:lvlOverride>
    <w:lvlOverride w:ilvl="7">
      <w:startOverride w:val="258"/>
    </w:lvlOverride>
    <w:lvlOverride w:ilvl="8">
      <w:startOverride w:val="258"/>
    </w:lvlOverride>
  </w:num>
  <w:num w:numId="1067">
    <w:abstractNumId w:val="9943262"/>
    <w:lvlOverride w:ilvl="0">
      <w:startOverride w:val="262"/>
    </w:lvlOverride>
    <w:lvlOverride w:ilvl="1">
      <w:startOverride w:val="262"/>
    </w:lvlOverride>
    <w:lvlOverride w:ilvl="2">
      <w:startOverride w:val="262"/>
    </w:lvlOverride>
    <w:lvlOverride w:ilvl="3">
      <w:startOverride w:val="262"/>
    </w:lvlOverride>
    <w:lvlOverride w:ilvl="4">
      <w:startOverride w:val="262"/>
    </w:lvlOverride>
    <w:lvlOverride w:ilvl="5">
      <w:startOverride w:val="262"/>
    </w:lvlOverride>
    <w:lvlOverride w:ilvl="6">
      <w:startOverride w:val="262"/>
    </w:lvlOverride>
    <w:lvlOverride w:ilvl="7">
      <w:startOverride w:val="262"/>
    </w:lvlOverride>
    <w:lvlOverride w:ilvl="8">
      <w:startOverride w:val="262"/>
    </w:lvlOverride>
  </w:num>
  <w:num w:numId="1068">
    <w:abstractNumId w:val="9943263"/>
    <w:lvlOverride w:ilvl="0">
      <w:startOverride w:val="263"/>
    </w:lvlOverride>
    <w:lvlOverride w:ilvl="1">
      <w:startOverride w:val="263"/>
    </w:lvlOverride>
    <w:lvlOverride w:ilvl="2">
      <w:startOverride w:val="263"/>
    </w:lvlOverride>
    <w:lvlOverride w:ilvl="3">
      <w:startOverride w:val="263"/>
    </w:lvlOverride>
    <w:lvlOverride w:ilvl="4">
      <w:startOverride w:val="263"/>
    </w:lvlOverride>
    <w:lvlOverride w:ilvl="5">
      <w:startOverride w:val="263"/>
    </w:lvlOverride>
    <w:lvlOverride w:ilvl="6">
      <w:startOverride w:val="263"/>
    </w:lvlOverride>
    <w:lvlOverride w:ilvl="7">
      <w:startOverride w:val="263"/>
    </w:lvlOverride>
    <w:lvlOverride w:ilvl="8">
      <w:startOverride w:val="263"/>
    </w:lvlOverride>
  </w:num>
  <w:num w:numId="106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70">
    <w:abstractNumId w:val="9943264"/>
    <w:lvlOverride w:ilvl="0">
      <w:startOverride w:val="264"/>
    </w:lvlOverride>
    <w:lvlOverride w:ilvl="1">
      <w:startOverride w:val="264"/>
    </w:lvlOverride>
    <w:lvlOverride w:ilvl="2">
      <w:startOverride w:val="264"/>
    </w:lvlOverride>
    <w:lvlOverride w:ilvl="3">
      <w:startOverride w:val="264"/>
    </w:lvlOverride>
    <w:lvlOverride w:ilvl="4">
      <w:startOverride w:val="264"/>
    </w:lvlOverride>
    <w:lvlOverride w:ilvl="5">
      <w:startOverride w:val="264"/>
    </w:lvlOverride>
    <w:lvlOverride w:ilvl="6">
      <w:startOverride w:val="264"/>
    </w:lvlOverride>
    <w:lvlOverride w:ilvl="7">
      <w:startOverride w:val="264"/>
    </w:lvlOverride>
    <w:lvlOverride w:ilvl="8">
      <w:startOverride w:val="264"/>
    </w:lvlOverride>
  </w:num>
  <w:num w:numId="1071">
    <w:abstractNumId w:val="9943267"/>
    <w:lvlOverride w:ilvl="0">
      <w:startOverride w:val="267"/>
    </w:lvlOverride>
    <w:lvlOverride w:ilvl="1">
      <w:startOverride w:val="267"/>
    </w:lvlOverride>
    <w:lvlOverride w:ilvl="2">
      <w:startOverride w:val="267"/>
    </w:lvlOverride>
    <w:lvlOverride w:ilvl="3">
      <w:startOverride w:val="267"/>
    </w:lvlOverride>
    <w:lvlOverride w:ilvl="4">
      <w:startOverride w:val="267"/>
    </w:lvlOverride>
    <w:lvlOverride w:ilvl="5">
      <w:startOverride w:val="267"/>
    </w:lvlOverride>
    <w:lvlOverride w:ilvl="6">
      <w:startOverride w:val="267"/>
    </w:lvlOverride>
    <w:lvlOverride w:ilvl="7">
      <w:startOverride w:val="267"/>
    </w:lvlOverride>
    <w:lvlOverride w:ilvl="8">
      <w:startOverride w:val="267"/>
    </w:lvlOverride>
  </w:num>
  <w:num w:numId="1072">
    <w:abstractNumId w:val="9943275"/>
    <w:lvlOverride w:ilvl="0">
      <w:startOverride w:val="275"/>
    </w:lvlOverride>
    <w:lvlOverride w:ilvl="1">
      <w:startOverride w:val="275"/>
    </w:lvlOverride>
    <w:lvlOverride w:ilvl="2">
      <w:startOverride w:val="275"/>
    </w:lvlOverride>
    <w:lvlOverride w:ilvl="3">
      <w:startOverride w:val="275"/>
    </w:lvlOverride>
    <w:lvlOverride w:ilvl="4">
      <w:startOverride w:val="275"/>
    </w:lvlOverride>
    <w:lvlOverride w:ilvl="5">
      <w:startOverride w:val="275"/>
    </w:lvlOverride>
    <w:lvlOverride w:ilvl="6">
      <w:startOverride w:val="275"/>
    </w:lvlOverride>
    <w:lvlOverride w:ilvl="7">
      <w:startOverride w:val="275"/>
    </w:lvlOverride>
    <w:lvlOverride w:ilvl="8">
      <w:startOverride w:val="275"/>
    </w:lvlOverride>
  </w:num>
  <w:num w:numId="1073">
    <w:abstractNumId w:val="9943279"/>
    <w:lvlOverride w:ilvl="0">
      <w:startOverride w:val="279"/>
    </w:lvlOverride>
    <w:lvlOverride w:ilvl="1">
      <w:startOverride w:val="279"/>
    </w:lvlOverride>
    <w:lvlOverride w:ilvl="2">
      <w:startOverride w:val="279"/>
    </w:lvlOverride>
    <w:lvlOverride w:ilvl="3">
      <w:startOverride w:val="279"/>
    </w:lvlOverride>
    <w:lvlOverride w:ilvl="4">
      <w:startOverride w:val="279"/>
    </w:lvlOverride>
    <w:lvlOverride w:ilvl="5">
      <w:startOverride w:val="279"/>
    </w:lvlOverride>
    <w:lvlOverride w:ilvl="6">
      <w:startOverride w:val="279"/>
    </w:lvlOverride>
    <w:lvlOverride w:ilvl="7">
      <w:startOverride w:val="279"/>
    </w:lvlOverride>
    <w:lvlOverride w:ilvl="8">
      <w:startOverride w:val="279"/>
    </w:lvlOverride>
  </w:num>
  <w:num w:numId="1074">
    <w:abstractNumId w:val="9943293"/>
    <w:lvlOverride w:ilvl="0">
      <w:startOverride w:val="293"/>
    </w:lvlOverride>
    <w:lvlOverride w:ilvl="1">
      <w:startOverride w:val="293"/>
    </w:lvlOverride>
    <w:lvlOverride w:ilvl="2">
      <w:startOverride w:val="293"/>
    </w:lvlOverride>
    <w:lvlOverride w:ilvl="3">
      <w:startOverride w:val="293"/>
    </w:lvlOverride>
    <w:lvlOverride w:ilvl="4">
      <w:startOverride w:val="293"/>
    </w:lvlOverride>
    <w:lvlOverride w:ilvl="5">
      <w:startOverride w:val="293"/>
    </w:lvlOverride>
    <w:lvlOverride w:ilvl="6">
      <w:startOverride w:val="293"/>
    </w:lvlOverride>
    <w:lvlOverride w:ilvl="7">
      <w:startOverride w:val="293"/>
    </w:lvlOverride>
    <w:lvlOverride w:ilvl="8">
      <w:startOverride w:val="293"/>
    </w:lvlOverride>
  </w:num>
  <w:num w:numId="1075">
    <w:abstractNumId w:val="9943300"/>
    <w:lvlOverride w:ilvl="0">
      <w:startOverride w:val="300"/>
    </w:lvlOverride>
    <w:lvlOverride w:ilvl="1">
      <w:startOverride w:val="300"/>
    </w:lvlOverride>
    <w:lvlOverride w:ilvl="2">
      <w:startOverride w:val="300"/>
    </w:lvlOverride>
    <w:lvlOverride w:ilvl="3">
      <w:startOverride w:val="300"/>
    </w:lvlOverride>
    <w:lvlOverride w:ilvl="4">
      <w:startOverride w:val="300"/>
    </w:lvlOverride>
    <w:lvlOverride w:ilvl="5">
      <w:startOverride w:val="300"/>
    </w:lvlOverride>
    <w:lvlOverride w:ilvl="6">
      <w:startOverride w:val="300"/>
    </w:lvlOverride>
    <w:lvlOverride w:ilvl="7">
      <w:startOverride w:val="300"/>
    </w:lvlOverride>
    <w:lvlOverride w:ilvl="8">
      <w:startOverride w:val="300"/>
    </w:lvlOverride>
  </w:num>
  <w:num w:numId="1076">
    <w:abstractNumId w:val="9943305"/>
    <w:lvlOverride w:ilvl="0">
      <w:startOverride w:val="305"/>
    </w:lvlOverride>
    <w:lvlOverride w:ilvl="1">
      <w:startOverride w:val="305"/>
    </w:lvlOverride>
    <w:lvlOverride w:ilvl="2">
      <w:startOverride w:val="305"/>
    </w:lvlOverride>
    <w:lvlOverride w:ilvl="3">
      <w:startOverride w:val="305"/>
    </w:lvlOverride>
    <w:lvlOverride w:ilvl="4">
      <w:startOverride w:val="305"/>
    </w:lvlOverride>
    <w:lvlOverride w:ilvl="5">
      <w:startOverride w:val="305"/>
    </w:lvlOverride>
    <w:lvlOverride w:ilvl="6">
      <w:startOverride w:val="305"/>
    </w:lvlOverride>
    <w:lvlOverride w:ilvl="7">
      <w:startOverride w:val="305"/>
    </w:lvlOverride>
    <w:lvlOverride w:ilvl="8">
      <w:startOverride w:val="305"/>
    </w:lvlOverride>
  </w:num>
  <w:num w:numId="1077">
    <w:abstractNumId w:val="9943310"/>
    <w:lvlOverride w:ilvl="0">
      <w:startOverride w:val="310"/>
    </w:lvlOverride>
    <w:lvlOverride w:ilvl="1">
      <w:startOverride w:val="310"/>
    </w:lvlOverride>
    <w:lvlOverride w:ilvl="2">
      <w:startOverride w:val="310"/>
    </w:lvlOverride>
    <w:lvlOverride w:ilvl="3">
      <w:startOverride w:val="310"/>
    </w:lvlOverride>
    <w:lvlOverride w:ilvl="4">
      <w:startOverride w:val="310"/>
    </w:lvlOverride>
    <w:lvlOverride w:ilvl="5">
      <w:startOverride w:val="310"/>
    </w:lvlOverride>
    <w:lvlOverride w:ilvl="6">
      <w:startOverride w:val="310"/>
    </w:lvlOverride>
    <w:lvlOverride w:ilvl="7">
      <w:startOverride w:val="310"/>
    </w:lvlOverride>
    <w:lvlOverride w:ilvl="8">
      <w:startOverride w:val="310"/>
    </w:lvlOverride>
  </w:num>
  <w:num w:numId="1078">
    <w:abstractNumId w:val="9943313"/>
    <w:lvlOverride w:ilvl="0">
      <w:startOverride w:val="313"/>
    </w:lvlOverride>
    <w:lvlOverride w:ilvl="1">
      <w:startOverride w:val="313"/>
    </w:lvlOverride>
    <w:lvlOverride w:ilvl="2">
      <w:startOverride w:val="313"/>
    </w:lvlOverride>
    <w:lvlOverride w:ilvl="3">
      <w:startOverride w:val="313"/>
    </w:lvlOverride>
    <w:lvlOverride w:ilvl="4">
      <w:startOverride w:val="313"/>
    </w:lvlOverride>
    <w:lvlOverride w:ilvl="5">
      <w:startOverride w:val="313"/>
    </w:lvlOverride>
    <w:lvlOverride w:ilvl="6">
      <w:startOverride w:val="313"/>
    </w:lvlOverride>
    <w:lvlOverride w:ilvl="7">
      <w:startOverride w:val="313"/>
    </w:lvlOverride>
    <w:lvlOverride w:ilvl="8">
      <w:startOverride w:val="313"/>
    </w:lvlOverride>
  </w:num>
  <w:num w:numId="1079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80">
    <w:abstractNumId w:val="9943314"/>
    <w:lvlOverride w:ilvl="0">
      <w:startOverride w:val="314"/>
    </w:lvlOverride>
    <w:lvlOverride w:ilvl="1">
      <w:startOverride w:val="314"/>
    </w:lvlOverride>
    <w:lvlOverride w:ilvl="2">
      <w:startOverride w:val="314"/>
    </w:lvlOverride>
    <w:lvlOverride w:ilvl="3">
      <w:startOverride w:val="314"/>
    </w:lvlOverride>
    <w:lvlOverride w:ilvl="4">
      <w:startOverride w:val="314"/>
    </w:lvlOverride>
    <w:lvlOverride w:ilvl="5">
      <w:startOverride w:val="314"/>
    </w:lvlOverride>
    <w:lvlOverride w:ilvl="6">
      <w:startOverride w:val="314"/>
    </w:lvlOverride>
    <w:lvlOverride w:ilvl="7">
      <w:startOverride w:val="314"/>
    </w:lvlOverride>
    <w:lvlOverride w:ilvl="8">
      <w:startOverride w:val="314"/>
    </w:lvlOverride>
  </w:num>
  <w:num w:numId="1081">
    <w:abstractNumId w:val="9943315"/>
    <w:lvlOverride w:ilvl="0">
      <w:startOverride w:val="315"/>
    </w:lvlOverride>
    <w:lvlOverride w:ilvl="1">
      <w:startOverride w:val="315"/>
    </w:lvlOverride>
    <w:lvlOverride w:ilvl="2">
      <w:startOverride w:val="315"/>
    </w:lvlOverride>
    <w:lvlOverride w:ilvl="3">
      <w:startOverride w:val="315"/>
    </w:lvlOverride>
    <w:lvlOverride w:ilvl="4">
      <w:startOverride w:val="315"/>
    </w:lvlOverride>
    <w:lvlOverride w:ilvl="5">
      <w:startOverride w:val="315"/>
    </w:lvlOverride>
    <w:lvlOverride w:ilvl="6">
      <w:startOverride w:val="315"/>
    </w:lvlOverride>
    <w:lvlOverride w:ilvl="7">
      <w:startOverride w:val="315"/>
    </w:lvlOverride>
    <w:lvlOverride w:ilvl="8">
      <w:startOverride w:val="315"/>
    </w:lvlOverride>
  </w:num>
  <w:num w:numId="1082">
    <w:abstractNumId w:val="994163"/>
    <w:lvlOverride w:ilvl="0">
      <w:startOverride w:val="63"/>
    </w:lvlOverride>
    <w:lvlOverride w:ilvl="1">
      <w:startOverride w:val="63"/>
    </w:lvlOverride>
    <w:lvlOverride w:ilvl="2">
      <w:startOverride w:val="63"/>
    </w:lvlOverride>
    <w:lvlOverride w:ilvl="3">
      <w:startOverride w:val="63"/>
    </w:lvlOverride>
    <w:lvlOverride w:ilvl="4">
      <w:startOverride w:val="63"/>
    </w:lvlOverride>
    <w:lvlOverride w:ilvl="5">
      <w:startOverride w:val="63"/>
    </w:lvlOverride>
    <w:lvlOverride w:ilvl="6">
      <w:startOverride w:val="63"/>
    </w:lvlOverride>
    <w:lvlOverride w:ilvl="7">
      <w:startOverride w:val="63"/>
    </w:lvlOverride>
    <w:lvlOverride w:ilvl="8">
      <w:startOverride w:val="63"/>
    </w:lvlOverride>
  </w:num>
  <w:num w:numId="1083">
    <w:abstractNumId w:val="9943325"/>
    <w:lvlOverride w:ilvl="0">
      <w:startOverride w:val="325"/>
    </w:lvlOverride>
    <w:lvlOverride w:ilvl="1">
      <w:startOverride w:val="325"/>
    </w:lvlOverride>
    <w:lvlOverride w:ilvl="2">
      <w:startOverride w:val="325"/>
    </w:lvlOverride>
    <w:lvlOverride w:ilvl="3">
      <w:startOverride w:val="325"/>
    </w:lvlOverride>
    <w:lvlOverride w:ilvl="4">
      <w:startOverride w:val="325"/>
    </w:lvlOverride>
    <w:lvlOverride w:ilvl="5">
      <w:startOverride w:val="325"/>
    </w:lvlOverride>
    <w:lvlOverride w:ilvl="6">
      <w:startOverride w:val="325"/>
    </w:lvlOverride>
    <w:lvlOverride w:ilvl="7">
      <w:startOverride w:val="325"/>
    </w:lvlOverride>
    <w:lvlOverride w:ilvl="8">
      <w:startOverride w:val="325"/>
    </w:lvlOverride>
  </w:num>
  <w:num w:numId="1084">
    <w:abstractNumId w:val="9943329"/>
    <w:lvlOverride w:ilvl="0">
      <w:startOverride w:val="329"/>
    </w:lvlOverride>
    <w:lvlOverride w:ilvl="1">
      <w:startOverride w:val="329"/>
    </w:lvlOverride>
    <w:lvlOverride w:ilvl="2">
      <w:startOverride w:val="329"/>
    </w:lvlOverride>
    <w:lvlOverride w:ilvl="3">
      <w:startOverride w:val="329"/>
    </w:lvlOverride>
    <w:lvlOverride w:ilvl="4">
      <w:startOverride w:val="329"/>
    </w:lvlOverride>
    <w:lvlOverride w:ilvl="5">
      <w:startOverride w:val="329"/>
    </w:lvlOverride>
    <w:lvlOverride w:ilvl="6">
      <w:startOverride w:val="329"/>
    </w:lvlOverride>
    <w:lvlOverride w:ilvl="7">
      <w:startOverride w:val="329"/>
    </w:lvlOverride>
    <w:lvlOverride w:ilvl="8">
      <w:startOverride w:val="329"/>
    </w:lvlOverride>
  </w:num>
  <w:num w:numId="1085">
    <w:abstractNumId w:val="9943338"/>
    <w:lvlOverride w:ilvl="0">
      <w:startOverride w:val="338"/>
    </w:lvlOverride>
    <w:lvlOverride w:ilvl="1">
      <w:startOverride w:val="338"/>
    </w:lvlOverride>
    <w:lvlOverride w:ilvl="2">
      <w:startOverride w:val="338"/>
    </w:lvlOverride>
    <w:lvlOverride w:ilvl="3">
      <w:startOverride w:val="338"/>
    </w:lvlOverride>
    <w:lvlOverride w:ilvl="4">
      <w:startOverride w:val="338"/>
    </w:lvlOverride>
    <w:lvlOverride w:ilvl="5">
      <w:startOverride w:val="338"/>
    </w:lvlOverride>
    <w:lvlOverride w:ilvl="6">
      <w:startOverride w:val="338"/>
    </w:lvlOverride>
    <w:lvlOverride w:ilvl="7">
      <w:startOverride w:val="338"/>
    </w:lvlOverride>
    <w:lvlOverride w:ilvl="8">
      <w:startOverride w:val="338"/>
    </w:lvlOverride>
  </w:num>
  <w:num w:numId="1086">
    <w:abstractNumId w:val="99411081"/>
    <w:lvlOverride w:ilvl="0">
      <w:startOverride w:val="1081"/>
    </w:lvlOverride>
    <w:lvlOverride w:ilvl="1">
      <w:startOverride w:val="1081"/>
    </w:lvlOverride>
    <w:lvlOverride w:ilvl="2">
      <w:startOverride w:val="1081"/>
    </w:lvlOverride>
    <w:lvlOverride w:ilvl="3">
      <w:startOverride w:val="1081"/>
    </w:lvlOverride>
    <w:lvlOverride w:ilvl="4">
      <w:startOverride w:val="1081"/>
    </w:lvlOverride>
    <w:lvlOverride w:ilvl="5">
      <w:startOverride w:val="1081"/>
    </w:lvlOverride>
    <w:lvlOverride w:ilvl="6">
      <w:startOverride w:val="1081"/>
    </w:lvlOverride>
    <w:lvlOverride w:ilvl="7">
      <w:startOverride w:val="1081"/>
    </w:lvlOverride>
    <w:lvlOverride w:ilvl="8">
      <w:startOverride w:val="1081"/>
    </w:lvlOverride>
  </w:num>
  <w:num w:numId="1087">
    <w:abstractNumId w:val="9943339"/>
    <w:lvlOverride w:ilvl="0">
      <w:startOverride w:val="339"/>
    </w:lvlOverride>
    <w:lvlOverride w:ilvl="1">
      <w:startOverride w:val="339"/>
    </w:lvlOverride>
    <w:lvlOverride w:ilvl="2">
      <w:startOverride w:val="339"/>
    </w:lvlOverride>
    <w:lvlOverride w:ilvl="3">
      <w:startOverride w:val="339"/>
    </w:lvlOverride>
    <w:lvlOverride w:ilvl="4">
      <w:startOverride w:val="339"/>
    </w:lvlOverride>
    <w:lvlOverride w:ilvl="5">
      <w:startOverride w:val="339"/>
    </w:lvlOverride>
    <w:lvlOverride w:ilvl="6">
      <w:startOverride w:val="339"/>
    </w:lvlOverride>
    <w:lvlOverride w:ilvl="7">
      <w:startOverride w:val="339"/>
    </w:lvlOverride>
    <w:lvlOverride w:ilvl="8">
      <w:startOverride w:val="339"/>
    </w:lvlOverride>
  </w:num>
  <w:num w:numId="1088">
    <w:abstractNumId w:val="9943342"/>
    <w:lvlOverride w:ilvl="0">
      <w:startOverride w:val="342"/>
    </w:lvlOverride>
    <w:lvlOverride w:ilvl="1">
      <w:startOverride w:val="342"/>
    </w:lvlOverride>
    <w:lvlOverride w:ilvl="2">
      <w:startOverride w:val="342"/>
    </w:lvlOverride>
    <w:lvlOverride w:ilvl="3">
      <w:startOverride w:val="342"/>
    </w:lvlOverride>
    <w:lvlOverride w:ilvl="4">
      <w:startOverride w:val="342"/>
    </w:lvlOverride>
    <w:lvlOverride w:ilvl="5">
      <w:startOverride w:val="342"/>
    </w:lvlOverride>
    <w:lvlOverride w:ilvl="6">
      <w:startOverride w:val="342"/>
    </w:lvlOverride>
    <w:lvlOverride w:ilvl="7">
      <w:startOverride w:val="342"/>
    </w:lvlOverride>
    <w:lvlOverride w:ilvl="8">
      <w:startOverride w:val="342"/>
    </w:lvlOverride>
  </w:num>
  <w:num w:numId="1089">
    <w:abstractNumId w:val="9943347"/>
    <w:lvlOverride w:ilvl="0">
      <w:startOverride w:val="347"/>
    </w:lvlOverride>
    <w:lvlOverride w:ilvl="1">
      <w:startOverride w:val="347"/>
    </w:lvlOverride>
    <w:lvlOverride w:ilvl="2">
      <w:startOverride w:val="347"/>
    </w:lvlOverride>
    <w:lvlOverride w:ilvl="3">
      <w:startOverride w:val="347"/>
    </w:lvlOverride>
    <w:lvlOverride w:ilvl="4">
      <w:startOverride w:val="347"/>
    </w:lvlOverride>
    <w:lvlOverride w:ilvl="5">
      <w:startOverride w:val="347"/>
    </w:lvlOverride>
    <w:lvlOverride w:ilvl="6">
      <w:startOverride w:val="347"/>
    </w:lvlOverride>
    <w:lvlOverride w:ilvl="7">
      <w:startOverride w:val="347"/>
    </w:lvlOverride>
    <w:lvlOverride w:ilvl="8">
      <w:startOverride w:val="347"/>
    </w:lvlOverride>
  </w:num>
  <w:num w:numId="1090">
    <w:abstractNumId w:val="9943349"/>
    <w:lvlOverride w:ilvl="0">
      <w:startOverride w:val="349"/>
    </w:lvlOverride>
    <w:lvlOverride w:ilvl="1">
      <w:startOverride w:val="349"/>
    </w:lvlOverride>
    <w:lvlOverride w:ilvl="2">
      <w:startOverride w:val="349"/>
    </w:lvlOverride>
    <w:lvlOverride w:ilvl="3">
      <w:startOverride w:val="349"/>
    </w:lvlOverride>
    <w:lvlOverride w:ilvl="4">
      <w:startOverride w:val="349"/>
    </w:lvlOverride>
    <w:lvlOverride w:ilvl="5">
      <w:startOverride w:val="349"/>
    </w:lvlOverride>
    <w:lvlOverride w:ilvl="6">
      <w:startOverride w:val="349"/>
    </w:lvlOverride>
    <w:lvlOverride w:ilvl="7">
      <w:startOverride w:val="349"/>
    </w:lvlOverride>
    <w:lvlOverride w:ilvl="8">
      <w:startOverride w:val="349"/>
    </w:lvlOverride>
  </w:num>
  <w:num w:numId="1091">
    <w:abstractNumId w:val="9943351"/>
    <w:lvlOverride w:ilvl="0">
      <w:startOverride w:val="351"/>
    </w:lvlOverride>
    <w:lvlOverride w:ilvl="1">
      <w:startOverride w:val="351"/>
    </w:lvlOverride>
    <w:lvlOverride w:ilvl="2">
      <w:startOverride w:val="351"/>
    </w:lvlOverride>
    <w:lvlOverride w:ilvl="3">
      <w:startOverride w:val="351"/>
    </w:lvlOverride>
    <w:lvlOverride w:ilvl="4">
      <w:startOverride w:val="351"/>
    </w:lvlOverride>
    <w:lvlOverride w:ilvl="5">
      <w:startOverride w:val="351"/>
    </w:lvlOverride>
    <w:lvlOverride w:ilvl="6">
      <w:startOverride w:val="351"/>
    </w:lvlOverride>
    <w:lvlOverride w:ilvl="7">
      <w:startOverride w:val="351"/>
    </w:lvlOverride>
    <w:lvlOverride w:ilvl="8">
      <w:startOverride w:val="351"/>
    </w:lvlOverride>
  </w:num>
  <w:num w:numId="1092">
    <w:abstractNumId w:val="9943355"/>
    <w:lvlOverride w:ilvl="0">
      <w:startOverride w:val="355"/>
    </w:lvlOverride>
    <w:lvlOverride w:ilvl="1">
      <w:startOverride w:val="355"/>
    </w:lvlOverride>
    <w:lvlOverride w:ilvl="2">
      <w:startOverride w:val="355"/>
    </w:lvlOverride>
    <w:lvlOverride w:ilvl="3">
      <w:startOverride w:val="355"/>
    </w:lvlOverride>
    <w:lvlOverride w:ilvl="4">
      <w:startOverride w:val="355"/>
    </w:lvlOverride>
    <w:lvlOverride w:ilvl="5">
      <w:startOverride w:val="355"/>
    </w:lvlOverride>
    <w:lvlOverride w:ilvl="6">
      <w:startOverride w:val="355"/>
    </w:lvlOverride>
    <w:lvlOverride w:ilvl="7">
      <w:startOverride w:val="355"/>
    </w:lvlOverride>
    <w:lvlOverride w:ilvl="8">
      <w:startOverride w:val="355"/>
    </w:lvlOverride>
  </w:num>
  <w:num w:numId="1093">
    <w:abstractNumId w:val="9943363"/>
    <w:lvlOverride w:ilvl="0">
      <w:startOverride w:val="363"/>
    </w:lvlOverride>
    <w:lvlOverride w:ilvl="1">
      <w:startOverride w:val="363"/>
    </w:lvlOverride>
    <w:lvlOverride w:ilvl="2">
      <w:startOverride w:val="363"/>
    </w:lvlOverride>
    <w:lvlOverride w:ilvl="3">
      <w:startOverride w:val="363"/>
    </w:lvlOverride>
    <w:lvlOverride w:ilvl="4">
      <w:startOverride w:val="363"/>
    </w:lvlOverride>
    <w:lvlOverride w:ilvl="5">
      <w:startOverride w:val="363"/>
    </w:lvlOverride>
    <w:lvlOverride w:ilvl="6">
      <w:startOverride w:val="363"/>
    </w:lvlOverride>
    <w:lvlOverride w:ilvl="7">
      <w:startOverride w:val="363"/>
    </w:lvlOverride>
    <w:lvlOverride w:ilvl="8">
      <w:startOverride w:val="363"/>
    </w:lvlOverride>
  </w:num>
  <w:num w:numId="1094">
    <w:abstractNumId w:val="9943364"/>
    <w:lvlOverride w:ilvl="0">
      <w:startOverride w:val="364"/>
    </w:lvlOverride>
    <w:lvlOverride w:ilvl="1">
      <w:startOverride w:val="364"/>
    </w:lvlOverride>
    <w:lvlOverride w:ilvl="2">
      <w:startOverride w:val="364"/>
    </w:lvlOverride>
    <w:lvlOverride w:ilvl="3">
      <w:startOverride w:val="364"/>
    </w:lvlOverride>
    <w:lvlOverride w:ilvl="4">
      <w:startOverride w:val="364"/>
    </w:lvlOverride>
    <w:lvlOverride w:ilvl="5">
      <w:startOverride w:val="364"/>
    </w:lvlOverride>
    <w:lvlOverride w:ilvl="6">
      <w:startOverride w:val="364"/>
    </w:lvlOverride>
    <w:lvlOverride w:ilvl="7">
      <w:startOverride w:val="364"/>
    </w:lvlOverride>
    <w:lvlOverride w:ilvl="8">
      <w:startOverride w:val="364"/>
    </w:lvlOverride>
  </w:num>
  <w:num w:numId="1095">
    <w:abstractNumId w:val="9943366"/>
    <w:lvlOverride w:ilvl="0">
      <w:startOverride w:val="366"/>
    </w:lvlOverride>
    <w:lvlOverride w:ilvl="1">
      <w:startOverride w:val="366"/>
    </w:lvlOverride>
    <w:lvlOverride w:ilvl="2">
      <w:startOverride w:val="366"/>
    </w:lvlOverride>
    <w:lvlOverride w:ilvl="3">
      <w:startOverride w:val="366"/>
    </w:lvlOverride>
    <w:lvlOverride w:ilvl="4">
      <w:startOverride w:val="366"/>
    </w:lvlOverride>
    <w:lvlOverride w:ilvl="5">
      <w:startOverride w:val="366"/>
    </w:lvlOverride>
    <w:lvlOverride w:ilvl="6">
      <w:startOverride w:val="366"/>
    </w:lvlOverride>
    <w:lvlOverride w:ilvl="7">
      <w:startOverride w:val="366"/>
    </w:lvlOverride>
    <w:lvlOverride w:ilvl="8">
      <w:startOverride w:val="366"/>
    </w:lvlOverride>
  </w:num>
  <w:num w:numId="1096">
    <w:abstractNumId w:val="9943368"/>
    <w:lvlOverride w:ilvl="0">
      <w:startOverride w:val="368"/>
    </w:lvlOverride>
    <w:lvlOverride w:ilvl="1">
      <w:startOverride w:val="368"/>
    </w:lvlOverride>
    <w:lvlOverride w:ilvl="2">
      <w:startOverride w:val="368"/>
    </w:lvlOverride>
    <w:lvlOverride w:ilvl="3">
      <w:startOverride w:val="368"/>
    </w:lvlOverride>
    <w:lvlOverride w:ilvl="4">
      <w:startOverride w:val="368"/>
    </w:lvlOverride>
    <w:lvlOverride w:ilvl="5">
      <w:startOverride w:val="368"/>
    </w:lvlOverride>
    <w:lvlOverride w:ilvl="6">
      <w:startOverride w:val="368"/>
    </w:lvlOverride>
    <w:lvlOverride w:ilvl="7">
      <w:startOverride w:val="368"/>
    </w:lvlOverride>
    <w:lvlOverride w:ilvl="8">
      <w:startOverride w:val="368"/>
    </w:lvlOverride>
  </w:num>
  <w:num w:numId="1097">
    <w:abstractNumId w:val="9943375"/>
    <w:lvlOverride w:ilvl="0">
      <w:startOverride w:val="375"/>
    </w:lvlOverride>
    <w:lvlOverride w:ilvl="1">
      <w:startOverride w:val="375"/>
    </w:lvlOverride>
    <w:lvlOverride w:ilvl="2">
      <w:startOverride w:val="375"/>
    </w:lvlOverride>
    <w:lvlOverride w:ilvl="3">
      <w:startOverride w:val="375"/>
    </w:lvlOverride>
    <w:lvlOverride w:ilvl="4">
      <w:startOverride w:val="375"/>
    </w:lvlOverride>
    <w:lvlOverride w:ilvl="5">
      <w:startOverride w:val="375"/>
    </w:lvlOverride>
    <w:lvlOverride w:ilvl="6">
      <w:startOverride w:val="375"/>
    </w:lvlOverride>
    <w:lvlOverride w:ilvl="7">
      <w:startOverride w:val="375"/>
    </w:lvlOverride>
    <w:lvlOverride w:ilvl="8">
      <w:startOverride w:val="375"/>
    </w:lvlOverride>
  </w:num>
  <w:num w:numId="1098">
    <w:abstractNumId w:val="9943377"/>
    <w:lvlOverride w:ilvl="0">
      <w:startOverride w:val="377"/>
    </w:lvlOverride>
    <w:lvlOverride w:ilvl="1">
      <w:startOverride w:val="377"/>
    </w:lvlOverride>
    <w:lvlOverride w:ilvl="2">
      <w:startOverride w:val="377"/>
    </w:lvlOverride>
    <w:lvlOverride w:ilvl="3">
      <w:startOverride w:val="377"/>
    </w:lvlOverride>
    <w:lvlOverride w:ilvl="4">
      <w:startOverride w:val="377"/>
    </w:lvlOverride>
    <w:lvlOverride w:ilvl="5">
      <w:startOverride w:val="377"/>
    </w:lvlOverride>
    <w:lvlOverride w:ilvl="6">
      <w:startOverride w:val="377"/>
    </w:lvlOverride>
    <w:lvlOverride w:ilvl="7">
      <w:startOverride w:val="377"/>
    </w:lvlOverride>
    <w:lvlOverride w:ilvl="8">
      <w:startOverride w:val="377"/>
    </w:lvlOverride>
  </w:num>
  <w:num w:numId="1099">
    <w:abstractNumId w:val="9943383"/>
    <w:lvlOverride w:ilvl="0">
      <w:startOverride w:val="383"/>
    </w:lvlOverride>
    <w:lvlOverride w:ilvl="1">
      <w:startOverride w:val="383"/>
    </w:lvlOverride>
    <w:lvlOverride w:ilvl="2">
      <w:startOverride w:val="383"/>
    </w:lvlOverride>
    <w:lvlOverride w:ilvl="3">
      <w:startOverride w:val="383"/>
    </w:lvlOverride>
    <w:lvlOverride w:ilvl="4">
      <w:startOverride w:val="383"/>
    </w:lvlOverride>
    <w:lvlOverride w:ilvl="5">
      <w:startOverride w:val="383"/>
    </w:lvlOverride>
    <w:lvlOverride w:ilvl="6">
      <w:startOverride w:val="383"/>
    </w:lvlOverride>
    <w:lvlOverride w:ilvl="7">
      <w:startOverride w:val="383"/>
    </w:lvlOverride>
    <w:lvlOverride w:ilvl="8">
      <w:startOverride w:val="383"/>
    </w:lvlOverride>
  </w:num>
  <w:num w:numId="1100">
    <w:abstractNumId w:val="9943387"/>
    <w:lvlOverride w:ilvl="0">
      <w:startOverride w:val="387"/>
    </w:lvlOverride>
    <w:lvlOverride w:ilvl="1">
      <w:startOverride w:val="387"/>
    </w:lvlOverride>
    <w:lvlOverride w:ilvl="2">
      <w:startOverride w:val="387"/>
    </w:lvlOverride>
    <w:lvlOverride w:ilvl="3">
      <w:startOverride w:val="387"/>
    </w:lvlOverride>
    <w:lvlOverride w:ilvl="4">
      <w:startOverride w:val="387"/>
    </w:lvlOverride>
    <w:lvlOverride w:ilvl="5">
      <w:startOverride w:val="387"/>
    </w:lvlOverride>
    <w:lvlOverride w:ilvl="6">
      <w:startOverride w:val="387"/>
    </w:lvlOverride>
    <w:lvlOverride w:ilvl="7">
      <w:startOverride w:val="387"/>
    </w:lvlOverride>
    <w:lvlOverride w:ilvl="8">
      <w:startOverride w:val="387"/>
    </w:lvlOverride>
  </w:num>
  <w:num w:numId="1101">
    <w:abstractNumId w:val="9943389"/>
    <w:lvlOverride w:ilvl="0">
      <w:startOverride w:val="389"/>
    </w:lvlOverride>
    <w:lvlOverride w:ilvl="1">
      <w:startOverride w:val="389"/>
    </w:lvlOverride>
    <w:lvlOverride w:ilvl="2">
      <w:startOverride w:val="389"/>
    </w:lvlOverride>
    <w:lvlOverride w:ilvl="3">
      <w:startOverride w:val="389"/>
    </w:lvlOverride>
    <w:lvlOverride w:ilvl="4">
      <w:startOverride w:val="389"/>
    </w:lvlOverride>
    <w:lvlOverride w:ilvl="5">
      <w:startOverride w:val="389"/>
    </w:lvlOverride>
    <w:lvlOverride w:ilvl="6">
      <w:startOverride w:val="389"/>
    </w:lvlOverride>
    <w:lvlOverride w:ilvl="7">
      <w:startOverride w:val="389"/>
    </w:lvlOverride>
    <w:lvlOverride w:ilvl="8">
      <w:startOverride w:val="389"/>
    </w:lvlOverride>
  </w:num>
  <w:num w:numId="1102">
    <w:abstractNumId w:val="9943393"/>
    <w:lvlOverride w:ilvl="0">
      <w:startOverride w:val="393"/>
    </w:lvlOverride>
    <w:lvlOverride w:ilvl="1">
      <w:startOverride w:val="393"/>
    </w:lvlOverride>
    <w:lvlOverride w:ilvl="2">
      <w:startOverride w:val="393"/>
    </w:lvlOverride>
    <w:lvlOverride w:ilvl="3">
      <w:startOverride w:val="393"/>
    </w:lvlOverride>
    <w:lvlOverride w:ilvl="4">
      <w:startOverride w:val="393"/>
    </w:lvlOverride>
    <w:lvlOverride w:ilvl="5">
      <w:startOverride w:val="393"/>
    </w:lvlOverride>
    <w:lvlOverride w:ilvl="6">
      <w:startOverride w:val="393"/>
    </w:lvlOverride>
    <w:lvlOverride w:ilvl="7">
      <w:startOverride w:val="393"/>
    </w:lvlOverride>
    <w:lvlOverride w:ilvl="8">
      <w:startOverride w:val="393"/>
    </w:lvlOverride>
  </w:num>
  <w:num w:numId="1103">
    <w:abstractNumId w:val="9943401"/>
    <w:lvlOverride w:ilvl="0">
      <w:startOverride w:val="401"/>
    </w:lvlOverride>
    <w:lvlOverride w:ilvl="1">
      <w:startOverride w:val="401"/>
    </w:lvlOverride>
    <w:lvlOverride w:ilvl="2">
      <w:startOverride w:val="401"/>
    </w:lvlOverride>
    <w:lvlOverride w:ilvl="3">
      <w:startOverride w:val="401"/>
    </w:lvlOverride>
    <w:lvlOverride w:ilvl="4">
      <w:startOverride w:val="401"/>
    </w:lvlOverride>
    <w:lvlOverride w:ilvl="5">
      <w:startOverride w:val="401"/>
    </w:lvlOverride>
    <w:lvlOverride w:ilvl="6">
      <w:startOverride w:val="401"/>
    </w:lvlOverride>
    <w:lvlOverride w:ilvl="7">
      <w:startOverride w:val="401"/>
    </w:lvlOverride>
    <w:lvlOverride w:ilvl="8">
      <w:startOverride w:val="401"/>
    </w:lvlOverride>
  </w:num>
  <w:num w:numId="1104">
    <w:abstractNumId w:val="9943402"/>
    <w:lvlOverride w:ilvl="0">
      <w:startOverride w:val="402"/>
    </w:lvlOverride>
    <w:lvlOverride w:ilvl="1">
      <w:startOverride w:val="402"/>
    </w:lvlOverride>
    <w:lvlOverride w:ilvl="2">
      <w:startOverride w:val="402"/>
    </w:lvlOverride>
    <w:lvlOverride w:ilvl="3">
      <w:startOverride w:val="402"/>
    </w:lvlOverride>
    <w:lvlOverride w:ilvl="4">
      <w:startOverride w:val="402"/>
    </w:lvlOverride>
    <w:lvlOverride w:ilvl="5">
      <w:startOverride w:val="402"/>
    </w:lvlOverride>
    <w:lvlOverride w:ilvl="6">
      <w:startOverride w:val="402"/>
    </w:lvlOverride>
    <w:lvlOverride w:ilvl="7">
      <w:startOverride w:val="402"/>
    </w:lvlOverride>
    <w:lvlOverride w:ilvl="8">
      <w:startOverride w:val="402"/>
    </w:lvlOverride>
  </w:num>
  <w:num w:numId="1105">
    <w:abstractNumId w:val="9943403"/>
    <w:lvlOverride w:ilvl="0">
      <w:startOverride w:val="403"/>
    </w:lvlOverride>
    <w:lvlOverride w:ilvl="1">
      <w:startOverride w:val="403"/>
    </w:lvlOverride>
    <w:lvlOverride w:ilvl="2">
      <w:startOverride w:val="403"/>
    </w:lvlOverride>
    <w:lvlOverride w:ilvl="3">
      <w:startOverride w:val="403"/>
    </w:lvlOverride>
    <w:lvlOverride w:ilvl="4">
      <w:startOverride w:val="403"/>
    </w:lvlOverride>
    <w:lvlOverride w:ilvl="5">
      <w:startOverride w:val="403"/>
    </w:lvlOverride>
    <w:lvlOverride w:ilvl="6">
      <w:startOverride w:val="403"/>
    </w:lvlOverride>
    <w:lvlOverride w:ilvl="7">
      <w:startOverride w:val="403"/>
    </w:lvlOverride>
    <w:lvlOverride w:ilvl="8">
      <w:startOverride w:val="403"/>
    </w:lvlOverride>
  </w:num>
  <w:num w:numId="1106">
    <w:abstractNumId w:val="9943406"/>
    <w:lvlOverride w:ilvl="0">
      <w:startOverride w:val="406"/>
    </w:lvlOverride>
    <w:lvlOverride w:ilvl="1">
      <w:startOverride w:val="406"/>
    </w:lvlOverride>
    <w:lvlOverride w:ilvl="2">
      <w:startOverride w:val="406"/>
    </w:lvlOverride>
    <w:lvlOverride w:ilvl="3">
      <w:startOverride w:val="406"/>
    </w:lvlOverride>
    <w:lvlOverride w:ilvl="4">
      <w:startOverride w:val="406"/>
    </w:lvlOverride>
    <w:lvlOverride w:ilvl="5">
      <w:startOverride w:val="406"/>
    </w:lvlOverride>
    <w:lvlOverride w:ilvl="6">
      <w:startOverride w:val="406"/>
    </w:lvlOverride>
    <w:lvlOverride w:ilvl="7">
      <w:startOverride w:val="406"/>
    </w:lvlOverride>
    <w:lvlOverride w:ilvl="8">
      <w:startOverride w:val="406"/>
    </w:lvlOverride>
  </w:num>
  <w:num w:numId="1107">
    <w:abstractNumId w:val="9943410"/>
    <w:lvlOverride w:ilvl="0">
      <w:startOverride w:val="410"/>
    </w:lvlOverride>
    <w:lvlOverride w:ilvl="1">
      <w:startOverride w:val="410"/>
    </w:lvlOverride>
    <w:lvlOverride w:ilvl="2">
      <w:startOverride w:val="410"/>
    </w:lvlOverride>
    <w:lvlOverride w:ilvl="3">
      <w:startOverride w:val="410"/>
    </w:lvlOverride>
    <w:lvlOverride w:ilvl="4">
      <w:startOverride w:val="410"/>
    </w:lvlOverride>
    <w:lvlOverride w:ilvl="5">
      <w:startOverride w:val="410"/>
    </w:lvlOverride>
    <w:lvlOverride w:ilvl="6">
      <w:startOverride w:val="410"/>
    </w:lvlOverride>
    <w:lvlOverride w:ilvl="7">
      <w:startOverride w:val="410"/>
    </w:lvlOverride>
    <w:lvlOverride w:ilvl="8">
      <w:startOverride w:val="410"/>
    </w:lvlOverride>
  </w:num>
  <w:num w:numId="1108">
    <w:abstractNumId w:val="9943411"/>
    <w:lvlOverride w:ilvl="0">
      <w:startOverride w:val="411"/>
    </w:lvlOverride>
    <w:lvlOverride w:ilvl="1">
      <w:startOverride w:val="411"/>
    </w:lvlOverride>
    <w:lvlOverride w:ilvl="2">
      <w:startOverride w:val="411"/>
    </w:lvlOverride>
    <w:lvlOverride w:ilvl="3">
      <w:startOverride w:val="411"/>
    </w:lvlOverride>
    <w:lvlOverride w:ilvl="4">
      <w:startOverride w:val="411"/>
    </w:lvlOverride>
    <w:lvlOverride w:ilvl="5">
      <w:startOverride w:val="411"/>
    </w:lvlOverride>
    <w:lvlOverride w:ilvl="6">
      <w:startOverride w:val="411"/>
    </w:lvlOverride>
    <w:lvlOverride w:ilvl="7">
      <w:startOverride w:val="411"/>
    </w:lvlOverride>
    <w:lvlOverride w:ilvl="8">
      <w:startOverride w:val="411"/>
    </w:lvlOverride>
  </w:num>
  <w:num w:numId="1109">
    <w:abstractNumId w:val="9943414"/>
    <w:lvlOverride w:ilvl="0">
      <w:startOverride w:val="414"/>
    </w:lvlOverride>
    <w:lvlOverride w:ilvl="1">
      <w:startOverride w:val="414"/>
    </w:lvlOverride>
    <w:lvlOverride w:ilvl="2">
      <w:startOverride w:val="414"/>
    </w:lvlOverride>
    <w:lvlOverride w:ilvl="3">
      <w:startOverride w:val="414"/>
    </w:lvlOverride>
    <w:lvlOverride w:ilvl="4">
      <w:startOverride w:val="414"/>
    </w:lvlOverride>
    <w:lvlOverride w:ilvl="5">
      <w:startOverride w:val="414"/>
    </w:lvlOverride>
    <w:lvlOverride w:ilvl="6">
      <w:startOverride w:val="414"/>
    </w:lvlOverride>
    <w:lvlOverride w:ilvl="7">
      <w:startOverride w:val="414"/>
    </w:lvlOverride>
    <w:lvlOverride w:ilvl="8">
      <w:startOverride w:val="414"/>
    </w:lvlOverride>
  </w:num>
  <w:num w:numId="1110">
    <w:abstractNumId w:val="9943419"/>
    <w:lvlOverride w:ilvl="0">
      <w:startOverride w:val="419"/>
    </w:lvlOverride>
    <w:lvlOverride w:ilvl="1">
      <w:startOverride w:val="419"/>
    </w:lvlOverride>
    <w:lvlOverride w:ilvl="2">
      <w:startOverride w:val="419"/>
    </w:lvlOverride>
    <w:lvlOverride w:ilvl="3">
      <w:startOverride w:val="419"/>
    </w:lvlOverride>
    <w:lvlOverride w:ilvl="4">
      <w:startOverride w:val="419"/>
    </w:lvlOverride>
    <w:lvlOverride w:ilvl="5">
      <w:startOverride w:val="419"/>
    </w:lvlOverride>
    <w:lvlOverride w:ilvl="6">
      <w:startOverride w:val="419"/>
    </w:lvlOverride>
    <w:lvlOverride w:ilvl="7">
      <w:startOverride w:val="419"/>
    </w:lvlOverride>
    <w:lvlOverride w:ilvl="8">
      <w:startOverride w:val="419"/>
    </w:lvlOverride>
  </w:num>
  <w:num w:numId="1111">
    <w:abstractNumId w:val="9943422"/>
    <w:lvlOverride w:ilvl="0">
      <w:startOverride w:val="422"/>
    </w:lvlOverride>
    <w:lvlOverride w:ilvl="1">
      <w:startOverride w:val="422"/>
    </w:lvlOverride>
    <w:lvlOverride w:ilvl="2">
      <w:startOverride w:val="422"/>
    </w:lvlOverride>
    <w:lvlOverride w:ilvl="3">
      <w:startOverride w:val="422"/>
    </w:lvlOverride>
    <w:lvlOverride w:ilvl="4">
      <w:startOverride w:val="422"/>
    </w:lvlOverride>
    <w:lvlOverride w:ilvl="5">
      <w:startOverride w:val="422"/>
    </w:lvlOverride>
    <w:lvlOverride w:ilvl="6">
      <w:startOverride w:val="422"/>
    </w:lvlOverride>
    <w:lvlOverride w:ilvl="7">
      <w:startOverride w:val="422"/>
    </w:lvlOverride>
    <w:lvlOverride w:ilvl="8">
      <w:startOverride w:val="422"/>
    </w:lvlOverride>
  </w:num>
  <w:num w:numId="1112">
    <w:abstractNumId w:val="99412022"/>
    <w:lvlOverride w:ilvl="0">
      <w:startOverride w:val="2022"/>
    </w:lvlOverride>
    <w:lvlOverride w:ilvl="1">
      <w:startOverride w:val="2022"/>
    </w:lvlOverride>
    <w:lvlOverride w:ilvl="2">
      <w:startOverride w:val="2022"/>
    </w:lvlOverride>
    <w:lvlOverride w:ilvl="3">
      <w:startOverride w:val="2022"/>
    </w:lvlOverride>
    <w:lvlOverride w:ilvl="4">
      <w:startOverride w:val="2022"/>
    </w:lvlOverride>
    <w:lvlOverride w:ilvl="5">
      <w:startOverride w:val="2022"/>
    </w:lvlOverride>
    <w:lvlOverride w:ilvl="6">
      <w:startOverride w:val="2022"/>
    </w:lvlOverride>
    <w:lvlOverride w:ilvl="7">
      <w:startOverride w:val="2022"/>
    </w:lvlOverride>
    <w:lvlOverride w:ilvl="8">
      <w:startOverride w:val="2022"/>
    </w:lvlOverride>
  </w:num>
  <w:num w:numId="1113">
    <w:abstractNumId w:val="9943423"/>
    <w:lvlOverride w:ilvl="0">
      <w:startOverride w:val="423"/>
    </w:lvlOverride>
    <w:lvlOverride w:ilvl="1">
      <w:startOverride w:val="423"/>
    </w:lvlOverride>
    <w:lvlOverride w:ilvl="2">
      <w:startOverride w:val="423"/>
    </w:lvlOverride>
    <w:lvlOverride w:ilvl="3">
      <w:startOverride w:val="423"/>
    </w:lvlOverride>
    <w:lvlOverride w:ilvl="4">
      <w:startOverride w:val="423"/>
    </w:lvlOverride>
    <w:lvlOverride w:ilvl="5">
      <w:startOverride w:val="423"/>
    </w:lvlOverride>
    <w:lvlOverride w:ilvl="6">
      <w:startOverride w:val="423"/>
    </w:lvlOverride>
    <w:lvlOverride w:ilvl="7">
      <w:startOverride w:val="423"/>
    </w:lvlOverride>
    <w:lvlOverride w:ilvl="8">
      <w:startOverride w:val="423"/>
    </w:lvlOverride>
  </w:num>
  <w:num w:numId="1114">
    <w:abstractNumId w:val="998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115">
    <w:abstractNumId w:val="9943425"/>
    <w:lvlOverride w:ilvl="0">
      <w:startOverride w:val="425"/>
    </w:lvlOverride>
    <w:lvlOverride w:ilvl="1">
      <w:startOverride w:val="425"/>
    </w:lvlOverride>
    <w:lvlOverride w:ilvl="2">
      <w:startOverride w:val="425"/>
    </w:lvlOverride>
    <w:lvlOverride w:ilvl="3">
      <w:startOverride w:val="425"/>
    </w:lvlOverride>
    <w:lvlOverride w:ilvl="4">
      <w:startOverride w:val="425"/>
    </w:lvlOverride>
    <w:lvlOverride w:ilvl="5">
      <w:startOverride w:val="425"/>
    </w:lvlOverride>
    <w:lvlOverride w:ilvl="6">
      <w:startOverride w:val="425"/>
    </w:lvlOverride>
    <w:lvlOverride w:ilvl="7">
      <w:startOverride w:val="425"/>
    </w:lvlOverride>
    <w:lvlOverride w:ilvl="8">
      <w:startOverride w:val="425"/>
    </w:lvlOverride>
  </w:num>
  <w:num w:numId="1116">
    <w:abstractNumId w:val="9943429"/>
    <w:lvlOverride w:ilvl="0">
      <w:startOverride w:val="429"/>
    </w:lvlOverride>
    <w:lvlOverride w:ilvl="1">
      <w:startOverride w:val="429"/>
    </w:lvlOverride>
    <w:lvlOverride w:ilvl="2">
      <w:startOverride w:val="429"/>
    </w:lvlOverride>
    <w:lvlOverride w:ilvl="3">
      <w:startOverride w:val="429"/>
    </w:lvlOverride>
    <w:lvlOverride w:ilvl="4">
      <w:startOverride w:val="429"/>
    </w:lvlOverride>
    <w:lvlOverride w:ilvl="5">
      <w:startOverride w:val="429"/>
    </w:lvlOverride>
    <w:lvlOverride w:ilvl="6">
      <w:startOverride w:val="429"/>
    </w:lvlOverride>
    <w:lvlOverride w:ilvl="7">
      <w:startOverride w:val="429"/>
    </w:lvlOverride>
    <w:lvlOverride w:ilvl="8">
      <w:startOverride w:val="42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2026-07-31T16:48:27Z</dcterms:created>
  <dcterms:modified xsi:type="dcterms:W3CDTF">2026-07-31T16:48:27Z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