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6.2.2024</w:t>
      </w:r>
      <w:r>
        <w:br/>
      </w:r>
      <w:r>
        <w:t xml:space="preserve">SWD(2024) 63 final</w:t>
      </w:r>
      <w:r>
        <w:t xml:space="preserve"> </w:t>
      </w:r>
      <w:r>
        <w:t xml:space="preserve">PART 3/5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Part 3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COMMUNICATION FROM THE COMMISSION TO THE EUROPEAN</w:t>
      </w:r>
      <w:r>
        <w:t xml:space="preserve"> </w:t>
      </w:r>
      <w:r>
        <w:t xml:space="preserve">PARLIAMENT, THE COUNCIL, THE EUROPEAN ECONOMIC AND SOCIAL</w:t>
      </w:r>
      <w:r>
        <w:t xml:space="preserve"> </w:t>
      </w:r>
      <w:r>
        <w:t xml:space="preserve">COMMITTEE AND THE COMMITTEE OF THE REGIONS</w:t>
      </w:r>
      <w:r>
        <w:t xml:space="preserve"> </w:t>
      </w:r>
      <w:r>
        <w:t xml:space="preserve">Securing our future</w:t>
      </w:r>
    </w:p>
    <w:p>
      <w:pPr>
        <w:pStyle w:val="BodyText"/>
      </w:pPr>
      <w:r>
        <w:t xml:space="preserve">Europe’s 2040 climate target and path to climate neutrality by 2050 building a</w:t>
      </w:r>
      <w:r>
        <w:t xml:space="preserve"> </w:t>
      </w:r>
      <w:r>
        <w:t xml:space="preserve">sustainable, just and prosperous society</w:t>
      </w:r>
      <w:r>
        <w:t xml:space="preserve"> </w:t>
      </w:r>
      <w:r>
        <w:t xml:space="preserve">{COM(2024) 63 final} - {SEC(2024) 64 final} - {SWD(2024) 64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8: DETAILED QUANTITATIVE ANALYSIS OF GHG PATHWAYS ……………………………………………….. 3</w:t>
      </w:r>
      <w:r>
        <w:t xml:space="preserve"> </w:t>
      </w:r>
      <w:r>
        <w:t xml:space="preserve">1</w:t>
      </w:r>
      <w:r>
        <w:t xml:space="preserve"> </w:t>
      </w:r>
      <w:r>
        <w:t xml:space="preserve">KEY TRANSFORMATIONS TO CLIMATE NEUTRALITY BY 2050 …………………………………………………. 3</w:t>
      </w:r>
      <w:r>
        <w:t xml:space="preserve"> </w:t>
      </w:r>
      <w:r>
        <w:t xml:space="preserve">1.1.</w:t>
      </w:r>
      <w:r>
        <w:t xml:space="preserve"> </w:t>
      </w:r>
      <w:r>
        <w:t xml:space="preserve">GHG EMISSIONS ……………………………………………………………………………………………………………… 3</w:t>
      </w:r>
      <w:r>
        <w:t xml:space="preserve"> </w:t>
      </w:r>
      <w:r>
        <w:t xml:space="preserve">1.1.1.</w:t>
      </w:r>
      <w:r>
        <w:t xml:space="preserve"> </w:t>
      </w:r>
      <w:r>
        <w:t xml:space="preserve">GHG budgets and net GHG emissions …………………………………………………………………………. 3</w:t>
      </w:r>
      <w:r>
        <w:t xml:space="preserve"> </w:t>
      </w:r>
      <w:r>
        <w:t xml:space="preserve">1.1.2.</w:t>
      </w:r>
      <w:r>
        <w:t xml:space="preserve"> </w:t>
      </w:r>
      <w:r>
        <w:t xml:space="preserve">GHG emissions and role of removals ………………………………………………………………………….. 5</w:t>
      </w:r>
      <w:r>
        <w:t xml:space="preserve"> </w:t>
      </w:r>
      <w:r>
        <w:t xml:space="preserve">1.1.3.</w:t>
      </w:r>
      <w:r>
        <w:t xml:space="preserve"> </w:t>
      </w:r>
      <w:r>
        <w:t xml:space="preserve">Energy and Industry CO2 emissions ………………………………………………………………………….. 15</w:t>
      </w:r>
      <w:r>
        <w:t xml:space="preserve"> </w:t>
      </w:r>
      <w:r>
        <w:t xml:space="preserve">1.1.4.</w:t>
      </w:r>
      <w:r>
        <w:t xml:space="preserve"> </w:t>
      </w:r>
      <w:r>
        <w:t xml:space="preserve">Non-CO2 GHG emissions …………………………………………………………………………………………. 23</w:t>
      </w:r>
      <w:r>
        <w:t xml:space="preserve"> </w:t>
      </w:r>
      <w:r>
        <w:t xml:space="preserve">1.2.</w:t>
      </w:r>
      <w:r>
        <w:t xml:space="preserve"> </w:t>
      </w:r>
      <w:r>
        <w:t xml:space="preserve">ENERGY SECTOR TRANSFORMATION ………………………………………………………………………………………. 26</w:t>
      </w:r>
      <w:r>
        <w:t xml:space="preserve"> </w:t>
      </w:r>
      <w:r>
        <w:t xml:space="preserve">1.2.1.</w:t>
      </w:r>
      <w:r>
        <w:t xml:space="preserve"> </w:t>
      </w:r>
      <w:r>
        <w:t xml:space="preserve">Energy supply ………………………………………………………………………………………………………… 26</w:t>
      </w:r>
      <w:r>
        <w:t xml:space="preserve"> </w:t>
      </w:r>
      <w:r>
        <w:t xml:space="preserve">1.2.2.</w:t>
      </w:r>
      <w:r>
        <w:t xml:space="preserve"> </w:t>
      </w:r>
      <w:r>
        <w:t xml:space="preserve">Power generation sector …………………………………………………………………………………………. 30</w:t>
      </w:r>
      <w:r>
        <w:t xml:space="preserve"> </w:t>
      </w:r>
      <w:r>
        <w:t xml:space="preserve">1.2.3.</w:t>
      </w:r>
      <w:r>
        <w:t xml:space="preserve"> </w:t>
      </w:r>
      <w:r>
        <w:t xml:space="preserve">Gaseous fuels ………………………………………………………………………………………………………… 39</w:t>
      </w:r>
      <w:r>
        <w:t xml:space="preserve"> </w:t>
      </w:r>
      <w:r>
        <w:t xml:space="preserve">1.2.4.</w:t>
      </w:r>
      <w:r>
        <w:t xml:space="preserve"> </w:t>
      </w:r>
      <w:r>
        <w:t xml:space="preserve">Final Energy Consumption ………………………………………………………………………………………. 42</w:t>
      </w:r>
      <w:r>
        <w:t xml:space="preserve"> </w:t>
      </w:r>
      <w:r>
        <w:t xml:space="preserve">1.2.5.</w:t>
      </w:r>
      <w:r>
        <w:t xml:space="preserve"> </w:t>
      </w:r>
      <w:r>
        <w:t xml:space="preserve">Energy related CO2 emissions ………………………………………………………………………………….. 46</w:t>
      </w:r>
      <w:r>
        <w:t xml:space="preserve"> </w:t>
      </w:r>
      <w:r>
        <w:t xml:space="preserve">1.2.6.</w:t>
      </w:r>
      <w:r>
        <w:t xml:space="preserve"> </w:t>
      </w:r>
      <w:r>
        <w:t xml:space="preserve">Raw materials’ needs ……………………………………………………………………………………………… 48</w:t>
      </w:r>
      <w:r>
        <w:t xml:space="preserve"> </w:t>
      </w:r>
      <w:r>
        <w:t xml:space="preserve">1.3.</w:t>
      </w:r>
      <w:r>
        <w:t xml:space="preserve"> </w:t>
      </w:r>
      <w:r>
        <w:t xml:space="preserve">BUILDINGS …………………………………………………………………………………………………………………… 48</w:t>
      </w:r>
      <w:r>
        <w:t xml:space="preserve"> </w:t>
      </w:r>
      <w:r>
        <w:t xml:space="preserve">1.3.1.</w:t>
      </w:r>
      <w:r>
        <w:t xml:space="preserve"> </w:t>
      </w:r>
      <w:r>
        <w:t xml:space="preserve">Buildings activity ……………………………………………………………………………………………………. 49</w:t>
      </w:r>
      <w:r>
        <w:t xml:space="preserve"> </w:t>
      </w:r>
      <w:r>
        <w:t xml:space="preserve">1.3.2.</w:t>
      </w:r>
      <w:r>
        <w:t xml:space="preserve"> </w:t>
      </w:r>
      <w:r>
        <w:t xml:space="preserve">Energy efficiency in buildings …………………………………………………………………………………… 49</w:t>
      </w:r>
      <w:r>
        <w:t xml:space="preserve"> </w:t>
      </w:r>
      <w:r>
        <w:t xml:space="preserve">1.3.3.</w:t>
      </w:r>
      <w:r>
        <w:t xml:space="preserve"> </w:t>
      </w:r>
      <w:r>
        <w:t xml:space="preserve">Fuel mix in buildings ……………………………………………………………………………………………….. 53</w:t>
      </w:r>
      <w:r>
        <w:t xml:space="preserve"> </w:t>
      </w:r>
      <w:r>
        <w:t xml:space="preserve">1.3.4.</w:t>
      </w:r>
      <w:r>
        <w:t xml:space="preserve"> </w:t>
      </w:r>
      <w:r>
        <w:t xml:space="preserve">Appliances …………………………………………………………………………………………………………….. 57</w:t>
      </w:r>
      <w:r>
        <w:t xml:space="preserve"> </w:t>
      </w:r>
      <w:r>
        <w:t xml:space="preserve">1.3.5.</w:t>
      </w:r>
      <w:r>
        <w:t xml:space="preserve"> </w:t>
      </w:r>
      <w:r>
        <w:t xml:space="preserve">CO2 emissions from buildings …………………………………………………………………………………… 58</w:t>
      </w:r>
      <w:r>
        <w:t xml:space="preserve"> </w:t>
      </w:r>
      <w:r>
        <w:t xml:space="preserve">1.4.</w:t>
      </w:r>
      <w:r>
        <w:t xml:space="preserve"> </w:t>
      </w:r>
      <w:r>
        <w:t xml:space="preserve">INDUSTRY …………………………………………………………………………………………………………………….. 59</w:t>
      </w:r>
      <w:r>
        <w:t xml:space="preserve"> </w:t>
      </w:r>
      <w:r>
        <w:t xml:space="preserve">1.4.1.</w:t>
      </w:r>
      <w:r>
        <w:t xml:space="preserve"> </w:t>
      </w:r>
      <w:r>
        <w:t xml:space="preserve">Introduction ………………………………………………………………………………………………………….. 59</w:t>
      </w:r>
      <w:r>
        <w:t xml:space="preserve"> </w:t>
      </w:r>
      <w:r>
        <w:t xml:space="preserve">1.4.2.</w:t>
      </w:r>
      <w:r>
        <w:t xml:space="preserve"> </w:t>
      </w:r>
      <w:r>
        <w:t xml:space="preserve">Activity …………………………………………………………………………………………………………………. 60</w:t>
      </w:r>
      <w:r>
        <w:t xml:space="preserve"> </w:t>
      </w:r>
      <w:r>
        <w:t xml:space="preserve">1.4.3.</w:t>
      </w:r>
      <w:r>
        <w:t xml:space="preserve"> </w:t>
      </w:r>
      <w:r>
        <w:t xml:space="preserve">Final Energy Consumption ………………………………………………………………………………………. 61</w:t>
      </w:r>
      <w:r>
        <w:t xml:space="preserve"> </w:t>
      </w:r>
      <w:r>
        <w:t xml:space="preserve">1.4.4.</w:t>
      </w:r>
      <w:r>
        <w:t xml:space="preserve"> </w:t>
      </w:r>
      <w:r>
        <w:t xml:space="preserve">Final Non-Energy Consumption ………………………………………………………………………………… 63</w:t>
      </w:r>
      <w:r>
        <w:t xml:space="preserve"> </w:t>
      </w:r>
      <w:r>
        <w:t xml:space="preserve">1.4.5.</w:t>
      </w:r>
      <w:r>
        <w:t xml:space="preserve"> </w:t>
      </w:r>
      <w:r>
        <w:t xml:space="preserve">CO2 emissions from industry……………………………………………………………………………………. 64</w:t>
      </w:r>
      <w:r>
        <w:t xml:space="preserve"> </w:t>
      </w:r>
      <w:r>
        <w:t xml:space="preserve">1.4.6.</w:t>
      </w:r>
      <w:r>
        <w:t xml:space="preserve"> </w:t>
      </w:r>
      <w:r>
        <w:t xml:space="preserve">Complementary analysis …………………………………………………………………………………………. 68</w:t>
      </w:r>
      <w:r>
        <w:t xml:space="preserve"> </w:t>
      </w:r>
      <w:r>
        <w:t xml:space="preserve">1.5.</w:t>
      </w:r>
      <w:r>
        <w:t xml:space="preserve"> </w:t>
      </w:r>
      <w:r>
        <w:t xml:space="preserve">TRANSPORT ………………………………………………………………………………………………………………….. 75</w:t>
      </w:r>
      <w:r>
        <w:t xml:space="preserve"> </w:t>
      </w:r>
      <w:r>
        <w:t xml:space="preserve">1.5.1.</w:t>
      </w:r>
      <w:r>
        <w:t xml:space="preserve"> </w:t>
      </w:r>
      <w:r>
        <w:t xml:space="preserve">Introduction ………………………………………………………………………………………………………….. 75</w:t>
      </w:r>
      <w:r>
        <w:t xml:space="preserve"> </w:t>
      </w:r>
      <w:r>
        <w:t xml:space="preserve">1.5.2.</w:t>
      </w:r>
      <w:r>
        <w:t xml:space="preserve"> </w:t>
      </w:r>
      <w:r>
        <w:t xml:space="preserve">Activity …………………………………………………………………………………………………………………. 76</w:t>
      </w:r>
      <w:r>
        <w:t xml:space="preserve"> </w:t>
      </w:r>
      <w:r>
        <w:t xml:space="preserve">1.5.3.</w:t>
      </w:r>
      <w:r>
        <w:t xml:space="preserve"> </w:t>
      </w:r>
      <w:r>
        <w:t xml:space="preserve">Energy consumption and fuel mix …………………………………………………………………………….. 79</w:t>
      </w:r>
      <w:r>
        <w:t xml:space="preserve"> </w:t>
      </w:r>
      <w:r>
        <w:t xml:space="preserve">1.5.4.</w:t>
      </w:r>
      <w:r>
        <w:t xml:space="preserve"> </w:t>
      </w:r>
      <w:r>
        <w:t xml:space="preserve">Technology developments per transport mode ………………………………………………………….. 83</w:t>
      </w:r>
      <w:r>
        <w:t xml:space="preserve"> </w:t>
      </w:r>
      <w:r>
        <w:t xml:space="preserve">1.5.5.</w:t>
      </w:r>
      <w:r>
        <w:t xml:space="preserve"> </w:t>
      </w:r>
      <w:r>
        <w:t xml:space="preserve">CO2 emissions from transport …………………………………………………………………………………. 97</w:t>
      </w:r>
      <w:r>
        <w:t xml:space="preserve"> </w:t>
      </w:r>
      <w:r>
        <w:t xml:space="preserve">1.6.</w:t>
      </w:r>
      <w:r>
        <w:t xml:space="preserve"> </w:t>
      </w:r>
      <w:r>
        <w:t xml:space="preserve">NON-CO2 GHG EMISSIONS IN NON-LAND-RELATED SECTORS ……………………………………………………….. 99</w:t>
      </w:r>
      <w:r>
        <w:t xml:space="preserve"> </w:t>
      </w:r>
      <w:r>
        <w:t xml:space="preserve">1.6.1.</w:t>
      </w:r>
      <w:r>
        <w:t xml:space="preserve"> </w:t>
      </w:r>
      <w:r>
        <w:t xml:space="preserve">Evolution of emissions without additional mitigation …………………………………………………. 99</w:t>
      </w:r>
      <w:r>
        <w:t xml:space="preserve"> </w:t>
      </w:r>
      <w:r>
        <w:t xml:space="preserve">1.6.2.</w:t>
      </w:r>
      <w:r>
        <w:t xml:space="preserve"> </w:t>
      </w:r>
      <w:r>
        <w:t xml:space="preserve">Additional mitigation potential ………………………………………………………………………………. 101</w:t>
      </w:r>
      <w:r>
        <w:t xml:space="preserve"> </w:t>
      </w:r>
      <w:r>
        <w:t xml:space="preserve">1.6.3.</w:t>
      </w:r>
      <w:r>
        <w:t xml:space="preserve"> </w:t>
      </w:r>
      <w:r>
        <w:t xml:space="preserve">Emissions projections ……………………………………………………………………………………………. 104</w:t>
      </w:r>
      <w:r>
        <w:t xml:space="preserve"> </w:t>
      </w:r>
      <w:r>
        <w:t xml:space="preserve">1.7.</w:t>
      </w:r>
      <w:r>
        <w:t xml:space="preserve"> </w:t>
      </w:r>
      <w:r>
        <w:t xml:space="preserve">AGRICULTURE ………………………………………………………………………………………………………………….. 106</w:t>
      </w:r>
      <w:r>
        <w:t xml:space="preserve"> </w:t>
      </w:r>
      <w:r>
        <w:t xml:space="preserve">1.7.1.</w:t>
      </w:r>
      <w:r>
        <w:t xml:space="preserve"> </w:t>
      </w:r>
      <w:r>
        <w:t xml:space="preserve">Introduction ………………………………………………………………………………………………………… 106</w:t>
      </w:r>
      <w:r>
        <w:t xml:space="preserve"> </w:t>
      </w:r>
      <w:r>
        <w:t xml:space="preserve">1.7.2.</w:t>
      </w:r>
      <w:r>
        <w:t xml:space="preserve"> </w:t>
      </w:r>
      <w:r>
        <w:t xml:space="preserve">Activity ……………………………………………………………………………………………………………….. 108</w:t>
      </w:r>
      <w:r>
        <w:t xml:space="preserve"> </w:t>
      </w:r>
      <w:r>
        <w:t xml:space="preserve">1.7.3.</w:t>
      </w:r>
      <w:r>
        <w:t xml:space="preserve"> </w:t>
      </w:r>
      <w:r>
        <w:t xml:space="preserve">Evolution of emissions without additional mitigation measures …………………………………. 110</w:t>
      </w:r>
      <w:r>
        <w:t xml:space="preserve"> </w:t>
      </w:r>
      <w:r>
        <w:t xml:space="preserve">1.7.4.</w:t>
      </w:r>
      <w:r>
        <w:t xml:space="preserve"> </w:t>
      </w:r>
      <w:r>
        <w:t xml:space="preserve">Mitigation potential for non-CO2 GHG emissions ……………………………………………………… 111</w:t>
      </w:r>
      <w:r>
        <w:t xml:space="preserve"> </w:t>
      </w:r>
      <w:r>
        <w:t xml:space="preserve">1.7.5.</w:t>
      </w:r>
      <w:r>
        <w:t xml:space="preserve"> </w:t>
      </w:r>
      <w:r>
        <w:t xml:space="preserve">GHG emissions projections …………………………………………………………………………………….. 114</w:t>
      </w:r>
      <w:r>
        <w:t xml:space="preserve"> </w:t>
      </w:r>
      <w:r>
        <w:t xml:space="preserve">1.8.</w:t>
      </w:r>
      <w:r>
        <w:t xml:space="preserve"> </w:t>
      </w:r>
      <w:r>
        <w:t xml:space="preserve">LULUCF ……………………………………………………………………………………………………………………. 118</w:t>
      </w:r>
      <w:r>
        <w:t xml:space="preserve"> </w:t>
      </w:r>
      <w:r>
        <w:t xml:space="preserve">1.8.1.</w:t>
      </w:r>
      <w:r>
        <w:t xml:space="preserve"> </w:t>
      </w:r>
      <w:r>
        <w:t xml:space="preserve">Introduction ………………………………………………………………………………………………………… 118</w:t>
      </w:r>
      <w:r>
        <w:t xml:space="preserve"> </w:t>
      </w:r>
      <w:r>
        <w:t xml:space="preserve">1.8.2.</w:t>
      </w:r>
      <w:r>
        <w:t xml:space="preserve"> </w:t>
      </w:r>
      <w:r>
        <w:t xml:space="preserve">Activity ……………………………………………………………………………………………………………….. 119</w:t>
      </w:r>
      <w:r>
        <w:t xml:space="preserve"> </w:t>
      </w:r>
      <w:r>
        <w:t xml:space="preserve">1.8.3.</w:t>
      </w:r>
      <w:r>
        <w:t xml:space="preserve"> </w:t>
      </w:r>
      <w:r>
        <w:t xml:space="preserve">Options to increase the net LULUCF net removal ……………………………………………………… 126</w:t>
      </w:r>
      <w:r>
        <w:t xml:space="preserve"> </w:t>
      </w:r>
      <w:r>
        <w:t xml:space="preserve">1.8.4.</w:t>
      </w:r>
      <w:r>
        <w:t xml:space="preserve"> </w:t>
      </w:r>
      <w:r>
        <w:t xml:space="preserve">The LULUCF net removal ……………………………………………………………………………………….. 129</w:t>
      </w:r>
      <w:r>
        <w:t xml:space="preserve"> </w:t>
      </w:r>
      <w:r>
        <w:t xml:space="preserve">1.8.5.</w:t>
      </w:r>
      <w:r>
        <w:t xml:space="preserve"> </w:t>
      </w:r>
      <w:r>
        <w:t xml:space="preserve">Analysis of climate change impacts and CO2 fertilisation ………………………………………….. 132</w:t>
      </w:r>
      <w:r>
        <w:t xml:space="preserve"> </w:t>
      </w:r>
      <w:r>
        <w:t xml:space="preserve">1.8.6.</w:t>
      </w:r>
      <w:r>
        <w:t xml:space="preserve"> </w:t>
      </w:r>
      <w:r>
        <w:t xml:space="preserve">Impacts from simulated extreme events on the LULUCF net removal ………………………….. 135</w:t>
      </w:r>
      <w:r>
        <w:t xml:space="preserve"> </w:t>
      </w:r>
      <w:r>
        <w:t xml:space="preserve">1.9.</w:t>
      </w:r>
      <w:r>
        <w:t xml:space="preserve"> </w:t>
      </w:r>
      <w:r>
        <w:t xml:space="preserve">ENVIRONMENTAL AND HEALTH IMPACTS ……………………………………………………………………………….. 138</w:t>
      </w:r>
      <w:r>
        <w:t xml:space="preserve"> </w:t>
      </w:r>
      <w:r>
        <w:t xml:space="preserve">1.9.1.</w:t>
      </w:r>
      <w:r>
        <w:t xml:space="preserve"> </w:t>
      </w:r>
      <w:r>
        <w:t xml:space="preserve">Air quality ……………………………………………………………………………………………………………. 138</w:t>
      </w:r>
      <w:r>
        <w:t xml:space="preserve"> </w:t>
      </w:r>
      <w:r>
        <w:t xml:space="preserve">1.9.2.</w:t>
      </w:r>
      <w:r>
        <w:t xml:space="preserve"> </w:t>
      </w:r>
      <w:r>
        <w:t xml:space="preserve">Biodiversity and ecosystems ………………………………………………………………………………….. 142</w:t>
      </w:r>
      <w:r>
        <w:t xml:space="preserve"> </w:t>
      </w:r>
      <w:r>
        <w:t xml:space="preserve">1.9.3.</w:t>
      </w:r>
      <w:r>
        <w:t xml:space="preserve"> </w:t>
      </w:r>
      <w:r>
        <w:t xml:space="preserve">Food security, animal welfare and health ………………………………………………………………… 146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1.9.4.</w:t>
      </w:r>
      <w:r>
        <w:t xml:space="preserve"> </w:t>
      </w:r>
      <w:r>
        <w:t xml:space="preserve">Raw materials ……………………………………………………………………………………………………… 149</w:t>
      </w:r>
      <w:r>
        <w:t xml:space="preserve"> </w:t>
      </w:r>
      <w:r>
        <w:t xml:space="preserve">2.</w:t>
      </w:r>
      <w:r>
        <w:t xml:space="preserve"> </w:t>
      </w:r>
      <w:r>
        <w:t xml:space="preserve">SOCIO-ECONOMIC IMPACTS …………………………………………………………………………………………. 150</w:t>
      </w:r>
      <w:r>
        <w:t xml:space="preserve"> </w:t>
      </w:r>
      <w:r>
        <w:t xml:space="preserve">2.1.</w:t>
      </w:r>
      <w:r>
        <w:t xml:space="preserve"> </w:t>
      </w:r>
      <w:r>
        <w:t xml:space="preserve">MACRO-ECONOMIC IMPACTS () …………………………………………………………………………………………. 151</w:t>
      </w:r>
      <w:r>
        <w:t xml:space="preserve"> </w:t>
      </w:r>
      <w:r>
        <w:t xml:space="preserve">2.1.1.</w:t>
      </w:r>
      <w:r>
        <w:t xml:space="preserve"> </w:t>
      </w:r>
      <w:r>
        <w:t xml:space="preserve">GDP and employment …………………………………………………………………………………………… 151</w:t>
      </w:r>
      <w:r>
        <w:t xml:space="preserve"> </w:t>
      </w:r>
      <w:r>
        <w:t xml:space="preserve">2.1.2.</w:t>
      </w:r>
      <w:r>
        <w:t xml:space="preserve"> </w:t>
      </w:r>
      <w:r>
        <w:t xml:space="preserve">The impact of frictions in the economic transition …………………………………………………….. 153</w:t>
      </w:r>
      <w:r>
        <w:t xml:space="preserve"> </w:t>
      </w:r>
      <w:r>
        <w:t xml:space="preserve">2.2.</w:t>
      </w:r>
      <w:r>
        <w:t xml:space="preserve"> </w:t>
      </w:r>
      <w:r>
        <w:t xml:space="preserve">THE INVESTMENT AGENDA ()…………………………………………………………………………………………….. 157</w:t>
      </w:r>
      <w:r>
        <w:t xml:space="preserve"> </w:t>
      </w:r>
      <w:r>
        <w:t xml:space="preserve">2.2.1.</w:t>
      </w:r>
      <w:r>
        <w:t xml:space="preserve"> </w:t>
      </w:r>
      <w:r>
        <w:t xml:space="preserve">Aggregate investment needs …………………………………………………………………………………. 157</w:t>
      </w:r>
      <w:r>
        <w:t xml:space="preserve"> </w:t>
      </w:r>
      <w:r>
        <w:t xml:space="preserve">2.2.2.</w:t>
      </w:r>
      <w:r>
        <w:t xml:space="preserve"> </w:t>
      </w:r>
      <w:r>
        <w:t xml:space="preserve">Supply-side investment needs ………………………………………………………………………………… 162</w:t>
      </w:r>
      <w:r>
        <w:t xml:space="preserve"> </w:t>
      </w:r>
      <w:r>
        <w:t xml:space="preserve">2.2.3.</w:t>
      </w:r>
      <w:r>
        <w:t xml:space="preserve"> </w:t>
      </w:r>
      <w:r>
        <w:t xml:space="preserve">Demand-side investment needs, industry,services and agriculture ……………………………… 164</w:t>
      </w:r>
      <w:r>
        <w:t xml:space="preserve"> </w:t>
      </w:r>
      <w:r>
        <w:t xml:space="preserve">2.2.4.</w:t>
      </w:r>
      <w:r>
        <w:t xml:space="preserve"> </w:t>
      </w:r>
      <w:r>
        <w:t xml:space="preserve">Demand-side investment needs, households ……………………………………………………………. 170</w:t>
      </w:r>
      <w:r>
        <w:t xml:space="preserve"> </w:t>
      </w:r>
      <w:r>
        <w:t xml:space="preserve">2.2.5.</w:t>
      </w:r>
      <w:r>
        <w:t xml:space="preserve"> </w:t>
      </w:r>
      <w:r>
        <w:t xml:space="preserve">Demand-side investment needs, transport ………………………………………………………………. 174</w:t>
      </w:r>
      <w:r>
        <w:t xml:space="preserve"> </w:t>
      </w:r>
      <w:r>
        <w:t xml:space="preserve">2.2.6.</w:t>
      </w:r>
      <w:r>
        <w:t xml:space="preserve"> </w:t>
      </w:r>
      <w:r>
        <w:t xml:space="preserve">Sensitivity of investment needs to technology costs assumptions ……………………………….. 177</w:t>
      </w:r>
      <w:r>
        <w:t xml:space="preserve"> </w:t>
      </w:r>
      <w:r>
        <w:t xml:space="preserve">2.2.7.</w:t>
      </w:r>
      <w:r>
        <w:t xml:space="preserve"> </w:t>
      </w:r>
      <w:r>
        <w:t xml:space="preserve">Investment needs for net-zero technology manufacturing capacity ……………………………. 178</w:t>
      </w:r>
      <w:r>
        <w:t xml:space="preserve"> </w:t>
      </w:r>
      <w:r>
        <w:t xml:space="preserve">2.2.8.</w:t>
      </w:r>
      <w:r>
        <w:t xml:space="preserve"> </w:t>
      </w:r>
      <w:r>
        <w:t xml:space="preserve">Technical feasibility ………………………………………………………………………………………………. 179</w:t>
      </w:r>
      <w:r>
        <w:t xml:space="preserve"> </w:t>
      </w:r>
      <w:r>
        <w:t xml:space="preserve">2.2.9.</w:t>
      </w:r>
      <w:r>
        <w:t xml:space="preserve"> </w:t>
      </w:r>
      <w:r>
        <w:t xml:space="preserve">Other related investment needs ……………………………………………………………………………… 180</w:t>
      </w:r>
      <w:r>
        <w:t xml:space="preserve"> </w:t>
      </w:r>
      <w:r>
        <w:t xml:space="preserve">2.2.10.</w:t>
      </w:r>
      <w:r>
        <w:t xml:space="preserve"> </w:t>
      </w:r>
      <w:r>
        <w:t xml:space="preserve">The role of the public sector and carbon pricing revenues ……………………………………… 182</w:t>
      </w:r>
      <w:r>
        <w:t xml:space="preserve"> </w:t>
      </w:r>
      <w:r>
        <w:t xml:space="preserve">2.3.</w:t>
      </w:r>
      <w:r>
        <w:t xml:space="preserve"> </w:t>
      </w:r>
      <w:r>
        <w:t xml:space="preserve">COMPETITIVENESS ………………………………………………………………………………………………………… 184</w:t>
      </w:r>
      <w:r>
        <w:t xml:space="preserve"> </w:t>
      </w:r>
      <w:r>
        <w:t xml:space="preserve">2.3.1.</w:t>
      </w:r>
      <w:r>
        <w:t xml:space="preserve"> </w:t>
      </w:r>
      <w:r>
        <w:t xml:space="preserve">Total energy system costs ……………………………………………………………………………………… 184</w:t>
      </w:r>
      <w:r>
        <w:t xml:space="preserve"> </w:t>
      </w:r>
      <w:r>
        <w:t xml:space="preserve">2.3.2.</w:t>
      </w:r>
      <w:r>
        <w:t xml:space="preserve"> </w:t>
      </w:r>
      <w:r>
        <w:t xml:space="preserve">Energy system costs and prices for industry …………………………………………………………….. 186</w:t>
      </w:r>
      <w:r>
        <w:t xml:space="preserve"> </w:t>
      </w:r>
      <w:r>
        <w:t xml:space="preserve">2.3.3.</w:t>
      </w:r>
      <w:r>
        <w:t xml:space="preserve"> </w:t>
      </w:r>
      <w:r>
        <w:t xml:space="preserve">Energy system costs and prices for services ……………………………………………………………… 189</w:t>
      </w:r>
      <w:r>
        <w:t xml:space="preserve"> </w:t>
      </w:r>
      <w:r>
        <w:t xml:space="preserve">2.3.4.</w:t>
      </w:r>
      <w:r>
        <w:t xml:space="preserve"> </w:t>
      </w:r>
      <w:r>
        <w:t xml:space="preserve">Energy system costs and prices for transport …………………………………………………………… 190</w:t>
      </w:r>
      <w:r>
        <w:t xml:space="preserve"> </w:t>
      </w:r>
      <w:r>
        <w:t xml:space="preserve">2.3.5.</w:t>
      </w:r>
      <w:r>
        <w:t xml:space="preserve"> </w:t>
      </w:r>
      <w:r>
        <w:t xml:space="preserve">Costs related to mitigation of GHG emissions in the LULUCF sector and non-CO2 GHG</w:t>
      </w:r>
      <w:r>
        <w:t xml:space="preserve"> </w:t>
      </w:r>
      <w:r>
        <w:t xml:space="preserve">emissions …………………………………………………………………………………………………………………………. 190</w:t>
      </w:r>
      <w:r>
        <w:t xml:space="preserve"> </w:t>
      </w:r>
      <w:r>
        <w:t xml:space="preserve">2.3.6.</w:t>
      </w:r>
      <w:r>
        <w:t xml:space="preserve"> </w:t>
      </w:r>
      <w:r>
        <w:t xml:space="preserve">Sectoral output and international trade ………………………………………………………………….. 192</w:t>
      </w:r>
      <w:r>
        <w:t xml:space="preserve"> </w:t>
      </w:r>
      <w:r>
        <w:t xml:space="preserve">2.4.</w:t>
      </w:r>
      <w:r>
        <w:t xml:space="preserve"> </w:t>
      </w:r>
      <w:r>
        <w:t xml:space="preserve">SOCIAL IMPACTS AND JUST TRANSITION ………………………………………………………………………………… 199</w:t>
      </w:r>
      <w:r>
        <w:t xml:space="preserve"> </w:t>
      </w:r>
      <w:r>
        <w:t xml:space="preserve">2.4.1.</w:t>
      </w:r>
      <w:r>
        <w:t xml:space="preserve"> </w:t>
      </w:r>
      <w:r>
        <w:t xml:space="preserve">Fuel expenses, energy and transport poverty, distributional impacts ………………………….. 199</w:t>
      </w:r>
      <w:r>
        <w:t xml:space="preserve"> </w:t>
      </w:r>
      <w:r>
        <w:t xml:space="preserve">2.4.2.</w:t>
      </w:r>
      <w:r>
        <w:t xml:space="preserve"> </w:t>
      </w:r>
      <w:r>
        <w:t xml:space="preserve">Electricity prices …………………………………………………………………………………………………… 204</w:t>
      </w:r>
      <w:r>
        <w:t xml:space="preserve"> </w:t>
      </w:r>
      <w:r>
        <w:t xml:space="preserve">2.4.3.</w:t>
      </w:r>
      <w:r>
        <w:t xml:space="preserve"> </w:t>
      </w:r>
      <w:r>
        <w:t xml:space="preserve">Sectoral employment, skills and occupation groups ………………………………………………….. 204</w:t>
      </w:r>
      <w:r>
        <w:t xml:space="preserve"> </w:t>
      </w:r>
      <w:r>
        <w:t xml:space="preserve">2.4.4.</w:t>
      </w:r>
      <w:r>
        <w:t xml:space="preserve"> </w:t>
      </w:r>
      <w:r>
        <w:t xml:space="preserve">Changes in relative prices and distributional impacts ……………………………………………….. 214</w:t>
      </w:r>
      <w:r>
        <w:t xml:space="preserve"> </w:t>
      </w:r>
      <w:r>
        <w:t xml:space="preserve">2.4.5.</w:t>
      </w:r>
      <w:r>
        <w:t xml:space="preserve"> </w:t>
      </w:r>
      <w:r>
        <w:t xml:space="preserve">The equity dimension ……………………………………………………………………………………………. 217</w:t>
      </w:r>
      <w:r>
        <w:t xml:space="preserve"> </w:t>
      </w:r>
      <w:r>
        <w:t xml:space="preserve">2.5.</w:t>
      </w:r>
      <w:r>
        <w:t xml:space="preserve"> </w:t>
      </w:r>
      <w:r>
        <w:t xml:space="preserve">REGIONAL IMPACTS ……………………………………………………………………………………………………….. 217</w:t>
      </w:r>
      <w:r>
        <w:t xml:space="preserve"> </w:t>
      </w:r>
      <w:r>
        <w:t xml:space="preserve">2.5.1.</w:t>
      </w:r>
      <w:r>
        <w:t xml:space="preserve"> </w:t>
      </w:r>
      <w:r>
        <w:t xml:space="preserve">Regional exposure to climate change ……………………………………………………………………… 217</w:t>
      </w:r>
      <w:r>
        <w:t xml:space="preserve"> </w:t>
      </w:r>
      <w:r>
        <w:t xml:space="preserve">2.5.2.</w:t>
      </w:r>
      <w:r>
        <w:t xml:space="preserve"> </w:t>
      </w:r>
      <w:r>
        <w:t xml:space="preserve">Regional exposure to the transition ………………………………………………………………………… 217</w:t>
      </w:r>
      <w:r>
        <w:t xml:space="preserve"> </w:t>
      </w:r>
      <w:r>
        <w:t xml:space="preserve">2.6.</w:t>
      </w:r>
      <w:r>
        <w:t xml:space="preserve"> </w:t>
      </w:r>
      <w:r>
        <w:t xml:space="preserve">ENERGY SECURITY …………………………………………………………………………………………………………. 230</w:t>
      </w:r>
      <w:r>
        <w:t xml:space="preserve"> </w:t>
      </w:r>
      <w:r>
        <w:t xml:space="preserve">2.6.1.</w:t>
      </w:r>
      <w:r>
        <w:t xml:space="preserve"> </w:t>
      </w:r>
      <w:r>
        <w:t xml:space="preserve">Strategic independence and fuel imports – energy security () …………………………………….. 230</w:t>
      </w:r>
      <w:r>
        <w:t xml:space="preserve"> </w:t>
      </w:r>
      <w:r>
        <w:t xml:space="preserve">2.6.2.</w:t>
      </w:r>
      <w:r>
        <w:t xml:space="preserve"> </w:t>
      </w:r>
      <w:r>
        <w:t xml:space="preserve">Vulnerability to external shocks ……………………………………………………………………………… 232</w:t>
      </w:r>
      <w:r>
        <w:t xml:space="preserve"> </w:t>
      </w:r>
      <w:r>
        <w:t xml:space="preserve">TABLE OF FIGURES ………………………………………………………………………………………………………………. 235</w:t>
      </w:r>
      <w:r>
        <w:t xml:space="preserve"> </w:t>
      </w:r>
      <w:r>
        <w:t xml:space="preserve">TABLE OF TABLES ………………………………………………………………………………………………………………… 238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Annex 8: Detailed quantitative analysis of GHG pathways</w:t>
      </w:r>
      <w:r>
        <w:t xml:space="preserve"> </w:t>
      </w:r>
      <w:r>
        <w:t xml:space="preserve">1</w:t>
      </w:r>
      <w:r>
        <w:t xml:space="preserve"> </w:t>
      </w:r>
      <w:r>
        <w:t xml:space="preserve">KEY TRANSFORMATIONS TO CLIMATE NEUTRALITY BY 2050</w:t>
      </w:r>
      <w:r>
        <w:t xml:space="preserve"> </w:t>
      </w:r>
      <w:r>
        <w:t xml:space="preserve">The impact assessment explores different GHG emission pathways in the 2030-2050</w:t>
      </w:r>
      <w:r>
        <w:t xml:space="preserve"> </w:t>
      </w:r>
      <w:r>
        <w:t xml:space="preserve">period, building on the Fit-for-55 and REPowerEU policy package for 2030 and beyond,</w:t>
      </w:r>
      <w:r>
        <w:t xml:space="preserve"> </w:t>
      </w:r>
      <w:r>
        <w:t xml:space="preserve">and achieving climate neutrality by 2050. The first section below describes the evolution</w:t>
      </w:r>
      <w:r>
        <w:t xml:space="preserve"> </w:t>
      </w:r>
      <w:r>
        <w:t xml:space="preserve">of GHG emissions in the various pathways explored, looking at their reduction and the</w:t>
      </w:r>
      <w:r>
        <w:t xml:space="preserve"> </w:t>
      </w:r>
      <w:r>
        <w:t xml:space="preserve">contribution of carbon removals. The following sections provide details on the associated</w:t>
      </w:r>
      <w:r>
        <w:t xml:space="preserve"> </w:t>
      </w:r>
      <w:r>
        <w:t xml:space="preserve">transformation in various sectors: the energy system, with dedicated analysis on the</w:t>
      </w:r>
      <w:r>
        <w:t xml:space="preserve"> </w:t>
      </w:r>
      <w:r>
        <w:t xml:space="preserve">energy supply, buildings, industry, transport, as well as non-CO2 emissions, agriculture</w:t>
      </w:r>
      <w:r>
        <w:t xml:space="preserve"> </w:t>
      </w:r>
      <w:r>
        <w:t xml:space="preserve">and LULUCF emissions.</w:t>
      </w:r>
      <w:r>
        <w:br/>
      </w:r>
      <w:r>
        <w:t xml:space="preserve">The model-based analysis is a technical exercise based on a number of assumptions that</w:t>
      </w:r>
      <w:r>
        <w:t xml:space="preserve"> </w:t>
      </w:r>
      <w:r>
        <w:t xml:space="preserve">are shared across scenarios. Its results do not prejudge the future design of the post-2030</w:t>
      </w:r>
      <w:r>
        <w:t xml:space="preserve"> </w:t>
      </w:r>
      <w:r>
        <w:t xml:space="preserve">policy framework.</w:t>
      </w:r>
      <w:r>
        <w:t xml:space="preserve"> </w:t>
      </w:r>
      <w:r>
        <w:t xml:space="preserve">1.1.</w:t>
      </w:r>
      <w:r>
        <w:t xml:space="preserve"> </w:t>
      </w:r>
      <w:r>
        <w:t xml:space="preserve">GHG emissions</w:t>
      </w:r>
      <w:r>
        <w:t xml:space="preserve"> </w:t>
      </w:r>
      <w:r>
        <w:t xml:space="preserve">1.1.1. GHG budgets and net GHG emissions</w:t>
      </w:r>
      <w:r>
        <w:br/>
      </w:r>
      <w:r>
        <w:t xml:space="preserve">1.1.1.1.GHG budgets</w:t>
      </w:r>
      <w:r>
        <w:br/>
      </w:r>
      <w:r>
        <w:t xml:space="preserve">The target options provide different remaining GHG budgets for the period 2030-2050:</w:t>
      </w:r>
      <w:r>
        <w:t xml:space="preserve"> </w:t>
      </w:r>
      <w:r>
        <w:t xml:space="preserve">21 GtCO2-eq for the linear option, 18 GtCO2-eq for option 2 (at least 85% up to 90%)</w:t>
      </w:r>
      <w:r>
        <w:t xml:space="preserve"> </w:t>
      </w:r>
      <w:r>
        <w:t xml:space="preserve">and 16 GtCO2-eq for option 3 (at least 90% up to 95%) (see section 5.2 in the main</w:t>
      </w:r>
      <w:r>
        <w:t xml:space="preserve"> </w:t>
      </w:r>
      <w:r>
        <w:t xml:space="preserve">document).</w:t>
      </w:r>
      <w:r>
        <w:br/>
      </w:r>
      <w:r>
        <w:t xml:space="preserve">The ESABCC analyses a (intra-EU) range of 11-16 GtCO2-eq for the EU to contribute to</w:t>
      </w:r>
      <w:r>
        <w:t xml:space="preserve"> </w:t>
      </w:r>
      <w:r>
        <w:t xml:space="preserve">limiting global warming to 1.5°C with no or limited overshoot (1). The ESABCC report</w:t>
      </w:r>
      <w:r>
        <w:t xml:space="preserve"> </w:t>
      </w:r>
      <w:r>
        <w:t xml:space="preserve">highlights that scaling-up of energy technologies beyond challenging levels is required to</w:t>
      </w:r>
      <w:r>
        <w:br/>
      </w:r>
      <w:r>
        <w:t xml:space="preserve">achieve the more ambitious end of this range: not overcoming such technological</w:t>
      </w:r>
      <w:r>
        <w:t xml:space="preserve"> </w:t>
      </w:r>
      <w:r>
        <w:t xml:space="preserve">deployment challenge moves the range to 13-16 GtCO2-eq. ESABCC also recommends</w:t>
      </w:r>
      <w:r>
        <w:t xml:space="preserve"> </w:t>
      </w:r>
      <w:r>
        <w:t xml:space="preserve">a range of 11-14 GtCO2-eq (9).</w:t>
      </w:r>
      <w:r>
        <w:br/>
      </w:r>
      <w:r>
        <w:t xml:space="preserve">1.1.1.1.Net GHG emissions</w:t>
      </w:r>
      <w:r>
        <w:br/>
      </w:r>
      <w:r>
        <w:t xml:space="preserve">The scenarios achieve net GHG reductions in line with the budgets associated to each</w:t>
      </w:r>
      <w:r>
        <w:t xml:space="preserve"> </w:t>
      </w:r>
      <w:r>
        <w:t xml:space="preserve">target option.</w:t>
      </w:r>
      <w:r>
        <w:br/>
      </w:r>
      <w:r>
        <w:t xml:space="preserve">Table 1 shows the 2040 and 2050 net GHG emissions in S1, S2, S3, and LIFE (see</w:t>
      </w:r>
      <w:r>
        <w:t xml:space="preserve"> </w:t>
      </w:r>
      <w:r>
        <w:t xml:space="preserve">Annex 6 for their description), as well as the corresponding reductions compared to 1990.</w:t>
      </w:r>
      <w:r>
        <w:t xml:space="preserve"> </w:t>
      </w:r>
      <w:r>
        <w:t xml:space="preserve">The values are provided for Union-wide GHG emissions and removals regulated in</w:t>
      </w:r>
      <w:r>
        <w:t xml:space="preserve"> </w:t>
      </w:r>
      <w:r>
        <w:t xml:space="preserve">Union law, in accordance with the climate neutrality target scope (2). With the fit-for-55</w:t>
      </w:r>
    </w:p>
    <w:p>
      <w:pPr>
        <w:pStyle w:val="Compact"/>
        <w:numPr>
          <w:ilvl w:val="0"/>
          <w:numId w:val="1001"/>
        </w:numPr>
      </w:pPr>
      <w:r>
        <w:t xml:space="preserve">The ESABCC provides ranges for intra-EU emissions which do not take into account international</w:t>
      </w:r>
      <w:r>
        <w:t xml:space="preserve"> </w:t>
      </w:r>
      <w:r>
        <w:t xml:space="preserve">emissions under Union Law as in the European Climate Law and analysed in this impact assessment.</w:t>
      </w:r>
    </w:p>
    <w:p>
      <w:pPr>
        <w:pStyle w:val="Compact"/>
        <w:numPr>
          <w:ilvl w:val="0"/>
          <w:numId w:val="1001"/>
        </w:numPr>
      </w:pPr>
      <w:r>
        <w:t xml:space="preserve">Regulation (EU) 2021/1119, Article 2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package (3), this covers all domestic net emissions (in the sense of the UNFCCC</w:t>
      </w:r>
      <w:r>
        <w:t xml:space="preserve"> </w:t>
      </w:r>
      <w:r>
        <w:t xml:space="preserve">inventories), international intra-EU aviation, international intra-EU maritime, and 50% of</w:t>
      </w:r>
      <w:r>
        <w:t xml:space="preserve"> </w:t>
      </w:r>
      <w:r>
        <w:t xml:space="preserve">international extra-EU maritime from the Monitoring Reporting and Verification (MRV)</w:t>
      </w:r>
      <w:r>
        <w:t xml:space="preserve"> </w:t>
      </w:r>
      <w:r>
        <w:t xml:space="preserve">scope (4). The table also provides a range to illustrate the uncertainties on the future</w:t>
      </w:r>
      <w:r>
        <w:t xml:space="preserve"> </w:t>
      </w:r>
      <w:r>
        <w:t xml:space="preserve">evolution of LULUCF net removals, considering a lower level and an upper level</w:t>
      </w:r>
      <w:r>
        <w:t xml:space="preserve"> </w:t>
      </w:r>
      <w:r>
        <w:t xml:space="preserve">depending on the effect of policies or other factors (See 1.8 of this Annex for more</w:t>
      </w:r>
      <w:r>
        <w:t xml:space="preserve"> </w:t>
      </w:r>
      <w:r>
        <w:t xml:space="preserve">details).</w:t>
      </w:r>
      <w:r>
        <w:t xml:space="preserve"> </w:t>
      </w:r>
      <w:r>
        <w:t xml:space="preserve">Table 1: Net GHG emissions and reductions compared to 1990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Total Net GHG -</w:t>
      </w:r>
      <w:r>
        <w:t xml:space="preserve"> </w:t>
      </w:r>
      <w:r>
        <w:t xml:space="preserve">MtCO2-eq</w:t>
      </w:r>
      <w:r>
        <w:t xml:space="preserve"> </w:t>
      </w:r>
      <w:r>
        <w:t xml:space="preserve">1051 [1051</w:t>
      </w:r>
      <w:r>
        <w:t xml:space="preserve"> </w:t>
      </w:r>
      <w:r>
        <w:t xml:space="preserve">to 893]</w:t>
      </w:r>
      <w:r>
        <w:t xml:space="preserve"> </w:t>
      </w:r>
      <w:r>
        <w:t xml:space="preserve">578 [681 to</w:t>
      </w:r>
      <w:r>
        <w:t xml:space="preserve"> </w:t>
      </w:r>
      <w:r>
        <w:t xml:space="preserve">520]</w:t>
      </w:r>
      <w:r>
        <w:t xml:space="preserve"> </w:t>
      </w:r>
      <w:r>
        <w:t xml:space="preserve">356 [458 to</w:t>
      </w:r>
      <w:r>
        <w:t xml:space="preserve"> </w:t>
      </w:r>
      <w:r>
        <w:t xml:space="preserve">298]</w:t>
      </w:r>
      <w:r>
        <w:t xml:space="preserve"> </w:t>
      </w:r>
      <w:r>
        <w:t xml:space="preserve">353 [469 to</w:t>
      </w:r>
      <w:r>
        <w:t xml:space="preserve"> </w:t>
      </w:r>
      <w:r>
        <w:t xml:space="preserve">302]</w:t>
      </w:r>
      <w:r>
        <w:t xml:space="preserve"> </w:t>
      </w:r>
      <w:r>
        <w:t xml:space="preserve">-38 [90 to</w:t>
      </w:r>
      <w:r>
        <w:br/>
      </w:r>
      <w:r>
        <w:t xml:space="preserve">-100]</w:t>
      </w:r>
      <w:r>
        <w:t xml:space="preserve"> </w:t>
      </w:r>
      <w:r>
        <w:t xml:space="preserve">-70 [85</w:t>
      </w:r>
      <w:r>
        <w:t xml:space="preserve"> </w:t>
      </w:r>
      <w:r>
        <w:t xml:space="preserve">to -117]</w:t>
      </w:r>
      <w:r>
        <w:t xml:space="preserve"> </w:t>
      </w:r>
      <w:r>
        <w:t xml:space="preserve">Reduction vs</w:t>
      </w:r>
      <w:r>
        <w:t xml:space="preserve"> </w:t>
      </w:r>
      <w:r>
        <w:t xml:space="preserve">1990 - %</w:t>
      </w:r>
      <w:r>
        <w:t xml:space="preserve"> </w:t>
      </w:r>
      <w:r>
        <w:t xml:space="preserve">-78% [-78% to</w:t>
      </w:r>
      <w:r>
        <w:t xml:space="preserve"> </w:t>
      </w:r>
      <w:r>
        <w:t xml:space="preserve">-81%]</w:t>
      </w:r>
      <w:r>
        <w:t xml:space="preserve"> </w:t>
      </w:r>
      <w:r>
        <w:t xml:space="preserve">-88% [-86% to</w:t>
      </w:r>
      <w:r>
        <w:t xml:space="preserve"> </w:t>
      </w:r>
      <w:r>
        <w:t xml:space="preserve">-89%]</w:t>
      </w:r>
      <w:r>
        <w:t xml:space="preserve"> </w:t>
      </w:r>
      <w:r>
        <w:t xml:space="preserve">-92% [-90% to</w:t>
      </w:r>
      <w:r>
        <w:t xml:space="preserve"> </w:t>
      </w:r>
      <w:r>
        <w:t xml:space="preserve">-94%]</w:t>
      </w:r>
      <w:r>
        <w:t xml:space="preserve"> </w:t>
      </w:r>
      <w:r>
        <w:t xml:space="preserve">-93% [-90%</w:t>
      </w:r>
      <w:r>
        <w:t xml:space="preserve"> </w:t>
      </w:r>
      <w:r>
        <w:t xml:space="preserve">to -94%]</w:t>
      </w:r>
      <w:r>
        <w:t xml:space="preserve"> </w:t>
      </w:r>
      <w:r>
        <w:t xml:space="preserve">-101% [-98% to</w:t>
      </w:r>
      <w:r>
        <w:t xml:space="preserve"> </w:t>
      </w:r>
      <w:r>
        <w:t xml:space="preserve">-102%]</w:t>
      </w:r>
      <w:r>
        <w:t xml:space="preserve"> </w:t>
      </w:r>
      <w:r>
        <w:t xml:space="preserve">-101% [-98% to</w:t>
      </w:r>
      <w:r>
        <w:t xml:space="preserve"> </w:t>
      </w:r>
      <w:r>
        <w:t xml:space="preserve">-102%]</w:t>
      </w:r>
      <w:r>
        <w:t xml:space="preserve"> </w:t>
      </w:r>
      <w:r>
        <w:t xml:space="preserve">Note: Main values reported correspond to the LULUCF net removals considered in the scenarios, with net GHG</w:t>
      </w:r>
      <w:r>
        <w:t xml:space="preserve"> </w:t>
      </w:r>
      <w:r>
        <w:t xml:space="preserve">emissions with lower and upper level of LULUCF net removals are in brackets. S1 and S2 values for 2050 are</w:t>
      </w:r>
      <w:r>
        <w:t xml:space="preserve"> </w:t>
      </w:r>
      <w:r>
        <w:t xml:space="preserve">similar to S3.</w:t>
      </w:r>
    </w:p>
    <w:p>
      <w:pPr>
        <w:pStyle w:val="BodyText"/>
      </w:pPr>
      <w:r>
        <w:t xml:space="preserve">Source: PRIMES, GLOBIOM, GAINS.</w:t>
      </w:r>
      <w:r>
        <w:t xml:space="preserve"> </w:t>
      </w:r>
      <w:r>
        <w:t xml:space="preserve">While all scenarios achieve climate neutrality in 2050, in 2040, the net GHG emissions</w:t>
      </w:r>
      <w:r>
        <w:t xml:space="preserve"> </w:t>
      </w:r>
      <w:r>
        <w:t xml:space="preserve">are clearly different across scenarios.</w:t>
      </w:r>
    </w:p>
    <w:p>
      <w:pPr>
        <w:pStyle w:val="BodyText"/>
      </w:pPr>
      <w:r>
        <w:t xml:space="preserve">S1 leads to total net GHG emissions reaching about 1050 MtCO2-eq (ranging down to</w:t>
      </w:r>
      <w:r>
        <w:t xml:space="preserve"> </w:t>
      </w:r>
      <w:r>
        <w:t xml:space="preserve">890 MtCO2-eq depending on the behaviour of the LULUCF net removals), representing</w:t>
      </w:r>
      <w:r>
        <w:t xml:space="preserve"> </w:t>
      </w:r>
      <w:r>
        <w:t xml:space="preserve">a reduction of 78% compared to 1990. This scenario focuses on strengthening the</w:t>
      </w:r>
      <w:r>
        <w:t xml:space="preserve"> </w:t>
      </w:r>
      <w:r>
        <w:t xml:space="preserve">existing trends with limited contribution of more advanced mitigation options supported</w:t>
      </w:r>
      <w:r>
        <w:t xml:space="preserve"> </w:t>
      </w:r>
      <w:r>
        <w:t xml:space="preserve">by novel technologies (5) by 2040 and fits a linear trajectory of net GHG emissions</w:t>
      </w:r>
      <w:r>
        <w:t xml:space="preserve"> </w:t>
      </w:r>
      <w:r>
        <w:t xml:space="preserve">between 2030 and climate neutrality in 2050.</w:t>
      </w:r>
      <w:r>
        <w:t xml:space="preserve"> </w:t>
      </w:r>
      <w:r>
        <w:t xml:space="preserve">The S2 scenario deploys the full potential of existing decarbonisation solution, such as</w:t>
      </w:r>
      <w:r>
        <w:t xml:space="preserve"> </w:t>
      </w:r>
      <w:r>
        <w:t xml:space="preserve">electrification and renewable and relies upon novel technologies such as carbon capture</w:t>
      </w:r>
      <w:r>
        <w:t xml:space="preserve"> </w:t>
      </w:r>
      <w:r>
        <w:t xml:space="preserve">and a higher uptake of e-fuels using fossil free carbon (see sections 1.1.3 and 1.2 in this</w:t>
      </w:r>
      <w:r>
        <w:t xml:space="preserve"> </w:t>
      </w:r>
      <w:r>
        <w:t xml:space="preserve">Annex), as well as further abatement in the agriculture sector (see 1.1.4 and 1.7). It</w:t>
      </w:r>
      <w:r>
        <w:t xml:space="preserve"> </w:t>
      </w:r>
      <w:r>
        <w:t xml:space="preserve">reaches about 580 MtCO2-eq in 2040, or 88% reduction compared to 1990 (ranging</w:t>
      </w:r>
      <w:r>
        <w:t xml:space="preserve"> </w:t>
      </w:r>
      <w:r>
        <w:t xml:space="preserve">between 86% and 89%).</w:t>
      </w:r>
      <w:r>
        <w:br/>
      </w:r>
      <w:r>
        <w:t xml:space="preserve">The S3 scenario foresees early implementation of novel technologies to attain net GHG</w:t>
      </w:r>
      <w:r>
        <w:t xml:space="preserve"> </w:t>
      </w:r>
      <w:r>
        <w:t xml:space="preserve">emissions levels of around 360 MtCO2-eq in 2040, and a reduction level of -92%, with a</w:t>
      </w:r>
      <w:r>
        <w:t xml:space="preserve"> </w:t>
      </w:r>
      <w:r>
        <w:t xml:space="preserve">range between -90% and -94%.</w:t>
      </w:r>
      <w:r>
        <w:br/>
      </w:r>
      <w:r>
        <w:t xml:space="preserve">LIFE implements additional circular economy and sufficiency actions in industry,</w:t>
      </w:r>
      <w:r>
        <w:t xml:space="preserve"> </w:t>
      </w:r>
      <w:r>
        <w:t xml:space="preserve">transport and agriculture, achieving similar reduction as per S3, but with a different</w:t>
      </w:r>
      <w:r>
        <w:t xml:space="preserve"> </w:t>
      </w:r>
      <w:r>
        <w:t xml:space="preserve">sectoral distribution of emission (see 1.1.2 in this Annex). This setting illustrates the</w:t>
      </w:r>
    </w:p>
    <w:p>
      <w:pPr>
        <w:pStyle w:val="BodyText"/>
      </w:pPr>
      <w:r>
        <w:t xml:space="preserve">(3)COM/2021/550 final</w:t>
      </w:r>
      <w:r>
        <w:t xml:space="preserve"> </w:t>
      </w:r>
      <w:r>
        <w:t xml:space="preserve">(4) Regulation (EU) 2015/757 (amended by Regulation (EU) 2023/957)</w:t>
      </w:r>
      <w:r>
        <w:t xml:space="preserve"> </w:t>
      </w:r>
      <w:r>
        <w:t xml:space="preserve">(5) Not yet commercially available at large scale, such as carbon capture and renewable hydrogen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important role of demand-side policies and measures to reduce GHG emissions, and to</w:t>
      </w:r>
      <w:r>
        <w:t xml:space="preserve"> </w:t>
      </w:r>
      <w:r>
        <w:t xml:space="preserve">enhance the environmental performance of mitigation actions by limiting the</w:t>
      </w:r>
      <w:r>
        <w:t xml:space="preserve"> </w:t>
      </w:r>
      <w:r>
        <w:t xml:space="preserve">consumption of natural resources, including raw materials and land or further improving</w:t>
      </w:r>
      <w:r>
        <w:t xml:space="preserve"> </w:t>
      </w:r>
      <w:r>
        <w:t xml:space="preserve">some direct environmental benefits of climate action (see sections 1.4, 1.7.5 and 1.9.1).</w:t>
      </w:r>
      <w:r>
        <w:br/>
      </w:r>
      <w:r>
        <w:t xml:space="preserve">The levels of emission reductions achieved in the different scenarios are in line with</w:t>
      </w:r>
      <w:r>
        <w:t xml:space="preserve"> </w:t>
      </w:r>
      <w:r>
        <w:t xml:space="preserve">ranges found in the literature, spanning from 84% to 89% (6), from 87% to 91% (7),</w:t>
      </w:r>
      <w:r>
        <w:t xml:space="preserve"> </w:t>
      </w:r>
      <w:r>
        <w:t xml:space="preserve">around 89% (8) and from 88 to 95% by the ESABCC (9).</w:t>
      </w:r>
      <w:r>
        <w:br/>
      </w:r>
      <w:r>
        <w:t xml:space="preserve">The distribution of emissions between CO2, non-CO2 gases and GHGs coming from</w:t>
      </w:r>
      <w:r>
        <w:t xml:space="preserve"> </w:t>
      </w:r>
      <w:r>
        <w:t xml:space="preserve">LULUCF sector is reported in Table 2. A more detailed analysis of the sectoral reduction</w:t>
      </w:r>
      <w:r>
        <w:t xml:space="preserve"> </w:t>
      </w:r>
      <w:r>
        <w:t xml:space="preserve">for S1, S2, S3 and LIFE is described in the following sections.</w:t>
      </w:r>
      <w:r>
        <w:t xml:space="preserve"> </w:t>
      </w:r>
      <w:r>
        <w:t xml:space="preserve">Table 2: CO2, non-CO2 and emissions from LULUCF sector.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Total Net GHG - MtCO2-eq</w:t>
      </w:r>
      <w:r>
        <w:t xml:space="preserve"> </w:t>
      </w:r>
      <w:r>
        <w:t xml:space="preserve">1051</w:t>
      </w:r>
      <w:r>
        <w:t xml:space="preserve"> </w:t>
      </w:r>
      <w:r>
        <w:t xml:space="preserve">578</w:t>
      </w:r>
      <w:r>
        <w:t xml:space="preserve"> </w:t>
      </w:r>
      <w:r>
        <w:t xml:space="preserve">356</w:t>
      </w:r>
      <w:r>
        <w:t xml:space="preserve"> </w:t>
      </w:r>
      <w:r>
        <w:t xml:space="preserve">353</w:t>
      </w:r>
      <w:r>
        <w:t xml:space="preserve"> </w:t>
      </w:r>
      <w:r>
        <w:t xml:space="preserve">-38</w:t>
      </w:r>
      <w:r>
        <w:t xml:space="preserve"> </w:t>
      </w:r>
      <w:r>
        <w:t xml:space="preserve">-70</w:t>
      </w:r>
      <w:r>
        <w:t xml:space="preserve"> </w:t>
      </w:r>
      <w:r>
        <w:t xml:space="preserve">CO2 (excl. LULUCF) * – MtCO2</w:t>
      </w:r>
      <w:r>
        <w:t xml:space="preserve"> </w:t>
      </w:r>
      <w:r>
        <w:t xml:space="preserve">815</w:t>
      </w:r>
      <w:r>
        <w:t xml:space="preserve"> </w:t>
      </w:r>
      <w:r>
        <w:t xml:space="preserve">521</w:t>
      </w:r>
      <w:r>
        <w:t xml:space="preserve"> </w:t>
      </w:r>
      <w:r>
        <w:t xml:space="preserve">331</w:t>
      </w:r>
      <w:r>
        <w:t xml:space="preserve"> </w:t>
      </w:r>
      <w:r>
        <w:t xml:space="preserve">432</w:t>
      </w:r>
      <w:r>
        <w:t xml:space="preserve"> </w:t>
      </w:r>
      <w:r>
        <w:t xml:space="preserve">5</w:t>
      </w:r>
      <w:r>
        <w:t xml:space="preserve"> </w:t>
      </w:r>
      <w:r>
        <w:t xml:space="preserve">83</w:t>
      </w:r>
      <w:r>
        <w:t xml:space="preserve"> </w:t>
      </w:r>
      <w:r>
        <w:t xml:space="preserve">Non-CO2 (excl. LULUCF) ** – MtCO2-eq</w:t>
      </w:r>
      <w:r>
        <w:t xml:space="preserve"> </w:t>
      </w:r>
      <w:r>
        <w:t xml:space="preserve">454</w:t>
      </w:r>
      <w:r>
        <w:t xml:space="preserve"> </w:t>
      </w:r>
      <w:r>
        <w:t xml:space="preserve">373</w:t>
      </w:r>
      <w:r>
        <w:t xml:space="preserve"> </w:t>
      </w:r>
      <w:r>
        <w:t xml:space="preserve">342</w:t>
      </w:r>
      <w:r>
        <w:t xml:space="preserve"> </w:t>
      </w:r>
      <w:r>
        <w:t xml:space="preserve">281</w:t>
      </w:r>
      <w:r>
        <w:t xml:space="preserve"> </w:t>
      </w:r>
      <w:r>
        <w:t xml:space="preserve">291</w:t>
      </w:r>
      <w:r>
        <w:t xml:space="preserve"> </w:t>
      </w:r>
      <w:r>
        <w:t xml:space="preserve">236</w:t>
      </w:r>
      <w:r>
        <w:t xml:space="preserve"> </w:t>
      </w:r>
      <w:r>
        <w:t xml:space="preserve">LULUCF*** – MtCO2-eq</w:t>
      </w:r>
      <w:r>
        <w:t xml:space="preserve"> </w:t>
      </w:r>
      <w:r>
        <w:t xml:space="preserve">-218</w:t>
      </w:r>
      <w:r>
        <w:t xml:space="preserve"> </w:t>
      </w:r>
      <w:r>
        <w:t xml:space="preserve">-316</w:t>
      </w:r>
      <w:r>
        <w:t xml:space="preserve"> </w:t>
      </w:r>
      <w:r>
        <w:t xml:space="preserve">-317</w:t>
      </w:r>
      <w:r>
        <w:t xml:space="preserve"> </w:t>
      </w:r>
      <w:r>
        <w:t xml:space="preserve">-360</w:t>
      </w:r>
      <w:r>
        <w:t xml:space="preserve"> </w:t>
      </w:r>
      <w:r>
        <w:t xml:space="preserve">-333</w:t>
      </w:r>
      <w:r>
        <w:t xml:space="preserve"> </w:t>
      </w:r>
      <w:r>
        <w:t xml:space="preserve">-389</w:t>
      </w:r>
      <w:r>
        <w:t xml:space="preserve"> </w:t>
      </w:r>
      <w:r>
        <w:t xml:space="preserve">Note:</w:t>
      </w:r>
      <w:r>
        <w:t xml:space="preserve"> </w:t>
      </w:r>
      <w:r>
        <w:rPr>
          <w:i/>
          <w:iCs/>
        </w:rPr>
        <w:t xml:space="preserve">includes CO2 from fossil fuel combustion (category 1 in inventories), industrial processes and product</w:t>
      </w:r>
      <w:r>
        <w:rPr>
          <w:i/>
          <w:iCs/>
        </w:rPr>
        <w:t xml:space="preserve"> </w:t>
      </w:r>
      <w:r>
        <w:rPr>
          <w:i/>
          <w:iCs/>
        </w:rPr>
        <w:t xml:space="preserve">use (category 2) and agriculture under category 3.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Includes non-CO2 emissions under categories 1, 2, 3 and 5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 the inventories.</w:t>
      </w:r>
      <w:r>
        <w:rPr>
          <w:b/>
          <w:bCs/>
          <w:i/>
          <w:iCs/>
        </w:rPr>
        <w:t xml:space="preserve"> </w:t>
      </w:r>
      <w:r>
        <w:t xml:space="preserve">Only main values are reported.</w:t>
      </w:r>
    </w:p>
    <w:p>
      <w:pPr>
        <w:pStyle w:val="BodyText"/>
      </w:pPr>
      <w:r>
        <w:t xml:space="preserve">1.1.2. GHG emissions and role of removals</w:t>
      </w:r>
      <w:r>
        <w:t xml:space="preserve"> </w:t>
      </w:r>
      <w:r>
        <w:t xml:space="preserve">According to the IPCC, reductions in gross GHG emissions, nature-based and industrial</w:t>
      </w:r>
      <w:r>
        <w:t xml:space="preserve"> </w:t>
      </w:r>
      <w:r>
        <w:t xml:space="preserve">carbon removals are all needed to reach net zero (10). While gross GHG emissions need</w:t>
      </w:r>
      <w:r>
        <w:t xml:space="preserve"> </w:t>
      </w:r>
      <w:r>
        <w:t xml:space="preserve">to decrease significantly, the deployment of carbon removals is unavoidable to</w:t>
      </w:r>
      <w:r>
        <w:t xml:space="preserve"> </w:t>
      </w:r>
      <w:r>
        <w:t xml:space="preserve">counterbalance hard-to-abate residual emissions and replace residual fossil fuels.</w:t>
      </w:r>
      <w:r>
        <w:t xml:space="preserve"> </w:t>
      </w:r>
      <w:r>
        <w:t xml:space="preserve">However, relying primarily on carbon removals without intervening in gross GHG</w:t>
      </w:r>
      <w:r>
        <w:t xml:space="preserve"> </w:t>
      </w:r>
      <w:r>
        <w:t xml:space="preserve">emissions may be unrealistic since the potential for removals is limited by land</w:t>
      </w:r>
      <w:r>
        <w:t xml:space="preserve"> </w:t>
      </w:r>
      <w:r>
        <w:t xml:space="preserve">constraints,</w:t>
      </w:r>
      <w:r>
        <w:t xml:space="preserve"> </w:t>
      </w:r>
      <w:r>
        <w:t xml:space="preserve">feasibility,</w:t>
      </w:r>
      <w:r>
        <w:t xml:space="preserve"> </w:t>
      </w:r>
      <w:r>
        <w:t xml:space="preserve">cost-efficiency,</w:t>
      </w:r>
      <w:r>
        <w:t xml:space="preserve"> </w:t>
      </w:r>
      <w:r>
        <w:t xml:space="preserve">public</w:t>
      </w:r>
      <w:r>
        <w:t xml:space="preserve"> </w:t>
      </w:r>
      <w:r>
        <w:t xml:space="preserve">acceptance</w:t>
      </w:r>
      <w:r>
        <w:t xml:space="preserve"> </w:t>
      </w:r>
      <w:r>
        <w:t xml:space="preserve">and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consideration (11).</w:t>
      </w:r>
    </w:p>
    <w:p>
      <w:pPr>
        <w:pStyle w:val="Compact"/>
        <w:numPr>
          <w:ilvl w:val="0"/>
          <w:numId w:val="1002"/>
        </w:numPr>
      </w:pPr>
      <w:r>
        <w:t xml:space="preserve">ECEMF (2023), ECEMF Policy Brief: Insights on EU2040 targets based on a model intercomparison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</w:t>
      </w:r>
      <w:r>
        <w:t xml:space="preserve"> </w:t>
      </w:r>
      <w:r>
        <w:t xml:space="preserve">Pathways.</w:t>
      </w:r>
      <w:r>
        <w:t xml:space="preserve"> </w:t>
      </w:r>
      <w:r>
        <w:t xml:space="preserve">DOI</w:t>
      </w:r>
      <w:r>
        <w:t xml:space="preserve"> </w:t>
      </w:r>
      <w:r>
        <w:t xml:space="preserve">10.5281/zenodo.8337667.</w:t>
      </w:r>
      <w:r>
        <w:t xml:space="preserve"> </w:t>
      </w:r>
      <w:r>
        <w:t xml:space="preserve">https://zenodo.org/record/8337668 Full model range, including international bunkers.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Rodrigues et al., (2023). 2040 greenhouse gas reduction targets and energy transitions in line with the</w:t>
      </w:r>
      <w:r>
        <w:t xml:space="preserve"> </w:t>
      </w:r>
      <w:r>
        <w:t xml:space="preserve">EU Green Deal, Nature Communication, Under Review. Intra-EU scope.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Graf, A., et al. (2023). Breaking free from fossil gas. A new path to a climate-neutral Europe. Agora</w:t>
      </w:r>
      <w:r>
        <w:t xml:space="preserve"> </w:t>
      </w:r>
      <w:r>
        <w:t xml:space="preserve">Energiewende.</w:t>
      </w:r>
    </w:p>
    <w:p>
      <w:pPr>
        <w:pStyle w:val="Compact"/>
        <w:numPr>
          <w:ilvl w:val="0"/>
          <w:numId w:val="1002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 Table 9, Table 12. The range spans</w:t>
      </w:r>
      <w:r>
        <w:t xml:space="preserve"> </w:t>
      </w:r>
      <w:r>
        <w:t xml:space="preserve">from 88-92% and up to 95% if technological challenges can be overcome.</w:t>
      </w:r>
    </w:p>
    <w:p>
      <w:pPr>
        <w:pStyle w:val="Compact"/>
        <w:numPr>
          <w:ilvl w:val="0"/>
          <w:numId w:val="1002"/>
        </w:numPr>
      </w:pPr>
      <w:r>
        <w:t xml:space="preserve">IPCC (2022): Climate Change 2022: Mitigation of Climate Change. Contribution of Working Group</w:t>
      </w:r>
      <w:r>
        <w:t xml:space="preserve"> </w:t>
      </w:r>
      <w:r>
        <w:t xml:space="preserve">III to the Sixth Assessment Report of the Intergovernmental Panel on Climate Change.</w:t>
      </w:r>
    </w:p>
    <w:p>
      <w:pPr>
        <w:pStyle w:val="Compact"/>
        <w:numPr>
          <w:ilvl w:val="0"/>
          <w:numId w:val="1002"/>
        </w:numPr>
      </w:pPr>
      <w:r>
        <w:t xml:space="preserve">CLG Europe (2023). Raising European Climate Ambition for 2040 A CLG Europe position paper.</w:t>
      </w:r>
    </w:p>
    <w:p>
      <w:pPr>
        <w:pStyle w:val="FirstParagraph"/>
      </w:pPr>
      <w:r>
        <w:t xml:space="preserve">6</w:t>
      </w:r>
    </w:p>
    <w:p>
      <w:pPr>
        <w:pStyle w:val="BodyText"/>
      </w:pPr>
      <w:r>
        <w:t xml:space="preserve">The increasing role of carbon removals is also highlighted in the public consultation</w:t>
      </w:r>
      <w:r>
        <w:t xml:space="preserve"> </w:t>
      </w:r>
      <w:r>
        <w:t xml:space="preserve">questionnaire, where majority of respondents (around 65%, including all categories) calls</w:t>
      </w:r>
      <w:r>
        <w:t xml:space="preserve"> </w:t>
      </w:r>
      <w:r>
        <w:t xml:space="preserve">for 2040 carbon removal targets separate from net emission, and experts from the</w:t>
      </w:r>
      <w:r>
        <w:t xml:space="preserve"> </w:t>
      </w:r>
      <w:r>
        <w:t xml:space="preserve">academic, economic and public sectors are in favour of an important role of the carbon</w:t>
      </w:r>
      <w:r>
        <w:t xml:space="preserve"> </w:t>
      </w:r>
      <w:r>
        <w:t xml:space="preserve">removals. 61% of the papers analysed also comment on carbon removals, with most of</w:t>
      </w:r>
      <w:r>
        <w:t xml:space="preserve"> </w:t>
      </w:r>
      <w:r>
        <w:t xml:space="preserve">them indicating removals instrumental to reach climate neutrality, if complementary to</w:t>
      </w:r>
      <w:r>
        <w:t xml:space="preserve"> </w:t>
      </w:r>
      <w:r>
        <w:t xml:space="preserve">GHG emission reduction at source. There is no clear preferred pathway indicating the</w:t>
      </w:r>
      <w:r>
        <w:t xml:space="preserve"> </w:t>
      </w:r>
      <w:r>
        <w:t xml:space="preserve">contribution of nature-based vs industrial removals. In position papers, the emphasis of</w:t>
      </w:r>
      <w:r>
        <w:t xml:space="preserve"> </w:t>
      </w:r>
      <w:r>
        <w:t xml:space="preserve">forests as carbon sink is underlined, while carbon capture for industrial removals plays an</w:t>
      </w:r>
      <w:r>
        <w:t xml:space="preserve"> </w:t>
      </w:r>
      <w:r>
        <w:t xml:space="preserve">important role for energy-intensive industries to reduce hard-to-abate emissions within</w:t>
      </w:r>
      <w:r>
        <w:t xml:space="preserve"> </w:t>
      </w:r>
      <w:r>
        <w:t xml:space="preserve">the sector. The public consultation indicates a general slight inclination for relying on</w:t>
      </w:r>
      <w:r>
        <w:t xml:space="preserve"> </w:t>
      </w:r>
      <w:r>
        <w:t xml:space="preserve">nature-based removals (around 30% of respondents) or a balanced approach between</w:t>
      </w:r>
      <w:r>
        <w:t xml:space="preserve"> </w:t>
      </w:r>
      <w:r>
        <w:t xml:space="preserve">nature-based and industrial removals (around 27% of respondents). This preference is</w:t>
      </w:r>
      <w:r>
        <w:t xml:space="preserve"> </w:t>
      </w:r>
      <w:r>
        <w:t xml:space="preserve">confirmed also when looking individually at the different stakeholder groups, except for</w:t>
      </w:r>
      <w:r>
        <w:t xml:space="preserve"> </w:t>
      </w:r>
      <w:r>
        <w:t xml:space="preserve">large businesses and SMEs, who expressed by majority a preference for either a balance</w:t>
      </w:r>
      <w:r>
        <w:t xml:space="preserve"> </w:t>
      </w:r>
      <w:r>
        <w:t xml:space="preserve">between nature-based and industrial removals or a stronger reliance on industrial</w:t>
      </w:r>
      <w:r>
        <w:t xml:space="preserve"> </w:t>
      </w:r>
      <w:r>
        <w:t xml:space="preserve">removals.</w:t>
      </w:r>
      <w:r>
        <w:t xml:space="preserve"> </w:t>
      </w:r>
      <w:r>
        <w:t xml:space="preserve">1.1.2.1.Gross GHG Emissions</w:t>
      </w:r>
      <w:r>
        <w:t xml:space="preserve"> </w:t>
      </w:r>
      <w:r>
        <w:t xml:space="preserve">The “gross GHG” emissions are defined as the actual GHG emissions excluding the</w:t>
      </w:r>
      <w:r>
        <w:t xml:space="preserve"> </w:t>
      </w:r>
      <w:r>
        <w:t xml:space="preserve">contribution of industrial removals and net LULUCF removals that are part of the</w:t>
      </w:r>
      <w:r>
        <w:t xml:space="preserve"> </w:t>
      </w:r>
      <w:r>
        <w:t xml:space="preserve">computation of “net GHG” emissions meeting EU’s climate objectives for 2030 and</w:t>
      </w:r>
      <w:r>
        <w:t xml:space="preserve"> </w:t>
      </w:r>
      <w:r>
        <w:t xml:space="preserve">2050.</w:t>
      </w:r>
      <w:r>
        <w:br/>
      </w:r>
      <w:r>
        <w:t xml:space="preserve">Figure 1 shows the evolution of EU gross GHG emissions over 1990-2050. In 2021, EU</w:t>
      </w:r>
      <w:r>
        <w:t xml:space="preserve"> </w:t>
      </w:r>
      <w:r>
        <w:t xml:space="preserve">gross emissions achieved around 3570 MtCO2-eq, with a reduction of around 28%</w:t>
      </w:r>
      <w:r>
        <w:t xml:space="preserve"> </w:t>
      </w:r>
      <w:r>
        <w:t xml:space="preserve">compared to 1990 (12). The trajectory until 2030 is consistent with the Fit-for-55 policy</w:t>
      </w:r>
      <w:r>
        <w:t xml:space="preserve"> </w:t>
      </w:r>
      <w:r>
        <w:t xml:space="preserve">package, where emissions reach around 2300 MtCO2-eq. Post-2030, these emissions</w:t>
      </w:r>
      <w:r>
        <w:t xml:space="preserve"> </w:t>
      </w:r>
      <w:r>
        <w:t xml:space="preserve">keep decreasing in all scenarios, albeit at difference pace by 2040 and beyond. They</w:t>
      </w:r>
      <w:r>
        <w:t xml:space="preserve"> </w:t>
      </w:r>
      <w:r>
        <w:t xml:space="preserve">reach about 400 MtCO2-eq in 2050, when they are compensated by industrial and</w:t>
      </w:r>
      <w:r>
        <w:t xml:space="preserve"> </w:t>
      </w:r>
      <w:r>
        <w:t xml:space="preserve">LULUCF net carbon removals to converge to climate neutrality.</w:t>
      </w:r>
    </w:p>
    <w:p>
      <w:pPr>
        <w:pStyle w:val="Compact"/>
        <w:numPr>
          <w:ilvl w:val="0"/>
          <w:numId w:val="1003"/>
        </w:numPr>
      </w:pPr>
      <w:r>
        <w:t xml:space="preserve">EEA Greenhouse Gases Data Viewer. DAS-270-en Published on 18 Apr 2023</w:t>
      </w:r>
    </w:p>
    <w:p>
      <w:pPr>
        <w:pStyle w:val="FirstParagraph"/>
      </w:pPr>
      <w:r>
        <w:t xml:space="preserve">7</w:t>
      </w:r>
    </w:p>
    <w:p>
      <w:pPr>
        <w:pStyle w:val="BodyText"/>
      </w:pPr>
      <w:r>
        <w:t xml:space="preserve">Figure 1: Domestic Gross GHG emissions</w:t>
      </w:r>
    </w:p>
    <w:p>
      <w:pPr>
        <w:pStyle w:val="BodyText"/>
      </w:pPr>
      <w:r>
        <w:t xml:space="preserve">Note: Gross GHG emissions represented here include only domestic emissions and excludes industrial carbon</w:t>
      </w:r>
      <w:r>
        <w:t xml:space="preserve"> </w:t>
      </w:r>
      <w:r>
        <w:t xml:space="preserve">removals and the LULUCF net removals.</w:t>
      </w:r>
      <w:r>
        <w:t xml:space="preserve"> </w:t>
      </w:r>
      <w:r>
        <w:t xml:space="preserve">Source: PRIMES, GAINS.</w:t>
      </w:r>
      <w:r>
        <w:t xml:space="preserve"> </w:t>
      </w:r>
      <w:r>
        <w:t xml:space="preserve">Table 3 summarises the gross GHG emission by sector. In S1 gross GHG emissions</w:t>
      </w:r>
      <w:r>
        <w:t xml:space="preserve"> </w:t>
      </w:r>
      <w:r>
        <w:t xml:space="preserve">decrease following a linear profile over 2031-2050, reaching around 1270 MtCO2-eq in</w:t>
      </w:r>
      <w:r>
        <w:t xml:space="preserve"> </w:t>
      </w:r>
      <w:r>
        <w:t xml:space="preserve">2040, which correspond to a decrease of around 75% compared to 1990 levels. Most</w:t>
      </w:r>
      <w:r>
        <w:t xml:space="preserve"> </w:t>
      </w:r>
      <w:r>
        <w:t xml:space="preserve">sectors undergo significant emissions reductions already over 2031-2040, with emissions</w:t>
      </w:r>
      <w:r>
        <w:t xml:space="preserve"> </w:t>
      </w:r>
      <w:r>
        <w:t xml:space="preserve">ranging from around -70% in the domestic transport sectors to about -10% in agriculture.</w:t>
      </w:r>
      <w:r>
        <w:t xml:space="preserve"> </w:t>
      </w:r>
      <w:r>
        <w:t xml:space="preserve">The S2 scenario achieves further reductions of gross GHG emissions by 2040, reaching</w:t>
      </w:r>
      <w:r>
        <w:t xml:space="preserve"> </w:t>
      </w:r>
      <w:r>
        <w:t xml:space="preserve">around 940 MtCO2-eq or 80% reduction compared to 1990. Significant additional</w:t>
      </w:r>
      <w:r>
        <w:t xml:space="preserve"> </w:t>
      </w:r>
      <w:r>
        <w:t xml:space="preserve">reductions with respect to S1 take place notably in power and heat, industry and</w:t>
      </w:r>
      <w:r>
        <w:t xml:space="preserve"> </w:t>
      </w:r>
      <w:r>
        <w:t xml:space="preserve">agriculture. The S3 scenario achieves a reduction of around 85% in 2040, driven by extra</w:t>
      </w:r>
      <w:r>
        <w:t xml:space="preserve"> </w:t>
      </w:r>
      <w:r>
        <w:t xml:space="preserve">reductions to S2 in all sectors, including the industry sector, where they are triggered by</w:t>
      </w:r>
      <w:r>
        <w:t xml:space="preserve"> </w:t>
      </w:r>
      <w:r>
        <w:t xml:space="preserve">higher recourse to carbon capture and storage of fossil fuels (see section 1.1.3.2), the</w:t>
      </w:r>
      <w:r>
        <w:t xml:space="preserve"> </w:t>
      </w:r>
      <w:r>
        <w:t xml:space="preserve">power system, buildings and transport. LIFE, which aims at the same overall reduction as</w:t>
      </w:r>
      <w:r>
        <w:t xml:space="preserve"> </w:t>
      </w:r>
      <w:r>
        <w:t xml:space="preserve">S3, redistributes gross emissions across the different sectors. While energy and industry</w:t>
      </w:r>
      <w:r>
        <w:t xml:space="preserve"> </w:t>
      </w:r>
      <w:r>
        <w:t xml:space="preserve">sectors reduce to a level intermediate between S2 and S3, mostly due to a lower use of e-</w:t>
      </w:r>
      <w:r>
        <w:t xml:space="preserve"> </w:t>
      </w:r>
      <w:r>
        <w:t xml:space="preserve">fuels and DACC, agriculture emissions reduce more than in S3.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1,000</w:t>
      </w:r>
      <w:r>
        <w:t xml:space="preserve"> </w:t>
      </w:r>
      <w:r>
        <w:t xml:space="preserve">1,500</w:t>
      </w:r>
      <w:r>
        <w:t xml:space="preserve"> </w:t>
      </w:r>
      <w:r>
        <w:t xml:space="preserve">2,000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4,000</w:t>
      </w:r>
      <w:r>
        <w:t xml:space="preserve"> </w:t>
      </w:r>
      <w:r>
        <w:t xml:space="preserve">4,500</w:t>
      </w:r>
      <w:r>
        <w:t xml:space="preserve"> </w:t>
      </w:r>
      <w:r>
        <w:t xml:space="preserve">5,000</w:t>
      </w:r>
      <w:r>
        <w:t xml:space="preserve"> </w:t>
      </w:r>
      <w:r>
        <w:t xml:space="preserve">1990</w:t>
      </w:r>
      <w:r>
        <w:t xml:space="preserve"> </w:t>
      </w:r>
      <w:r>
        <w:t xml:space="preserve">2000</w:t>
      </w:r>
      <w:r>
        <w:t xml:space="preserve"> </w:t>
      </w:r>
      <w:r>
        <w:t xml:space="preserve">2010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Historical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Table 3: Gross GHG emissions</w:t>
      </w:r>
      <w:r>
        <w:t xml:space="preserve"> </w:t>
      </w:r>
      <w:r>
        <w:t xml:space="preserve">MtCO2-eq</w:t>
      </w:r>
      <w:r>
        <w:t xml:space="preserve"> </w:t>
      </w:r>
      <w:r>
        <w:t xml:space="preserve">2005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Total Gross GHG Emissions</w:t>
      </w:r>
      <w:r>
        <w:t xml:space="preserve"> </w:t>
      </w:r>
      <w:r>
        <w:t xml:space="preserve">4641</w:t>
      </w:r>
      <w:r>
        <w:t xml:space="preserve"> </w:t>
      </w:r>
      <w:r>
        <w:t xml:space="preserve">3914</w:t>
      </w:r>
      <w:r>
        <w:t xml:space="preserve"> </w:t>
      </w:r>
      <w:r>
        <w:t xml:space="preserve">2301</w:t>
      </w:r>
      <w:r>
        <w:t xml:space="preserve"> </w:t>
      </w:r>
      <w:r>
        <w:t xml:space="preserve">1273</w:t>
      </w:r>
      <w:r>
        <w:t xml:space="preserve"> </w:t>
      </w:r>
      <w:r>
        <w:t xml:space="preserve">943</w:t>
      </w:r>
      <w:r>
        <w:t xml:space="preserve"> </w:t>
      </w:r>
      <w:r>
        <w:t xml:space="preserve">748</w:t>
      </w:r>
      <w:r>
        <w:t xml:space="preserve"> </w:t>
      </w:r>
      <w:r>
        <w:t xml:space="preserve">740</w:t>
      </w:r>
      <w:r>
        <w:t xml:space="preserve"> </w:t>
      </w:r>
      <w:r>
        <w:t xml:space="preserve">416</w:t>
      </w:r>
      <w:r>
        <w:t xml:space="preserve"> </w:t>
      </w:r>
      <w:r>
        <w:t xml:space="preserve">413</w:t>
      </w:r>
      <w:r>
        <w:t xml:space="preserve"> </w:t>
      </w:r>
      <w:r>
        <w:t xml:space="preserve">411</w:t>
      </w:r>
      <w:r>
        <w:t xml:space="preserve"> </w:t>
      </w:r>
      <w:r>
        <w:t xml:space="preserve">360</w:t>
      </w:r>
      <w:r>
        <w:t xml:space="preserve"> </w:t>
      </w:r>
      <w:r>
        <w:t xml:space="preserve">Power and district heating</w:t>
      </w:r>
      <w:r>
        <w:t xml:space="preserve"> </w:t>
      </w:r>
      <w:r>
        <w:t xml:space="preserve">1300</w:t>
      </w:r>
      <w:r>
        <w:t xml:space="preserve"> </w:t>
      </w:r>
      <w:r>
        <w:t xml:space="preserve">1012</w:t>
      </w:r>
      <w:r>
        <w:t xml:space="preserve"> </w:t>
      </w:r>
      <w:r>
        <w:t xml:space="preserve">339</w:t>
      </w:r>
      <w:r>
        <w:t xml:space="preserve"> </w:t>
      </w:r>
      <w:r>
        <w:t xml:space="preserve">123</w:t>
      </w:r>
      <w:r>
        <w:t xml:space="preserve"> </w:t>
      </w:r>
      <w:r>
        <w:t xml:space="preserve">42</w:t>
      </w:r>
      <w:r>
        <w:t xml:space="preserve"> </w:t>
      </w:r>
      <w:r>
        <w:t xml:space="preserve">23</w:t>
      </w:r>
      <w:r>
        <w:t xml:space="preserve"> </w:t>
      </w:r>
      <w:r>
        <w:t xml:space="preserve">34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  <w:r>
        <w:t xml:space="preserve"> </w:t>
      </w:r>
      <w:r>
        <w:t xml:space="preserve">19</w:t>
      </w:r>
      <w:r>
        <w:t xml:space="preserve"> </w:t>
      </w:r>
      <w:r>
        <w:t xml:space="preserve">15</w:t>
      </w:r>
      <w:r>
        <w:t xml:space="preserve"> </w:t>
      </w:r>
      <w:r>
        <w:t xml:space="preserve">Other Energy sectors*</w:t>
      </w:r>
      <w:r>
        <w:t xml:space="preserve"> </w:t>
      </w:r>
      <w:r>
        <w:t xml:space="preserve">277</w:t>
      </w:r>
      <w:r>
        <w:t xml:space="preserve"> </w:t>
      </w:r>
      <w:r>
        <w:t xml:space="preserve">237</w:t>
      </w:r>
      <w:r>
        <w:t xml:space="preserve"> </w:t>
      </w:r>
      <w:r>
        <w:t xml:space="preserve">133</w:t>
      </w:r>
      <w:r>
        <w:t xml:space="preserve"> </w:t>
      </w:r>
      <w:r>
        <w:t xml:space="preserve">71</w:t>
      </w:r>
      <w:r>
        <w:t xml:space="preserve"> </w:t>
      </w:r>
      <w:r>
        <w:t xml:space="preserve">59</w:t>
      </w:r>
      <w:r>
        <w:t xml:space="preserve"> </w:t>
      </w:r>
      <w:r>
        <w:t xml:space="preserve">53</w:t>
      </w:r>
      <w:r>
        <w:t xml:space="preserve"> </w:t>
      </w:r>
      <w:r>
        <w:t xml:space="preserve">57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38</w:t>
      </w:r>
      <w:r>
        <w:t xml:space="preserve"> </w:t>
      </w:r>
      <w:r>
        <w:t xml:space="preserve">36</w:t>
      </w:r>
      <w:r>
        <w:t xml:space="preserve"> </w:t>
      </w:r>
      <w:r>
        <w:t xml:space="preserve">Industry (Energy)</w:t>
      </w:r>
      <w:r>
        <w:t xml:space="preserve"> </w:t>
      </w:r>
      <w:r>
        <w:t xml:space="preserve">469</w:t>
      </w:r>
      <w:r>
        <w:t xml:space="preserve"> </w:t>
      </w:r>
      <w:r>
        <w:t xml:space="preserve">360</w:t>
      </w:r>
      <w:r>
        <w:t xml:space="preserve"> </w:t>
      </w:r>
      <w:r>
        <w:t xml:space="preserve">232</w:t>
      </w:r>
      <w:r>
        <w:t xml:space="preserve"> </w:t>
      </w:r>
      <w:r>
        <w:t xml:space="preserve">126</w:t>
      </w:r>
      <w:r>
        <w:t xml:space="preserve"> </w:t>
      </w:r>
      <w:r>
        <w:t xml:space="preserve">94</w:t>
      </w:r>
      <w:r>
        <w:t xml:space="preserve"> </w:t>
      </w:r>
      <w:r>
        <w:t xml:space="preserve">75</w:t>
      </w:r>
      <w:r>
        <w:t xml:space="preserve"> </w:t>
      </w:r>
      <w:r>
        <w:t xml:space="preserve">86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Domestic Transport</w:t>
      </w:r>
      <w:r>
        <w:t xml:space="preserve"> </w:t>
      </w:r>
      <w:r>
        <w:t xml:space="preserve">822</w:t>
      </w:r>
      <w:r>
        <w:t xml:space="preserve"> </w:t>
      </w:r>
      <w:r>
        <w:t xml:space="preserve">772</w:t>
      </w:r>
      <w:r>
        <w:t xml:space="preserve"> </w:t>
      </w:r>
      <w:r>
        <w:t xml:space="preserve">583</w:t>
      </w:r>
      <w:r>
        <w:t xml:space="preserve"> </w:t>
      </w:r>
      <w:r>
        <w:t xml:space="preserve">190</w:t>
      </w:r>
      <w:r>
        <w:t xml:space="preserve"> </w:t>
      </w:r>
      <w:r>
        <w:t xml:space="preserve">143</w:t>
      </w:r>
      <w:r>
        <w:t xml:space="preserve"> </w:t>
      </w:r>
      <w:r>
        <w:t xml:space="preserve">120</w:t>
      </w:r>
      <w:r>
        <w:t xml:space="preserve"> </w:t>
      </w:r>
      <w:r>
        <w:t xml:space="preserve">134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Residential and Services**</w:t>
      </w:r>
      <w:r>
        <w:t xml:space="preserve"> </w:t>
      </w:r>
      <w:r>
        <w:t xml:space="preserve">648</w:t>
      </w:r>
      <w:r>
        <w:t xml:space="preserve"> </w:t>
      </w:r>
      <w:r>
        <w:t xml:space="preserve">514</w:t>
      </w:r>
      <w:r>
        <w:t xml:space="preserve"> </w:t>
      </w:r>
      <w:r>
        <w:t xml:space="preserve">221</w:t>
      </w:r>
      <w:r>
        <w:t xml:space="preserve"> </w:t>
      </w:r>
      <w:r>
        <w:t xml:space="preserve">119</w:t>
      </w:r>
      <w:r>
        <w:t xml:space="preserve"> </w:t>
      </w:r>
      <w:r>
        <w:t xml:space="preserve">92</w:t>
      </w:r>
      <w:r>
        <w:t xml:space="preserve"> </w:t>
      </w:r>
      <w:r>
        <w:t xml:space="preserve">75</w:t>
      </w:r>
      <w:r>
        <w:t xml:space="preserve"> </w:t>
      </w:r>
      <w:r>
        <w:t xml:space="preserve">92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29</w:t>
      </w:r>
      <w:r>
        <w:t xml:space="preserve"> </w:t>
      </w:r>
      <w:r>
        <w:t xml:space="preserve">Industry (Non-Energy)</w:t>
      </w:r>
      <w:r>
        <w:t xml:space="preserve"> </w:t>
      </w:r>
      <w:r>
        <w:t xml:space="preserve">343</w:t>
      </w:r>
      <w:r>
        <w:t xml:space="preserve"> </w:t>
      </w:r>
      <w:r>
        <w:t xml:space="preserve">233</w:t>
      </w:r>
      <w:r>
        <w:t xml:space="preserve"> </w:t>
      </w:r>
      <w:r>
        <w:t xml:space="preserve">157</w:t>
      </w:r>
      <w:r>
        <w:t xml:space="preserve"> </w:t>
      </w:r>
      <w:r>
        <w:t xml:space="preserve">139</w:t>
      </w:r>
      <w:r>
        <w:t xml:space="preserve"> </w:t>
      </w:r>
      <w:r>
        <w:t xml:space="preserve">88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Other Non-Energy sectors***</w:t>
      </w:r>
      <w:r>
        <w:t xml:space="preserve"> </w:t>
      </w:r>
      <w:r>
        <w:t xml:space="preserve">101</w:t>
      </w:r>
      <w:r>
        <w:t xml:space="preserve"> </w:t>
      </w:r>
      <w:r>
        <w:t xml:space="preserve">130</w:t>
      </w:r>
      <w:r>
        <w:t xml:space="preserve"> </w:t>
      </w:r>
      <w:r>
        <w:t xml:space="preserve">56</w:t>
      </w:r>
      <w:r>
        <w:t xml:space="preserve"> </w:t>
      </w:r>
      <w:r>
        <w:t xml:space="preserve">33</w:t>
      </w:r>
      <w:r>
        <w:t xml:space="preserve"> </w:t>
      </w:r>
      <w:r>
        <w:t xml:space="preserve">26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transport (target</w:t>
      </w:r>
      <w:r>
        <w:t xml:space="preserve"> </w:t>
      </w:r>
      <w:r>
        <w:t xml:space="preserve">scope)</w:t>
      </w:r>
      <w:r>
        <w:t xml:space="preserve"> </w:t>
      </w:r>
      <w:r>
        <w:t xml:space="preserve">Intra-EU</w:t>
      </w:r>
      <w:r>
        <w:t xml:space="preserve"> </w:t>
      </w:r>
      <w:r>
        <w:t xml:space="preserve">aviation</w:t>
      </w:r>
      <w:r>
        <w:t xml:space="preserve"> </w:t>
      </w:r>
      <w:r>
        <w:t xml:space="preserve">35</w:t>
      </w:r>
      <w:r>
        <w:t xml:space="preserve"> </w:t>
      </w:r>
      <w:r>
        <w:t xml:space="preserve">38</w:t>
      </w:r>
      <w:r>
        <w:t xml:space="preserve"> </w:t>
      </w:r>
      <w:r>
        <w:t xml:space="preserve">43</w:t>
      </w:r>
      <w:r>
        <w:t xml:space="preserve"> </w:t>
      </w:r>
      <w:r>
        <w:t xml:space="preserve">31</w:t>
      </w:r>
      <w:r>
        <w:t xml:space="preserve"> </w:t>
      </w:r>
      <w:r>
        <w:t xml:space="preserve">29</w:t>
      </w:r>
      <w:r>
        <w:t xml:space="preserve"> </w:t>
      </w:r>
      <w:r>
        <w:t xml:space="preserve">28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Intra-EU</w:t>
      </w:r>
      <w:r>
        <w:t xml:space="preserve"> </w:t>
      </w:r>
      <w:r>
        <w:t xml:space="preserve">navigation</w:t>
      </w:r>
      <w:r>
        <w:t xml:space="preserve"> </w:t>
      </w:r>
      <w:r>
        <w:t xml:space="preserve">31</w:t>
      </w:r>
      <w:r>
        <w:t xml:space="preserve"> </w:t>
      </w:r>
      <w:r>
        <w:t xml:space="preserve">27</w:t>
      </w:r>
      <w:r>
        <w:t xml:space="preserve"> </w:t>
      </w:r>
      <w:r>
        <w:t xml:space="preserve">25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50% extra-EU</w:t>
      </w:r>
      <w:r>
        <w:t xml:space="preserve"> </w:t>
      </w:r>
      <w:r>
        <w:t xml:space="preserve">maritime MRV</w:t>
      </w:r>
      <w:r>
        <w:t xml:space="preserve"> </w:t>
      </w:r>
      <w:r>
        <w:t xml:space="preserve">50</w:t>
      </w:r>
      <w:r>
        <w:t xml:space="preserve"> </w:t>
      </w:r>
      <w:r>
        <w:t xml:space="preserve">42</w:t>
      </w:r>
      <w:r>
        <w:t xml:space="preserve"> </w:t>
      </w:r>
      <w:r>
        <w:t xml:space="preserve">44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Agriculture****</w:t>
      </w:r>
      <w:r>
        <w:t xml:space="preserve"> </w:t>
      </w:r>
      <w:r>
        <w:t xml:space="preserve">390</w:t>
      </w:r>
      <w:r>
        <w:t xml:space="preserve"> </w:t>
      </w:r>
      <w:r>
        <w:t xml:space="preserve">385</w:t>
      </w:r>
      <w:r>
        <w:t xml:space="preserve"> </w:t>
      </w:r>
      <w:r>
        <w:t xml:space="preserve">361</w:t>
      </w:r>
      <w:r>
        <w:t xml:space="preserve"> </w:t>
      </w:r>
      <w:r>
        <w:t xml:space="preserve">351</w:t>
      </w:r>
      <w:r>
        <w:t xml:space="preserve"> </w:t>
      </w:r>
      <w:r>
        <w:t xml:space="preserve">302</w:t>
      </w:r>
      <w:r>
        <w:t xml:space="preserve"> </w:t>
      </w:r>
      <w:r>
        <w:t xml:space="preserve">271</w:t>
      </w:r>
      <w:r>
        <w:t xml:space="preserve"> </w:t>
      </w:r>
      <w:r>
        <w:t xml:space="preserve">209</w:t>
      </w:r>
      <w:r>
        <w:t xml:space="preserve"> </w:t>
      </w:r>
      <w:r>
        <w:t xml:space="preserve">249</w:t>
      </w:r>
      <w:r>
        <w:t xml:space="preserve"> </w:t>
      </w:r>
      <w:r>
        <w:t xml:space="preserve">249</w:t>
      </w:r>
      <w:r>
        <w:t xml:space="preserve"> </w:t>
      </w:r>
      <w:r>
        <w:t xml:space="preserve">249</w:t>
      </w:r>
      <w:r>
        <w:t xml:space="preserve"> </w:t>
      </w:r>
      <w:r>
        <w:t xml:space="preserve">194</w:t>
      </w:r>
      <w:r>
        <w:t xml:space="preserve"> </w:t>
      </w:r>
      <w:r>
        <w:t xml:space="preserve">Waste</w:t>
      </w:r>
      <w:r>
        <w:t xml:space="preserve"> </w:t>
      </w:r>
      <w:r>
        <w:t xml:space="preserve">155</w:t>
      </w:r>
      <w:r>
        <w:t xml:space="preserve"> </w:t>
      </w:r>
      <w:r>
        <w:t xml:space="preserve">118</w:t>
      </w:r>
      <w:r>
        <w:t xml:space="preserve"> </w:t>
      </w:r>
      <w:r>
        <w:t xml:space="preserve">87</w:t>
      </w:r>
      <w:r>
        <w:t xml:space="preserve"> </w:t>
      </w:r>
      <w:r>
        <w:t xml:space="preserve">68</w:t>
      </w:r>
      <w:r>
        <w:t xml:space="preserve"> </w:t>
      </w:r>
      <w:r>
        <w:t xml:space="preserve">55</w:t>
      </w:r>
      <w:r>
        <w:t xml:space="preserve"> </w:t>
      </w:r>
      <w:r>
        <w:t xml:space="preserve">55</w:t>
      </w:r>
      <w:r>
        <w:t xml:space="preserve"> </w:t>
      </w:r>
      <w:r>
        <w:t xml:space="preserve">55</w:t>
      </w:r>
      <w:r>
        <w:t xml:space="preserve"> </w:t>
      </w:r>
      <w:r>
        <w:t xml:space="preserve">32</w:t>
      </w:r>
      <w:r>
        <w:t xml:space="preserve"> </w:t>
      </w:r>
      <w:r>
        <w:t xml:space="preserve">32</w:t>
      </w:r>
      <w:r>
        <w:t xml:space="preserve"> </w:t>
      </w:r>
      <w:r>
        <w:t xml:space="preserve">32</w:t>
      </w:r>
      <w:r>
        <w:t xml:space="preserve"> </w:t>
      </w:r>
      <w:r>
        <w:t xml:space="preserve">.32</w:t>
      </w:r>
      <w:r>
        <w:t xml:space="preserve"> </w:t>
      </w:r>
      <w:r>
        <w:t xml:space="preserve">CO2 calibration</w:t>
      </w:r>
      <w:r>
        <w:t xml:space="preserve"> </w:t>
      </w:r>
      <w:r>
        <w:t xml:space="preserve">15</w:t>
      </w:r>
      <w:r>
        <w:t xml:space="preserve"> </w:t>
      </w:r>
      <w:r>
        <w:t xml:space="preserve">43</w:t>
      </w:r>
      <w:r>
        <w:t xml:space="preserve"> </w:t>
      </w:r>
      <w:r>
        <w:t xml:space="preserve">24</w:t>
      </w:r>
      <w:r>
        <w:t xml:space="preserve"> </w:t>
      </w:r>
      <w:r>
        <w:t xml:space="preserve">3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Non-CO2 calibration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Memo Items</w:t>
      </w:r>
      <w:r>
        <w:t xml:space="preserve"> </w:t>
      </w:r>
      <w:r>
        <w:t xml:space="preserve">International aviation</w:t>
      </w:r>
      <w:r>
        <w:br/>
      </w:r>
      <w:r>
        <w:t xml:space="preserve">(Intra-EU and Extra-EU)</w:t>
      </w:r>
      <w:r>
        <w:br/>
      </w:r>
      <w:r>
        <w:t xml:space="preserve">96</w:t>
      </w:r>
      <w:r>
        <w:t xml:space="preserve"> </w:t>
      </w:r>
      <w:r>
        <w:t xml:space="preserve">103</w:t>
      </w:r>
      <w:r>
        <w:t xml:space="preserve"> </w:t>
      </w:r>
      <w:r>
        <w:t xml:space="preserve">117</w:t>
      </w:r>
      <w:r>
        <w:t xml:space="preserve"> </w:t>
      </w:r>
      <w:r>
        <w:t xml:space="preserve">83</w:t>
      </w:r>
      <w:r>
        <w:t xml:space="preserve"> </w:t>
      </w:r>
      <w:r>
        <w:t xml:space="preserve">80</w:t>
      </w:r>
      <w:r>
        <w:t xml:space="preserve"> </w:t>
      </w:r>
      <w:r>
        <w:t xml:space="preserve">78</w:t>
      </w:r>
      <w:r>
        <w:t xml:space="preserve"> </w:t>
      </w:r>
      <w:r>
        <w:t xml:space="preserve">73</w:t>
      </w:r>
      <w:r>
        <w:t xml:space="preserve"> </w:t>
      </w:r>
      <w:r>
        <w:t xml:space="preserve">38</w:t>
      </w:r>
      <w:r>
        <w:t xml:space="preserve"> </w:t>
      </w:r>
      <w:r>
        <w:t xml:space="preserve">34</w:t>
      </w:r>
      <w:r>
        <w:t xml:space="preserve"> </w:t>
      </w:r>
      <w:r>
        <w:t xml:space="preserve">31</w:t>
      </w:r>
      <w:r>
        <w:t xml:space="preserve"> </w:t>
      </w:r>
      <w:r>
        <w:t xml:space="preserve">27</w:t>
      </w:r>
      <w:r>
        <w:t xml:space="preserve"> </w:t>
      </w:r>
      <w:r>
        <w:t xml:space="preserve">International maritime</w:t>
      </w:r>
      <w:r>
        <w:br/>
      </w:r>
      <w:r>
        <w:t xml:space="preserve">(Intra-EU and Extra EU)</w:t>
      </w:r>
      <w:r>
        <w:t xml:space="preserve"> </w:t>
      </w:r>
      <w:r>
        <w:t xml:space="preserve">152</w:t>
      </w:r>
      <w:r>
        <w:t xml:space="preserve"> </w:t>
      </w:r>
      <w:r>
        <w:t xml:space="preserve">129</w:t>
      </w:r>
      <w:r>
        <w:t xml:space="preserve"> </w:t>
      </w:r>
      <w:r>
        <w:t xml:space="preserve">134</w:t>
      </w:r>
      <w:r>
        <w:t xml:space="preserve"> </w:t>
      </w:r>
      <w:r>
        <w:t xml:space="preserve">41</w:t>
      </w:r>
      <w:r>
        <w:t xml:space="preserve"> </w:t>
      </w:r>
      <w:r>
        <w:t xml:space="preserve">33</w:t>
      </w:r>
      <w:r>
        <w:t xml:space="preserve"> </w:t>
      </w:r>
      <w:r>
        <w:t xml:space="preserve">25</w:t>
      </w:r>
      <w:r>
        <w:t xml:space="preserve"> </w:t>
      </w:r>
      <w:r>
        <w:t xml:space="preserve">33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Note: Calibration of total to inventory 2023.</w:t>
      </w:r>
      <w:r>
        <w:t xml:space="preserve"> </w:t>
      </w:r>
      <w:r>
        <w:rPr>
          <w:i/>
          <w:iCs/>
        </w:rPr>
        <w:t xml:space="preserve">Includes emissions from energy branch and other non-CO2</w:t>
      </w:r>
      <w:r>
        <w:rPr>
          <w:i/>
          <w:iCs/>
        </w:rPr>
        <w:t xml:space="preserve"> </w:t>
      </w:r>
      <w:r>
        <w:rPr>
          <w:i/>
          <w:iCs/>
        </w:rPr>
        <w:t xml:space="preserve">emissions from the energy sector;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Includes fossil fuel combustion in the agriculture/fishery/forestry sector;</w:t>
      </w:r>
      <w:r>
        <w:rPr>
          <w:b/>
          <w:bCs/>
          <w:i/>
          <w:iCs/>
        </w:rPr>
        <w:t xml:space="preserve"> </w:t>
      </w:r>
      <w:r>
        <w:t xml:space="preserve">Includes CO2 fugitive emissions and non-CO2 emissions from direct use or specific products (e.g., aerosols,</w:t>
      </w:r>
      <w:r>
        <w:t xml:space="preserve"> </w:t>
      </w:r>
      <w:r>
        <w:t xml:space="preserve">foams, etc). **** Excludes fossil fuel combustion in the sector, but includes “category 3” CO2 emissions,</w:t>
      </w:r>
      <w:r>
        <w:t xml:space="preserve"> </w:t>
      </w:r>
      <w:r>
        <w:t xml:space="preserve">assumed constant at 10 MtCO2.</w:t>
      </w:r>
      <w:r>
        <w:t xml:space="preserve"> </w:t>
      </w:r>
      <w:r>
        <w:t xml:space="preserve">Source: PRIMES, GAINS.</w:t>
      </w:r>
      <w:r>
        <w:t xml:space="preserve"> </w:t>
      </w:r>
      <w:r>
        <w:t xml:space="preserve">Sectors that reduce little in 2031-2040 accelerate their decarbonisation in the 2041-2050</w:t>
      </w:r>
      <w:r>
        <w:t xml:space="preserve"> </w:t>
      </w:r>
      <w:r>
        <w:t xml:space="preserve">decade, while sectors that have already reached low emissions levels by 2040, maintain</w:t>
      </w:r>
      <w:r>
        <w:t xml:space="preserve"> </w:t>
      </w:r>
      <w:r>
        <w:t xml:space="preserve">or slow down the reduction rate by 2050, leading to a balanced contribution to climate</w:t>
      </w:r>
      <w:r>
        <w:t xml:space="preserve"> </w:t>
      </w:r>
      <w:r>
        <w:t xml:space="preserve">neutrality for all sectors across 2030-2050. Overall, gross GHG emissions in 2050 reduce</w:t>
      </w:r>
      <w:r>
        <w:t xml:space="preserve"> </w:t>
      </w:r>
      <w:r>
        <w:t xml:space="preserve">to -92% vs 1990 across all scenarios.</w:t>
      </w:r>
    </w:p>
    <w:p>
      <w:pPr>
        <w:pStyle w:val="BodyText"/>
      </w:pPr>
      <w:r>
        <w:t xml:space="preserve">1.1.2.2.Nature-based carbon removals</w:t>
      </w:r>
      <w:r>
        <w:br/>
      </w:r>
      <w:r>
        <w:t xml:space="preserve">Table 4 shows the LULUCF net removals in the different scenarios. The central level for</w:t>
      </w:r>
      <w:r>
        <w:t xml:space="preserve"> </w:t>
      </w:r>
      <w:r>
        <w:t xml:space="preserve">2040 is close to -320 MtCO2-eq in all scenarios by 2040, slightly above the target for</w:t>
      </w:r>
      <w:r>
        <w:t xml:space="preserve"> </w:t>
      </w:r>
      <w:r>
        <w:t xml:space="preserve">2030 (-310 MtCO2-eq). The differences between S1, S2 and S3 are driven by the</w:t>
      </w:r>
      <w:r>
        <w:t xml:space="preserve"> </w:t>
      </w:r>
      <w:r>
        <w:t xml:space="preserve">different bioenergy needs in the energy systems underpinning the scenarios (see section</w:t>
      </w:r>
      <w:r>
        <w:t xml:space="preserve"> </w:t>
      </w:r>
      <w:r>
        <w:t xml:space="preserve">1.8 in this Annex). LIFE is characterised by a different food system that frees up land for</w:t>
      </w:r>
      <w:r>
        <w:t xml:space="preserve"> </w:t>
      </w:r>
      <w:r>
        <w:t xml:space="preserve">carbon farming activities such as afforestation.</w:t>
      </w:r>
      <w:r>
        <w:t xml:space="preserve"> </w:t>
      </w:r>
      <w:r>
        <w:t xml:space="preserve">The table also provides a range (from lower level to upper level) to illustrate the</w:t>
      </w:r>
      <w:r>
        <w:t xml:space="preserve"> </w:t>
      </w:r>
      <w:r>
        <w:t xml:space="preserve">uncertainties on the future evolution of LULUCF net removals, depending on the effect</w:t>
      </w:r>
      <w:r>
        <w:t xml:space="preserve"> </w:t>
      </w:r>
      <w:r>
        <w:t xml:space="preserve">of policies or other factors (see section 1.8 in this Annex).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Table 4: LULUCF net removals by scenarios in 2040 and 2050</w:t>
      </w:r>
      <w:r>
        <w:t xml:space="preserve"> </w:t>
      </w:r>
      <w:r>
        <w:t xml:space="preserve">MtCO2-eq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Lower level</w:t>
      </w:r>
      <w:r>
        <w:br/>
      </w:r>
      <w:r>
        <w:t xml:space="preserve">-218</w:t>
      </w:r>
      <w:r>
        <w:t xml:space="preserve"> </w:t>
      </w:r>
      <w:r>
        <w:t xml:space="preserve">-213</w:t>
      </w:r>
      <w:r>
        <w:t xml:space="preserve"> </w:t>
      </w:r>
      <w:r>
        <w:t xml:space="preserve">-215</w:t>
      </w:r>
      <w:r>
        <w:t xml:space="preserve"> </w:t>
      </w:r>
      <w:r>
        <w:t xml:space="preserve">-243</w:t>
      </w:r>
      <w:r>
        <w:t xml:space="preserve"> </w:t>
      </w:r>
      <w:r>
        <w:t xml:space="preserve">-213</w:t>
      </w:r>
      <w:r>
        <w:t xml:space="preserve"> </w:t>
      </w:r>
      <w:r>
        <w:t xml:space="preserve">-202</w:t>
      </w:r>
      <w:r>
        <w:t xml:space="preserve"> </w:t>
      </w:r>
      <w:r>
        <w:t xml:space="preserve">-206</w:t>
      </w:r>
      <w:r>
        <w:t xml:space="preserve"> </w:t>
      </w:r>
      <w:r>
        <w:t xml:space="preserve">-234</w:t>
      </w:r>
      <w:r>
        <w:t xml:space="preserve"> </w:t>
      </w:r>
      <w:r>
        <w:t xml:space="preserve">Central level</w:t>
      </w:r>
      <w:r>
        <w:br/>
      </w:r>
      <w:r>
        <w:t xml:space="preserve">-319</w:t>
      </w:r>
      <w:r>
        <w:t xml:space="preserve"> </w:t>
      </w:r>
      <w:r>
        <w:t xml:space="preserve">-316</w:t>
      </w:r>
      <w:r>
        <w:t xml:space="preserve"> </w:t>
      </w:r>
      <w:r>
        <w:t xml:space="preserve">-317</w:t>
      </w:r>
      <w:r>
        <w:t xml:space="preserve"> </w:t>
      </w:r>
      <w:r>
        <w:t xml:space="preserve">-360</w:t>
      </w:r>
      <w:r>
        <w:t xml:space="preserve"> </w:t>
      </w:r>
      <w:r>
        <w:t xml:space="preserve">-341</w:t>
      </w:r>
      <w:r>
        <w:t xml:space="preserve"> </w:t>
      </w:r>
      <w:r>
        <w:t xml:space="preserve">-332</w:t>
      </w:r>
      <w:r>
        <w:t xml:space="preserve"> </w:t>
      </w:r>
      <w:r>
        <w:t xml:space="preserve">-333</w:t>
      </w:r>
      <w:r>
        <w:t xml:space="preserve"> </w:t>
      </w:r>
      <w:r>
        <w:t xml:space="preserve">-389</w:t>
      </w:r>
      <w:r>
        <w:t xml:space="preserve"> </w:t>
      </w:r>
      <w:r>
        <w:t xml:space="preserve">Upper level</w:t>
      </w:r>
      <w:r>
        <w:br/>
      </w:r>
      <w:r>
        <w:t xml:space="preserve">-376</w:t>
      </w:r>
      <w:r>
        <w:t xml:space="preserve"> </w:t>
      </w:r>
      <w:r>
        <w:t xml:space="preserve">-374</w:t>
      </w:r>
      <w:r>
        <w:t xml:space="preserve"> </w:t>
      </w:r>
      <w:r>
        <w:t xml:space="preserve">-376</w:t>
      </w:r>
      <w:r>
        <w:t xml:space="preserve"> </w:t>
      </w:r>
      <w:r>
        <w:t xml:space="preserve">-410</w:t>
      </w:r>
      <w:r>
        <w:t xml:space="preserve"> </w:t>
      </w:r>
      <w:r>
        <w:t xml:space="preserve">-403</w:t>
      </w:r>
      <w:r>
        <w:t xml:space="preserve"> </w:t>
      </w:r>
      <w:r>
        <w:t xml:space="preserve">-394</w:t>
      </w:r>
      <w:r>
        <w:t xml:space="preserve"> </w:t>
      </w:r>
      <w:r>
        <w:t xml:space="preserve">-396</w:t>
      </w:r>
      <w:r>
        <w:t xml:space="preserve"> </w:t>
      </w:r>
      <w:r>
        <w:t xml:space="preserve">-436</w:t>
      </w:r>
      <w:r>
        <w:t xml:space="preserve"> </w:t>
      </w:r>
      <w:r>
        <w:t xml:space="preserve">Note: The ‘Central level’ is derived from applying in the modelling the same policy intensity as the one</w:t>
      </w:r>
      <w:r>
        <w:t xml:space="preserve"> </w:t>
      </w:r>
      <w:r>
        <w:t xml:space="preserve">necessary to meet the 2030 target, except for S1 in 2040. The ‘Lower level’ is derived from assuming no</w:t>
      </w:r>
      <w:r>
        <w:t xml:space="preserve"> </w:t>
      </w:r>
      <w:r>
        <w:t xml:space="preserve">additional cost as the lower boundary of the LULUCF net removals level. The ‘Upper level’ is derived from the</w:t>
      </w:r>
      <w:r>
        <w:t xml:space="preserve"> </w:t>
      </w:r>
      <w:r>
        <w:t xml:space="preserve">maximum mitigation potential as the upper boundary of the LULUCF net removals level. The numbers in bold</w:t>
      </w:r>
      <w:r>
        <w:t xml:space="preserve"> </w:t>
      </w:r>
      <w:r>
        <w:t xml:space="preserve">are used to compute the overall net GHGs for the different scenarios.</w:t>
      </w:r>
      <w:r>
        <w:t xml:space="preserve"> </w:t>
      </w:r>
      <w:r>
        <w:t xml:space="preserve">Source: GLOBIOM</w:t>
      </w:r>
      <w:r>
        <w:t xml:space="preserve"> </w:t>
      </w:r>
      <w:r>
        <w:t xml:space="preserve">The expected contribution of LULUCF to the 2040 climate target stays within the</w:t>
      </w:r>
      <w:r>
        <w:t xml:space="preserve"> </w:t>
      </w:r>
      <w:r>
        <w:t xml:space="preserve">boundaries of the ESABCC, which discusses an upper bound of 400 MtCO2-eq in</w:t>
      </w:r>
      <w:r>
        <w:t xml:space="preserve"> </w:t>
      </w:r>
      <w:r>
        <w:t xml:space="preserve">2040 (13) and describes three iconic scenarios that display a larger range from</w:t>
      </w:r>
      <w:r>
        <w:t xml:space="preserve"> </w:t>
      </w:r>
      <w:r>
        <w:t xml:space="preserve">323 MtCO2-eq to 601 MtCO2-eq in 2040 and from 312 MtCO2-eq to 669 MtCO2-eq in</w:t>
      </w:r>
      <w:r>
        <w:t xml:space="preserve"> </w:t>
      </w:r>
      <w:r>
        <w:t xml:space="preserve">2050 (14).</w:t>
      </w:r>
      <w:r>
        <w:t xml:space="preserve"> </w:t>
      </w:r>
      <w:r>
        <w:t xml:space="preserve">Section 1.8 in this Annex provides more details on the LULUCF sector and the related</w:t>
      </w:r>
      <w:r>
        <w:t xml:space="preserve"> </w:t>
      </w:r>
      <w:r>
        <w:t xml:space="preserve">GHG emissions and removals.</w:t>
      </w:r>
      <w:r>
        <w:t xml:space="preserve"> </w:t>
      </w:r>
      <w:r>
        <w:t xml:space="preserve">1.1.2.3.Industrial carbon removals</w:t>
      </w:r>
      <w:r>
        <w:t xml:space="preserve"> </w:t>
      </w:r>
      <w:r>
        <w:t xml:space="preserve">Industrial carbon removals, together with nature-based removals, are projected to play an</w:t>
      </w:r>
      <w:r>
        <w:t xml:space="preserve"> </w:t>
      </w:r>
      <w:r>
        <w:t xml:space="preserve">increasing role in the EU economy in the next decades (15), in the view of balancing EU</w:t>
      </w:r>
      <w:r>
        <w:t xml:space="preserve"> </w:t>
      </w:r>
      <w:r>
        <w:t xml:space="preserve">GHG emissions by 2050, and achieving negative emissions thereafter (16).</w:t>
      </w:r>
      <w:r>
        <w:br/>
      </w:r>
      <w:r>
        <w:t xml:space="preserve">Industrial removals can contribute to compensate residual GHG emissions from hard-to-</w:t>
      </w:r>
      <w:r>
        <w:t xml:space="preserve"> </w:t>
      </w:r>
      <w:r>
        <w:t xml:space="preserve">abate sectors. They can also progressively replace fossil carbon feedstock in processes</w:t>
      </w:r>
      <w:r>
        <w:t xml:space="preserve"> </w:t>
      </w:r>
      <w:r>
        <w:t xml:space="preserve">like the production of plastics or e-fuels (17), (18) and become the main source of (fossil-</w:t>
      </w:r>
      <w:r>
        <w:t xml:space="preserve"> </w:t>
      </w:r>
      <w:r>
        <w:t xml:space="preserve">free) carbon in sectors where carbon will still be needed in the long-term.</w:t>
      </w:r>
      <w:r>
        <w:t xml:space="preserve"> </w:t>
      </w:r>
      <w:r>
        <w:t xml:space="preserve">Figure 2 shows the industrial removals projected by PRIMES and differentiated by their</w:t>
      </w:r>
      <w:r>
        <w:t xml:space="preserve"> </w:t>
      </w:r>
      <w:r>
        <w:t xml:space="preserve">source. The total amount of carbon removed until 2040, whether captured from the</w:t>
      </w:r>
      <w:r>
        <w:t xml:space="preserve"> </w:t>
      </w:r>
      <w:r>
        <w:t xml:space="preserve">atmosphere, from biomass combustion or from biogas upgrading, varies across scenarios.</w:t>
      </w:r>
      <w:r>
        <w:t xml:space="preserve"> </w:t>
      </w:r>
      <w:r>
        <w:t xml:space="preserve">Removals are projected to remain marginal in the S1 scenario by 2040, to reach</w:t>
      </w:r>
    </w:p>
    <w:p>
      <w:pPr>
        <w:pStyle w:val="BodyText"/>
      </w:pPr>
      <w:r>
        <w:t xml:space="preserve">(13)ESABCC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 Section 7.7.1. This risk level was based</w:t>
      </w:r>
      <w:r>
        <w:t xml:space="preserve"> </w:t>
      </w:r>
      <w:r>
        <w:t xml:space="preserve">on research by Pilli et al. (2022) who provide as a probable range of -100 to -400 MtCO2-eq for the</w:t>
      </w:r>
      <w:r>
        <w:t xml:space="preserve"> </w:t>
      </w:r>
      <w:r>
        <w:t xml:space="preserve">LULUCF sink in 2050 taking future climate change impacts based on RCP 2.6 into account. Scenarios</w:t>
      </w:r>
      <w:r>
        <w:t xml:space="preserve"> </w:t>
      </w:r>
      <w:r>
        <w:t xml:space="preserve">exceeding the upper bound of -400 MtCO2-eq may rely on implausibly high LULUCF sink levels.</w:t>
      </w:r>
      <w:r>
        <w:br/>
      </w:r>
      <w:r>
        <w:t xml:space="preserve">(14) Ibid. Table 15</w:t>
      </w:r>
      <w:r>
        <w:br/>
      </w:r>
      <w:r>
        <w:t xml:space="preserve">(15) COM(2021) 800 final</w:t>
      </w:r>
      <w:r>
        <w:t xml:space="preserve"> </w:t>
      </w:r>
      <w:r>
        <w:t xml:space="preserve">(16) European Climate Law (Regulation (EU) 2021/1119), Article 2.</w:t>
      </w:r>
      <w:r>
        <w:t xml:space="preserve"> </w:t>
      </w:r>
      <w:r>
        <w:t xml:space="preserve">(17) The Global CO2 Initiative (2016). Global Roadmap for Implementing CO2 Utilization.</w:t>
      </w:r>
      <w:r>
        <w:t xml:space="preserve"> </w:t>
      </w:r>
      <w:r>
        <w:t xml:space="preserve">(18) CEFIC (2021). Shining a light on the EU27 chemical sector’s journey toward climate neutrality.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50 MtCO2 in S2 and up to 75 MtCO2 in S3. Removals deploy progressively from S1 to</w:t>
      </w:r>
      <w:r>
        <w:t xml:space="preserve"> </w:t>
      </w:r>
      <w:r>
        <w:t xml:space="preserve">S3 and allow for higher reductions of net GHG emissions (see also Figure 7). LIFE</w:t>
      </w:r>
      <w:r>
        <w:t xml:space="preserve"> </w:t>
      </w:r>
      <w:r>
        <w:t xml:space="preserve">models lower carbon removals: demand-side actions and enhanced LULUCF net</w:t>
      </w:r>
      <w:r>
        <w:t xml:space="preserve"> </w:t>
      </w:r>
      <w:r>
        <w:t xml:space="preserve">removals can reduce the need for industrial removals, and, in this projection, eliminate</w:t>
      </w:r>
      <w:r>
        <w:t xml:space="preserve"> </w:t>
      </w:r>
      <w:r>
        <w:t xml:space="preserve">the recourse to DACC in 2040.</w:t>
      </w:r>
      <w:r>
        <w:br/>
      </w:r>
      <w:r>
        <w:t xml:space="preserve">Figure 2: Carbon removals by source and use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The amount of carbon removed by industrial means in 2050 is similar across scenarios</w:t>
      </w:r>
      <w:r>
        <w:t xml:space="preserve"> </w:t>
      </w:r>
      <w:r>
        <w:t xml:space="preserve">and reaches around 120 MtCO2/y, suggesting the need for significant carbon removals to</w:t>
      </w:r>
      <w:r>
        <w:t xml:space="preserve"> </w:t>
      </w:r>
      <w:r>
        <w:t xml:space="preserve">achieve climate neutrality. While most of the storage takes place in underground sites,</w:t>
      </w:r>
      <w:r>
        <w:t xml:space="preserve"> </w:t>
      </w:r>
      <w:r>
        <w:t xml:space="preserve">limited storage in permanent materials also appears in the last decade. The slightly higher</w:t>
      </w:r>
      <w:r>
        <w:t xml:space="preserve"> </w:t>
      </w:r>
      <w:r>
        <w:t xml:space="preserve">values for S1 are required to compensate for delayed climate action in 2031-2040.</w:t>
      </w:r>
      <w:r>
        <w:br/>
      </w:r>
      <w:r>
        <w:t xml:space="preserve">While the modelling shows a similar share of BECCS and DACCS by 2040 in S3 and</w:t>
      </w:r>
      <w:r>
        <w:t xml:space="preserve"> </w:t>
      </w:r>
      <w:r>
        <w:t xml:space="preserve">beyond by 2050, their actual relative deployment will depend on a number of factors,</w:t>
      </w:r>
      <w:r>
        <w:t xml:space="preserve"> </w:t>
      </w:r>
      <w:r>
        <w:t xml:space="preserve">e.g.: high costs and technological uncertainty (DACCS (19) (20)), cost and competition on</w:t>
      </w:r>
      <w:r>
        <w:t xml:space="preserve"> </w:t>
      </w:r>
      <w:r>
        <w:t xml:space="preserve">biomass resource and possible negative impact on LULUCF (BECCS (21)(22)(23), see</w:t>
      </w:r>
    </w:p>
    <w:p>
      <w:pPr>
        <w:pStyle w:val="Compact"/>
        <w:numPr>
          <w:ilvl w:val="0"/>
          <w:numId w:val="1004"/>
        </w:numPr>
      </w:pPr>
      <w:r>
        <w:t xml:space="preserve">Motlaghzadeh, K., Schweizer, V., Craik, N., &amp; Moreno-Cruz, J. (2023). Key uncertainties behind</w:t>
      </w:r>
      <w:r>
        <w:t xml:space="preserve"> </w:t>
      </w:r>
      <w:r>
        <w:t xml:space="preserve">global</w:t>
      </w:r>
      <w:r>
        <w:t xml:space="preserve"> </w:t>
      </w:r>
      <w:r>
        <w:t xml:space="preserve">projections</w:t>
      </w:r>
      <w:r>
        <w:t xml:space="preserve"> </w:t>
      </w:r>
      <w:r>
        <w:t xml:space="preserve">of</w:t>
      </w:r>
      <w:r>
        <w:t xml:space="preserve"> </w:t>
      </w:r>
      <w:r>
        <w:t xml:space="preserve">direct</w:t>
      </w:r>
      <w:r>
        <w:t xml:space="preserve"> </w:t>
      </w:r>
      <w:r>
        <w:t xml:space="preserve">air</w:t>
      </w:r>
      <w:r>
        <w:t xml:space="preserve"> </w:t>
      </w:r>
      <w:r>
        <w:t xml:space="preserve">capture</w:t>
      </w:r>
      <w:r>
        <w:t xml:space="preserve"> </w:t>
      </w:r>
      <w:r>
        <w:t xml:space="preserve">deployment.</w:t>
      </w:r>
      <w:r>
        <w:t xml:space="preserve"> </w:t>
      </w:r>
      <w:r>
        <w:t xml:space="preserve">Applied</w:t>
      </w:r>
      <w:r>
        <w:t xml:space="preserve"> </w:t>
      </w:r>
      <w:r>
        <w:t xml:space="preserve">Energy,</w:t>
      </w:r>
      <w:r>
        <w:t xml:space="preserve"> </w:t>
      </w:r>
      <w:r>
        <w:t xml:space="preserve">348,</w:t>
      </w:r>
    </w:p>
    <w:p>
      <w:pPr>
        <w:pStyle w:val="Compact"/>
        <w:numPr>
          <w:ilvl w:val="0"/>
          <w:numId w:val="1005"/>
        </w:numPr>
      </w:pPr>
      <w:r>
        <w:t xml:space="preserve">https://doi.org/10.1016/j.apenergy.2023.121485.</w:t>
      </w:r>
    </w:p>
    <w:p>
      <w:pPr>
        <w:pStyle w:val="Compact"/>
        <w:numPr>
          <w:ilvl w:val="0"/>
          <w:numId w:val="1006"/>
        </w:numPr>
      </w:pPr>
      <w:r>
        <w:t xml:space="preserve">Lehtveer, Mariliis &amp; Emanuelsson, Anna. (2021). BECCS and DACCS as Negative Emission</w:t>
      </w:r>
      <w:r>
        <w:t xml:space="preserve"> </w:t>
      </w:r>
      <w:r>
        <w:t xml:space="preserve">Providers in an Intermittent Electricity System: Why Levelized Cost of Carbon May Be a Misleading</w:t>
      </w:r>
      <w:r>
        <w:t xml:space="preserve"> </w:t>
      </w:r>
      <w:r>
        <w:t xml:space="preserve">Measure for Policy Decisions. Frontiers in Climate. 647276. 10.3389/fclim.2021.647276.</w:t>
      </w:r>
    </w:p>
    <w:p>
      <w:pPr>
        <w:pStyle w:val="Compact"/>
        <w:numPr>
          <w:ilvl w:val="0"/>
          <w:numId w:val="1006"/>
        </w:numPr>
      </w:pPr>
      <w:r>
        <w:t xml:space="preserve">Slade, R., Bauen, A., and Gross, R. (2014). Global bioenergy resources. Nat. Clim. Change 4:99. doi:</w:t>
      </w:r>
      <w:r>
        <w:t xml:space="preserve"> </w:t>
      </w:r>
      <w:r>
        <w:t xml:space="preserve">10.1038/nclimate2097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Creutzig, F., et al. (2015). Bioenergy and climate change mitigation: an assessment. GCB Bioenergy 7,</w:t>
      </w:r>
      <w:r>
        <w:t xml:space="preserve"> </w:t>
      </w:r>
      <w:r>
        <w:t xml:space="preserve">916–944. doi: 10.1111/gcbb.12205</w:t>
      </w:r>
    </w:p>
    <w:p>
      <w:pPr>
        <w:pStyle w:val="Compact"/>
        <w:numPr>
          <w:ilvl w:val="0"/>
          <w:numId w:val="1006"/>
        </w:numPr>
      </w:pPr>
      <w:r>
        <w:t xml:space="preserve">Directive (EU) 2018/2001 (amendment to be published)</w:t>
      </w:r>
      <w:r>
        <w:t xml:space="preserve"> </w:t>
      </w:r>
      <w:r>
        <w:t xml:space="preserve">-140</w:t>
      </w:r>
      <w:r>
        <w:t xml:space="preserve"> </w:t>
      </w:r>
      <w:r>
        <w:t xml:space="preserve">-120</w:t>
      </w:r>
      <w:r>
        <w:t xml:space="preserve"> </w:t>
      </w:r>
      <w:r>
        <w:t xml:space="preserve">-100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MtCO2/y</w:t>
      </w:r>
      <w:r>
        <w:t xml:space="preserve"> </w:t>
      </w:r>
      <w:r>
        <w:t xml:space="preserve">Biogenic in</w:t>
      </w:r>
      <w:r>
        <w:t xml:space="preserve"> </w:t>
      </w:r>
      <w:r>
        <w:t xml:space="preserve">Materials</w:t>
      </w:r>
      <w:r>
        <w:t xml:space="preserve"> </w:t>
      </w:r>
      <w:r>
        <w:t xml:space="preserve">DACCS in Materials</w:t>
      </w:r>
      <w:r>
        <w:t xml:space="preserve"> </w:t>
      </w:r>
      <w:r>
        <w:t xml:space="preserve">DACCS</w:t>
      </w:r>
      <w:r>
        <w:t xml:space="preserve"> </w:t>
      </w:r>
      <w:r>
        <w:t xml:space="preserve">Underground</w:t>
      </w:r>
      <w:r>
        <w:t xml:space="preserve"> </w:t>
      </w:r>
      <w:r>
        <w:t xml:space="preserve">Power Gen. (BECCS)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section 1.8 in this Annex), creation of the transport and storage infrastructure, public</w:t>
      </w:r>
      <w:r>
        <w:t xml:space="preserve"> </w:t>
      </w:r>
      <w:r>
        <w:t xml:space="preserve">acceptance and equitable and sustainable technology scale up (24).</w:t>
      </w:r>
      <w:r>
        <w:t xml:space="preserve"> </w:t>
      </w:r>
      <w:r>
        <w:t xml:space="preserve">Both technologies add requirements on the ambitious and challenging industrial sectors’</w:t>
      </w:r>
      <w:r>
        <w:t xml:space="preserve"> </w:t>
      </w:r>
      <w:r>
        <w:t xml:space="preserve">decarbonisation plans, and these needs to be coupled effectively with feasibility analysis</w:t>
      </w:r>
      <w:r>
        <w:t xml:space="preserve"> </w:t>
      </w:r>
      <w:r>
        <w:t xml:space="preserve">and supporting measures as appropriate. While the scenarios filtered by the ESABCC</w:t>
      </w:r>
      <w:r>
        <w:t xml:space="preserve"> </w:t>
      </w:r>
      <w:r>
        <w:t xml:space="preserve">attribute a minor role to carbon captured from the atmosphere (25), the IEA indicates that</w:t>
      </w:r>
      <w:r>
        <w:t xml:space="preserve"> </w:t>
      </w:r>
      <w:r>
        <w:t xml:space="preserve">more efforts are needed to fully develop DACCS (26). The demand side, with the amount</w:t>
      </w:r>
      <w:r>
        <w:t xml:space="preserve"> </w:t>
      </w:r>
      <w:r>
        <w:t xml:space="preserve">of e-fuels required by other sectors and the need to compensate residual emissions, will</w:t>
      </w:r>
      <w:r>
        <w:t xml:space="preserve"> </w:t>
      </w:r>
      <w:r>
        <w:t xml:space="preserve">also influence the deployment of each technology.</w:t>
      </w:r>
      <w:r>
        <w:br/>
      </w:r>
      <w:r>
        <w:t xml:space="preserve">Given the lack of predictability for the uptake of one removal technology over another by</w:t>
      </w:r>
      <w:r>
        <w:t xml:space="preserve"> </w:t>
      </w:r>
      <w:r>
        <w:t xml:space="preserve">2040, a comparison between different deployment pathways is performed.</w:t>
      </w:r>
      <w:r>
        <w:br/>
      </w:r>
      <w:r>
        <w:t xml:space="preserve">Figure 3 compares the industrial carbon removals obtained in 2040 with the PRIMES</w:t>
      </w:r>
      <w:r>
        <w:t xml:space="preserve"> </w:t>
      </w:r>
      <w:r>
        <w:t xml:space="preserve">model, with deployment pathways projected by the POTEnCIA model. In PRIMES</w:t>
      </w:r>
      <w:r>
        <w:t xml:space="preserve"> </w:t>
      </w:r>
      <w:r>
        <w:t xml:space="preserve">(Figure 3, left) BECCS tends to come first, and considerations of sustainable biomass</w:t>
      </w:r>
      <w:r>
        <w:t xml:space="preserve"> </w:t>
      </w:r>
      <w:r>
        <w:t xml:space="preserve">availability limits its expansion. The remaining needs for removals are fulfilled by</w:t>
      </w:r>
      <w:r>
        <w:t xml:space="preserve"> </w:t>
      </w:r>
      <w:r>
        <w:t xml:space="preserve">DACCS, which appears as complementary to BECCS. The POTEnCIA model (Figure 3,</w:t>
      </w:r>
      <w:r>
        <w:t xml:space="preserve"> </w:t>
      </w:r>
      <w:r>
        <w:t xml:space="preserve">right), where the cap on the amount of sustainable biomass supply for bioenergy is</w:t>
      </w:r>
      <w:r>
        <w:t xml:space="preserve"> </w:t>
      </w:r>
      <w:r>
        <w:t xml:space="preserve">relaxed (see also Annex 6), illustrates a stronger deployment of BECCS, reaching up to</w:t>
      </w:r>
      <w:r>
        <w:t xml:space="preserve"> </w:t>
      </w:r>
      <w:r>
        <w:t xml:space="preserve">around 80 MtCO2 in 2040 in S3, complemented by storage of biogenic carbon from</w:t>
      </w:r>
      <w:r>
        <w:t xml:space="preserve"> </w:t>
      </w:r>
      <w:r>
        <w:t xml:space="preserve">biogas upgrade and very limited development of DACCS. Higher recourse to BECCS</w:t>
      </w:r>
      <w:r>
        <w:t xml:space="preserve"> </w:t>
      </w:r>
      <w:r>
        <w:t xml:space="preserve">leads to an increase of bioenergy demand, with a possible negative impact on the</w:t>
      </w:r>
      <w:r>
        <w:t xml:space="preserve"> </w:t>
      </w:r>
      <w:r>
        <w:t xml:space="preserve">LULUCF net removals (see 1.8.2).</w:t>
      </w:r>
      <w:r>
        <w:br/>
      </w:r>
      <w:r>
        <w:t xml:space="preserve">Both pathways modelled provide an amount of total industrial removals in 2040 lower</w:t>
      </w:r>
      <w:r>
        <w:t xml:space="preserve"> </w:t>
      </w:r>
      <w:r>
        <w:t xml:space="preserve">than the estimated maximum in the scenarios considered by the ESABCC, corresponding</w:t>
      </w:r>
      <w:r>
        <w:t xml:space="preserve"> </w:t>
      </w:r>
      <w:r>
        <w:t xml:space="preserve">to 214 MtCO2 (27), and consistent with ranges of 10-220 MtCO2 that can be found in the</w:t>
      </w:r>
      <w:r>
        <w:t xml:space="preserve"> </w:t>
      </w:r>
      <w:r>
        <w:t xml:space="preserve">literature (28), (29), (30), (31).</w:t>
      </w:r>
    </w:p>
    <w:p>
      <w:pPr>
        <w:pStyle w:val="Compact"/>
        <w:numPr>
          <w:ilvl w:val="0"/>
          <w:numId w:val="1007"/>
        </w:numPr>
      </w:pPr>
      <w:r>
        <w:t xml:space="preserve">Liebling K., et al. (2023). International Governance of Technological Carbon Removal: Surfacing</w:t>
      </w:r>
      <w:r>
        <w:t xml:space="preserve"> </w:t>
      </w:r>
      <w:r>
        <w:t xml:space="preserve">Questions, Exploring Solutions.</w:t>
      </w:r>
    </w:p>
    <w:p>
      <w:pPr>
        <w:pStyle w:val="Compact"/>
        <w:numPr>
          <w:ilvl w:val="0"/>
          <w:numId w:val="1007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 Table 16.</w:t>
      </w:r>
    </w:p>
    <w:p>
      <w:pPr>
        <w:pStyle w:val="Compact"/>
        <w:numPr>
          <w:ilvl w:val="0"/>
          <w:numId w:val="1007"/>
        </w:numPr>
      </w:pPr>
      <w:r>
        <w:t xml:space="preserve">IEA (2023), Tracking Direct Air Capture. Accessed on 14-08-23</w:t>
      </w:r>
    </w:p>
    <w:p>
      <w:pPr>
        <w:pStyle w:val="Compact"/>
        <w:numPr>
          <w:ilvl w:val="0"/>
          <w:numId w:val="1007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 Table 16 summing DACCS and</w:t>
      </w:r>
      <w:r>
        <w:t xml:space="preserve"> </w:t>
      </w:r>
      <w:r>
        <w:t xml:space="preserve">BECCS.</w:t>
      </w:r>
    </w:p>
    <w:p>
      <w:pPr>
        <w:pStyle w:val="Compact"/>
        <w:numPr>
          <w:ilvl w:val="0"/>
          <w:numId w:val="1007"/>
        </w:numPr>
      </w:pPr>
      <w:r>
        <w:t xml:space="preserve">Rodrigues et al., (2023). 2040 greenhouse gas reduction targets and energy transitions in line with the</w:t>
      </w:r>
      <w:r>
        <w:t xml:space="preserve"> </w:t>
      </w:r>
      <w:r>
        <w:t xml:space="preserve">EU Green Deal, Nature Communication, Under Review.</w:t>
      </w:r>
    </w:p>
    <w:p>
      <w:pPr>
        <w:pStyle w:val="Compact"/>
        <w:numPr>
          <w:ilvl w:val="0"/>
          <w:numId w:val="1007"/>
        </w:numPr>
      </w:pPr>
      <w:r>
        <w:t xml:space="preserve">Kalcher, L. et al., (2023). The post-2030 climate target debate starts now, Strategic Perspectives and</w:t>
      </w:r>
      <w:r>
        <w:t xml:space="preserve"> </w:t>
      </w:r>
      <w:r>
        <w:t xml:space="preserve">Climact. https://strategicperspectives.eu/the-post-2030-climate-target-debate-starts-now/</w:t>
      </w:r>
    </w:p>
    <w:p>
      <w:pPr>
        <w:pStyle w:val="Compact"/>
        <w:numPr>
          <w:ilvl w:val="0"/>
          <w:numId w:val="1007"/>
        </w:numPr>
      </w:pPr>
      <w:r>
        <w:t xml:space="preserve">Graf, A., et al. (2023). Breaking free from fossil gas. A new path to a climate-neutral Europe. Agora</w:t>
      </w:r>
      <w:r>
        <w:t xml:space="preserve"> </w:t>
      </w:r>
      <w:r>
        <w:t xml:space="preserve">Energiewende.</w:t>
      </w:r>
    </w:p>
    <w:p>
      <w:pPr>
        <w:pStyle w:val="Compact"/>
        <w:numPr>
          <w:ilvl w:val="0"/>
          <w:numId w:val="1007"/>
        </w:numPr>
      </w:pPr>
      <w:r>
        <w:t xml:space="preserve">Climate Analytics (2022). 1.5°C National Pathways Explorer. Climate Analytics.</w:t>
      </w:r>
    </w:p>
    <w:p>
      <w:pPr>
        <w:pStyle w:val="FirstParagraph"/>
      </w:pPr>
      <w:r>
        <w:t xml:space="preserve">12</w:t>
      </w:r>
    </w:p>
    <w:p>
      <w:pPr>
        <w:pStyle w:val="BodyText"/>
      </w:pPr>
      <w:r>
        <w:t xml:space="preserve">Figure 3: Industrial carbon removals in PRIMES and POTEnCIA in 2040</w:t>
      </w:r>
    </w:p>
    <w:p>
      <w:pPr>
        <w:pStyle w:val="BodyText"/>
      </w:pPr>
      <w:r>
        <w:t xml:space="preserve">Source: PRIMES, POTEnCIA.</w:t>
      </w:r>
      <w:r>
        <w:t xml:space="preserve"> </w:t>
      </w:r>
      <w:r>
        <w:t xml:space="preserve">1.1.2.4.Balancing emissions and removals</w:t>
      </w:r>
      <w:r>
        <w:br/>
      </w:r>
      <w:r>
        <w:t xml:space="preserve">In Figure 4, gross GHG emissions (excluding all removals) only reduce between 75%</w:t>
      </w:r>
      <w:r>
        <w:t xml:space="preserve"> </w:t>
      </w:r>
      <w:r>
        <w:t xml:space="preserve">and 85% in 2040 and around 92% in 2050 (vs 1990 (32)). In comparison, net GHG</w:t>
      </w:r>
      <w:r>
        <w:t xml:space="preserve"> </w:t>
      </w:r>
      <w:r>
        <w:t xml:space="preserve">emissions (including all removals) reduce more and achieve net-zero in 2050. This</w:t>
      </w:r>
      <w:r>
        <w:t xml:space="preserve"> </w:t>
      </w:r>
      <w:r>
        <w:t xml:space="preserve">suggests that removals complete other mitigation options and are needed to achieve</w:t>
      </w:r>
      <w:r>
        <w:t xml:space="preserve"> </w:t>
      </w:r>
      <w:r>
        <w:t xml:space="preserve">climate neutrality. In 2040, the PRIMES modelling analysis shows that total (industrial</w:t>
      </w:r>
      <w:r>
        <w:t xml:space="preserve"> </w:t>
      </w:r>
      <w:r>
        <w:t xml:space="preserve">and LULUCF net) removals range from around 220 MtCO2-eq in S1 to around</w:t>
      </w:r>
      <w:r>
        <w:t xml:space="preserve"> </w:t>
      </w:r>
      <w:r>
        <w:t xml:space="preserve">390 MtCO2-eq in S3 (with upper level of LULUCF net removals). Around</w:t>
      </w:r>
      <w:r>
        <w:t xml:space="preserve"> </w:t>
      </w:r>
      <w:r>
        <w:t xml:space="preserve">360 MtCO2-eq are needed to achieve net reductions of 90% and beyond in 2040</w:t>
      </w:r>
      <w:r>
        <w:t xml:space="preserve"> </w:t>
      </w:r>
      <w:r>
        <w:t xml:space="preserve">(considering the lowest level of gross emissions projected in S3), with this value</w:t>
      </w:r>
      <w:r>
        <w:t xml:space="preserve"> </w:t>
      </w:r>
      <w:r>
        <w:t xml:space="preserve">increasing in the range of 430-460 MtCO2-eq in 2050 to attain net-zero.</w:t>
      </w:r>
    </w:p>
    <w:p>
      <w:pPr>
        <w:pStyle w:val="Compact"/>
        <w:numPr>
          <w:ilvl w:val="0"/>
          <w:numId w:val="1008"/>
        </w:numPr>
      </w:pPr>
      <w:r>
        <w:t xml:space="preserve">In line with the remaining gross emissions without counting compensation from removals analysed by</w:t>
      </w:r>
      <w:r>
        <w:t xml:space="preserve"> </w:t>
      </w:r>
      <w:r>
        <w:t xml:space="preserve">the ESABCC and corresponding to around 390 MtCO2.</w:t>
      </w:r>
      <w:r>
        <w:t xml:space="preserve"> </w:t>
      </w:r>
      <w:r>
        <w:t xml:space="preserve">-100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POTEnCIA (2040)</w:t>
      </w:r>
      <w:r>
        <w:t xml:space="preserve"> </w:t>
      </w:r>
      <w:r>
        <w:t xml:space="preserve">Biogenic</w:t>
      </w:r>
      <w:r>
        <w:t xml:space="preserve"> </w:t>
      </w:r>
      <w:r>
        <w:t xml:space="preserve">DACCS</w:t>
      </w:r>
      <w:r>
        <w:t xml:space="preserve"> </w:t>
      </w:r>
      <w:r>
        <w:t xml:space="preserve">Power Gen.</w:t>
      </w:r>
      <w:r>
        <w:t xml:space="preserve"> </w:t>
      </w:r>
      <w:r>
        <w:t xml:space="preserve">(BECCS)</w:t>
      </w:r>
      <w:r>
        <w:t xml:space="preserve"> </w:t>
      </w:r>
      <w:r>
        <w:t xml:space="preserve">-100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PRIMES (2040)</w:t>
      </w:r>
      <w:r>
        <w:t xml:space="preserve"> </w:t>
      </w:r>
      <w:r>
        <w:t xml:space="preserve">MtCO2/y</w:t>
      </w:r>
    </w:p>
    <w:p>
      <w:pPr>
        <w:pStyle w:val="FirstParagraph"/>
      </w:pPr>
      <w:r>
        <w:t xml:space="preserve">13</w:t>
      </w:r>
    </w:p>
    <w:p>
      <w:pPr>
        <w:pStyle w:val="BodyText"/>
      </w:pPr>
      <w:r>
        <w:t xml:space="preserve">Figure 4: Net and Gross GHG Emissions and % reductions vs 1990</w:t>
      </w:r>
    </w:p>
    <w:p>
      <w:pPr>
        <w:pStyle w:val="BodyText"/>
      </w:pPr>
      <w:r>
        <w:t xml:space="preserve">Note: “Net GHG” includes domestic emissions, international intra-EU aviation and maritime transport and 50%</w:t>
      </w:r>
      <w:r>
        <w:t xml:space="preserve"> </w:t>
      </w:r>
      <w:r>
        <w:t xml:space="preserve">of extra-EU maritime transport (as per MRV). “Excl. LULUCF” subtracts the LULUCF net removals from net GHG.</w:t>
      </w:r>
      <w:r>
        <w:t xml:space="preserve"> </w:t>
      </w:r>
      <w:r>
        <w:t xml:space="preserve">“Excl. all removals” subtracts industrial removals and LULUCF net removals from net GHG, resulting in gross</w:t>
      </w:r>
      <w:r>
        <w:t xml:space="preserve"> </w:t>
      </w:r>
      <w:r>
        <w:t xml:space="preserve">GHG emissions.</w:t>
      </w:r>
      <w:r>
        <w:t xml:space="preserve"> </w:t>
      </w:r>
      <w:r>
        <w:t xml:space="preserve">Source: PRIMES, GAINS.</w:t>
      </w:r>
      <w:r>
        <w:t xml:space="preserve"> </w:t>
      </w:r>
      <w:r>
        <w:t xml:space="preserve">Table 5 summarises the model projections on different type of removals and show that</w:t>
      </w:r>
      <w:r>
        <w:t xml:space="preserve"> </w:t>
      </w:r>
      <w:r>
        <w:t xml:space="preserve">nature-based and industrial removals play different roles. While LULUCF net removals</w:t>
      </w:r>
      <w:r>
        <w:t xml:space="preserve"> </w:t>
      </w:r>
      <w:r>
        <w:t xml:space="preserve">contribute significantly in 2030 and along until 2050, the role of industrial removals</w:t>
      </w:r>
      <w:r>
        <w:t xml:space="preserve"> </w:t>
      </w:r>
      <w:r>
        <w:t xml:space="preserve">becomes more relevant from 2040 in pathways with the lowest carbon budget (S3) and</w:t>
      </w:r>
      <w:r>
        <w:t xml:space="preserve"> </w:t>
      </w:r>
      <w:r>
        <w:t xml:space="preserve">by 2050 in all cases. LIFE always shows a relative higher contribution of LULUCF net</w:t>
      </w:r>
      <w:r>
        <w:t xml:space="preserve"> </w:t>
      </w:r>
      <w:r>
        <w:t xml:space="preserve">removals compared to industrial removals, and a slightly more moderate recourse to</w:t>
      </w:r>
      <w:r>
        <w:t xml:space="preserve"> </w:t>
      </w:r>
      <w:r>
        <w:t xml:space="preserve">overall removals in 2050. This means that all pathways need a strong LULUCF net</w:t>
      </w:r>
      <w:r>
        <w:t xml:space="preserve"> </w:t>
      </w:r>
      <w:r>
        <w:t xml:space="preserve">removals, which needs to be complemented by industrial solutions.</w:t>
      </w:r>
      <w:r>
        <w:br/>
      </w:r>
      <w:r>
        <w:t xml:space="preserve">Table 5: LULUCF net removals and industrial carbon removals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Total Removals</w:t>
      </w:r>
      <w:r>
        <w:t xml:space="preserve"> </w:t>
      </w:r>
      <w:r>
        <w:t xml:space="preserve">(MtCO2-eq)</w:t>
      </w:r>
      <w:r>
        <w:t xml:space="preserve"> </w:t>
      </w:r>
      <w:r>
        <w:t xml:space="preserve">-314</w:t>
      </w:r>
      <w:r>
        <w:t xml:space="preserve"> </w:t>
      </w:r>
      <w:r>
        <w:t xml:space="preserve">-222</w:t>
      </w:r>
      <w:r>
        <w:t xml:space="preserve"> </w:t>
      </w:r>
      <w:r>
        <w:t xml:space="preserve">[-222</w:t>
      </w:r>
      <w:r>
        <w:t xml:space="preserve"> </w:t>
      </w:r>
      <w:r>
        <w:t xml:space="preserve">to -380]</w:t>
      </w:r>
      <w:r>
        <w:t xml:space="preserve"> </w:t>
      </w:r>
      <w:r>
        <w:t xml:space="preserve">-365</w:t>
      </w:r>
      <w:r>
        <w:t xml:space="preserve"> </w:t>
      </w:r>
      <w:r>
        <w:t xml:space="preserve">[-262</w:t>
      </w:r>
      <w:r>
        <w:t xml:space="preserve"> </w:t>
      </w:r>
      <w:r>
        <w:t xml:space="preserve">to -423]</w:t>
      </w:r>
      <w:r>
        <w:t xml:space="preserve"> </w:t>
      </w:r>
      <w:r>
        <w:t xml:space="preserve">-391</w:t>
      </w:r>
      <w:r>
        <w:t xml:space="preserve"> </w:t>
      </w:r>
      <w:r>
        <w:t xml:space="preserve">[-290</w:t>
      </w:r>
      <w:r>
        <w:t xml:space="preserve"> </w:t>
      </w:r>
      <w:r>
        <w:t xml:space="preserve">to -450]</w:t>
      </w:r>
      <w:r>
        <w:t xml:space="preserve"> </w:t>
      </w:r>
      <w:r>
        <w:t xml:space="preserve">-387</w:t>
      </w:r>
      <w:r>
        <w:t xml:space="preserve"> </w:t>
      </w:r>
      <w:r>
        <w:t xml:space="preserve">[-270</w:t>
      </w:r>
      <w:r>
        <w:t xml:space="preserve"> </w:t>
      </w:r>
      <w:r>
        <w:t xml:space="preserve">to-437]</w:t>
      </w:r>
      <w:r>
        <w:t xml:space="preserve"> </w:t>
      </w:r>
      <w:r>
        <w:t xml:space="preserve">-462</w:t>
      </w:r>
      <w:r>
        <w:t xml:space="preserve"> </w:t>
      </w:r>
      <w:r>
        <w:t xml:space="preserve">[-334</w:t>
      </w:r>
      <w:r>
        <w:t xml:space="preserve"> </w:t>
      </w:r>
      <w:r>
        <w:t xml:space="preserve">to -525]</w:t>
      </w:r>
      <w:r>
        <w:t xml:space="preserve"> </w:t>
      </w:r>
      <w:r>
        <w:t xml:space="preserve">-447</w:t>
      </w:r>
      <w:r>
        <w:t xml:space="preserve"> </w:t>
      </w:r>
      <w:r>
        <w:t xml:space="preserve">[-318</w:t>
      </w:r>
      <w:r>
        <w:t xml:space="preserve"> </w:t>
      </w:r>
      <w:r>
        <w:t xml:space="preserve">to -510]</w:t>
      </w:r>
      <w:r>
        <w:t xml:space="preserve"> </w:t>
      </w:r>
      <w:r>
        <w:t xml:space="preserve">-447</w:t>
      </w:r>
      <w:r>
        <w:t xml:space="preserve"> </w:t>
      </w:r>
      <w:r>
        <w:t xml:space="preserve">[-319</w:t>
      </w:r>
      <w:r>
        <w:t xml:space="preserve"> </w:t>
      </w:r>
      <w:r>
        <w:t xml:space="preserve">to -509]</w:t>
      </w:r>
      <w:r>
        <w:t xml:space="preserve"> </w:t>
      </w:r>
      <w:r>
        <w:t xml:space="preserve">-428</w:t>
      </w:r>
      <w:r>
        <w:t xml:space="preserve"> </w:t>
      </w:r>
      <w:r>
        <w:t xml:space="preserve">[-274</w:t>
      </w:r>
      <w:r>
        <w:t xml:space="preserve"> </w:t>
      </w:r>
      <w:r>
        <w:t xml:space="preserve">to -476]</w:t>
      </w:r>
      <w:r>
        <w:t xml:space="preserve"> </w:t>
      </w:r>
      <w:r>
        <w:t xml:space="preserve">Net LULUCF sink</w:t>
      </w:r>
      <w:r>
        <w:t xml:space="preserve"> </w:t>
      </w:r>
      <w:r>
        <w:t xml:space="preserve">(MtCO2-eq)</w:t>
      </w:r>
      <w:r>
        <w:t xml:space="preserve"> </w:t>
      </w:r>
      <w:r>
        <w:t xml:space="preserve">-310</w:t>
      </w:r>
      <w:r>
        <w:t xml:space="preserve"> </w:t>
      </w:r>
      <w:r>
        <w:t xml:space="preserve">-218</w:t>
      </w:r>
      <w:r>
        <w:t xml:space="preserve"> </w:t>
      </w:r>
      <w:r>
        <w:t xml:space="preserve">[-218</w:t>
      </w:r>
      <w:r>
        <w:t xml:space="preserve"> </w:t>
      </w:r>
      <w:r>
        <w:t xml:space="preserve">to -376]</w:t>
      </w:r>
      <w:r>
        <w:t xml:space="preserve"> </w:t>
      </w:r>
      <w:r>
        <w:t xml:space="preserve">-316</w:t>
      </w:r>
      <w:r>
        <w:t xml:space="preserve"> </w:t>
      </w:r>
      <w:r>
        <w:t xml:space="preserve">[-213</w:t>
      </w:r>
      <w:r>
        <w:t xml:space="preserve"> </w:t>
      </w:r>
      <w:r>
        <w:t xml:space="preserve">to -374]</w:t>
      </w:r>
      <w:r>
        <w:t xml:space="preserve"> </w:t>
      </w:r>
      <w:r>
        <w:t xml:space="preserve">-317</w:t>
      </w:r>
      <w:r>
        <w:t xml:space="preserve"> </w:t>
      </w:r>
      <w:r>
        <w:t xml:space="preserve">[-215</w:t>
      </w:r>
      <w:r>
        <w:t xml:space="preserve"> </w:t>
      </w:r>
      <w:r>
        <w:t xml:space="preserve">to -376]</w:t>
      </w:r>
      <w:r>
        <w:t xml:space="preserve"> </w:t>
      </w:r>
      <w:r>
        <w:t xml:space="preserve">-360</w:t>
      </w:r>
      <w:r>
        <w:t xml:space="preserve"> </w:t>
      </w:r>
      <w:r>
        <w:t xml:space="preserve">[-243</w:t>
      </w:r>
      <w:r>
        <w:t xml:space="preserve"> </w:t>
      </w:r>
      <w:r>
        <w:t xml:space="preserve">to -410]</w:t>
      </w:r>
      <w:r>
        <w:t xml:space="preserve"> </w:t>
      </w:r>
      <w:r>
        <w:t xml:space="preserve">-341</w:t>
      </w:r>
      <w:r>
        <w:t xml:space="preserve"> </w:t>
      </w:r>
      <w:r>
        <w:t xml:space="preserve">[-213</w:t>
      </w:r>
      <w:r>
        <w:t xml:space="preserve"> </w:t>
      </w:r>
      <w:r>
        <w:t xml:space="preserve">to -403]</w:t>
      </w:r>
      <w:r>
        <w:t xml:space="preserve"> </w:t>
      </w:r>
      <w:r>
        <w:t xml:space="preserve">-332</w:t>
      </w:r>
      <w:r>
        <w:t xml:space="preserve"> </w:t>
      </w:r>
      <w:r>
        <w:t xml:space="preserve">[-202 to</w:t>
      </w:r>
      <w:r>
        <w:t xml:space="preserve"> </w:t>
      </w:r>
      <w:r>
        <w:t xml:space="preserve">–394]</w:t>
      </w:r>
      <w:r>
        <w:t xml:space="preserve"> </w:t>
      </w:r>
      <w:r>
        <w:t xml:space="preserve">-333</w:t>
      </w:r>
      <w:r>
        <w:t xml:space="preserve"> </w:t>
      </w:r>
      <w:r>
        <w:t xml:space="preserve">[-206</w:t>
      </w:r>
      <w:r>
        <w:t xml:space="preserve"> </w:t>
      </w:r>
      <w:r>
        <w:t xml:space="preserve">to -396]</w:t>
      </w:r>
      <w:r>
        <w:t xml:space="preserve"> </w:t>
      </w:r>
      <w:r>
        <w:t xml:space="preserve">-389</w:t>
      </w:r>
      <w:r>
        <w:t xml:space="preserve"> </w:t>
      </w:r>
      <w:r>
        <w:t xml:space="preserve">[-234 to -</w:t>
      </w:r>
      <w:r>
        <w:t xml:space="preserve"> </w:t>
      </w:r>
      <w:r>
        <w:t xml:space="preserve">-436]</w:t>
      </w:r>
      <w:r>
        <w:t xml:space="preserve"> </w:t>
      </w:r>
      <w:r>
        <w:t xml:space="preserve">Industrial Removals</w:t>
      </w:r>
      <w:r>
        <w:t xml:space="preserve"> </w:t>
      </w:r>
      <w:r>
        <w:t xml:space="preserve">(MtCO2)</w:t>
      </w:r>
      <w:r>
        <w:t xml:space="preserve"> </w:t>
      </w:r>
      <w:r>
        <w:t xml:space="preserve">-4</w:t>
      </w:r>
      <w:r>
        <w:t xml:space="preserve"> </w:t>
      </w:r>
      <w:r>
        <w:t xml:space="preserve">-4</w:t>
      </w:r>
      <w:r>
        <w:t xml:space="preserve"> </w:t>
      </w:r>
      <w:r>
        <w:t xml:space="preserve">-49</w:t>
      </w:r>
      <w:r>
        <w:t xml:space="preserve"> </w:t>
      </w:r>
      <w:r>
        <w:t xml:space="preserve">-75</w:t>
      </w:r>
      <w:r>
        <w:t xml:space="preserve"> </w:t>
      </w:r>
      <w:r>
        <w:t xml:space="preserve">-27</w:t>
      </w:r>
      <w:r>
        <w:t xml:space="preserve"> </w:t>
      </w:r>
      <w:r>
        <w:t xml:space="preserve">-121</w:t>
      </w:r>
      <w:r>
        <w:t xml:space="preserve"> </w:t>
      </w:r>
      <w:r>
        <w:t xml:space="preserve">-115</w:t>
      </w:r>
      <w:r>
        <w:t xml:space="preserve"> </w:t>
      </w:r>
      <w:r>
        <w:t xml:space="preserve">-114</w:t>
      </w:r>
      <w:r>
        <w:t xml:space="preserve"> </w:t>
      </w:r>
      <w:r>
        <w:t xml:space="preserve">-40</w:t>
      </w:r>
      <w:r>
        <w:t xml:space="preserve"> </w:t>
      </w:r>
      <w:r>
        <w:t xml:space="preserve">BECCS</w:t>
      </w:r>
      <w:r>
        <w:t xml:space="preserve"> </w:t>
      </w:r>
      <w:r>
        <w:t xml:space="preserve">-4</w:t>
      </w:r>
      <w:r>
        <w:t xml:space="preserve"> </w:t>
      </w:r>
      <w:r>
        <w:t xml:space="preserve">-4</w:t>
      </w:r>
      <w:r>
        <w:t xml:space="preserve"> </w:t>
      </w:r>
      <w:r>
        <w:t xml:space="preserve">-34</w:t>
      </w:r>
      <w:r>
        <w:t xml:space="preserve"> </w:t>
      </w:r>
      <w:r>
        <w:t xml:space="preserve">-33</w:t>
      </w:r>
      <w:r>
        <w:t xml:space="preserve"> </w:t>
      </w:r>
      <w:r>
        <w:t xml:space="preserve">-27</w:t>
      </w:r>
      <w:r>
        <w:t xml:space="preserve"> </w:t>
      </w:r>
      <w:r>
        <w:t xml:space="preserve">-58</w:t>
      </w:r>
      <w:r>
        <w:t xml:space="preserve"> </w:t>
      </w:r>
      <w:r>
        <w:t xml:space="preserve">-59</w:t>
      </w:r>
      <w:r>
        <w:t xml:space="preserve"> </w:t>
      </w:r>
      <w:r>
        <w:t xml:space="preserve">-56</w:t>
      </w:r>
      <w:r>
        <w:t xml:space="preserve"> </w:t>
      </w:r>
      <w:r>
        <w:t xml:space="preserve">-37</w:t>
      </w:r>
      <w:r>
        <w:t xml:space="preserve"> </w:t>
      </w:r>
      <w:r>
        <w:t xml:space="preserve">DACCS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-15</w:t>
      </w:r>
      <w:r>
        <w:t xml:space="preserve"> </w:t>
      </w:r>
      <w:r>
        <w:t xml:space="preserve">-42</w:t>
      </w:r>
      <w:r>
        <w:t xml:space="preserve"> </w:t>
      </w:r>
      <w:r>
        <w:t xml:space="preserve">0</w:t>
      </w:r>
      <w:r>
        <w:t xml:space="preserve"> </w:t>
      </w:r>
      <w:r>
        <w:t xml:space="preserve">-63</w:t>
      </w:r>
      <w:r>
        <w:t xml:space="preserve"> </w:t>
      </w:r>
      <w:r>
        <w:t xml:space="preserve">-56</w:t>
      </w:r>
      <w:r>
        <w:t xml:space="preserve"> </w:t>
      </w:r>
      <w:r>
        <w:t xml:space="preserve">-57</w:t>
      </w:r>
      <w:r>
        <w:t xml:space="preserve"> </w:t>
      </w:r>
      <w:r>
        <w:t xml:space="preserve">-3</w:t>
      </w:r>
      <w:r>
        <w:t xml:space="preserve"> </w:t>
      </w:r>
      <w:r>
        <w:t xml:space="preserve">Source: PRIMES, GLOBIOM.</w:t>
      </w:r>
      <w:r>
        <w:t xml:space="preserve"> </w:t>
      </w:r>
      <w:r>
        <w:t xml:space="preserve">The 36 scenarios selected by the ESABCC (33) offer an overview of the possible balances</w:t>
      </w:r>
      <w:r>
        <w:t xml:space="preserve"> </w:t>
      </w:r>
      <w:r>
        <w:t xml:space="preserve">between removals and emission reductions: for 2040, the level of gross emission lies</w:t>
      </w:r>
    </w:p>
    <w:p>
      <w:pPr>
        <w:pStyle w:val="Compact"/>
        <w:numPr>
          <w:ilvl w:val="0"/>
          <w:numId w:val="1009"/>
        </w:numPr>
      </w:pPr>
      <w:r>
        <w:t xml:space="preserve">The range refers to the 36 filtered scenarios, including also scenarios not complying with</w:t>
      </w:r>
      <w:r>
        <w:t xml:space="preserve"> </w:t>
      </w:r>
      <w:r>
        <w:t xml:space="preserve">environmental risk that led to an emission reduction for 2040 between 83% and 96%.</w:t>
      </w:r>
      <w:r>
        <w:br/>
      </w:r>
      <w:r>
        <w:t xml:space="preserve">-110%</w:t>
      </w:r>
      <w:r>
        <w:t xml:space="preserve"> </w:t>
      </w:r>
      <w:r>
        <w:t xml:space="preserve">-100%</w:t>
      </w:r>
      <w:r>
        <w:t xml:space="preserve"> </w:t>
      </w:r>
      <w:r>
        <w:t xml:space="preserve">-90%</w:t>
      </w:r>
      <w:r>
        <w:t xml:space="preserve"> </w:t>
      </w:r>
      <w:r>
        <w:t xml:space="preserve">-80%</w:t>
      </w:r>
      <w:r>
        <w:t xml:space="preserve"> </w:t>
      </w:r>
      <w:r>
        <w:t xml:space="preserve">-70%</w:t>
      </w:r>
      <w:r>
        <w:t xml:space="preserve"> </w:t>
      </w:r>
      <w:r>
        <w:t xml:space="preserve">-60%</w:t>
      </w:r>
      <w:r>
        <w:t xml:space="preserve"> </w:t>
      </w:r>
      <w:r>
        <w:t xml:space="preserve">-50%</w:t>
      </w:r>
      <w:r>
        <w:t xml:space="preserve"> </w:t>
      </w:r>
      <w:r>
        <w:t xml:space="preserve">-500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Net GHG (incl. all</w:t>
      </w:r>
      <w:r>
        <w:t xml:space="preserve"> </w:t>
      </w:r>
      <w:r>
        <w:t xml:space="preserve">removals)</w:t>
      </w:r>
      <w:r>
        <w:t xml:space="preserve"> </w:t>
      </w:r>
      <w:r>
        <w:t xml:space="preserve">GHG (incl. industrial</w:t>
      </w:r>
      <w:r>
        <w:t xml:space="preserve"> </w:t>
      </w:r>
      <w:r>
        <w:t xml:space="preserve">and excl. LULUCF</w:t>
      </w:r>
      <w:r>
        <w:t xml:space="preserve"> </w:t>
      </w:r>
      <w:r>
        <w:t xml:space="preserve">net removals)</w:t>
      </w:r>
      <w:r>
        <w:t xml:space="preserve"> </w:t>
      </w:r>
      <w:r>
        <w:t xml:space="preserve">Gross GHG (excl. all</w:t>
      </w:r>
      <w:r>
        <w:t xml:space="preserve"> </w:t>
      </w:r>
      <w:r>
        <w:t xml:space="preserve">removals)</w:t>
      </w:r>
    </w:p>
    <w:p>
      <w:pPr>
        <w:pStyle w:val="FirstParagraph"/>
      </w:pPr>
      <w:r>
        <w:t xml:space="preserve">14</w:t>
      </w:r>
    </w:p>
    <w:p>
      <w:pPr>
        <w:pStyle w:val="BodyText"/>
      </w:pPr>
      <w:r>
        <w:t xml:space="preserve">between 1596 and 697 MtCO2-eq (34) and the contribution of removals is split into land-</w:t>
      </w:r>
      <w:r>
        <w:t xml:space="preserve"> </w:t>
      </w:r>
      <w:r>
        <w:t xml:space="preserve">based removals (range between -100 and -400 MtCO2-eq, with majority between -300</w:t>
      </w:r>
      <w:r>
        <w:t xml:space="preserve"> </w:t>
      </w:r>
      <w:r>
        <w:t xml:space="preserve">and -400 MtCO2-eq) and industrial removals (BECCS and DACCS ranging between -46</w:t>
      </w:r>
      <w:r>
        <w:t xml:space="preserve"> </w:t>
      </w:r>
      <w:r>
        <w:t xml:space="preserve">and -214 MtCO2, with majority around -200 MtCO2) (35).</w:t>
      </w:r>
      <w:r>
        <w:br/>
      </w:r>
      <w:r>
        <w:t xml:space="preserve">In the modelling analysis, the amount of projected gross GHG emissions in 2040 and the</w:t>
      </w:r>
      <w:r>
        <w:t xml:space="preserve"> </w:t>
      </w:r>
      <w:r>
        <w:t xml:space="preserve">contribution of nature-based removals lies within the range of the 36 ESABCC scenarios</w:t>
      </w:r>
      <w:r>
        <w:t xml:space="preserve"> </w:t>
      </w:r>
      <w:r>
        <w:t xml:space="preserve">studied by the ESABCC. Instead, while the industrial removals in the main scenarios lie</w:t>
      </w:r>
      <w:r>
        <w:t xml:space="preserve"> </w:t>
      </w:r>
      <w:r>
        <w:t xml:space="preserve">in the lower end of the range of the 36 scenarios analysed, achieving reductions up to</w:t>
      </w:r>
      <w:r>
        <w:t xml:space="preserve"> </w:t>
      </w:r>
      <w:r>
        <w:t xml:space="preserve">90% and beyond in 2040 cannot rely only on LULUCF net removals and needs to be</w:t>
      </w:r>
      <w:r>
        <w:t xml:space="preserve"> </w:t>
      </w:r>
      <w:r>
        <w:t xml:space="preserve">complemented by development of industrial removals.</w:t>
      </w:r>
    </w:p>
    <w:p>
      <w:pPr>
        <w:pStyle w:val="Compact"/>
        <w:numPr>
          <w:ilvl w:val="0"/>
          <w:numId w:val="1010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 Figure 37</w:t>
      </w:r>
    </w:p>
    <w:p>
      <w:pPr>
        <w:pStyle w:val="Compact"/>
        <w:numPr>
          <w:ilvl w:val="0"/>
          <w:numId w:val="1010"/>
        </w:numPr>
      </w:pPr>
      <w:r>
        <w:t xml:space="preserve">Ibid., Figure 35, Figure 36 and Table 16</w:t>
      </w:r>
    </w:p>
    <w:p>
      <w:pPr>
        <w:pStyle w:val="FirstParagraph"/>
      </w:pPr>
      <w:r>
        <w:t xml:space="preserve">15</w:t>
      </w:r>
    </w:p>
    <w:p>
      <w:pPr>
        <w:pStyle w:val="BodyText"/>
      </w:pPr>
      <w:r>
        <w:t xml:space="preserve">1.1.2.5.GHG pathways</w:t>
      </w:r>
      <w:r>
        <w:t xml:space="preserve"> </w:t>
      </w:r>
      <w:r>
        <w:t xml:space="preserve">Figure 5 summarises the analysis of the previous sections and shows the net economy-</w:t>
      </w:r>
      <w:r>
        <w:t xml:space="preserve"> </w:t>
      </w:r>
      <w:r>
        <w:t xml:space="preserve">wide GHG emission pathways. While all scenarios follow the same pathway until 2030,</w:t>
      </w:r>
      <w:r>
        <w:t xml:space="preserve"> </w:t>
      </w:r>
      <w:r>
        <w:t xml:space="preserve">they diverge after that year, leading to distinct trajectories for the 2030-2050 decade</w:t>
      </w:r>
      <w:r>
        <w:t xml:space="preserve"> </w:t>
      </w:r>
      <w:r>
        <w:t xml:space="preserve">before converging to net-zero by 2050.</w:t>
      </w:r>
      <w:r>
        <w:br/>
      </w:r>
      <w:r>
        <w:t xml:space="preserve">Figure 5: Economy-wide GHG emission pathways</w:t>
      </w:r>
    </w:p>
    <w:p>
      <w:pPr>
        <w:pStyle w:val="BodyText"/>
      </w:pPr>
      <w:r>
        <w:t xml:space="preserve">Source: PRIMES, GAINS, GLOBIOM.</w:t>
      </w:r>
    </w:p>
    <w:p>
      <w:pPr>
        <w:pStyle w:val="BodyText"/>
      </w:pPr>
      <w:r>
        <w:t xml:space="preserve">1.1.3. Energy and Industry CO2 emissions</w:t>
      </w:r>
      <w:r>
        <w:t xml:space="preserve"> </w:t>
      </w:r>
      <w:r>
        <w:t xml:space="preserve">1.1.3.1.Net CO2 emissions</w:t>
      </w:r>
      <w:r>
        <w:t xml:space="preserve"> </w:t>
      </w:r>
      <w:r>
        <w:t xml:space="preserve">Figure 6 shows the trajectories for the energy and industry net CO2 emissions (36) in the</w:t>
      </w:r>
      <w:r>
        <w:t xml:space="preserve"> </w:t>
      </w:r>
      <w:r>
        <w:t xml:space="preserve">different scenarios.</w:t>
      </w:r>
    </w:p>
    <w:p>
      <w:pPr>
        <w:pStyle w:val="Compact"/>
        <w:numPr>
          <w:ilvl w:val="0"/>
          <w:numId w:val="1011"/>
        </w:numPr>
      </w:pPr>
      <w:r>
        <w:t xml:space="preserve">The emissions scope includes the net domestic energy-related CO2, the net domestic non-energy</w:t>
      </w:r>
      <w:r>
        <w:t xml:space="preserve"> </w:t>
      </w:r>
      <w:r>
        <w:t xml:space="preserve">related CO2, the intra-EU transport and 50% of the international extra-EU maritime as per MRV.</w:t>
      </w:r>
      <w:r>
        <w:br/>
      </w:r>
      <w:r>
        <w:t xml:space="preserve">-1000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5000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S1</w:t>
      </w:r>
      <w:r>
        <w:t xml:space="preserve"> </w:t>
      </w:r>
      <w:r>
        <w:t xml:space="preserve">Ind. Removals</w:t>
      </w:r>
      <w:r>
        <w:t xml:space="preserve"> </w:t>
      </w:r>
      <w:r>
        <w:t xml:space="preserve">LULUCF</w:t>
      </w:r>
      <w:r>
        <w:t xml:space="preserve"> </w:t>
      </w:r>
      <w:r>
        <w:t xml:space="preserve">Non-CO2 in non Land-related sectors</w:t>
      </w:r>
      <w:r>
        <w:t xml:space="preserve"> </w:t>
      </w:r>
      <w:r>
        <w:t xml:space="preserve">Agriculture</w:t>
      </w:r>
      <w:r>
        <w:t xml:space="preserve"> </w:t>
      </w:r>
      <w:r>
        <w:t xml:space="preserve">Int. Transport</w:t>
      </w:r>
      <w:r>
        <w:t xml:space="preserve"> </w:t>
      </w:r>
      <w:r>
        <w:t xml:space="preserve">Domestic Transport</w:t>
      </w:r>
      <w:r>
        <w:t xml:space="preserve"> </w:t>
      </w:r>
      <w:r>
        <w:t xml:space="preserve">Buildings</w:t>
      </w:r>
      <w:r>
        <w:t xml:space="preserve"> </w:t>
      </w:r>
      <w:r>
        <w:t xml:space="preserve">Industry</w:t>
      </w:r>
      <w:r>
        <w:t xml:space="preserve"> </w:t>
      </w:r>
      <w:r>
        <w:t xml:space="preserve">En. Supply</w:t>
      </w:r>
      <w:r>
        <w:t xml:space="preserve"> </w:t>
      </w:r>
      <w:r>
        <w:t xml:space="preserve">Net GHG emissions</w:t>
      </w:r>
      <w:r>
        <w:t xml:space="preserve"> </w:t>
      </w:r>
      <w:r>
        <w:t xml:space="preserve">-500</w:t>
      </w:r>
      <w:r>
        <w:t xml:space="preserve"> </w:t>
      </w:r>
      <w:r>
        <w:t xml:space="preserve">500</w:t>
      </w:r>
      <w:r>
        <w:t xml:space="preserve"> </w:t>
      </w:r>
      <w:r>
        <w:t xml:space="preserve">1500</w:t>
      </w:r>
      <w:r>
        <w:t xml:space="preserve"> </w:t>
      </w:r>
      <w:r>
        <w:t xml:space="preserve">2500</w:t>
      </w:r>
      <w:r>
        <w:t xml:space="preserve"> </w:t>
      </w:r>
      <w:r>
        <w:t xml:space="preserve">3500</w:t>
      </w:r>
      <w:r>
        <w:t xml:space="preserve"> </w:t>
      </w:r>
      <w:r>
        <w:t xml:space="preserve">4500</w:t>
      </w:r>
      <w:r>
        <w:t xml:space="preserve"> </w:t>
      </w:r>
      <w:r>
        <w:t xml:space="preserve">MtCO2-eq</w:t>
      </w:r>
      <w:r>
        <w:t xml:space="preserve"> </w:t>
      </w:r>
      <w:r>
        <w:t xml:space="preserve">S2</w:t>
      </w:r>
      <w:r>
        <w:t xml:space="preserve"> </w:t>
      </w:r>
      <w:r>
        <w:t xml:space="preserve">-500</w:t>
      </w:r>
      <w:r>
        <w:t xml:space="preserve"> </w:t>
      </w:r>
      <w:r>
        <w:t xml:space="preserve">500</w:t>
      </w:r>
      <w:r>
        <w:t xml:space="preserve"> </w:t>
      </w:r>
      <w:r>
        <w:t xml:space="preserve">1500</w:t>
      </w:r>
      <w:r>
        <w:t xml:space="preserve"> </w:t>
      </w:r>
      <w:r>
        <w:t xml:space="preserve">2500</w:t>
      </w:r>
      <w:r>
        <w:t xml:space="preserve"> </w:t>
      </w:r>
      <w:r>
        <w:t xml:space="preserve">3500</w:t>
      </w:r>
      <w:r>
        <w:t xml:space="preserve"> </w:t>
      </w:r>
      <w:r>
        <w:t xml:space="preserve">4500</w:t>
      </w:r>
      <w:r>
        <w:t xml:space="preserve"> </w:t>
      </w:r>
      <w:r>
        <w:t xml:space="preserve">MtCO2-eq</w:t>
      </w:r>
      <w:r>
        <w:t xml:space="preserve"> </w:t>
      </w:r>
      <w:r>
        <w:t xml:space="preserve">S3</w:t>
      </w:r>
      <w:r>
        <w:t xml:space="preserve"> </w:t>
      </w:r>
      <w:r>
        <w:t xml:space="preserve">-500</w:t>
      </w:r>
      <w:r>
        <w:t xml:space="preserve"> </w:t>
      </w:r>
      <w:r>
        <w:t xml:space="preserve">500</w:t>
      </w:r>
      <w:r>
        <w:t xml:space="preserve"> </w:t>
      </w:r>
      <w:r>
        <w:t xml:space="preserve">1500</w:t>
      </w:r>
      <w:r>
        <w:t xml:space="preserve"> </w:t>
      </w:r>
      <w:r>
        <w:t xml:space="preserve">2500</w:t>
      </w:r>
      <w:r>
        <w:t xml:space="preserve"> </w:t>
      </w:r>
      <w:r>
        <w:t xml:space="preserve">3500</w:t>
      </w:r>
      <w:r>
        <w:t xml:space="preserve"> </w:t>
      </w:r>
      <w:r>
        <w:t xml:space="preserve">4500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LIFE</w:t>
      </w:r>
      <w:r>
        <w:t xml:space="preserve"> </w:t>
      </w:r>
      <w:r>
        <w:t xml:space="preserve">-500</w:t>
      </w:r>
      <w:r>
        <w:t xml:space="preserve"> </w:t>
      </w:r>
      <w:r>
        <w:t xml:space="preserve">500</w:t>
      </w:r>
      <w:r>
        <w:t xml:space="preserve"> </w:t>
      </w:r>
      <w:r>
        <w:t xml:space="preserve">1500</w:t>
      </w:r>
      <w:r>
        <w:t xml:space="preserve"> </w:t>
      </w:r>
      <w:r>
        <w:t xml:space="preserve">2500</w:t>
      </w:r>
      <w:r>
        <w:t xml:space="preserve"> </w:t>
      </w:r>
      <w:r>
        <w:t xml:space="preserve">3500</w:t>
      </w:r>
      <w:r>
        <w:t xml:space="preserve"> </w:t>
      </w:r>
      <w:r>
        <w:t xml:space="preserve">4500</w:t>
      </w:r>
      <w:r>
        <w:t xml:space="preserve"> </w:t>
      </w:r>
      <w:r>
        <w:t xml:space="preserve">MtCO2-eq</w:t>
      </w:r>
      <w:r>
        <w:t xml:space="preserve"> </w:t>
      </w:r>
      <w:r>
        <w:t xml:space="preserve">S1</w:t>
      </w:r>
    </w:p>
    <w:p>
      <w:pPr>
        <w:pStyle w:val="FirstParagraph"/>
      </w:pPr>
      <w:r>
        <w:t xml:space="preserve">16</w:t>
      </w:r>
    </w:p>
    <w:p>
      <w:pPr>
        <w:pStyle w:val="BodyText"/>
      </w:pPr>
      <w:r>
        <w:t xml:space="preserve">Figure 6: Energy and Industry net CO2 emissions</w:t>
      </w:r>
    </w:p>
    <w:p>
      <w:pPr>
        <w:pStyle w:val="BodyText"/>
      </w:pPr>
      <w:r>
        <w:t xml:space="preserve">Note: Power and District Heating (DH) include BECCS. Other energy includes energy branch and DACCS. Residual</w:t>
      </w:r>
      <w:r>
        <w:t xml:space="preserve"> </w:t>
      </w:r>
      <w:r>
        <w:t xml:space="preserve">and services includes fossil fuel combustion in the agriculture/fishery/forestry sector. Non-Energy includes</w:t>
      </w:r>
      <w:r>
        <w:t xml:space="preserve"> </w:t>
      </w:r>
      <w:r>
        <w:t xml:space="preserve">industrial processes and fugitive emissions.</w:t>
      </w:r>
      <w:r>
        <w:br/>
      </w:r>
      <w:r>
        <w:t xml:space="preserve">Source: PRIMES.</w:t>
      </w:r>
      <w:r>
        <w:t xml:space="preserve"> </w:t>
      </w:r>
      <w:r>
        <w:t xml:space="preserve">In line with current policies, CO2 emissions from the energy sector are projected to more</w:t>
      </w:r>
      <w:r>
        <w:t xml:space="preserve"> </w:t>
      </w:r>
      <w:r>
        <w:t xml:space="preserve">than halve already in 2030 with respect to 2015. Achieving net-zero in 2050 projects net</w:t>
      </w:r>
      <w:r>
        <w:t xml:space="preserve"> </w:t>
      </w:r>
      <w:r>
        <w:t xml:space="preserve">CO2 emissions in 2040 to be in the range of 330-800 MtCO2 across scenarios, meaning a</w:t>
      </w:r>
      <w:r>
        <w:t xml:space="preserve"> </w:t>
      </w:r>
      <w:r>
        <w:t xml:space="preserve">reduction between 80% and 92% compared to 1990. S3 reduces emissions by an</w:t>
      </w:r>
      <w:r>
        <w:t xml:space="preserve"> </w:t>
      </w:r>
      <w:r>
        <w:t xml:space="preserve">additional 500 MtCO2 with respect to S1: this amount corresponds to around 20% of</w:t>
      </w:r>
      <w:r>
        <w:t xml:space="preserve"> </w:t>
      </w:r>
      <w:r>
        <w:t xml:space="preserve">2030 total net GHG emissions, indicating the important contribution of the energy and</w:t>
      </w:r>
      <w:r>
        <w:t xml:space="preserve"> </w:t>
      </w:r>
      <w:r>
        <w:t xml:space="preserve">industry sectors to decarbonise the EU economy already by 2040. In 2050, the sum of</w:t>
      </w:r>
      <w:r>
        <w:t xml:space="preserve"> </w:t>
      </w:r>
      <w:r>
        <w:t xml:space="preserve">emissions coming from all sectors analysed achieves slightly negative levels in all</w:t>
      </w:r>
      <w:r>
        <w:t xml:space="preserve"> </w:t>
      </w:r>
      <w:r>
        <w:t xml:space="preserve">scenarios, with industrial carbon removals compensating for the residual hard-to-abate</w:t>
      </w:r>
      <w:r>
        <w:t xml:space="preserve"> </w:t>
      </w:r>
      <w:r>
        <w:t xml:space="preserve">emissions. LIFE shows a level of energy and industry CO2 emissions intermediate</w:t>
      </w:r>
      <w:r>
        <w:t xml:space="preserve"> </w:t>
      </w:r>
      <w:r>
        <w:t xml:space="preserve">between S2 and S3 in 2040, and slightly higher emissions of around 70 MtCO2 in 2050.</w:t>
      </w:r>
      <w:r>
        <w:t xml:space="preserve"> </w:t>
      </w:r>
      <w:r>
        <w:t xml:space="preserve">These additional emissions are compensated by lower emissions in agriculture (see 1.7)</w:t>
      </w:r>
      <w:r>
        <w:t xml:space="preserve"> </w:t>
      </w:r>
      <w:r>
        <w:t xml:space="preserve">and enhanced land-based removals (see 1.8), highlighting a redistribution of emission</w:t>
      </w:r>
      <w:r>
        <w:t xml:space="preserve"> </w:t>
      </w:r>
      <w:r>
        <w:t xml:space="preserve">reductions across sectors: total net GHG emissions levels comparable to S3 are achieved</w:t>
      </w:r>
      <w:r>
        <w:t xml:space="preserve"> </w:t>
      </w:r>
      <w:r>
        <w:t xml:space="preserve">in LIFE mostly with a reduced need for industrial carbon capture.</w:t>
      </w:r>
      <w:r>
        <w:br/>
      </w:r>
      <w:r>
        <w:t xml:space="preserve">The domestic CO2 emissions (Table 6) decrease significantly already in the decade</w:t>
      </w:r>
      <w:r>
        <w:t xml:space="preserve"> </w:t>
      </w:r>
      <w:r>
        <w:t xml:space="preserve">2031-2040 and reach slight negative levels in the main scenarios in 2050. Energy related</w:t>
      </w:r>
      <w:r>
        <w:t xml:space="preserve"> </w:t>
      </w:r>
      <w:r>
        <w:t xml:space="preserve">emissions (37) in 2040 are between 40% and 20% the level of 2030, with the power</w:t>
      </w:r>
      <w:r>
        <w:t xml:space="preserve"> </w:t>
      </w:r>
      <w:r>
        <w:t xml:space="preserve">generation, district heating and transport sectors reducing the most, driven by the</w:t>
      </w:r>
      <w:r>
        <w:t xml:space="preserve"> </w:t>
      </w:r>
      <w:r>
        <w:t xml:space="preserve">decarbonisation of the power system, the energy efficiency measures and the</w:t>
      </w:r>
      <w:r>
        <w:t xml:space="preserve"> </w:t>
      </w:r>
      <w:r>
        <w:t xml:space="preserve">implementation of renewables in final energy sectors. Residual energy emissions are then</w:t>
      </w:r>
      <w:r>
        <w:t xml:space="preserve"> </w:t>
      </w:r>
      <w:r>
        <w:t xml:space="preserve">reduced gradually in the decade 2041-2050 and reach cumulative negative values of</w:t>
      </w:r>
      <w:r>
        <w:t xml:space="preserve"> </w:t>
      </w:r>
      <w:r>
        <w:t xml:space="preserve">around -40 MtCO2 in 2050, as result of the contribution of industrial removals. Non-</w:t>
      </w:r>
      <w:r>
        <w:t xml:space="preserve"> </w:t>
      </w:r>
      <w:r>
        <w:t xml:space="preserve">energy related CO2 emissions decrease only by around 35% in 2030 vs 2015, and</w:t>
      </w:r>
    </w:p>
    <w:p>
      <w:pPr>
        <w:pStyle w:val="Compact"/>
        <w:numPr>
          <w:ilvl w:val="0"/>
          <w:numId w:val="1012"/>
        </w:numPr>
      </w:pPr>
      <w:r>
        <w:t xml:space="preserve">Essentially, the emissions from fuel combustion.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Non-Energy</w:t>
      </w:r>
      <w:r>
        <w:t xml:space="preserve"> </w:t>
      </w:r>
      <w:r>
        <w:t xml:space="preserve">Transport</w:t>
      </w:r>
      <w:r>
        <w:t xml:space="preserve"> </w:t>
      </w:r>
      <w:r>
        <w:t xml:space="preserve">Res. &amp; Services</w:t>
      </w:r>
      <w:r>
        <w:t xml:space="preserve"> </w:t>
      </w:r>
      <w:r>
        <w:t xml:space="preserve">Industry</w:t>
      </w:r>
      <w:r>
        <w:t xml:space="preserve"> </w:t>
      </w:r>
      <w:r>
        <w:t xml:space="preserve">(Energy)</w:t>
      </w:r>
      <w:r>
        <w:t xml:space="preserve"> </w:t>
      </w:r>
      <w:r>
        <w:t xml:space="preserve">Other Energy</w:t>
      </w:r>
      <w:r>
        <w:t xml:space="preserve"> </w:t>
      </w:r>
      <w:r>
        <w:t xml:space="preserve">Power &amp; DH</w:t>
      </w:r>
      <w:r>
        <w:t xml:space="preserve"> </w:t>
      </w:r>
      <w:r>
        <w:t xml:space="preserve">-100</w:t>
      </w:r>
      <w:r>
        <w:t xml:space="preserve"> </w:t>
      </w:r>
      <w:r>
        <w:t xml:space="preserve">400</w:t>
      </w:r>
      <w:r>
        <w:t xml:space="preserve"> </w:t>
      </w:r>
      <w:r>
        <w:t xml:space="preserve">900</w:t>
      </w:r>
      <w:r>
        <w:t xml:space="preserve"> </w:t>
      </w:r>
      <w:r>
        <w:t xml:space="preserve">1400</w:t>
      </w:r>
      <w:r>
        <w:t xml:space="preserve"> </w:t>
      </w:r>
      <w:r>
        <w:t xml:space="preserve">1900</w:t>
      </w:r>
      <w:r>
        <w:t xml:space="preserve"> </w:t>
      </w:r>
      <w:r>
        <w:t xml:space="preserve">2400</w:t>
      </w:r>
      <w:r>
        <w:t xml:space="preserve"> </w:t>
      </w:r>
      <w:r>
        <w:t xml:space="preserve">2900</w:t>
      </w:r>
      <w:r>
        <w:t xml:space="preserve"> </w:t>
      </w:r>
      <w:r>
        <w:t xml:space="preserve">3400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MtCO2</w:t>
      </w:r>
    </w:p>
    <w:p>
      <w:pPr>
        <w:pStyle w:val="FirstParagraph"/>
      </w:pPr>
      <w:r>
        <w:t xml:space="preserve">17</w:t>
      </w:r>
    </w:p>
    <w:p>
      <w:pPr>
        <w:pStyle w:val="BodyText"/>
      </w:pPr>
      <w:r>
        <w:t xml:space="preserve">additional reductions between 20% and 80% (compared to 2030) are achieved in 2031-</w:t>
      </w:r>
      <w:r>
        <w:t xml:space="preserve"> </w:t>
      </w:r>
      <w:r>
        <w:t xml:space="preserve">2040, driven by the decrease of industrial processes emissions: the large variation across</w:t>
      </w:r>
      <w:r>
        <w:t xml:space="preserve"> </w:t>
      </w:r>
      <w:r>
        <w:t xml:space="preserve">scenarios is justified by the late (in S1) and early (in S3) entry into market of low-carbon</w:t>
      </w:r>
      <w:r>
        <w:t xml:space="preserve"> </w:t>
      </w:r>
      <w:r>
        <w:t xml:space="preserve">innovative manufacturing technologies, including carbon capture, utilisation and storage.</w:t>
      </w:r>
      <w:r>
        <w:t xml:space="preserve"> </w:t>
      </w:r>
      <w:r>
        <w:t xml:space="preserve">In 2050, emissions from industrial processes reduce to negligible values and the non-</w:t>
      </w:r>
      <w:r>
        <w:t xml:space="preserve"> </w:t>
      </w:r>
      <w:r>
        <w:t xml:space="preserve">energy emissions stagnate. International emissions within the scope decrease by around</w:t>
      </w:r>
      <w:r>
        <w:t xml:space="preserve"> </w:t>
      </w:r>
      <w:r>
        <w:t xml:space="preserve">half in the period 2031-2040 and range around 10-15 MtCO2 in 2050. Further details on</w:t>
      </w:r>
      <w:r>
        <w:t xml:space="preserve"> </w:t>
      </w:r>
      <w:r>
        <w:t xml:space="preserve">sectoral CO2 emissions, including transport, are discussed in sections 1.2-1.5.</w:t>
      </w:r>
      <w:r>
        <w:br/>
      </w:r>
      <w:r>
        <w:t xml:space="preserve">Table 6: Energy and Industry net CO2 emissions</w:t>
      </w:r>
    </w:p>
    <w:p>
      <w:pPr>
        <w:pStyle w:val="BodyText"/>
      </w:pPr>
      <w:r>
        <w:t xml:space="preserve">2005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Compact"/>
        <w:numPr>
          <w:ilvl w:val="0"/>
          <w:numId w:val="1013"/>
        </w:numPr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Total Energy and Industry CO2 emissions</w:t>
      </w:r>
      <w:r>
        <w:t xml:space="preserve"> </w:t>
      </w:r>
      <w:r>
        <w:t xml:space="preserve">3837</w:t>
      </w:r>
      <w:r>
        <w:t xml:space="preserve"> </w:t>
      </w:r>
      <w:r>
        <w:t xml:space="preserve">3197</w:t>
      </w:r>
      <w:r>
        <w:t xml:space="preserve"> </w:t>
      </w:r>
      <w:r>
        <w:t xml:space="preserve">1759</w:t>
      </w:r>
      <w:r>
        <w:t xml:space="preserve"> </w:t>
      </w:r>
      <w:r>
        <w:t xml:space="preserve">805</w:t>
      </w:r>
      <w:r>
        <w:t xml:space="preserve"> </w:t>
      </w:r>
      <w:r>
        <w:t xml:space="preserve">511</w:t>
      </w:r>
      <w:r>
        <w:t xml:space="preserve"> </w:t>
      </w:r>
      <w:r>
        <w:t xml:space="preserve">321</w:t>
      </w:r>
      <w:r>
        <w:t xml:space="preserve"> </w:t>
      </w:r>
      <w:r>
        <w:t xml:space="preserve">422</w:t>
      </w:r>
      <w:r>
        <w:t xml:space="preserve"> </w:t>
      </w:r>
      <w:r>
        <w:t xml:space="preserve">-5</w:t>
      </w:r>
      <w:r>
        <w:t xml:space="preserve"> </w:t>
      </w:r>
      <w:r>
        <w:t xml:space="preserve">73</w:t>
      </w:r>
      <w:r>
        <w:t xml:space="preserve"> </w:t>
      </w:r>
      <w:r>
        <w:t xml:space="preserve">Net Domestic CO2 Emissions: Energy Related</w:t>
      </w:r>
      <w:r>
        <w:t xml:space="preserve"> </w:t>
      </w:r>
      <w:r>
        <w:t xml:space="preserve">3381</w:t>
      </w:r>
      <w:r>
        <w:t xml:space="preserve"> </w:t>
      </w:r>
      <w:r>
        <w:t xml:space="preserve">2787</w:t>
      </w:r>
      <w:r>
        <w:t xml:space="preserve"> </w:t>
      </w:r>
      <w:r>
        <w:t xml:space="preserve">1448</w:t>
      </w:r>
      <w:r>
        <w:t xml:space="preserve"> </w:t>
      </w:r>
      <w:r>
        <w:t xml:space="preserve">594</w:t>
      </w:r>
      <w:r>
        <w:t xml:space="preserve"> </w:t>
      </w:r>
      <w:r>
        <w:t xml:space="preserve">357</w:t>
      </w:r>
      <w:r>
        <w:t xml:space="preserve"> </w:t>
      </w:r>
      <w:r>
        <w:t xml:space="preserve">247</w:t>
      </w:r>
      <w:r>
        <w:t xml:space="preserve"> </w:t>
      </w:r>
      <w:r>
        <w:t xml:space="preserve">351</w:t>
      </w:r>
      <w:r>
        <w:t xml:space="preserve"> </w:t>
      </w:r>
      <w:r>
        <w:t xml:space="preserve">-40</w:t>
      </w:r>
      <w:r>
        <w:t xml:space="preserve"> </w:t>
      </w:r>
      <w:r>
        <w:t xml:space="preserve">41</w:t>
      </w:r>
      <w:r>
        <w:t xml:space="preserve"> </w:t>
      </w:r>
      <w:r>
        <w:t xml:space="preserve">Power and district heating*</w:t>
      </w:r>
      <w:r>
        <w:t xml:space="preserve"> </w:t>
      </w:r>
      <w:r>
        <w:t xml:space="preserve">1300</w:t>
      </w:r>
      <w:r>
        <w:t xml:space="preserve"> </w:t>
      </w:r>
      <w:r>
        <w:t xml:space="preserve">1012</w:t>
      </w:r>
      <w:r>
        <w:t xml:space="preserve"> </w:t>
      </w:r>
      <w:r>
        <w:t xml:space="preserve">334</w:t>
      </w:r>
      <w:r>
        <w:t xml:space="preserve"> </w:t>
      </w:r>
      <w:r>
        <w:t xml:space="preserve">119</w:t>
      </w:r>
      <w:r>
        <w:t xml:space="preserve"> </w:t>
      </w:r>
      <w:r>
        <w:t xml:space="preserve">8</w:t>
      </w:r>
      <w:r>
        <w:t xml:space="preserve"> </w:t>
      </w:r>
      <w:r>
        <w:t xml:space="preserve">-10</w:t>
      </w:r>
      <w:r>
        <w:t xml:space="preserve"> </w:t>
      </w:r>
      <w:r>
        <w:t xml:space="preserve">7</w:t>
      </w:r>
      <w:r>
        <w:t xml:space="preserve"> </w:t>
      </w:r>
      <w:r>
        <w:t xml:space="preserve">-38</w:t>
      </w:r>
      <w:r>
        <w:t xml:space="preserve"> </w:t>
      </w:r>
      <w:r>
        <w:t xml:space="preserve">-22</w:t>
      </w:r>
      <w:r>
        <w:t xml:space="preserve"> </w:t>
      </w:r>
      <w:r>
        <w:t xml:space="preserve">Other Energy sectors**</w:t>
      </w:r>
      <w:r>
        <w:t xml:space="preserve"> </w:t>
      </w:r>
      <w:r>
        <w:t xml:space="preserve">152</w:t>
      </w:r>
      <w:r>
        <w:t xml:space="preserve"> </w:t>
      </w:r>
      <w:r>
        <w:t xml:space="preserve">136</w:t>
      </w:r>
      <w:r>
        <w:t xml:space="preserve"> </w:t>
      </w:r>
      <w:r>
        <w:t xml:space="preserve">84</w:t>
      </w:r>
      <w:r>
        <w:t xml:space="preserve"> </w:t>
      </w:r>
      <w:r>
        <w:t xml:space="preserve">43</w:t>
      </w:r>
      <w:r>
        <w:t xml:space="preserve"> </w:t>
      </w:r>
      <w:r>
        <w:t xml:space="preserve">23</w:t>
      </w:r>
      <w:r>
        <w:t xml:space="preserve"> </w:t>
      </w:r>
      <w:r>
        <w:t xml:space="preserve">-11</w:t>
      </w:r>
      <w:r>
        <w:t xml:space="preserve"> </w:t>
      </w:r>
      <w:r>
        <w:t xml:space="preserve">35</w:t>
      </w:r>
      <w:r>
        <w:t xml:space="preserve"> </w:t>
      </w:r>
      <w:r>
        <w:t xml:space="preserve">-37</w:t>
      </w:r>
      <w:r>
        <w:t xml:space="preserve"> </w:t>
      </w:r>
      <w:r>
        <w:t xml:space="preserve">15</w:t>
      </w:r>
      <w:r>
        <w:t xml:space="preserve"> </w:t>
      </w:r>
      <w:r>
        <w:t xml:space="preserve">Industry (Energy)</w:t>
      </w:r>
      <w:r>
        <w:t xml:space="preserve"> </w:t>
      </w:r>
      <w:r>
        <w:t xml:space="preserve">469</w:t>
      </w:r>
      <w:r>
        <w:t xml:space="preserve"> </w:t>
      </w:r>
      <w:r>
        <w:t xml:space="preserve">360</w:t>
      </w:r>
      <w:r>
        <w:t xml:space="preserve"> </w:t>
      </w:r>
      <w:r>
        <w:t xml:space="preserve">232</w:t>
      </w:r>
      <w:r>
        <w:t xml:space="preserve"> </w:t>
      </w:r>
      <w:r>
        <w:t xml:space="preserve">126</w:t>
      </w:r>
      <w:r>
        <w:t xml:space="preserve"> </w:t>
      </w:r>
      <w:r>
        <w:t xml:space="preserve">94</w:t>
      </w:r>
      <w:r>
        <w:t xml:space="preserve"> </w:t>
      </w:r>
      <w:r>
        <w:t xml:space="preserve">75</w:t>
      </w:r>
      <w:r>
        <w:t xml:space="preserve"> </w:t>
      </w:r>
      <w:r>
        <w:t xml:space="preserve">86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Transport</w:t>
      </w:r>
      <w:r>
        <w:t xml:space="preserve"> </w:t>
      </w:r>
      <w:r>
        <w:t xml:space="preserve">812</w:t>
      </w:r>
      <w:r>
        <w:t xml:space="preserve"> </w:t>
      </w:r>
      <w:r>
        <w:t xml:space="preserve">764</w:t>
      </w:r>
      <w:r>
        <w:t xml:space="preserve"> </w:t>
      </w:r>
      <w:r>
        <w:t xml:space="preserve">577</w:t>
      </w:r>
      <w:r>
        <w:t xml:space="preserve"> </w:t>
      </w:r>
      <w:r>
        <w:t xml:space="preserve">187</w:t>
      </w:r>
      <w:r>
        <w:t xml:space="preserve"> </w:t>
      </w:r>
      <w:r>
        <w:t xml:space="preserve">141</w:t>
      </w:r>
      <w:r>
        <w:t xml:space="preserve"> </w:t>
      </w:r>
      <w:r>
        <w:t xml:space="preserve">117</w:t>
      </w:r>
      <w:r>
        <w:t xml:space="preserve"> </w:t>
      </w:r>
      <w:r>
        <w:t xml:space="preserve">132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Residential and Services***</w:t>
      </w:r>
      <w:r>
        <w:t xml:space="preserve"> </w:t>
      </w:r>
      <w:r>
        <w:t xml:space="preserve">648</w:t>
      </w:r>
      <w:r>
        <w:t xml:space="preserve"> </w:t>
      </w:r>
      <w:r>
        <w:t xml:space="preserve">514</w:t>
      </w:r>
      <w:r>
        <w:t xml:space="preserve"> </w:t>
      </w:r>
      <w:r>
        <w:t xml:space="preserve">221</w:t>
      </w:r>
      <w:r>
        <w:t xml:space="preserve"> </w:t>
      </w:r>
      <w:r>
        <w:t xml:space="preserve">119</w:t>
      </w:r>
      <w:r>
        <w:t xml:space="preserve"> </w:t>
      </w:r>
      <w:r>
        <w:t xml:space="preserve">92</w:t>
      </w:r>
      <w:r>
        <w:t xml:space="preserve"> </w:t>
      </w:r>
      <w:r>
        <w:t xml:space="preserve">75</w:t>
      </w:r>
      <w:r>
        <w:t xml:space="preserve"> </w:t>
      </w:r>
      <w:r>
        <w:t xml:space="preserve">92</w:t>
      </w:r>
      <w:r>
        <w:t xml:space="preserve"> </w:t>
      </w:r>
      <w:r>
        <w:t xml:space="preserve">19</w:t>
      </w:r>
      <w:r>
        <w:t xml:space="preserve"> </w:t>
      </w:r>
      <w:r>
        <w:t xml:space="preserve">29</w:t>
      </w:r>
      <w:r>
        <w:t xml:space="preserve"> </w:t>
      </w:r>
      <w:r>
        <w:t xml:space="preserve">Net Domestic CO2 Emissions: Non-Energy Related</w:t>
      </w:r>
      <w:r>
        <w:t xml:space="preserve"> </w:t>
      </w:r>
      <w:r>
        <w:t xml:space="preserve">325</w:t>
      </w:r>
      <w:r>
        <w:t xml:space="preserve"> </w:t>
      </w:r>
      <w:r>
        <w:t xml:space="preserve">260</w:t>
      </w:r>
      <w:r>
        <w:t xml:space="preserve"> </w:t>
      </w:r>
      <w:r>
        <w:t xml:space="preserve">176</w:t>
      </w:r>
      <w:r>
        <w:t xml:space="preserve"> </w:t>
      </w:r>
      <w:r>
        <w:t xml:space="preserve">156</w:t>
      </w:r>
      <w:r>
        <w:t xml:space="preserve"> </w:t>
      </w:r>
      <w:r>
        <w:t xml:space="preserve">109</w:t>
      </w:r>
      <w:r>
        <w:t xml:space="preserve"> </w:t>
      </w:r>
      <w:r>
        <w:t xml:space="preserve">34</w:t>
      </w:r>
      <w:r>
        <w:t xml:space="preserve"> </w:t>
      </w:r>
      <w:r>
        <w:t xml:space="preserve">33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Industry (Non-Energy)</w:t>
      </w:r>
      <w:r>
        <w:t xml:space="preserve"> </w:t>
      </w:r>
      <w:r>
        <w:t xml:space="preserve">288</w:t>
      </w:r>
      <w:r>
        <w:t xml:space="preserve"> </w:t>
      </w:r>
      <w:r>
        <w:t xml:space="preserve">226</w:t>
      </w:r>
      <w:r>
        <w:t xml:space="preserve"> </w:t>
      </w:r>
      <w:r>
        <w:t xml:space="preserve">150</w:t>
      </w:r>
      <w:r>
        <w:t xml:space="preserve"> </w:t>
      </w:r>
      <w:r>
        <w:t xml:space="preserve">133</w:t>
      </w:r>
      <w:r>
        <w:t xml:space="preserve"> </w:t>
      </w:r>
      <w:r>
        <w:t xml:space="preserve">86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Other non-energy*****</w:t>
      </w:r>
      <w:r>
        <w:t xml:space="preserve"> </w:t>
      </w:r>
      <w:r>
        <w:t xml:space="preserve">37</w:t>
      </w:r>
      <w:r>
        <w:t xml:space="preserve"> </w:t>
      </w:r>
      <w:r>
        <w:t xml:space="preserve">35</w:t>
      </w:r>
      <w:r>
        <w:t xml:space="preserve"> </w:t>
      </w:r>
      <w:r>
        <w:t xml:space="preserve">26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International intra-EU and 50% extra-EU</w:t>
      </w:r>
      <w:r>
        <w:t xml:space="preserve"> </w:t>
      </w:r>
      <w:r>
        <w:t xml:space="preserve">116</w:t>
      </w:r>
      <w:r>
        <w:t xml:space="preserve"> </w:t>
      </w:r>
      <w:r>
        <w:t xml:space="preserve">107</w:t>
      </w:r>
      <w:r>
        <w:t xml:space="preserve"> </w:t>
      </w:r>
      <w:r>
        <w:t xml:space="preserve">112</w:t>
      </w:r>
      <w:r>
        <w:t xml:space="preserve"> </w:t>
      </w:r>
      <w:r>
        <w:t xml:space="preserve">52</w:t>
      </w:r>
      <w:r>
        <w:t xml:space="preserve"> </w:t>
      </w:r>
      <w:r>
        <w:t xml:space="preserve">46</w:t>
      </w:r>
      <w:r>
        <w:t xml:space="preserve"> </w:t>
      </w:r>
      <w:r>
        <w:t xml:space="preserve">41</w:t>
      </w:r>
      <w:r>
        <w:t xml:space="preserve"> </w:t>
      </w:r>
      <w:r>
        <w:t xml:space="preserve">39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international intra-EU aviation</w:t>
      </w:r>
      <w:r>
        <w:t xml:space="preserve"> </w:t>
      </w:r>
      <w:r>
        <w:t xml:space="preserve">35</w:t>
      </w:r>
      <w:r>
        <w:t xml:space="preserve"> </w:t>
      </w:r>
      <w:r>
        <w:t xml:space="preserve">38</w:t>
      </w:r>
      <w:r>
        <w:t xml:space="preserve"> </w:t>
      </w:r>
      <w:r>
        <w:t xml:space="preserve">43</w:t>
      </w:r>
      <w:r>
        <w:t xml:space="preserve"> </w:t>
      </w:r>
      <w:r>
        <w:t xml:space="preserve">31</w:t>
      </w:r>
      <w:r>
        <w:t xml:space="preserve"> </w:t>
      </w:r>
      <w:r>
        <w:t xml:space="preserve">29</w:t>
      </w:r>
      <w:r>
        <w:t xml:space="preserve"> </w:t>
      </w:r>
      <w:r>
        <w:t xml:space="preserve">28</w:t>
      </w:r>
      <w:r>
        <w:t xml:space="preserve"> </w:t>
      </w:r>
      <w:r>
        <w:t xml:space="preserve">26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international intra-EU navigation</w:t>
      </w:r>
      <w:r>
        <w:t xml:space="preserve"> </w:t>
      </w:r>
      <w:r>
        <w:t xml:space="preserve">31</w:t>
      </w:r>
      <w:r>
        <w:t xml:space="preserve"> </w:t>
      </w:r>
      <w:r>
        <w:t xml:space="preserve">27</w:t>
      </w:r>
      <w:r>
        <w:t xml:space="preserve"> </w:t>
      </w:r>
      <w:r>
        <w:t xml:space="preserve">25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50% extra-EU MRV maritime MRV</w:t>
      </w:r>
      <w:r>
        <w:t xml:space="preserve"> </w:t>
      </w:r>
      <w:r>
        <w:t xml:space="preserve">50</w:t>
      </w:r>
      <w:r>
        <w:t xml:space="preserve"> </w:t>
      </w:r>
      <w:r>
        <w:t xml:space="preserve">42</w:t>
      </w:r>
      <w:r>
        <w:t xml:space="preserve"> </w:t>
      </w:r>
      <w:r>
        <w:t xml:space="preserve">44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Residual CO2 for calibration</w:t>
      </w:r>
      <w:r>
        <w:t xml:space="preserve"> </w:t>
      </w:r>
      <w:r>
        <w:t xml:space="preserve">15</w:t>
      </w:r>
      <w:r>
        <w:t xml:space="preserve"> </w:t>
      </w:r>
      <w:r>
        <w:t xml:space="preserve">43</w:t>
      </w:r>
      <w:r>
        <w:t xml:space="preserve"> </w:t>
      </w:r>
      <w:r>
        <w:t xml:space="preserve">24</w:t>
      </w:r>
      <w:r>
        <w:t xml:space="preserve"> </w:t>
      </w:r>
      <w:r>
        <w:t xml:space="preserve">3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Note:</w:t>
      </w:r>
      <w:r>
        <w:t xml:space="preserve"> </w:t>
      </w:r>
      <w:r>
        <w:rPr>
          <w:i/>
          <w:iCs/>
        </w:rPr>
        <w:t xml:space="preserve">Includes BECCS.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Includes emissions from energy branch and DACCS;</w:t>
      </w:r>
      <w:r>
        <w:rPr>
          <w:b/>
          <w:bCs/>
          <w:i/>
          <w:iCs/>
        </w:rPr>
        <w:t xml:space="preserve"> </w:t>
      </w:r>
      <w:r>
        <w:t xml:space="preserve">Includes fossil fuel combustion</w:t>
      </w:r>
      <w:r>
        <w:t xml:space="preserve"> </w:t>
      </w:r>
      <w:r>
        <w:t xml:space="preserve">in the agriculture/fishery/forestry sector; ****Includes fugitive emissions. S1 and S2 values in 2050 are similar to</w:t>
      </w:r>
      <w:r>
        <w:t xml:space="preserve"> </w:t>
      </w:r>
      <w:r>
        <w:t xml:space="preserve">S3 and described in more details in sectoral sections 1.2, 1.3, 1.4 and 1.5 of this Annex.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1.1.3.2.Role of carbon capture</w:t>
      </w:r>
      <w:r>
        <w:br/>
      </w:r>
      <w:r>
        <w:t xml:space="preserve">To investigate the role of carbon capture and understand better the uncertainties</w:t>
      </w:r>
      <w:r>
        <w:t xml:space="preserve"> </w:t>
      </w:r>
      <w:r>
        <w:t xml:space="preserve">associated to the deployment of this technology, a cross-model analysis comparing</w:t>
      </w:r>
      <w:r>
        <w:t xml:space="preserve"> </w:t>
      </w:r>
      <w:r>
        <w:t xml:space="preserve">PRIMES projections with the ones provided by POTEnCIA, AMADEUS-METIS,</w:t>
      </w:r>
      <w:r>
        <w:t xml:space="preserve"> </w:t>
      </w:r>
      <w:r>
        <w:t xml:space="preserve">POLES and EU-TIMES (see Annex 6) is performed (Figure 7). Results show how the</w:t>
      </w:r>
      <w:r>
        <w:t xml:space="preserve"> </w:t>
      </w:r>
      <w:r>
        <w:t xml:space="preserve">level of climate ambition achievable in 2040 in the energy and industry sectors strongly</w:t>
      </w:r>
      <w:r>
        <w:t xml:space="preserve"> </w:t>
      </w:r>
      <w:r>
        <w:t xml:space="preserve">depends on the amount of carbon captured and, as discussed in section 1.1.2.3, of carbon</w:t>
      </w:r>
      <w:r>
        <w:t xml:space="preserve"> </w:t>
      </w:r>
      <w:r>
        <w:t xml:space="preserve">removals. The level of domestic energy and industry CO2 emissions before capture (i.e.,</w:t>
      </w:r>
      <w:r>
        <w:t xml:space="preserve"> </w:t>
      </w:r>
      <w:r>
        <w:t xml:space="preserve">gross emissions) spans from 580 to 850 MtCO2, with most of the models projecting in</w:t>
      </w:r>
      <w:r>
        <w:t xml:space="preserve"> </w:t>
      </w:r>
      <w:r>
        <w:t xml:space="preserve">the 650-750 MtCO2 range. Limited differences exist across modelling runs (reductions</w:t>
      </w:r>
      <w:r>
        <w:t xml:space="preserve"> </w:t>
      </w:r>
      <w:r>
        <w:t xml:space="preserve">between -78% and -85% compared to 1990) and even in scenarios with the highest</w:t>
      </w:r>
      <w:r>
        <w:t xml:space="preserve"> </w:t>
      </w:r>
      <w:r>
        <w:t xml:space="preserve">uptake of novel technologies (excluding carbon capture) the energy and industry CO2</w:t>
      </w:r>
      <w:r>
        <w:t xml:space="preserve"> </w:t>
      </w:r>
      <w:r>
        <w:t xml:space="preserve">can reduce at most by around 85%, meaning that the 2040 potential for the</w:t>
      </w:r>
      <w:r>
        <w:t xml:space="preserve"> </w:t>
      </w:r>
      <w:r>
        <w:t xml:space="preserve">implementation of mitigation solutions other than carbon capture modelled in the</w:t>
      </w:r>
      <w:r>
        <w:t xml:space="preserve"> </w:t>
      </w:r>
      <w:r>
        <w:t xml:space="preserve">scenarios is mostly attained. The picture of emissions after capture (i.e., net emissions) is</w:t>
      </w:r>
      <w:r>
        <w:t xml:space="preserve"> </w:t>
      </w:r>
      <w:r>
        <w:t xml:space="preserve">different. Limited carbon capture allows for a marginal further decrease in emissions (see</w:t>
      </w:r>
      <w:r>
        <w:t xml:space="preserve"> </w:t>
      </w:r>
      <w:r>
        <w:t xml:space="preserve">S1 and POTEnCIA-S1 (POT-S1) on the left of Figure 7), while a more substantial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deployment of the technology achieves emission levels of around 470-520 MtCO2 in S2,</w:t>
      </w:r>
      <w:r>
        <w:t xml:space="preserve"> </w:t>
      </w:r>
      <w:r>
        <w:t xml:space="preserve">POTEnCIA-S2 (POT-S2), AMADEUS-METIS (AM-METIS), POLES and EU-TIMES,</w:t>
      </w:r>
      <w:r>
        <w:t xml:space="preserve"> </w:t>
      </w:r>
      <w:r>
        <w:t xml:space="preserve">and down to around 250-350 MtCO2 in S3 and POTEnCIA-S3 (POT-S3). Carbon</w:t>
      </w:r>
      <w:r>
        <w:t xml:space="preserve"> </w:t>
      </w:r>
      <w:r>
        <w:t xml:space="preserve">capture allows to reach additional reductions of between 2-3% (corresponding to around</w:t>
      </w:r>
      <w:r>
        <w:t xml:space="preserve"> </w:t>
      </w:r>
      <w:r>
        <w:t xml:space="preserve">80-130 MtCO2 captured in S1) and 4-6% (corresponding to around 150-240 MtCO2</w:t>
      </w:r>
      <w:r>
        <w:t xml:space="preserve"> </w:t>
      </w:r>
      <w:r>
        <w:t xml:space="preserve">captured in S3) of 1990 levels and represents a key mitigation solution to reach deeper</w:t>
      </w:r>
      <w:r>
        <w:t xml:space="preserve"> </w:t>
      </w:r>
      <w:r>
        <w:t xml:space="preserve">net GHG emission reductions. The models show that above 150 MtCO2 (including</w:t>
      </w:r>
      <w:r>
        <w:t xml:space="preserve"> </w:t>
      </w:r>
      <w:r>
        <w:t xml:space="preserve">removals) need to be captured in 2040 to achieve a total reduction of energy and industry</w:t>
      </w:r>
      <w:r>
        <w:t xml:space="preserve"> </w:t>
      </w:r>
      <w:r>
        <w:t xml:space="preserve">CO2 emissions of at least 88% and above 250 MtCO2 to reach above 90%.</w:t>
      </w:r>
      <w:r>
        <w:br/>
      </w:r>
      <w:r>
        <w:t xml:space="preserve">Figure 7: Energy and Industry CO2 emissions in 2040</w:t>
      </w:r>
    </w:p>
    <w:p>
      <w:pPr>
        <w:pStyle w:val="BodyText"/>
      </w:pPr>
      <w:r>
        <w:t xml:space="preserve">Note: Emissions (left) and relative reductions vs 1990 (right).</w:t>
      </w:r>
      <w:r>
        <w:br/>
      </w:r>
      <w:r>
        <w:t xml:space="preserve">Sources: AMADEUS-METIS, EU-TIMES, POLES, POTEnCIA, PRIMES.</w:t>
      </w:r>
      <w:r>
        <w:t xml:space="preserve"> </w:t>
      </w:r>
      <w:r>
        <w:t xml:space="preserve">Figure 8 shows the evolution of the carbon captured yearly (left), and corresponding</w:t>
      </w:r>
      <w:r>
        <w:t xml:space="preserve"> </w:t>
      </w:r>
      <w:r>
        <w:t xml:space="preserve">additional carbon captured at the end of each decade until 2050 (right) projected by</w:t>
      </w:r>
      <w:r>
        <w:t xml:space="preserve"> </w:t>
      </w:r>
      <w:r>
        <w:t xml:space="preserve">PRIMES. A yearly capture level of around 50 MtCO2 is projected in 2030 across all</w:t>
      </w:r>
      <w:r>
        <w:t xml:space="preserve"> </w:t>
      </w:r>
      <w:r>
        <w:t xml:space="preserve">scenarios, in line with the Net Zero Industry Act (38), which then increases in 2040 to</w:t>
      </w:r>
      <w:r>
        <w:t xml:space="preserve"> </w:t>
      </w:r>
      <w:r>
        <w:t xml:space="preserve">around 90 MtCO2 in S1, above 200 MtCO2 in S2 and to 350 MtCO2 in S3 and</w:t>
      </w:r>
      <w:r>
        <w:t xml:space="preserve"> </w:t>
      </w:r>
      <w:r>
        <w:t xml:space="preserve">converges in 2050 to around 450 MtCO2 in S1, S2 and S3. LIFE projects a level of</w:t>
      </w:r>
      <w:r>
        <w:t xml:space="preserve"> </w:t>
      </w:r>
      <w:r>
        <w:t xml:space="preserve">carbon capture intermediate between S2 and S3 in 2040, and more moderate in 2050.,</w:t>
      </w:r>
      <w:r>
        <w:t xml:space="preserve"> </w:t>
      </w:r>
      <w:r>
        <w:t xml:space="preserve">showing that sustainable lifestyle and circular economy actions leads to a more extensive</w:t>
      </w:r>
      <w:r>
        <w:t xml:space="preserve"> </w:t>
      </w:r>
      <w:r>
        <w:t xml:space="preserve">use of nature-based removals and lower the need for carbon capture in industry (see 1.4</w:t>
      </w:r>
      <w:r>
        <w:t xml:space="preserve"> </w:t>
      </w:r>
      <w:r>
        <w:t xml:space="preserve">and 1.8).</w:t>
      </w:r>
    </w:p>
    <w:p>
      <w:pPr>
        <w:pStyle w:val="Compact"/>
        <w:numPr>
          <w:ilvl w:val="0"/>
          <w:numId w:val="1014"/>
        </w:numPr>
      </w:pPr>
      <w:r>
        <w:t xml:space="preserve">COM(2023) 161</w:t>
      </w:r>
      <w:r>
        <w:t xml:space="preserve"> </w:t>
      </w:r>
      <w:r>
        <w:t xml:space="preserve">-100%</w:t>
      </w:r>
      <w:r>
        <w:t xml:space="preserve"> </w:t>
      </w:r>
      <w:r>
        <w:t xml:space="preserve">-95%</w:t>
      </w:r>
      <w:r>
        <w:t xml:space="preserve"> </w:t>
      </w:r>
      <w:r>
        <w:t xml:space="preserve">-90%</w:t>
      </w:r>
      <w:r>
        <w:t xml:space="preserve"> </w:t>
      </w:r>
      <w:r>
        <w:t xml:space="preserve">-85%</w:t>
      </w:r>
      <w:r>
        <w:t xml:space="preserve"> </w:t>
      </w:r>
      <w:r>
        <w:t xml:space="preserve">-80%</w:t>
      </w:r>
      <w:r>
        <w:t xml:space="preserve"> </w:t>
      </w:r>
      <w:r>
        <w:t xml:space="preserve">-75%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S1</w:t>
      </w:r>
      <w:r>
        <w:t xml:space="preserve"> </w:t>
      </w:r>
      <w:r>
        <w:t xml:space="preserve">POT- S1</w:t>
      </w:r>
      <w:r>
        <w:t xml:space="preserve"> </w:t>
      </w:r>
      <w:r>
        <w:t xml:space="preserve">POT - S2</w:t>
      </w:r>
      <w:r>
        <w:t xml:space="preserve"> </w:t>
      </w:r>
      <w:r>
        <w:t xml:space="preserve">AM-METIS</w:t>
      </w:r>
      <w:r>
        <w:t xml:space="preserve"> </w:t>
      </w:r>
      <w:r>
        <w:t xml:space="preserve">S2</w:t>
      </w:r>
      <w:r>
        <w:t xml:space="preserve"> </w:t>
      </w:r>
      <w:r>
        <w:t xml:space="preserve">TIMES</w:t>
      </w:r>
      <w:r>
        <w:t xml:space="preserve"> </w:t>
      </w:r>
      <w:r>
        <w:t xml:space="preserve">POLES</w:t>
      </w:r>
      <w:r>
        <w:t xml:space="preserve"> </w:t>
      </w:r>
      <w:r>
        <w:t xml:space="preserve">S3</w:t>
      </w:r>
      <w:r>
        <w:t xml:space="preserve"> </w:t>
      </w:r>
      <w:r>
        <w:t xml:space="preserve">POT - S3</w:t>
      </w:r>
      <w:r>
        <w:t xml:space="preserve"> </w:t>
      </w:r>
      <w:r>
        <w:t xml:space="preserve">MtCO2</w:t>
      </w:r>
      <w:r>
        <w:t xml:space="preserve"> </w:t>
      </w:r>
      <w:r>
        <w:t xml:space="preserve">Before capture (gross)</w:t>
      </w:r>
      <w:r>
        <w:t xml:space="preserve"> </w:t>
      </w:r>
      <w:r>
        <w:t xml:space="preserve">After capture (net)</w:t>
      </w:r>
      <w:r>
        <w:t xml:space="preserve"> </w:t>
      </w:r>
      <w:r>
        <w:t xml:space="preserve">Captured</w:t>
      </w:r>
    </w:p>
    <w:p>
      <w:pPr>
        <w:pStyle w:val="FirstParagraph"/>
      </w:pPr>
      <w:r>
        <w:t xml:space="preserve">19</w:t>
      </w:r>
    </w:p>
    <w:p>
      <w:pPr>
        <w:pStyle w:val="BodyText"/>
      </w:pPr>
      <w:r>
        <w:t xml:space="preserve">Figure 8: Total (left) and additional (right) carbon captured yearly in selected years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The projections for carbon capture are in line with ranges found in the literature: in 2040,</w:t>
      </w:r>
      <w:r>
        <w:t xml:space="preserve"> </w:t>
      </w:r>
      <w:r>
        <w:t xml:space="preserve">the ENGAGE project depicts a yearly amount of carbon captured around 300</w:t>
      </w:r>
      <w:r>
        <w:t xml:space="preserve"> </w:t>
      </w:r>
      <w:r>
        <w:t xml:space="preserve">MtCO2 (39), the ECEMF (40) provides a range of 215-376 MtCO2, Rodrigues at al. (41)</w:t>
      </w:r>
      <w:r>
        <w:t xml:space="preserve"> </w:t>
      </w:r>
      <w:r>
        <w:t xml:space="preserve">describe a range of 120-330 MtCO2 and Ecologic indicates a range between 46 and 160</w:t>
      </w:r>
      <w:r>
        <w:t xml:space="preserve"> </w:t>
      </w:r>
      <w:r>
        <w:t xml:space="preserve">MtCO2 (with a stronger reliance on land-based removals) (42). For 2050, ESABCC (43)</w:t>
      </w:r>
      <w:r>
        <w:t xml:space="preserve"> </w:t>
      </w:r>
      <w:r>
        <w:t xml:space="preserve">and other literature (44) show the maximum threshold for feasibility of this technology at</w:t>
      </w:r>
      <w:r>
        <w:t xml:space="preserve"> </w:t>
      </w:r>
      <w:r>
        <w:t xml:space="preserve">around 500 MtCO2.</w:t>
      </w:r>
      <w:r>
        <w:br/>
      </w:r>
      <w:r>
        <w:t xml:space="preserve">As a result of different amount of carbon captured in 2031-2040 and 2041-2050 in the</w:t>
      </w:r>
      <w:r>
        <w:t xml:space="preserve"> </w:t>
      </w:r>
      <w:r>
        <w:t xml:space="preserve">main scenarios, the additional minimum capacity (45) per decade necessary to capture</w:t>
      </w:r>
      <w:r>
        <w:t xml:space="preserve"> </w:t>
      </w:r>
      <w:r>
        <w:t xml:space="preserve">carbon varies significantly: in S1, delayed climate action results in additional</w:t>
      </w:r>
      <w:r>
        <w:t xml:space="preserve"> </w:t>
      </w:r>
      <w:r>
        <w:t xml:space="preserve">installations capable of capturing up to 35 million tonnes of CO2 extra in 2040, but this</w:t>
      </w:r>
      <w:r>
        <w:t xml:space="preserve"> </w:t>
      </w:r>
      <w:r>
        <w:t xml:space="preserve">number multiplies by around 7.5 times by 2050. S2 shows a minimum additional</w:t>
      </w:r>
      <w:r>
        <w:t xml:space="preserve"> </w:t>
      </w:r>
      <w:r>
        <w:t xml:space="preserve">capacity able to capture around 180-190 MtCO2/y extra at the end of each decade. S3</w:t>
      </w:r>
      <w:r>
        <w:t xml:space="preserve"> </w:t>
      </w:r>
      <w:r>
        <w:t xml:space="preserve">suggests a large deployment of extra 300 MtCO2/y captured by 2040, and only additional</w:t>
      </w:r>
      <w:r>
        <w:t xml:space="preserve"> </w:t>
      </w:r>
      <w:r>
        <w:t xml:space="preserve">75 MtCO2/y by 2050. LIFE shows an intermediate level of additional capacity needed in</w:t>
      </w:r>
    </w:p>
    <w:p>
      <w:pPr>
        <w:pStyle w:val="Compact"/>
        <w:numPr>
          <w:ilvl w:val="0"/>
          <w:numId w:val="1015"/>
        </w:numPr>
      </w:pPr>
      <w:r>
        <w:t xml:space="preserve">ENGAGE</w:t>
      </w:r>
      <w:r>
        <w:t xml:space="preserve"> </w:t>
      </w:r>
      <w:r>
        <w:t xml:space="preserve">Scenario</w:t>
      </w:r>
      <w:r>
        <w:t xml:space="preserve"> </w:t>
      </w:r>
      <w:r>
        <w:t xml:space="preserve">Explorer,</w:t>
      </w:r>
      <w:r>
        <w:t xml:space="preserve"> </w:t>
      </w:r>
      <w:r>
        <w:t xml:space="preserve">Engage:</w:t>
      </w:r>
      <w:r>
        <w:t xml:space="preserve"> </w:t>
      </w:r>
      <w:r>
        <w:t xml:space="preserve">Feasibility</w:t>
      </w:r>
      <w:r>
        <w:t xml:space="preserve"> </w:t>
      </w:r>
      <w:r>
        <w:t xml:space="preserve">of</w:t>
      </w:r>
      <w:r>
        <w:t xml:space="preserve"> </w:t>
      </w:r>
      <w:r>
        <w:t xml:space="preserve">Climate</w:t>
      </w:r>
      <w:r>
        <w:t xml:space="preserve"> </w:t>
      </w:r>
      <w:r>
        <w:t xml:space="preserve">Pathways</w:t>
      </w:r>
      <w:r>
        <w:t xml:space="preserve"> </w:t>
      </w:r>
      <w:r>
        <w:t xml:space="preserve">Project,</w:t>
      </w:r>
      <w:r>
        <w:br/>
      </w:r>
      <w:r>
        <w:t xml:space="preserve">https://www.engage-climate.org/ Accessed 15-09-23</w:t>
      </w:r>
    </w:p>
    <w:p>
      <w:pPr>
        <w:pStyle w:val="Compact"/>
        <w:numPr>
          <w:ilvl w:val="0"/>
          <w:numId w:val="1015"/>
        </w:numPr>
      </w:pPr>
      <w:r>
        <w:t xml:space="preserve">ECEMF (2023), ECEMF Policy Brief: Insights on EU2040 targets based on a model intercomparison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</w:t>
      </w:r>
      <w:r>
        <w:t xml:space="preserve"> </w:t>
      </w:r>
      <w:r>
        <w:t xml:space="preserve">Pathways.</w:t>
      </w:r>
      <w:r>
        <w:t xml:space="preserve"> </w:t>
      </w:r>
      <w:r>
        <w:t xml:space="preserve">DOI</w:t>
      </w:r>
      <w:r>
        <w:t xml:space="preserve"> </w:t>
      </w:r>
      <w:r>
        <w:t xml:space="preserve">10.5281/zenodo.8337667.</w:t>
      </w:r>
      <w:r>
        <w:t xml:space="preserve"> </w:t>
      </w:r>
      <w:r>
        <w:t xml:space="preserve">https://zenodo.org/record/8337668 Full model range, including international bunkers.</w:t>
      </w:r>
    </w:p>
    <w:p>
      <w:pPr>
        <w:pStyle w:val="Compact"/>
        <w:numPr>
          <w:ilvl w:val="0"/>
          <w:numId w:val="1015"/>
        </w:numPr>
      </w:pPr>
      <w:r>
        <w:t xml:space="preserve">Rodrigues et al., (2023). 2040 greenhouse gas reduction targets and energy transitions in line with the</w:t>
      </w:r>
      <w:r>
        <w:t xml:space="preserve"> </w:t>
      </w:r>
      <w:r>
        <w:t xml:space="preserve">EU Green Deal, Nature Communication, Under Review.</w:t>
      </w:r>
      <w:r>
        <w:t xml:space="preserve"> </w:t>
      </w:r>
      <w:r>
        <w:t xml:space="preserve">(42)Ecologic and Oeko-Institut, Designing the EU 2040 climate target, 2023.</w:t>
      </w:r>
    </w:p>
    <w:p>
      <w:pPr>
        <w:pStyle w:val="Compact"/>
        <w:numPr>
          <w:ilvl w:val="0"/>
          <w:numId w:val="1015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10.2800/609405.Table 5.</w:t>
      </w:r>
    </w:p>
    <w:p>
      <w:pPr>
        <w:pStyle w:val="Compact"/>
        <w:numPr>
          <w:ilvl w:val="0"/>
          <w:numId w:val="1015"/>
        </w:numPr>
      </w:pPr>
      <w:r>
        <w:t xml:space="preserve">ENGAGE Scenario Explorer, Engage: Feasibility of Climate Pathways Project, Accessed 15-09-23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These values only represent indicative capacities and will have to take account of normal operational</w:t>
      </w:r>
      <w:r>
        <w:t xml:space="preserve"> </w:t>
      </w:r>
      <w:r>
        <w:t xml:space="preserve">downtimes and be supported by a total geological storage capacity of several giga-tonnes of CO2.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2040 vs</w:t>
      </w:r>
      <w:r>
        <w:t xml:space="preserve"> </w:t>
      </w:r>
      <w:r>
        <w:t xml:space="preserve">2030</w:t>
      </w:r>
      <w:r>
        <w:t xml:space="preserve"> </w:t>
      </w:r>
      <w:r>
        <w:t xml:space="preserve">2050 vs</w:t>
      </w:r>
      <w:r>
        <w:t xml:space="preserve"> </w:t>
      </w:r>
      <w:r>
        <w:t xml:space="preserve">2040</w:t>
      </w:r>
      <w:r>
        <w:t xml:space="preserve"> </w:t>
      </w:r>
      <w:r>
        <w:t xml:space="preserve">MtCO2/y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MtCO2/y</w:t>
      </w:r>
    </w:p>
    <w:p>
      <w:pPr>
        <w:pStyle w:val="FirstParagraph"/>
      </w:pPr>
      <w:r>
        <w:t xml:space="preserve">20</w:t>
      </w:r>
    </w:p>
    <w:p>
      <w:pPr>
        <w:pStyle w:val="BodyText"/>
      </w:pPr>
      <w:r>
        <w:t xml:space="preserve">2040 between S2 and S3 and a minimal increase in the 2041-2050 related to the overall</w:t>
      </w:r>
      <w:r>
        <w:t xml:space="preserve"> </w:t>
      </w:r>
      <w:r>
        <w:t xml:space="preserve">lower need of industrial capture in these settings.</w:t>
      </w:r>
      <w:r>
        <w:br/>
      </w:r>
      <w:r>
        <w:t xml:space="preserve">Achievement of the required level of carbon capture capacity by 2040 is not trivial,</w:t>
      </w:r>
      <w:r>
        <w:t xml:space="preserve"> </w:t>
      </w:r>
      <w:r>
        <w:t xml:space="preserve">especially in the S3 scenario. Several barriers to a large deployment of the technology</w:t>
      </w:r>
      <w:r>
        <w:t xml:space="preserve"> </w:t>
      </w:r>
      <w:r>
        <w:t xml:space="preserve">exist today: the transition from R&amp;I stage to the full-scale, replicable, commercial</w:t>
      </w:r>
      <w:r>
        <w:t xml:space="preserve"> </w:t>
      </w:r>
      <w:r>
        <w:t xml:space="preserve">deployment for certain steps of the technology, the need to establish a new (cross-border)</w:t>
      </w:r>
      <w:r>
        <w:t xml:space="preserve"> </w:t>
      </w:r>
      <w:r>
        <w:t xml:space="preserve">carbon value chain, including storage sites (46) (47), and a lack of market coordination for</w:t>
      </w:r>
      <w:r>
        <w:t xml:space="preserve"> </w:t>
      </w:r>
      <w:r>
        <w:t xml:space="preserve">fast deployment of the technology. A large development of carbon capture means</w:t>
      </w:r>
      <w:r>
        <w:t xml:space="preserve"> </w:t>
      </w:r>
      <w:r>
        <w:t xml:space="preserve">foreseeing the build up of commercially ready carbon capture infrastructure on existing</w:t>
      </w:r>
      <w:r>
        <w:t xml:space="preserve"> </w:t>
      </w:r>
      <w:r>
        <w:t xml:space="preserve">or new-build industrial capacity, often in sectors characterized by long investment cycles.</w:t>
      </w:r>
      <w:r>
        <w:t xml:space="preserve"> </w:t>
      </w:r>
      <w:r>
        <w:t xml:space="preserve">Hence, sound regulatory predisposition and long-term financial planning taking into</w:t>
      </w:r>
      <w:r>
        <w:t xml:space="preserve"> </w:t>
      </w:r>
      <w:r>
        <w:t xml:space="preserve">account the impact on industrial competitivess become necessary to provide certainty to</w:t>
      </w:r>
      <w:r>
        <w:t xml:space="preserve"> </w:t>
      </w:r>
      <w:r>
        <w:t xml:space="preserve">industrial investors. Downstream of the carbon capture value chain, storage operators</w:t>
      </w:r>
      <w:r>
        <w:t xml:space="preserve"> </w:t>
      </w:r>
      <w:r>
        <w:t xml:space="preserve">face high upfront costs to identify, develop and appraise storage sites before they can</w:t>
      </w:r>
      <w:r>
        <w:t xml:space="preserve"> </w:t>
      </w:r>
      <w:r>
        <w:t xml:space="preserve">apply for a regulatory permit that is necessary to operate, while their future customers are</w:t>
      </w:r>
      <w:r>
        <w:t xml:space="preserve"> </w:t>
      </w:r>
      <w:r>
        <w:t xml:space="preserve">willing to invest in carbon capture only if access to operating storage site is secured.</w:t>
      </w:r>
      <w:r>
        <w:t xml:space="preserve"> </w:t>
      </w:r>
      <w:r>
        <w:t xml:space="preserve">Subsequently, market players have little templates for commercial contracting or risk</w:t>
      </w:r>
      <w:r>
        <w:t xml:space="preserve"> </w:t>
      </w:r>
      <w:r>
        <w:t xml:space="preserve">sharing and depend on each other’s plans and project progress to de-risk their own</w:t>
      </w:r>
      <w:r>
        <w:t xml:space="preserve"> </w:t>
      </w:r>
      <w:r>
        <w:t xml:space="preserve">investment decisions. Regulatory uncertainty and inexperience also represent a challenge,</w:t>
      </w:r>
      <w:r>
        <w:t xml:space="preserve"> </w:t>
      </w:r>
      <w:r>
        <w:t xml:space="preserve">for instance in terms of supplementing the CCS directive (48) and clarifying future link</w:t>
      </w:r>
      <w:r>
        <w:t xml:space="preserve"> </w:t>
      </w:r>
      <w:r>
        <w:t xml:space="preserve">between industrial removals and ETS or cross-border transport of captured CO2. To</w:t>
      </w:r>
      <w:r>
        <w:t xml:space="preserve"> </w:t>
      </w:r>
      <w:r>
        <w:t xml:space="preserve">overcome these challenges, several Member States have CO2 value chain strategies in</w:t>
      </w:r>
      <w:r>
        <w:t xml:space="preserve"> </w:t>
      </w:r>
      <w:r>
        <w:t xml:space="preserve">place or are developing them (NL, DK, FR, DE) (49) and consolidated effort is needed to</w:t>
      </w:r>
      <w:r>
        <w:t xml:space="preserve"> </w:t>
      </w:r>
      <w:r>
        <w:t xml:space="preserve">stimulate and guide a market development that can deliver the scale needed, as described</w:t>
      </w:r>
      <w:r>
        <w:t xml:space="preserve"> </w:t>
      </w:r>
      <w:r>
        <w:t xml:space="preserve">in the Communication on Industrial Carbon Management (50).</w:t>
      </w:r>
      <w:r>
        <w:br/>
      </w:r>
      <w:r>
        <w:t xml:space="preserve">When looking at the different sources of carbon captured in 2040, and only considering</w:t>
      </w:r>
      <w:r>
        <w:t xml:space="preserve"> </w:t>
      </w:r>
      <w:r>
        <w:t xml:space="preserve">this specific pathway modelled by PRIMES, a veritable “merit order” emerges (Figure</w:t>
      </w:r>
      <w:r>
        <w:t xml:space="preserve"> </w:t>
      </w:r>
      <w:r>
        <w:t xml:space="preserve">9). S1 shows that carbon is first captured in industrial processes and power generation</w:t>
      </w:r>
      <w:r>
        <w:t xml:space="preserve"> </w:t>
      </w:r>
      <w:r>
        <w:t xml:space="preserve">(emitting from fossil fuels) in order to reduce emissions in those sectors, with very little</w:t>
      </w:r>
      <w:r>
        <w:t xml:space="preserve"> </w:t>
      </w:r>
      <w:r>
        <w:t xml:space="preserve">coming from BECCS, the upgrade of biogas to biomethane (biogenic carbon) and</w:t>
      </w:r>
      <w:r>
        <w:t xml:space="preserve"> </w:t>
      </w:r>
      <w:r>
        <w:t xml:space="preserve">DACC. A larger uptake of the technology in S2 leads first to the increase of the level of</w:t>
      </w:r>
      <w:r>
        <w:t xml:space="preserve"> </w:t>
      </w:r>
      <w:r>
        <w:t xml:space="preserve">fossil carbon coming from industrial processes and power generation, and then taps into</w:t>
      </w:r>
      <w:r>
        <w:t xml:space="preserve"> </w:t>
      </w:r>
      <w:r>
        <w:t xml:space="preserve">industrial removals, mostly BECCS. Being the potential for BECCS limited by</w:t>
      </w:r>
      <w:r>
        <w:t xml:space="preserve"> </w:t>
      </w:r>
      <w:r>
        <w:t xml:space="preserve">sustainability constraints on biomass availability, and possible negative impact on the</w:t>
      </w:r>
      <w:r>
        <w:t xml:space="preserve"> </w:t>
      </w:r>
      <w:r>
        <w:t xml:space="preserve">LULUCF net removals, an increase in demand for the production of e-fuels opens the</w:t>
      </w:r>
      <w:r>
        <w:t xml:space="preserve"> </w:t>
      </w:r>
      <w:r>
        <w:t xml:space="preserve">doors to deployment of DACC in 2040: this happens already in S2 and becomes even</w:t>
      </w:r>
    </w:p>
    <w:p>
      <w:pPr>
        <w:pStyle w:val="Compact"/>
        <w:numPr>
          <w:ilvl w:val="0"/>
          <w:numId w:val="1016"/>
        </w:numPr>
      </w:pPr>
      <w:r>
        <w:t xml:space="preserve">Lane, J., Greig, C., &amp; Garnett, A. (2021). Uncertain storage prospects create a conundrum for carbon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storage</w:t>
      </w:r>
      <w:r>
        <w:t xml:space="preserve"> </w:t>
      </w:r>
      <w:r>
        <w:t xml:space="preserve">ambitions.</w:t>
      </w:r>
      <w:r>
        <w:t xml:space="preserve"> </w:t>
      </w:r>
      <w:r>
        <w:t xml:space="preserve">Nature</w:t>
      </w:r>
      <w:r>
        <w:t xml:space="preserve"> </w:t>
      </w:r>
      <w:r>
        <w:t xml:space="preserve">Climate</w:t>
      </w:r>
      <w:r>
        <w:t xml:space="preserve"> </w:t>
      </w:r>
      <w:r>
        <w:t xml:space="preserve">Change,</w:t>
      </w:r>
      <w:r>
        <w:t xml:space="preserve"> </w:t>
      </w:r>
      <w:r>
        <w:t xml:space="preserve">11(11),</w:t>
      </w:r>
      <w:r>
        <w:t xml:space="preserve"> </w:t>
      </w:r>
      <w:r>
        <w:t xml:space="preserve">925-936.</w:t>
      </w:r>
      <w:r>
        <w:t xml:space="preserve"> </w:t>
      </w:r>
      <w:r>
        <w:t xml:space="preserve">https://doi.org/10.1038/s41558-021-01175-7</w:t>
      </w:r>
    </w:p>
    <w:p>
      <w:pPr>
        <w:pStyle w:val="Compact"/>
        <w:numPr>
          <w:ilvl w:val="0"/>
          <w:numId w:val="1016"/>
        </w:numPr>
      </w:pPr>
      <w:r>
        <w:t xml:space="preserve">Koelbl, B. S., et al. (2014). Uncertainty in the deployment of Carbon Capture and Storage (CCS): A</w:t>
      </w:r>
      <w:r>
        <w:t xml:space="preserve"> </w:t>
      </w:r>
      <w:r>
        <w:t xml:space="preserve">sensitivity analysis to techno-economic parameter uncertainty. International Journal of Greenhouse</w:t>
      </w:r>
      <w:r>
        <w:t xml:space="preserve"> </w:t>
      </w:r>
      <w:r>
        <w:t xml:space="preserve">Gas Control, 27, 81-102.</w:t>
      </w:r>
    </w:p>
    <w:p>
      <w:pPr>
        <w:pStyle w:val="Compact"/>
        <w:numPr>
          <w:ilvl w:val="0"/>
          <w:numId w:val="1016"/>
        </w:numPr>
      </w:pPr>
      <w:r>
        <w:t xml:space="preserve">Directive 2009/31/EC</w:t>
      </w:r>
    </w:p>
    <w:p>
      <w:pPr>
        <w:pStyle w:val="Compact"/>
        <w:numPr>
          <w:ilvl w:val="0"/>
          <w:numId w:val="1016"/>
        </w:numPr>
      </w:pPr>
      <w:r>
        <w:t xml:space="preserve">This list is to be published by JRC mid-october 2023.</w:t>
      </w:r>
    </w:p>
    <w:p>
      <w:pPr>
        <w:pStyle w:val="Compact"/>
        <w:numPr>
          <w:ilvl w:val="0"/>
          <w:numId w:val="1016"/>
        </w:numPr>
      </w:pPr>
      <w:r>
        <w:t xml:space="preserve">Industrial Carbon management Communication (upcoming).</w:t>
      </w:r>
    </w:p>
    <w:p>
      <w:pPr>
        <w:pStyle w:val="FirstParagraph"/>
      </w:pPr>
      <w:r>
        <w:t xml:space="preserve">21</w:t>
      </w:r>
    </w:p>
    <w:p>
      <w:pPr>
        <w:pStyle w:val="BodyText"/>
      </w:pPr>
      <w:r>
        <w:t xml:space="preserve">more evident when moving from S2 to S3, where the additional carbon is captured</w:t>
      </w:r>
      <w:r>
        <w:t xml:space="preserve"> </w:t>
      </w:r>
      <w:r>
        <w:t xml:space="preserve">almost exclusively through DACC. In 2050, the share of the different technologies is</w:t>
      </w:r>
      <w:r>
        <w:t xml:space="preserve"> </w:t>
      </w:r>
      <w:r>
        <w:t xml:space="preserve">similar across S1-S2-S3. Proportionally, LIFE also shows a similar distribution, with less</w:t>
      </w:r>
      <w:r>
        <w:t xml:space="preserve"> </w:t>
      </w:r>
      <w:r>
        <w:t xml:space="preserve">DACC than S3 in 2040 and an overall capture level in 2050 lower than the other</w:t>
      </w:r>
      <w:r>
        <w:t xml:space="preserve"> </w:t>
      </w:r>
      <w:r>
        <w:t xml:space="preserve">scenarios.</w:t>
      </w:r>
      <w:r>
        <w:br/>
      </w:r>
      <w:r>
        <w:t xml:space="preserve">Figure 9: Carbon captured by source</w:t>
      </w:r>
    </w:p>
    <w:p>
      <w:pPr>
        <w:pStyle w:val="BodyText"/>
      </w:pPr>
      <w:r>
        <w:t xml:space="preserve">Note: Biogenic carbon indicates the carbon resulting from the upgrade of biogas to biomethane.</w:t>
      </w:r>
      <w:r>
        <w:t xml:space="preserve"> </w:t>
      </w:r>
      <w:r>
        <w:t xml:space="preserve">Source: PRIMES</w:t>
      </w:r>
      <w:r>
        <w:t xml:space="preserve"> </w:t>
      </w:r>
      <w:r>
        <w:t xml:space="preserve">The order in which carbon capture technologies are deployed to satisfy increasing</w:t>
      </w:r>
      <w:r>
        <w:t xml:space="preserve"> </w:t>
      </w:r>
      <w:r>
        <w:t xml:space="preserve">demand reflects the results of the public consultation questionnaire for the 2040 target,</w:t>
      </w:r>
      <w:r>
        <w:t xml:space="preserve"> </w:t>
      </w:r>
      <w:r>
        <w:t xml:space="preserve">where respondents would prioritise deployment of carbon capture from industrials</w:t>
      </w:r>
      <w:r>
        <w:t xml:space="preserve"> </w:t>
      </w:r>
      <w:r>
        <w:t xml:space="preserve">process (highest priority given by 36% of respondents), followed by combustion of</w:t>
      </w:r>
      <w:r>
        <w:t xml:space="preserve"> </w:t>
      </w:r>
      <w:r>
        <w:t xml:space="preserve">biomass (23%) and fossil fuel (20%). The strong preference for carbon capture from</w:t>
      </w:r>
      <w:r>
        <w:t xml:space="preserve"> </w:t>
      </w:r>
      <w:r>
        <w:t xml:space="preserve">industrial process is also confirmed when looking at different stakeholders’ group,</w:t>
      </w:r>
      <w:r>
        <w:t xml:space="preserve"> </w:t>
      </w:r>
      <w:r>
        <w:t xml:space="preserve">indicating a general agreement on the development of this technology. The picture is less</w:t>
      </w:r>
      <w:r>
        <w:t xml:space="preserve"> </w:t>
      </w:r>
      <w:r>
        <w:t xml:space="preserve">technology-specific when analysing positions papers collected during the consultation:</w:t>
      </w:r>
      <w:r>
        <w:t xml:space="preserve"> </w:t>
      </w:r>
      <w:r>
        <w:t xml:space="preserve">about half of them, published by business associations, public authorities and academia,</w:t>
      </w:r>
      <w:r>
        <w:t xml:space="preserve"> </w:t>
      </w:r>
      <w:r>
        <w:t xml:space="preserve">encourages the uptake of carbon capture and storage technologies, without assigning</w:t>
      </w:r>
      <w:r>
        <w:t xml:space="preserve"> </w:t>
      </w:r>
      <w:r>
        <w:t xml:space="preserve">priority to one specific technology type.</w:t>
      </w:r>
      <w:r>
        <w:t xml:space="preserve"> </w:t>
      </w:r>
      <w:r>
        <w:t xml:space="preserve">The modelling shows that capture of carbon in 2040 is mainly driven by the demand for</w:t>
      </w:r>
      <w:r>
        <w:t xml:space="preserve"> </w:t>
      </w:r>
      <w:r>
        <w:t xml:space="preserve">e-fuels required in other sectors and by the need to reduce net emissions within the sector</w:t>
      </w:r>
      <w:r>
        <w:t xml:space="preserve"> </w:t>
      </w:r>
      <w:r>
        <w:t xml:space="preserve">through underground storage (Figure 10). In the 2041-2050 decade, where e-fuels are to</w:t>
      </w:r>
      <w:r>
        <w:t xml:space="preserve"> </w:t>
      </w:r>
      <w:r>
        <w:t xml:space="preserve">be produced using fossil-free carbon and all residual emissions needs to be compensated,</w:t>
      </w:r>
      <w:r>
        <w:t xml:space="preserve"> </w:t>
      </w:r>
      <w:r>
        <w:t xml:space="preserve">the action of these drivers continue, increasing the amount of carbon captured for these</w:t>
      </w:r>
      <w:r>
        <w:t xml:space="preserve"> </w:t>
      </w:r>
      <w:r>
        <w:t xml:space="preserve">two applications. The increasing demand for industrial feedstock also creates a new</w:t>
      </w:r>
      <w:r>
        <w:t xml:space="preserve"> </w:t>
      </w:r>
      <w:r>
        <w:t xml:space="preserve">market for storage in materials, where CO2 is chemically bound in products, balancing</w:t>
      </w:r>
      <w:r>
        <w:t xml:space="preserve"> </w:t>
      </w:r>
      <w:r>
        <w:t xml:space="preserve">industrial CO2 needs, making local CO2 networks an attractive option.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</w:t>
      </w:r>
      <w:r>
        <w:t xml:space="preserve"> </w:t>
      </w:r>
      <w:r>
        <w:t xml:space="preserve">Biogenic</w:t>
      </w:r>
      <w:r>
        <w:t xml:space="preserve"> </w:t>
      </w:r>
      <w:r>
        <w:t xml:space="preserve">DACC</w:t>
      </w:r>
      <w:r>
        <w:t xml:space="preserve"> </w:t>
      </w:r>
      <w:r>
        <w:t xml:space="preserve">Power Gen. (BECCS)</w:t>
      </w:r>
      <w:r>
        <w:t xml:space="preserve"> </w:t>
      </w:r>
      <w:r>
        <w:t xml:space="preserve">Power Gen. (FF)</w:t>
      </w:r>
      <w:r>
        <w:t xml:space="preserve"> </w:t>
      </w:r>
      <w:r>
        <w:t xml:space="preserve">Ind. Processes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Figure 10: Carbon Captured by end application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In the 2030-2050 period, the model shows that carbon capture does not only reduce</w:t>
      </w:r>
      <w:r>
        <w:t xml:space="preserve"> </w:t>
      </w:r>
      <w:r>
        <w:t xml:space="preserve">emissions in hard-to-abate sectors, but above all generates carbon feedstock for e-fuels or</w:t>
      </w:r>
      <w:r>
        <w:t xml:space="preserve"> </w:t>
      </w:r>
      <w:r>
        <w:t xml:space="preserve">fossil-free products as well as industrial removals (in terms of BECCS and DACCS). A</w:t>
      </w:r>
      <w:r>
        <w:t xml:space="preserve"> </w:t>
      </w:r>
      <w:r>
        <w:t xml:space="preserve">real carbon management industry is to be created, connecting different carbon</w:t>
      </w:r>
      <w:r>
        <w:t xml:space="preserve"> </w:t>
      </w:r>
      <w:r>
        <w:t xml:space="preserve">technologies and sources to final end-user applications through industrial feedstocks,</w:t>
      </w:r>
      <w:r>
        <w:t xml:space="preserve"> </w:t>
      </w:r>
      <w:r>
        <w:t xml:space="preserve">balancing carbon flows in the EU economy. Figure 11 shows the carbon flows between</w:t>
      </w:r>
      <w:r>
        <w:t xml:space="preserve"> </w:t>
      </w:r>
      <w:r>
        <w:t xml:space="preserve">sources and uses in 2040 in the different scenarios. These carbon flows can be also</w:t>
      </w:r>
      <w:r>
        <w:t xml:space="preserve"> </w:t>
      </w:r>
      <w:r>
        <w:t xml:space="preserve">affected by the projected levels of emission reduction. For instance, while e-fuels can be</w:t>
      </w:r>
      <w:r>
        <w:t xml:space="preserve"> </w:t>
      </w:r>
      <w:r>
        <w:t xml:space="preserve">produced by carbon captured from fossil fuels in power generation and industrial</w:t>
      </w:r>
      <w:r>
        <w:t xml:space="preserve"> </w:t>
      </w:r>
      <w:r>
        <w:t xml:space="preserve">processes in scenarios with higher 2040 emissions (S1 and S2), the higher ambition of S3</w:t>
      </w:r>
      <w:r>
        <w:t xml:space="preserve"> </w:t>
      </w:r>
      <w:r>
        <w:t xml:space="preserve">makes necessary the permanent storage of these fossil fuel emissions. In S3, the</w:t>
      </w:r>
      <w:r>
        <w:t xml:space="preserve"> </w:t>
      </w:r>
      <w:r>
        <w:t xml:space="preserve">production of e-fuels in 2040 relies mostly on fossil-free sources of carbon derived from</w:t>
      </w:r>
      <w:r>
        <w:t xml:space="preserve"> </w:t>
      </w:r>
      <w:r>
        <w:t xml:space="preserve">biomass (either captured from bioenergy combusting application or of biogenic origin</w:t>
      </w:r>
      <w:r>
        <w:t xml:space="preserve"> </w:t>
      </w:r>
      <w:r>
        <w:t xml:space="preserve">from the upgrade of biogas to biomethane) and, given the limited sustainable biomass</w:t>
      </w:r>
      <w:r>
        <w:t xml:space="preserve"> </w:t>
      </w:r>
      <w:r>
        <w:t xml:space="preserve">resources, from DACC. Beyond 2040, when fossil fuels are excluded (51) from possible</w:t>
      </w:r>
      <w:r>
        <w:t xml:space="preserve"> </w:t>
      </w:r>
      <w:r>
        <w:t xml:space="preserve">source of carbon for production of RFNBOs across all scenarios, and e-fuels demand</w:t>
      </w:r>
      <w:r>
        <w:t xml:space="preserve"> </w:t>
      </w:r>
      <w:r>
        <w:t xml:space="preserve">increases even further, they are produced mostly using carbon derived from DACC and</w:t>
      </w:r>
      <w:r>
        <w:t xml:space="preserve"> </w:t>
      </w:r>
      <w:r>
        <w:t xml:space="preserve">in part from biomass. All remaining fossil carbon is then permanently stored (either</w:t>
      </w:r>
      <w:r>
        <w:t xml:space="preserve"> </w:t>
      </w:r>
      <w:r>
        <w:t xml:space="preserve">underground or in products).</w:t>
      </w:r>
    </w:p>
    <w:p>
      <w:pPr>
        <w:pStyle w:val="Compact"/>
        <w:numPr>
          <w:ilvl w:val="0"/>
          <w:numId w:val="1017"/>
        </w:numPr>
      </w:pPr>
      <w:r>
        <w:t xml:space="preserve">Commission Delegated Regulation (EU) 2023/1184</w:t>
      </w:r>
    </w:p>
    <w:p>
      <w:pPr>
        <w:pStyle w:val="FirstParagraph"/>
      </w:pP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</w:t>
      </w:r>
      <w:r>
        <w:t xml:space="preserve"> </w:t>
      </w:r>
      <w:r>
        <w:t xml:space="preserve">Storage in Materials</w:t>
      </w:r>
      <w:r>
        <w:t xml:space="preserve"> </w:t>
      </w:r>
      <w:r>
        <w:t xml:space="preserve">E-fuels</w:t>
      </w:r>
      <w:r>
        <w:t xml:space="preserve"> </w:t>
      </w:r>
      <w:r>
        <w:t xml:space="preserve">Underground</w:t>
      </w:r>
      <w:r>
        <w:t xml:space="preserve"> </w:t>
      </w:r>
      <w:r>
        <w:t xml:space="preserve">Storage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Figure 11: Flow of captured carbon in 2040</w:t>
      </w:r>
    </w:p>
    <w:p>
      <w:pPr>
        <w:pStyle w:val="BodyText"/>
      </w:pPr>
      <w:r>
        <w:t xml:space="preserve">Note: “Ind. P.” stands for Industrial processes and include fossil carbon from industrial processes as well as</w:t>
      </w:r>
      <w:r>
        <w:t xml:space="preserve"> </w:t>
      </w:r>
      <w:r>
        <w:t xml:space="preserve">carbon of biogenic origin coming from the upgrade of biogas to biomethane. “FF” stands for “fossil fuels”.</w:t>
      </w:r>
      <w:r>
        <w:br/>
      </w:r>
      <w:r>
        <w:t xml:space="preserve">“PG” stands for “power generation”. “Bio” refers to CO2 produced by the combustion of biomass in power</w:t>
      </w:r>
      <w:r>
        <w:t xml:space="preserve"> </w:t>
      </w:r>
      <w:r>
        <w:t xml:space="preserve">generation and produced during the upgrade of biogas into biomethane. “DACC” stands for “Direct Air Capture</w:t>
      </w:r>
      <w:r>
        <w:t xml:space="preserve"> </w:t>
      </w:r>
      <w:r>
        <w:t xml:space="preserve">of CO2”, for underground storage (DACCS) or use in efuels.</w:t>
      </w:r>
      <w:r>
        <w:br/>
      </w:r>
      <w:r>
        <w:t xml:space="preserve">Source: PRIMES.</w:t>
      </w:r>
      <w:r>
        <w:t xml:space="preserve"> </w:t>
      </w:r>
      <w:r>
        <w:t xml:space="preserve">1.1.4. Non-CO2 GHG emissions</w:t>
      </w:r>
      <w:r>
        <w:t xml:space="preserve"> </w:t>
      </w:r>
      <w:r>
        <w:t xml:space="preserve">Non-CO2 GHG emissions declined considerably over the past decades in the EU.</w:t>
      </w:r>
      <w:r>
        <w:t xml:space="preserve"> </w:t>
      </w:r>
      <w:r>
        <w:t xml:space="preserve">Currently, however, significant amounts of non-CO2 greenhouse gases are still being</w:t>
      </w:r>
      <w:r>
        <w:t xml:space="preserve"> </w:t>
      </w:r>
      <w:r>
        <w:t xml:space="preserve">emitted every year, representing around 20% of total GHG emissions. In 2015, the EU’s</w:t>
      </w:r>
      <w:r>
        <w:t xml:space="preserve"> </w:t>
      </w:r>
      <w:r>
        <w:t xml:space="preserve">total non-CO2 GHG emissions added up to more than 700 MtCO2-eq. As shown in</w:t>
      </w:r>
      <w:r>
        <w:t xml:space="preserve"> </w:t>
      </w:r>
      <w:r>
        <w:t xml:space="preserve">Figure 13, most of these were CH4 emissions (61%), whereas the rest were N2O and F-</w:t>
      </w:r>
      <w:r>
        <w:t xml:space="preserve"> </w:t>
      </w:r>
      <w:r>
        <w:t xml:space="preserve">gas emissions (25% and 14%, respectively). Agriculture was the largest emitting sector,</w:t>
      </w:r>
      <w:r>
        <w:t xml:space="preserve"> </w:t>
      </w:r>
      <w:r>
        <w:t xml:space="preserve">representing roughly 53% of the EU’s total non-CO2 GHG emissions (mostly CH4 and</w:t>
      </w:r>
      <w:r>
        <w:t xml:space="preserve"> </w:t>
      </w:r>
      <w:r>
        <w:t xml:space="preserve">N2O emissions associated to enteric fermentation, manure management and fertiliser</w:t>
      </w:r>
      <w:r>
        <w:t xml:space="preserve"> </w:t>
      </w:r>
      <w:r>
        <w:t xml:space="preserve">application), followed by waste treatment (17%, mostly CH4 emissions stemming from</w:t>
      </w:r>
      <w:r>
        <w:t xml:space="preserve"> </w:t>
      </w:r>
      <w:r>
        <w:t xml:space="preserve">uncaptured emissions caused by anaerobic digestion of solid waste and wastewater</w:t>
      </w:r>
      <w:r>
        <w:t xml:space="preserve"> </w:t>
      </w:r>
      <w:r>
        <w:t xml:space="preserve">streams), energy and transport (16%, mostly methane leakage and emissions related to</w:t>
      </w:r>
      <w:r>
        <w:t xml:space="preserve"> </w:t>
      </w:r>
      <w:r>
        <w:t xml:space="preserve">S2- 222 MtCO2</w:t>
      </w:r>
      <w:r>
        <w:t xml:space="preserve"> </w:t>
      </w:r>
      <w:r>
        <w:t xml:space="preserve">S3- 344 MtCO2</w:t>
      </w:r>
      <w:r>
        <w:t xml:space="preserve"> </w:t>
      </w:r>
      <w:r>
        <w:t xml:space="preserve">LIFE- 278 MtCO2</w:t>
      </w:r>
      <w:r>
        <w:t xml:space="preserve"> </w:t>
      </w:r>
      <w:r>
        <w:t xml:space="preserve">S1- 86 MtCO2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fuel combustion), and heating/cooling installations (11%, mostly F-gas emissions), as</w:t>
      </w:r>
      <w:r>
        <w:t xml:space="preserve"> </w:t>
      </w:r>
      <w:r>
        <w:t xml:space="preserve">shown in Figure 12.</w:t>
      </w:r>
      <w:r>
        <w:br/>
      </w:r>
      <w:r>
        <w:t xml:space="preserve">In the S1 scenario, which considers mitigation due to current policies (but no more), non-</w:t>
      </w:r>
      <w:r>
        <w:t xml:space="preserve"> </w:t>
      </w:r>
      <w:r>
        <w:t xml:space="preserve">CO2 GHG emissions drop to around 457 MtCO2-eq in 2040 (i.e., 35% less than in</w:t>
      </w:r>
      <w:r>
        <w:t xml:space="preserve"> </w:t>
      </w:r>
      <w:r>
        <w:t xml:space="preserve">2015). Note that the degree of reduction by 2040 varies considerably across sectors (see</w:t>
      </w:r>
      <w:r>
        <w:t xml:space="preserve"> </w:t>
      </w:r>
      <w:r>
        <w:t xml:space="preserve">Figure 12). Agriculture is the sector showing the smallest decrease in relative terms (9%</w:t>
      </w:r>
      <w:r>
        <w:t xml:space="preserve"> </w:t>
      </w:r>
      <w:r>
        <w:t xml:space="preserve">reduction between 2015 and 2040). Non-CO2 GHG emissions from the waste</w:t>
      </w:r>
      <w:r>
        <w:t xml:space="preserve"> </w:t>
      </w:r>
      <w:r>
        <w:t xml:space="preserve">management sector decline by 42% over the same period (driven by the implementation</w:t>
      </w:r>
      <w:r>
        <w:t xml:space="preserve"> </w:t>
      </w:r>
      <w:r>
        <w:t xml:space="preserve">of existing legislation on landfilling and additional legislative proposals, such as the</w:t>
      </w:r>
      <w:r>
        <w:t xml:space="preserve"> </w:t>
      </w:r>
      <w:r>
        <w:t xml:space="preserve">proposal on a revised Urban Wastewater Treatment Directive, see Section 1.6.1 and</w:t>
      </w:r>
      <w:r>
        <w:t xml:space="preserve"> </w:t>
      </w:r>
      <w:r>
        <w:t xml:space="preserve">Annex 6), while the energy and transport sector shows a deep reduction (-71%) driven by</w:t>
      </w:r>
      <w:r>
        <w:t xml:space="preserve"> </w:t>
      </w:r>
      <w:r>
        <w:t xml:space="preserve">the phase down of fossil fuel use in the energy system. The heating and cooling sector</w:t>
      </w:r>
      <w:r>
        <w:t xml:space="preserve"> </w:t>
      </w:r>
      <w:r>
        <w:t xml:space="preserve">shows the largest decrease in relative terms (97% relative to 2015), driven mostly by the</w:t>
      </w:r>
      <w:r>
        <w:t xml:space="preserve"> </w:t>
      </w:r>
      <w:r>
        <w:t xml:space="preserve">assumed implementation of the F-gas regulation proposal (see Annex 6). Looking at the</w:t>
      </w:r>
      <w:r>
        <w:t xml:space="preserve"> </w:t>
      </w:r>
      <w:r>
        <w:t xml:space="preserve">disaggregation per gas, total N2O emissions across all sectors decrease by 14% between</w:t>
      </w:r>
      <w:r>
        <w:t xml:space="preserve"> </w:t>
      </w:r>
      <w:r>
        <w:t xml:space="preserve">2015 and 2040, CH4 emissions decline by 32% over the same period, and F-gas</w:t>
      </w:r>
      <w:r>
        <w:t xml:space="preserve"> </w:t>
      </w:r>
      <w:r>
        <w:t xml:space="preserve">emissions decrease by more than 90%, as shown in Figure 13.</w:t>
      </w:r>
      <w:r>
        <w:t xml:space="preserve"> </w:t>
      </w:r>
      <w:r>
        <w:t xml:space="preserve">The S2 and S3 scenarios show a more ambitious reduction of net GHG emissions by</w:t>
      </w:r>
      <w:r>
        <w:t xml:space="preserve"> </w:t>
      </w:r>
      <w:r>
        <w:t xml:space="preserve">2040 than the S1 scenario, and this requires stronger non-CO2 emission reductions than</w:t>
      </w:r>
      <w:r>
        <w:t xml:space="preserve"> </w:t>
      </w:r>
      <w:r>
        <w:t xml:space="preserve">those delivered by current policies. In the S2 scenario, total non-CO2 GHG emissions go</w:t>
      </w:r>
      <w:r>
        <w:t xml:space="preserve"> </w:t>
      </w:r>
      <w:r>
        <w:t xml:space="preserve">down to 376 MtCO2-eq in 2040 (i.e., 81 MtCO2-eq less than in the S1 scenario), that is</w:t>
      </w:r>
      <w:r>
        <w:t xml:space="preserve"> </w:t>
      </w:r>
      <w:r>
        <w:t xml:space="preserve">to say, they decrease by 47% compared to 2015. In the S3 scenario, total non-CO2 GHG</w:t>
      </w:r>
      <w:r>
        <w:t xml:space="preserve"> </w:t>
      </w:r>
      <w:r>
        <w:t xml:space="preserve">emissions drop to 345 MtCO2-eq in 2040 (i.e., 112 MtCO2-eq less than in the S1</w:t>
      </w:r>
      <w:r>
        <w:t xml:space="preserve"> </w:t>
      </w:r>
      <w:r>
        <w:t xml:space="preserve">scenario), which translates into a 51% reduction compared to 2015 (i.e., more than three-</w:t>
      </w:r>
      <w:r>
        <w:t xml:space="preserve"> </w:t>
      </w:r>
      <w:r>
        <w:t xml:space="preserve">quarters of the emissions reduction trajectory between 2030 and 2050). As shown in</w:t>
      </w:r>
      <w:r>
        <w:t xml:space="preserve"> </w:t>
      </w:r>
      <w:r>
        <w:t xml:space="preserve">Figure 12, the main difference compared to the S1 scenario are additional reductions in</w:t>
      </w:r>
      <w:r>
        <w:t xml:space="preserve"> </w:t>
      </w:r>
      <w:r>
        <w:t xml:space="preserve">emissions in the agriculture sector (22% reduction between 2015 and 2040 in S2, 13</w:t>
      </w:r>
      <w:r>
        <w:t xml:space="preserve"> </w:t>
      </w:r>
      <w:r>
        <w:t xml:space="preserve">percentage points more than in S1, and 30% reduction between 2015 and 2040 in S3, 21</w:t>
      </w:r>
      <w:r>
        <w:t xml:space="preserve"> </w:t>
      </w:r>
      <w:r>
        <w:t xml:space="preserve">pp more than in S1). Most of this additional reduction corresponds to N2O emissions</w:t>
      </w:r>
      <w:r>
        <w:t xml:space="preserve"> </w:t>
      </w:r>
      <w:r>
        <w:t xml:space="preserve">from agricultural soils and CH4 emissions from enteric fermentation and manure</w:t>
      </w:r>
      <w:r>
        <w:t xml:space="preserve"> </w:t>
      </w:r>
      <w:r>
        <w:t xml:space="preserve">management (see Figure 13 and Section 1.7.5). In the S3 scenario, all sectors (including</w:t>
      </w:r>
      <w:r>
        <w:t xml:space="preserve"> </w:t>
      </w:r>
      <w:r>
        <w:t xml:space="preserve">agriculture) are close to reaching their maximum mitigation potential both in 2040 and in</w:t>
      </w:r>
      <w:r>
        <w:t xml:space="preserve"> </w:t>
      </w:r>
      <w:r>
        <w:t xml:space="preserve">2050.</w:t>
      </w:r>
      <w:r>
        <w:t xml:space="preserve"> </w:t>
      </w:r>
      <w:r>
        <w:t xml:space="preserve">In LIFE, total non-CO2 GHG emissions go down to 284 MtCO2-eq in 2040 (which</w:t>
      </w:r>
      <w:r>
        <w:t xml:space="preserve"> </w:t>
      </w:r>
      <w:r>
        <w:t xml:space="preserve">means a 60% reduction relative to 2015, and 61 MtCO2-eq less than in S3) and 238</w:t>
      </w:r>
      <w:r>
        <w:t xml:space="preserve"> </w:t>
      </w:r>
      <w:r>
        <w:t xml:space="preserve">MtCO2-eq in 2050 (i.e., 55 MtCO2-eq less than in S3). As shown in Figure 12, the only</w:t>
      </w:r>
      <w:r>
        <w:t xml:space="preserve"> </w:t>
      </w:r>
      <w:r>
        <w:t xml:space="preserve">significant difference compared to the S3 scenario is an additional decrease in emissions</w:t>
      </w:r>
      <w:r>
        <w:t xml:space="preserve"> </w:t>
      </w:r>
      <w:r>
        <w:t xml:space="preserve">in the agriculture sector (47% reduction between 2015 and 2040, 17 percentage points</w:t>
      </w:r>
      <w:r>
        <w:t xml:space="preserve"> </w:t>
      </w:r>
      <w:r>
        <w:t xml:space="preserve">more than in the S3 scenario), which is mainly due to the smaller amount of livestock and</w:t>
      </w:r>
      <w:r>
        <w:t xml:space="preserve"> </w:t>
      </w:r>
      <w:r>
        <w:t xml:space="preserve">lower use of mineral fertilisers assumed in LIFE. All sectors (including agriculture) are</w:t>
      </w:r>
      <w:r>
        <w:t xml:space="preserve"> </w:t>
      </w:r>
      <w:r>
        <w:t xml:space="preserve">close to reaching their maximum mitigation potential both in 2040 and in 2050.</w:t>
      </w:r>
      <w:r>
        <w:t xml:space="preserve"> </w:t>
      </w:r>
      <w:r>
        <w:t xml:space="preserve">A more detailed analysis of the non-CO2 GHG emission trajectories in all scenarios can</w:t>
      </w:r>
      <w:r>
        <w:t xml:space="preserve"> </w:t>
      </w:r>
      <w:r>
        <w:t xml:space="preserve">be found in Sections 1.6 and 1.7.</w:t>
      </w:r>
      <w:r>
        <w:t xml:space="preserve"> </w:t>
      </w:r>
      <w:r>
        <w:t xml:space="preserve">Table 7 shows the emission residuals related to the calibration of the GAINS and</w:t>
      </w:r>
      <w:r>
        <w:t xml:space="preserve"> </w:t>
      </w:r>
      <w:r>
        <w:t xml:space="preserve">PRIMES models to the UNFCCC inventory, which have not been considered in the</w:t>
      </w:r>
      <w:r>
        <w:t xml:space="preserve"> </w:t>
      </w:r>
      <w:r>
        <w:t xml:space="preserve">discussion above. These residuals are small and not assigned to any particular sector. The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table also shows the CO2 emissions produced by the agriculture sector (including only</w:t>
      </w:r>
      <w:r>
        <w:t xml:space="preserve"> </w:t>
      </w:r>
      <w:r>
        <w:t xml:space="preserve">“category 3” emissions).</w:t>
      </w:r>
      <w:r>
        <w:t xml:space="preserve"> </w:t>
      </w:r>
      <w:r>
        <w:t xml:space="preserve">Figure 12: Evolution of non-CO2 greenhouse gas emissions by sector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i/>
          <w:iCs/>
        </w:rPr>
        <w:t xml:space="preserve">In the S1 and S2 scenarios, emissions in 2050 are equal to those in the S3 scenario.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waste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treatment sector includes solid waste and wastewater treatment.</w:t>
      </w:r>
      <w:r>
        <w:rPr>
          <w:b/>
          <w:bCs/>
          <w:i/>
          <w:iCs/>
        </w:rPr>
        <w:t xml:space="preserve"> </w:t>
      </w:r>
      <w:r>
        <w:t xml:space="preserve">Emission residuals related to the</w:t>
      </w:r>
      <w:r>
        <w:t xml:space="preserve"> </w:t>
      </w:r>
      <w:r>
        <w:t xml:space="preserve">calibration of the GAINS and PRIMES models to the UNFCCC inventory (which are small and not assigned to</w:t>
      </w:r>
      <w:r>
        <w:t xml:space="preserve"> </w:t>
      </w:r>
      <w:r>
        <w:t xml:space="preserve">any sector) are not included in this figure.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Figure 13: Evolution of non-CO2 greenhouse gas emissions by gas</w:t>
      </w:r>
    </w:p>
    <w:p>
      <w:pPr>
        <w:pStyle w:val="BodyText"/>
      </w:pPr>
      <w:r>
        <w:t xml:space="preserve">Note: *In the S1 and S2 scenarios, emissions in 2050 are equal to those in the S3 scenario. **Emission residuals</w:t>
      </w:r>
      <w:r>
        <w:t xml:space="preserve"> </w:t>
      </w:r>
      <w:r>
        <w:t xml:space="preserve">related to the calibration of the GAINS and PRIMES models to the UNFCCC inventory (which are small) are not</w:t>
      </w:r>
      <w:r>
        <w:t xml:space="preserve"> </w:t>
      </w:r>
      <w:r>
        <w:t xml:space="preserve">included in this figure.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S3*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Industry and other</w:t>
      </w:r>
      <w:r>
        <w:t xml:space="preserve"> </w:t>
      </w:r>
      <w:r>
        <w:t xml:space="preserve">Heating and cooling</w:t>
      </w:r>
      <w:r>
        <w:t xml:space="preserve"> </w:t>
      </w:r>
      <w:r>
        <w:t xml:space="preserve">Energy and transport</w:t>
      </w:r>
      <w:r>
        <w:t xml:space="preserve"> </w:t>
      </w:r>
      <w:r>
        <w:t xml:space="preserve">Waste treatment**</w:t>
      </w:r>
      <w:r>
        <w:t xml:space="preserve"> </w:t>
      </w:r>
      <w:r>
        <w:t xml:space="preserve">Agriculture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S3*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F-gases</w:t>
      </w:r>
      <w:r>
        <w:t xml:space="preserve"> </w:t>
      </w:r>
      <w:r>
        <w:t xml:space="preserve">N2O</w:t>
      </w:r>
      <w:r>
        <w:t xml:space="preserve"> </w:t>
      </w:r>
      <w:r>
        <w:t xml:space="preserve">CH4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Table 7: Total non-CO2 GHG emissions in all sectors and CO2 emissions from agriculture</w:t>
      </w:r>
    </w:p>
    <w:p>
      <w:pPr>
        <w:pStyle w:val="BodyText"/>
      </w:pPr>
      <w:r>
        <w:t xml:space="preserve">Greenhouse gas emissions (MtCO2-eq)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S3*</w:t>
      </w:r>
      <w:r>
        <w:t xml:space="preserve"> </w:t>
      </w:r>
      <w:r>
        <w:t xml:space="preserve">LIFE</w:t>
      </w:r>
      <w:r>
        <w:t xml:space="preserve"> </w:t>
      </w:r>
      <w:r>
        <w:t xml:space="preserve">Non-CO2 emissions</w:t>
      </w:r>
      <w:r>
        <w:t xml:space="preserve"> </w:t>
      </w:r>
      <w:r>
        <w:t xml:space="preserve">705</w:t>
      </w:r>
      <w:r>
        <w:t xml:space="preserve"> </w:t>
      </w:r>
      <w:r>
        <w:t xml:space="preserve">531</w:t>
      </w:r>
      <w:r>
        <w:t xml:space="preserve"> </w:t>
      </w:r>
      <w:r>
        <w:t xml:space="preserve">457</w:t>
      </w:r>
      <w:r>
        <w:t xml:space="preserve"> </w:t>
      </w:r>
      <w:r>
        <w:t xml:space="preserve">376</w:t>
      </w:r>
      <w:r>
        <w:t xml:space="preserve"> </w:t>
      </w:r>
      <w:r>
        <w:t xml:space="preserve">345</w:t>
      </w:r>
      <w:r>
        <w:t xml:space="preserve"> </w:t>
      </w:r>
      <w:r>
        <w:t xml:space="preserve">284</w:t>
      </w:r>
      <w:r>
        <w:t xml:space="preserve"> </w:t>
      </w:r>
      <w:r>
        <w:t xml:space="preserve">294</w:t>
      </w:r>
      <w:r>
        <w:t xml:space="preserve"> </w:t>
      </w:r>
      <w:r>
        <w:t xml:space="preserve">238</w:t>
      </w:r>
      <w:r>
        <w:t xml:space="preserve"> </w:t>
      </w:r>
      <w:r>
        <w:t xml:space="preserve">Non-CO2 calibration</w:t>
      </w:r>
      <w:r>
        <w:t xml:space="preserve"> </w:t>
      </w:r>
      <w:r>
        <w:t xml:space="preserve">2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CO2 emissions from</w:t>
      </w:r>
      <w:r>
        <w:t xml:space="preserve"> </w:t>
      </w:r>
      <w:r>
        <w:t xml:space="preserve">agriculture (category 3)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1.2.</w:t>
      </w:r>
      <w:r>
        <w:t xml:space="preserve"> </w:t>
      </w:r>
      <w:r>
        <w:t xml:space="preserve">Energy sector transformation</w:t>
      </w:r>
      <w:r>
        <w:t xml:space="preserve"> </w:t>
      </w:r>
      <w:r>
        <w:t xml:space="preserve">1.2.1. Energy supply</w:t>
      </w:r>
      <w:r>
        <w:br/>
      </w:r>
      <w:r>
        <w:t xml:space="preserve">Gross Available Energy (52) (53) (GAE) reduces to between 1 018-1 022 Mtoe across the</w:t>
      </w:r>
      <w:r>
        <w:t xml:space="preserve"> </w:t>
      </w:r>
      <w:r>
        <w:t xml:space="preserve">S1-S2-S3 scenarios in 2040, corresponding to approximately a 30% reduction compared</w:t>
      </w:r>
      <w:r>
        <w:t xml:space="preserve"> </w:t>
      </w:r>
      <w:r>
        <w:t xml:space="preserve">to 2019 (see Figure 14). Thanks to the circular economy measures and consumption</w:t>
      </w:r>
      <w:r>
        <w:t xml:space="preserve"> </w:t>
      </w:r>
      <w:r>
        <w:t xml:space="preserve">patterns, LIFE further reduces GAE. After 2040, GAE stabilises around 1020–1040</w:t>
      </w:r>
      <w:r>
        <w:t xml:space="preserve"> </w:t>
      </w:r>
      <w:r>
        <w:t xml:space="preserve">Mtoe, except for LIFE where, in 2050, it is further reduced by more than 50 Mtoe</w:t>
      </w:r>
      <w:r>
        <w:t xml:space="preserve"> </w:t>
      </w:r>
      <w:r>
        <w:t xml:space="preserve">compared to other scenarios.</w:t>
      </w:r>
    </w:p>
    <w:p>
      <w:pPr>
        <w:pStyle w:val="Compact"/>
        <w:numPr>
          <w:ilvl w:val="0"/>
          <w:numId w:val="1018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</w:p>
    <w:p>
      <w:pPr>
        <w:pStyle w:val="Compact"/>
        <w:numPr>
          <w:ilvl w:val="0"/>
          <w:numId w:val="1018"/>
        </w:numPr>
      </w:pPr>
      <w:r>
        <w:t xml:space="preserve">Gross Available Energy refers to the overall supply of energy for all activities of a country. It includes</w:t>
      </w:r>
      <w:r>
        <w:t xml:space="preserve"> </w:t>
      </w:r>
      <w:r>
        <w:t xml:space="preserve">energy needs for energy transformation, for the energy sector itself, transmission and distribution</w:t>
      </w:r>
      <w:r>
        <w:t xml:space="preserve"> </w:t>
      </w:r>
      <w:r>
        <w:t xml:space="preserve">losses, final energy consumption and the use of fuels for non-energy purposes. It also includes fuel</w:t>
      </w:r>
      <w:r>
        <w:t xml:space="preserve"> </w:t>
      </w:r>
      <w:r>
        <w:t xml:space="preserve">purchased within the country that is used elsewhere (e.g., international aviation and shipping). These</w:t>
      </w:r>
      <w:r>
        <w:t xml:space="preserve"> </w:t>
      </w:r>
      <w:r>
        <w:t xml:space="preserve">figures exclude ambient heat (from heat pumps).</w:t>
      </w:r>
    </w:p>
    <w:p>
      <w:pPr>
        <w:pStyle w:val="FirstParagraph"/>
      </w:pPr>
      <w:r>
        <w:t xml:space="preserve">27</w:t>
      </w:r>
    </w:p>
    <w:p>
      <w:pPr>
        <w:pStyle w:val="BodyText"/>
      </w:pPr>
      <w:r>
        <w:t xml:space="preserve">Figure 14: Gross Available Energy by energy vector, 2015-2050</w:t>
      </w:r>
    </w:p>
    <w:p>
      <w:pPr>
        <w:pStyle w:val="BodyText"/>
      </w:pPr>
      <w:r>
        <w:t xml:space="preserve">Note: Biomass and waste include non-renewable waste. Natural gas includes also manufactured gas.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Profound changes in the energy mix underpin the overall reduction of GAE over time.</w:t>
      </w:r>
      <w:r>
        <w:t xml:space="preserve"> </w:t>
      </w:r>
      <w:r>
        <w:t xml:space="preserve">Fossil fuels are gradually reduced, from approximately 1060 Mtoe in 2019 to between</w:t>
      </w:r>
      <w:r>
        <w:t xml:space="preserve"> </w:t>
      </w:r>
      <w:r>
        <w:t xml:space="preserve">275 and 375 Mtoe in the S1-S2-S3 scenarios (a 65 to 74% reduction compared to 2019).</w:t>
      </w:r>
      <w:r>
        <w:t xml:space="preserve"> </w:t>
      </w:r>
      <w:r>
        <w:t xml:space="preserve">In 2050, approximately 155 Mtoe of residual fossil fuels remain with little differences</w:t>
      </w:r>
      <w:r>
        <w:t xml:space="preserve"> </w:t>
      </w:r>
      <w:r>
        <w:t xml:space="preserve">between the S1, S2 and S3 scenarios (-85% compared to 2019), largely consumed for</w:t>
      </w:r>
      <w:r>
        <w:t xml:space="preserve"> </w:t>
      </w:r>
      <w:r>
        <w:t xml:space="preserve">non-energy uses and from long distance transport. In 2040, fossil fuels account for 27 to</w:t>
      </w:r>
      <w:r>
        <w:t xml:space="preserve"> </w:t>
      </w:r>
      <w:r>
        <w:t xml:space="preserve">37% of GAE in the S1-S2-S3 scenarios, down from more than 70% in 2019. Fossil fuels</w:t>
      </w:r>
      <w:r>
        <w:t xml:space="preserve"> </w:t>
      </w:r>
      <w:r>
        <w:t xml:space="preserve">reach a share of total GAE of approximately 15% in 2050 across all scenarios.</w:t>
      </w:r>
      <w:r>
        <w:br/>
      </w:r>
      <w:r>
        <w:t xml:space="preserve">Renewables undergo a pronounced growth in their share of total GAE as they gradually</w:t>
      </w:r>
      <w:r>
        <w:t xml:space="preserve"> </w:t>
      </w:r>
      <w:r>
        <w:t xml:space="preserve">replace fossil fuels as the backbone of the EU energy system. The share of renewables in</w:t>
      </w:r>
      <w:r>
        <w:t xml:space="preserve"> </w:t>
      </w:r>
      <w:r>
        <w:t xml:space="preserve">total GAE grows from just 17% in 2019 to 50-60% in the S1-S2-S3 scenarios (around</w:t>
      </w:r>
      <w:r>
        <w:t xml:space="preserve"> </w:t>
      </w:r>
      <w:r>
        <w:t xml:space="preserve">520-610 Mtoe) in 2040. Then, in 2050 the share of renewables reaches more than 70% in</w:t>
      </w:r>
      <w:r>
        <w:t xml:space="preserve"> </w:t>
      </w:r>
      <w:r>
        <w:t xml:space="preserve">2050 (around 690-735 under the S1-S2-S3 scenarios). LIFE decreases the overall use of</w:t>
      </w:r>
      <w:r>
        <w:t xml:space="preserve"> </w:t>
      </w:r>
      <w:r>
        <w:t xml:space="preserve">renewables in GAE by more than 40 Mtoe in 2040 and more than 50 Mtoe in 2050.</w:t>
      </w:r>
      <w:r>
        <w:t xml:space="preserve"> </w:t>
      </w:r>
      <w:r>
        <w:t xml:space="preserve">Based on nuclear capacity assumptions in line with the Member State policies as</w:t>
      </w:r>
      <w:r>
        <w:t xml:space="preserve"> </w:t>
      </w:r>
      <w:r>
        <w:t xml:space="preserve">described in the 2019 National Energy and Climate Plans (54), cf. sub-section 2.5.2.2,</w:t>
      </w:r>
      <w:r>
        <w:t xml:space="preserve"> </w:t>
      </w:r>
      <w:r>
        <w:t xml:space="preserve">nuclear power is projected to experience a reduction in output over this decade from</w:t>
      </w:r>
      <w:r>
        <w:t xml:space="preserve"> </w:t>
      </w:r>
      <w:r>
        <w:t xml:space="preserve">around 200 Mtoe in 2019 to 130 Mtoe in 2030 after which it broadly stabilizes,</w:t>
      </w:r>
      <w:r>
        <w:t xml:space="preserve"> </w:t>
      </w:r>
      <w:r>
        <w:t xml:space="preserve">accounting for 13-14% of total GAE from 2040 onwards without major differences</w:t>
      </w:r>
      <w:r>
        <w:t xml:space="preserve"> </w:t>
      </w:r>
      <w:r>
        <w:t xml:space="preserve">across scenarios.</w:t>
      </w:r>
    </w:p>
    <w:p>
      <w:pPr>
        <w:pStyle w:val="Compact"/>
        <w:numPr>
          <w:ilvl w:val="0"/>
          <w:numId w:val="1019"/>
        </w:numPr>
      </w:pPr>
      <w:r>
        <w:t xml:space="preserve">These assumptions reflect the situation until March 2023. In June 2023, France has adopted a law</w:t>
      </w:r>
      <w:r>
        <w:t xml:space="preserve"> </w:t>
      </w:r>
      <w:r>
        <w:t xml:space="preserve">which removes the objective of reducing the share of nuclear power in the electricity mix. Additional</w:t>
      </w:r>
      <w:r>
        <w:t xml:space="preserve"> </w:t>
      </w:r>
      <w:r>
        <w:t xml:space="preserve">3.3 GWe nuclear capacity was officially announced for deployment by mid-2030s. See the box in 6.2.1</w:t>
      </w:r>
      <w:r>
        <w:t xml:space="preserve"> </w:t>
      </w:r>
      <w:r>
        <w:t xml:space="preserve">of the main Impact Assessment and the assumptions in Annex 6. Future EU policies and analysis will</w:t>
      </w:r>
      <w:r>
        <w:t xml:space="preserve"> </w:t>
      </w:r>
      <w:r>
        <w:t xml:space="preserve">take the revised policies into account, as reflected in the updated National Energy and Climate Plans</w:t>
      </w:r>
      <w:r>
        <w:t xml:space="preserve"> </w:t>
      </w:r>
      <w:r>
        <w:t xml:space="preserve">which are currently being drafted.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1400</w:t>
      </w:r>
      <w:r>
        <w:t xml:space="preserve"> </w:t>
      </w:r>
      <w:r>
        <w:t xml:space="preserve">1600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2015 2019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Hydrogen</w:t>
      </w:r>
      <w:r>
        <w:t xml:space="preserve"> </w:t>
      </w:r>
      <w:r>
        <w:t xml:space="preserve">Wind</w:t>
      </w:r>
      <w:r>
        <w:t xml:space="preserve"> </w:t>
      </w:r>
      <w:r>
        <w:t xml:space="preserve">PV</w:t>
      </w:r>
      <w:r>
        <w:t xml:space="preserve"> </w:t>
      </w:r>
      <w:r>
        <w:t xml:space="preserve">Others</w:t>
      </w:r>
      <w:r>
        <w:t xml:space="preserve"> </w:t>
      </w:r>
      <w:r>
        <w:t xml:space="preserve">Electricity imports</w:t>
      </w:r>
      <w:r>
        <w:t xml:space="preserve"> </w:t>
      </w:r>
      <w:r>
        <w:t xml:space="preserve">Hydro</w:t>
      </w:r>
      <w:r>
        <w:t xml:space="preserve"> </w:t>
      </w:r>
      <w:r>
        <w:t xml:space="preserve">Geothermal</w:t>
      </w:r>
      <w:r>
        <w:t xml:space="preserve"> </w:t>
      </w:r>
      <w:r>
        <w:t xml:space="preserve">Biomass</w:t>
      </w:r>
      <w:r>
        <w:t xml:space="preserve"> </w:t>
      </w:r>
      <w:r>
        <w:t xml:space="preserve">Nuclear</w:t>
      </w:r>
      <w:r>
        <w:t xml:space="preserve"> </w:t>
      </w:r>
      <w:r>
        <w:t xml:space="preserve">Coal</w:t>
      </w:r>
      <w:r>
        <w:t xml:space="preserve"> </w:t>
      </w:r>
      <w:r>
        <w:t xml:space="preserve">Gas</w:t>
      </w:r>
      <w:r>
        <w:t xml:space="preserve"> </w:t>
      </w:r>
      <w:r>
        <w:t xml:space="preserve">Oil</w:t>
      </w:r>
    </w:p>
    <w:p>
      <w:pPr>
        <w:pStyle w:val="FirstParagraph"/>
      </w:pPr>
      <w:r>
        <w:t xml:space="preserve">28</w:t>
      </w:r>
    </w:p>
    <w:p>
      <w:pPr>
        <w:pStyle w:val="BodyText"/>
      </w:pPr>
      <w:r>
        <w:t xml:space="preserve">Overall, total GAE is quite stable across the S1, S2 and S3 scenarios, varying by less</w:t>
      </w:r>
      <w:r>
        <w:t xml:space="preserve"> </w:t>
      </w:r>
      <w:r>
        <w:t xml:space="preserve">than 1% in 2040 and less than 2% in 2050, but measures in the LIFE scenario further</w:t>
      </w:r>
      <w:r>
        <w:t xml:space="preserve"> </w:t>
      </w:r>
      <w:r>
        <w:t xml:space="preserve">decrease GAE. However, the trajectories (in terms of GAE) of the various energy vectors</w:t>
      </w:r>
      <w:r>
        <w:t xml:space="preserve"> </w:t>
      </w:r>
      <w:r>
        <w:t xml:space="preserve">are characterised by considerable variations across scenarios: the S3 scenario shows a</w:t>
      </w:r>
      <w:r>
        <w:t xml:space="preserve"> </w:t>
      </w:r>
      <w:r>
        <w:t xml:space="preserve">faster uptake of renewables at the expense of fossil fuels, while S1 scenario shows a</w:t>
      </w:r>
      <w:r>
        <w:t xml:space="preserve"> </w:t>
      </w:r>
      <w:r>
        <w:t xml:space="preserve">slower uptake.</w:t>
      </w:r>
      <w:r>
        <w:t xml:space="preserve"> </w:t>
      </w:r>
      <w:r>
        <w:t xml:space="preserve">The gradual substitution of fossil fuels (largely imported from outside the EU) with</w:t>
      </w:r>
      <w:r>
        <w:t xml:space="preserve"> </w:t>
      </w:r>
      <w:r>
        <w:t xml:space="preserve">renewables deployed domestically implies a steep reduction of net imports of energy</w:t>
      </w:r>
      <w:r>
        <w:t xml:space="preserve"> </w:t>
      </w:r>
      <w:r>
        <w:t xml:space="preserve">commodities (Figure 15).</w:t>
      </w:r>
      <w:r>
        <w:t xml:space="preserve"> </w:t>
      </w:r>
      <w:r>
        <w:t xml:space="preserve">Total net imports of energy commodities are projected to reduce by 62%-71% in the S1-</w:t>
      </w:r>
      <w:r>
        <w:t xml:space="preserve"> </w:t>
      </w:r>
      <w:r>
        <w:t xml:space="preserve">S2-S3 and LIFE scenarios (for a total of 270-350 Mtoe) compared to 2019. In 2050, net</w:t>
      </w:r>
      <w:r>
        <w:t xml:space="preserve"> </w:t>
      </w:r>
      <w:r>
        <w:t xml:space="preserve">imports further decrease to 150 and 160 Mtoe in the S1-S2-S3 scenarios, 83% lower than</w:t>
      </w:r>
      <w:r>
        <w:t xml:space="preserve"> </w:t>
      </w:r>
      <w:r>
        <w:t xml:space="preserve">in 2019. Net imports of coal virtually end by 2040 in all scenarios and those of natural</w:t>
      </w:r>
      <w:r>
        <w:t xml:space="preserve"> </w:t>
      </w:r>
      <w:r>
        <w:t xml:space="preserve">gas and oil products drastically reduce with a very similar pace as the one of overall net</w:t>
      </w:r>
      <w:r>
        <w:t xml:space="preserve"> </w:t>
      </w:r>
      <w:r>
        <w:t xml:space="preserve">imports. All scenarios meet the goal of the REPowerEU plan to phase out import of</w:t>
      </w:r>
      <w:r>
        <w:t xml:space="preserve"> </w:t>
      </w:r>
      <w:r>
        <w:t xml:space="preserve">Russian gas (55). The amounts of imports of hydrogen and e-fuels remain relatively small</w:t>
      </w:r>
      <w:r>
        <w:t xml:space="preserve"> </w:t>
      </w:r>
      <w:r>
        <w:t xml:space="preserve">in 2040, due to still relatively high costs.</w:t>
      </w:r>
      <w:r>
        <w:t xml:space="preserve"> </w:t>
      </w:r>
      <w:r>
        <w:t xml:space="preserve">Figure 15: Net imports by energy vector, 2015-2050</w:t>
      </w:r>
    </w:p>
    <w:p>
      <w:pPr>
        <w:pStyle w:val="BodyText"/>
      </w:pPr>
      <w:r>
        <w:t xml:space="preserve">Note: Biomass and waste include non-renewable waste. Natural gas includes also manufactured gas. When the</w:t>
      </w:r>
      <w:r>
        <w:t xml:space="preserve"> </w:t>
      </w:r>
      <w:r>
        <w:t xml:space="preserve">scenario name is not indicated for future years, the reasons is that trends are almost identical across scenarios.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As shown in Figure 15, the main difference in the fuel-specific pattern across scenarios is</w:t>
      </w:r>
      <w:r>
        <w:t xml:space="preserve"> </w:t>
      </w:r>
      <w:r>
        <w:t xml:space="preserve">associated to natural gas: total net import in 2040 under the S3 achieves three-quarters of</w:t>
      </w:r>
      <w:r>
        <w:t xml:space="preserve"> </w:t>
      </w:r>
      <w:r>
        <w:t xml:space="preserve">the level of the S2 scenario (around 70 Mtoe and 90 Mtoe respectively). Oil and natural</w:t>
      </w:r>
      <w:r>
        <w:t xml:space="preserve"> </w:t>
      </w:r>
      <w:r>
        <w:t xml:space="preserve">gas are the last fossil fuels to be phased out and significant imports still occur in 2050.</w:t>
      </w:r>
      <w:r>
        <w:t xml:space="preserve"> </w:t>
      </w:r>
      <w:r>
        <w:t xml:space="preserve">However, by mid-century almost half of oil consumed in the EU is used to make</w:t>
      </w:r>
      <w:r>
        <w:t xml:space="preserve"> </w:t>
      </w:r>
      <w:r>
        <w:t xml:space="preserve">products in the non-energy sector. In 2050, more than half of the liquid fuels used for</w:t>
      </w:r>
      <w:r>
        <w:t xml:space="preserve"> </w:t>
      </w:r>
      <w:r>
        <w:t xml:space="preserve">energy purposes in end-use sectors are RFNBOs.</w:t>
      </w:r>
    </w:p>
    <w:p>
      <w:pPr>
        <w:pStyle w:val="Compact"/>
        <w:numPr>
          <w:ilvl w:val="0"/>
          <w:numId w:val="1020"/>
        </w:numPr>
      </w:pPr>
      <w:r>
        <w:t xml:space="preserve">COM/2022/230 final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Synthetic fuels</w:t>
      </w:r>
      <w:r>
        <w:t xml:space="preserve"> </w:t>
      </w:r>
      <w:r>
        <w:t xml:space="preserve">Coal</w:t>
      </w:r>
      <w:r>
        <w:t xml:space="preserve"> </w:t>
      </w:r>
      <w:r>
        <w:t xml:space="preserve">Others</w:t>
      </w:r>
      <w:r>
        <w:t xml:space="preserve"> </w:t>
      </w:r>
      <w:r>
        <w:t xml:space="preserve">Natural gas</w:t>
      </w:r>
      <w:r>
        <w:t xml:space="preserve"> </w:t>
      </w:r>
      <w:r>
        <w:t xml:space="preserve">Hydrogen</w:t>
      </w:r>
      <w:r>
        <w:t xml:space="preserve"> </w:t>
      </w:r>
      <w:r>
        <w:t xml:space="preserve">Electricity</w:t>
      </w:r>
      <w:r>
        <w:t xml:space="preserve"> </w:t>
      </w:r>
      <w:r>
        <w:t xml:space="preserve">Oil</w:t>
      </w:r>
      <w:r>
        <w:t xml:space="preserve"> </w:t>
      </w:r>
      <w:r>
        <w:t xml:space="preserve">Biomass</w:t>
      </w:r>
    </w:p>
    <w:p>
      <w:pPr>
        <w:pStyle w:val="FirstParagraph"/>
      </w:pPr>
      <w:r>
        <w:t xml:space="preserve">29</w:t>
      </w:r>
    </w:p>
    <w:p>
      <w:pPr>
        <w:pStyle w:val="BodyText"/>
      </w:pPr>
      <w:r>
        <w:t xml:space="preserve">The decline in imports has profound consequences for the EU’s security of energy</w:t>
      </w:r>
      <w:r>
        <w:t xml:space="preserve"> </w:t>
      </w:r>
      <w:r>
        <w:t xml:space="preserve">supplies. Import dependency (defined as the ratio of net imports to GAE excluding</w:t>
      </w:r>
      <w:r>
        <w:t xml:space="preserve"> </w:t>
      </w:r>
      <w:r>
        <w:t xml:space="preserve">ambient heat) decreases from 61% in 2019 to 50% in 2030 and to 34% – 26% in 2040</w:t>
      </w:r>
      <w:r>
        <w:t xml:space="preserve"> </w:t>
      </w:r>
      <w:r>
        <w:t xml:space="preserve">(depending on the scenario). By 2050, only approximately 15% of the fuels used in</w:t>
      </w:r>
      <w:r>
        <w:t xml:space="preserve"> </w:t>
      </w:r>
      <w:r>
        <w:t xml:space="preserve">Europe will be imported. The energy transition will greatly reduce the EU’s dependency</w:t>
      </w:r>
      <w:r>
        <w:t xml:space="preserve"> </w:t>
      </w:r>
      <w:r>
        <w:t xml:space="preserve">on energy imports. However – due to the decline of indigenous production and the fact</w:t>
      </w:r>
      <w:r>
        <w:t xml:space="preserve"> </w:t>
      </w:r>
      <w:r>
        <w:t xml:space="preserve">that oil is the last fossil fuel to be abandoned – a large decrease in imports will occur only</w:t>
      </w:r>
      <w:r>
        <w:t xml:space="preserve"> </w:t>
      </w:r>
      <w:r>
        <w:t xml:space="preserve">with deep decarbonisation (see Figure 16). As shown in Figure 15, import reduction is</w:t>
      </w:r>
      <w:r>
        <w:t xml:space="preserve"> </w:t>
      </w:r>
      <w:r>
        <w:t xml:space="preserve">similar across scenarios depending mainly on the decarbonisation target.</w:t>
      </w:r>
      <w:r>
        <w:t xml:space="preserve"> </w:t>
      </w:r>
      <w:r>
        <w:t xml:space="preserve">Figure 16: Import dependence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As introduced in Annex 6, complementary modelling tools have been used in addition to</w:t>
      </w:r>
      <w:r>
        <w:t xml:space="preserve"> </w:t>
      </w:r>
      <w:r>
        <w:t xml:space="preserve">PRIMES to model the decarbonisation scenarios. Figure 17 compares the projections for</w:t>
      </w:r>
      <w:r>
        <w:t xml:space="preserve"> </w:t>
      </w:r>
      <w:r>
        <w:t xml:space="preserve">total Gross Available Energy obtained from the POTEnCIA, AMADEUS-METIS, EU-</w:t>
      </w:r>
      <w:r>
        <w:t xml:space="preserve"> </w:t>
      </w:r>
      <w:r>
        <w:t xml:space="preserve">TIMES and POLES models for the S2 scenario. Values and patterns are comparable</w:t>
      </w:r>
      <w:r>
        <w:t xml:space="preserve"> </w:t>
      </w:r>
      <w:r>
        <w:t xml:space="preserve">across all models, with EU-TIMES showing the highest GAE throughout the time</w:t>
      </w:r>
      <w:r>
        <w:t xml:space="preserve"> </w:t>
      </w:r>
      <w:r>
        <w:t xml:space="preserve">horizon and a trajectory that reduces up to 2040 and then increases again afterwards. The</w:t>
      </w:r>
      <w:r>
        <w:t xml:space="preserve"> </w:t>
      </w:r>
      <w:r>
        <w:t xml:space="preserve">highest GAE in EU-TIMES is explained mainly by the lowest reduction in FEC (see</w:t>
      </w:r>
      <w:r>
        <w:t xml:space="preserve"> </w:t>
      </w:r>
      <w:r>
        <w:t xml:space="preserve">Figure 17) linked to an extensive use of RFNBOs in comparison with electricity (see</w:t>
      </w:r>
      <w:r>
        <w:t xml:space="preserve"> </w:t>
      </w:r>
      <w:r>
        <w:t xml:space="preserve">Figure 33 later in the text), and a high reliance on industrial carbon removals to</w:t>
      </w:r>
      <w:r>
        <w:t xml:space="preserve"> </w:t>
      </w:r>
      <w:r>
        <w:t xml:space="preserve">compensate for emissions in hard-to-abate sectors, which has associated significant</w:t>
      </w:r>
      <w:r>
        <w:t xml:space="preserve"> </w:t>
      </w:r>
      <w:r>
        <w:t xml:space="preserve">consumption of electricity and heat.</w:t>
      </w:r>
      <w:r>
        <w:br/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Figure 17: Total Gross Available Energy from different energy models, 2019-2050</w:t>
      </w:r>
    </w:p>
    <w:p>
      <w:pPr>
        <w:pStyle w:val="BodyText"/>
      </w:pPr>
      <w:r>
        <w:t xml:space="preserve">Sources: AMADEUS-METIS, EU-TIMES, POLES, POTEnCIA, PRIMES.</w:t>
      </w:r>
      <w:r>
        <w:t xml:space="preserve"> </w:t>
      </w:r>
      <w:r>
        <w:t xml:space="preserve">1.2.2. Power generation sector</w:t>
      </w:r>
      <w:r>
        <w:t xml:space="preserve"> </w:t>
      </w:r>
      <w:r>
        <w:t xml:space="preserve">The coming decades require an increase in electricity supply due to the increasing</w:t>
      </w:r>
      <w:r>
        <w:t xml:space="preserve"> </w:t>
      </w:r>
      <w:r>
        <w:t xml:space="preserve">electrification of the economy and the production of RFNBOs. Fossil fuel-fired</w:t>
      </w:r>
      <w:r>
        <w:t xml:space="preserve"> </w:t>
      </w:r>
      <w:r>
        <w:t xml:space="preserve">electricity generation decreases substantially and is replaced by variable renewable</w:t>
      </w:r>
      <w:r>
        <w:t xml:space="preserve"> </w:t>
      </w:r>
      <w:r>
        <w:t xml:space="preserve">electricity generation. To match variable supply and demand, more smart solutions are</w:t>
      </w:r>
      <w:r>
        <w:t xml:space="preserve"> </w:t>
      </w:r>
      <w:r>
        <w:t xml:space="preserve">needed. The variability of wind and solar can be addressed through real time pricing</w:t>
      </w:r>
      <w:r>
        <w:t xml:space="preserve"> </w:t>
      </w:r>
      <w:r>
        <w:t xml:space="preserve">signals and flexibility solutions on the demand side. Sector coupling technologies like</w:t>
      </w:r>
      <w:r>
        <w:t xml:space="preserve"> </w:t>
      </w:r>
      <w:r>
        <w:t xml:space="preserve">storage, interconnection and carbon free dispatchable power generation are expected to</w:t>
      </w:r>
      <w:r>
        <w:t xml:space="preserve"> </w:t>
      </w:r>
      <w:r>
        <w:t xml:space="preserve">play an increasingly important role (56).</w:t>
      </w:r>
      <w:r>
        <w:t xml:space="preserve"> </w:t>
      </w:r>
      <w:r>
        <w:t xml:space="preserve">In the context of reducing fossil fuels use in favour of direct electrification of end-use</w:t>
      </w:r>
      <w:r>
        <w:t xml:space="preserve"> </w:t>
      </w:r>
      <w:r>
        <w:t xml:space="preserve">sectors, for instance via the deployment of heat pumps, electric vehicles and electrified</w:t>
      </w:r>
      <w:r>
        <w:t xml:space="preserve"> </w:t>
      </w:r>
      <w:r>
        <w:t xml:space="preserve">low and mid-temperature industrial processes, demand for electricity increases by 31-</w:t>
      </w:r>
      <w:r>
        <w:t xml:space="preserve"> </w:t>
      </w:r>
      <w:r>
        <w:t xml:space="preserve">34% between 2021 and 2040 in S1-S2-S3 (Figure 18).</w:t>
      </w:r>
    </w:p>
    <w:p>
      <w:pPr>
        <w:pStyle w:val="Compact"/>
        <w:numPr>
          <w:ilvl w:val="0"/>
          <w:numId w:val="1021"/>
        </w:numPr>
      </w:pPr>
      <w:r>
        <w:t xml:space="preserve">Koolen, D. et al., Flexibility requirements and the role of storage in future European power systems,</w:t>
      </w:r>
      <w:r>
        <w:t xml:space="preserve"> </w:t>
      </w:r>
      <w:r>
        <w:t xml:space="preserve">EUR 31239 EN, Publications Office of the European Union, Luxembourg, 2023, ISBN 978-92-76-</w:t>
      </w:r>
      <w:r>
        <w:t xml:space="preserve"> </w:t>
      </w:r>
      <w:r>
        <w:t xml:space="preserve">57363-0, doi:10.2760/384443, JRC130519.</w:t>
      </w:r>
    </w:p>
    <w:p>
      <w:pPr>
        <w:pStyle w:val="FirstParagraph"/>
      </w:pPr>
      <w:r>
        <w:t xml:space="preserve">31</w:t>
      </w:r>
    </w:p>
    <w:p>
      <w:pPr>
        <w:pStyle w:val="BodyText"/>
      </w:pPr>
      <w:r>
        <w:t xml:space="preserve">Figure 18: Final electricity consumption by end-use sector</w:t>
      </w:r>
    </w:p>
    <w:p>
      <w:pPr>
        <w:pStyle w:val="BodyText"/>
      </w:pPr>
      <w:r>
        <w:t xml:space="preserve">Note: Total electricity consumption consists of final electricity consumption from end-use sectors (hereby</w:t>
      </w:r>
      <w:r>
        <w:t xml:space="preserve"> </w:t>
      </w:r>
      <w:r>
        <w:t xml:space="preserve">shown), own consumption of the energy sector, RFNBOs production and transmission/distribution losses.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As shown in Figure 18, electrification of the economy drives final electricity demand in</w:t>
      </w:r>
      <w:r>
        <w:t xml:space="preserve"> </w:t>
      </w:r>
      <w:r>
        <w:t xml:space="preserve">the transport, services &amp; agriculture, industry and residential sectors. Total final demand</w:t>
      </w:r>
      <w:r>
        <w:t xml:space="preserve"> </w:t>
      </w:r>
      <w:r>
        <w:t xml:space="preserve">increases from 2 485 TWh in 2021 to 2 810 TWh in 2030 and to 3 255-3 340 TWh in S1-</w:t>
      </w:r>
      <w:r>
        <w:t xml:space="preserve"> </w:t>
      </w:r>
      <w:r>
        <w:t xml:space="preserve">S2-S3 in 2040. Measures following LIFE are projected to reduce electricity demand by</w:t>
      </w:r>
      <w:r>
        <w:t xml:space="preserve"> </w:t>
      </w:r>
      <w:r>
        <w:t xml:space="preserve">110 TWh.</w:t>
      </w:r>
      <w:r>
        <w:t xml:space="preserve"> </w:t>
      </w:r>
      <w:r>
        <w:t xml:space="preserve">In the residential sector, overall electricity demand will increase by 23-25% between</w:t>
      </w:r>
      <w:r>
        <w:t xml:space="preserve"> </w:t>
      </w:r>
      <w:r>
        <w:t xml:space="preserve">2021 and 2040 due to an increased uptake of heat pumps replacing oil and gas-based</w:t>
      </w:r>
      <w:r>
        <w:t xml:space="preserve"> </w:t>
      </w:r>
      <w:r>
        <w:t xml:space="preserve">heating systems (see Section 1.3.3). Due to the high efficiency of heat pumps, the overall</w:t>
      </w:r>
      <w:r>
        <w:t xml:space="preserve"> </w:t>
      </w:r>
      <w:r>
        <w:t xml:space="preserve">increase of electricity demand is lower than the energy savings resulting from phasing</w:t>
      </w:r>
      <w:r>
        <w:t xml:space="preserve"> </w:t>
      </w:r>
      <w:r>
        <w:t xml:space="preserve">out gas and oil boilers. There are only minor differences between the scenarios, with S1</w:t>
      </w:r>
      <w:r>
        <w:t xml:space="preserve"> </w:t>
      </w:r>
      <w:r>
        <w:t xml:space="preserve">reaching 920 TWh and S3 reaching 935 TWh.</w:t>
      </w:r>
      <w:r>
        <w:t xml:space="preserve"> </w:t>
      </w:r>
      <w:r>
        <w:t xml:space="preserve">Industry, agriculture and services show a similar picture. In those sectors, the share of</w:t>
      </w:r>
      <w:r>
        <w:t xml:space="preserve"> </w:t>
      </w:r>
      <w:r>
        <w:t xml:space="preserve">electricity in the final energy demand is rising sharply due to the slight increase in</w:t>
      </w:r>
      <w:r>
        <w:t xml:space="preserve"> </w:t>
      </w:r>
      <w:r>
        <w:t xml:space="preserve">electricity demand and the overall drop of final energy consumption. As a result of the</w:t>
      </w:r>
      <w:r>
        <w:t xml:space="preserve"> </w:t>
      </w:r>
      <w:r>
        <w:t xml:space="preserve">interplay of electrification and energy efficiency, electricity demand in these sectors</w:t>
      </w:r>
      <w:r>
        <w:t xml:space="preserve"> </w:t>
      </w:r>
      <w:r>
        <w:t xml:space="preserve">increases by 12% (industry) and 15% (services and agriculture) between 2021 and 2040</w:t>
      </w:r>
      <w:r>
        <w:t xml:space="preserve"> </w:t>
      </w:r>
      <w:r>
        <w:t xml:space="preserve">(S2). See sections 1.3.3 and 1.3.4 for more details.</w:t>
      </w:r>
      <w:r>
        <w:t xml:space="preserve"> </w:t>
      </w:r>
      <w:r>
        <w:t xml:space="preserve">The transport sector undergoes the strongest growth in final electricity consumption</w:t>
      </w:r>
      <w:r>
        <w:t xml:space="preserve"> </w:t>
      </w:r>
      <w:r>
        <w:t xml:space="preserve">between 2021 and 2040, attributed to the large development of electric transport (see</w:t>
      </w:r>
      <w:r>
        <w:t xml:space="preserve"> </w:t>
      </w:r>
      <w:r>
        <w:t xml:space="preserve">Section 1.5.3). Overall, final electricity demand in the transport sector will increase over</w:t>
      </w:r>
      <w:r>
        <w:t xml:space="preserve"> </w:t>
      </w:r>
      <w:r>
        <w:t xml:space="preserve">the period 2021 to 2040 by a factor of 8 with no major differences between scenarios. In</w:t>
      </w:r>
      <w:r>
        <w:t xml:space="preserve"> </w:t>
      </w:r>
      <w:r>
        <w:t xml:space="preserve">absolute terms, final electricity demand increases from 60 TWh in 2021 to 180 TWh in</w:t>
      </w:r>
      <w:r>
        <w:t xml:space="preserve"> </w:t>
      </w:r>
      <w:r>
        <w:t xml:space="preserve">2030 and 505-510 TWh in 2040, respectively. The LIFE measures would reduce final</w:t>
      </w:r>
      <w:r>
        <w:t xml:space="preserve"> </w:t>
      </w:r>
      <w:r>
        <w:t xml:space="preserve">electricity consumption in the industry by 35 TWh.</w:t>
      </w:r>
      <w:r>
        <w:t xml:space="preserve"> </w:t>
      </w:r>
      <w:r>
        <w:t xml:space="preserve">Between 2040 and 2050, total final electricity demand increases again by 13% to 3 760</w:t>
      </w:r>
      <w:r>
        <w:t xml:space="preserve"> </w:t>
      </w:r>
      <w:r>
        <w:t xml:space="preserve">TWh. Transport (+26%) and industry (+22%) increase further sharply while the</w:t>
      </w:r>
      <w:r>
        <w:t xml:space="preserve"> </w:t>
      </w:r>
      <w:r>
        <w:t xml:space="preserve">residential, services and agriculture sectors face a slowdown (both + 2%).</w:t>
      </w:r>
      <w:r>
        <w:t xml:space="preserve"> </w:t>
      </w:r>
      <w:r>
        <w:t xml:space="preserve">-</w:t>
      </w:r>
      <w:r>
        <w:t xml:space="preserve"> </w:t>
      </w:r>
      <w:r>
        <w:t xml:space="preserve">500</w:t>
      </w:r>
      <w:r>
        <w:t xml:space="preserve"> </w:t>
      </w:r>
      <w:r>
        <w:t xml:space="preserve">1.000</w:t>
      </w:r>
      <w:r>
        <w:t xml:space="preserve"> </w:t>
      </w:r>
      <w:r>
        <w:t xml:space="preserve">1.500</w:t>
      </w:r>
      <w:r>
        <w:t xml:space="preserve"> </w:t>
      </w:r>
      <w:r>
        <w:t xml:space="preserve">2.000</w:t>
      </w:r>
      <w:r>
        <w:t xml:space="preserve"> </w:t>
      </w:r>
      <w:r>
        <w:t xml:space="preserve">2.500</w:t>
      </w:r>
      <w:r>
        <w:t xml:space="preserve"> </w:t>
      </w:r>
      <w:r>
        <w:t xml:space="preserve">3.000</w:t>
      </w:r>
      <w:r>
        <w:t xml:space="preserve"> </w:t>
      </w:r>
      <w:r>
        <w:t xml:space="preserve">3.500</w:t>
      </w:r>
      <w:r>
        <w:t xml:space="preserve"> </w:t>
      </w:r>
      <w:r>
        <w:t xml:space="preserve">4.000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201520212030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TWh</w:t>
      </w:r>
      <w:r>
        <w:t xml:space="preserve"> </w:t>
      </w:r>
      <w:r>
        <w:t xml:space="preserve">Transport</w:t>
      </w:r>
      <w:r>
        <w:t xml:space="preserve"> </w:t>
      </w:r>
      <w:r>
        <w:t xml:space="preserve">Residential</w:t>
      </w:r>
      <w:r>
        <w:t xml:space="preserve"> </w:t>
      </w:r>
      <w:r>
        <w:t xml:space="preserve">Services and agriculture</w:t>
      </w:r>
      <w:r>
        <w:t xml:space="preserve"> </w:t>
      </w:r>
      <w:r>
        <w:t xml:space="preserve">Industry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Figure 19: Electricity generation by energy carrier,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As a result of increased electricity demand, electricity generation increases from 2 905</w:t>
      </w:r>
      <w:r>
        <w:t xml:space="preserve"> </w:t>
      </w:r>
      <w:r>
        <w:t xml:space="preserve">TWh in 2021 to 3 360 TWh in 2030. The increase continues even more strongly until</w:t>
      </w:r>
      <w:r>
        <w:t xml:space="preserve"> </w:t>
      </w:r>
      <w:r>
        <w:t xml:space="preserve">2040 resulting in total electricity generation to reach 4 565-5 210 TWh in S1-S2-S3 in</w:t>
      </w:r>
      <w:r>
        <w:t xml:space="preserve"> </w:t>
      </w:r>
      <w:r>
        <w:t xml:space="preserve">2040 (+57 to 80% since 2021) (see Figure 19). The measures from LIFE are projected to</w:t>
      </w:r>
      <w:r>
        <w:t xml:space="preserve"> </w:t>
      </w:r>
      <w:r>
        <w:t xml:space="preserve">reduce need for electricity generation by 390 TWh. The difference in electricity</w:t>
      </w:r>
      <w:r>
        <w:t xml:space="preserve"> </w:t>
      </w:r>
      <w:r>
        <w:t xml:space="preserve">generation between scenarios is only to a small extent due to the final demand for</w:t>
      </w:r>
      <w:r>
        <w:t xml:space="preserve"> </w:t>
      </w:r>
      <w:r>
        <w:t xml:space="preserve">electricity. Rather, it is driven by differences in the electricity required for the production</w:t>
      </w:r>
      <w:r>
        <w:t xml:space="preserve"> </w:t>
      </w:r>
      <w:r>
        <w:t xml:space="preserve">of RFNBOs from 2030 onwards (which does not fall under final electricity demand). In</w:t>
      </w:r>
      <w:r>
        <w:t xml:space="preserve"> </w:t>
      </w:r>
      <w:r>
        <w:t xml:space="preserve">2040, electrolysers, RFNBO synthesis processes and DAC combined consumes</w:t>
      </w:r>
      <w:r>
        <w:t xml:space="preserve"> </w:t>
      </w:r>
      <w:r>
        <w:t xml:space="preserve">approximately 490 TWh more electricity in the S3 scenario than in S1 (a 51% increase).</w:t>
      </w:r>
      <w:r>
        <w:t xml:space="preserve"> </w:t>
      </w:r>
      <w:r>
        <w:t xml:space="preserve">The S2 scenarios consumes approximately 225 TWh more than S1 for the same purposes</w:t>
      </w:r>
      <w:r>
        <w:t xml:space="preserve"> </w:t>
      </w:r>
      <w:r>
        <w:t xml:space="preserve">(23% increase).</w:t>
      </w:r>
      <w:r>
        <w:t xml:space="preserve"> </w:t>
      </w:r>
      <w:r>
        <w:t xml:space="preserve">The share of fossil-fired generation is projected to steadily decrease from 36% in 2021 to</w:t>
      </w:r>
      <w:r>
        <w:t xml:space="preserve"> </w:t>
      </w:r>
      <w:r>
        <w:t xml:space="preserve">12% in 2030 and further down to 3% – 8% in S1-S2-S3 in 2040. The residual fossil-fired</w:t>
      </w:r>
      <w:r>
        <w:t xml:space="preserve"> </w:t>
      </w:r>
      <w:r>
        <w:t xml:space="preserve">generation in the last decade before 2050 is projected to consist almost solely of gas-fired</w:t>
      </w:r>
      <w:r>
        <w:t xml:space="preserve"> </w:t>
      </w:r>
      <w:r>
        <w:t xml:space="preserve">power plants, with and without CCS. The plants equipped with CCS will generate the</w:t>
      </w:r>
      <w:r>
        <w:t xml:space="preserve"> </w:t>
      </w:r>
      <w:r>
        <w:t xml:space="preserve">majority of the gas-fired electricity, while the ones without CCS equipment will only be</w:t>
      </w:r>
      <w:r>
        <w:t xml:space="preserve"> </w:t>
      </w:r>
      <w:r>
        <w:t xml:space="preserve">used as peakers. Renewables in the electricity system generated around 40% of total</w:t>
      </w:r>
      <w:r>
        <w:t xml:space="preserve"> </w:t>
      </w:r>
      <w:r>
        <w:t xml:space="preserve">electricity supply in 2021 and are expected to cover 81% – 87% by 2040. Nuclear power</w:t>
      </w:r>
      <w:r>
        <w:t xml:space="preserve"> </w:t>
      </w:r>
      <w:r>
        <w:t xml:space="preserve">generation decreases over the decades from 730 TWh in 2021 to around 495 TWh in</w:t>
      </w:r>
      <w:r>
        <w:t xml:space="preserve"> </w:t>
      </w:r>
      <w:r>
        <w:t xml:space="preserve">2040 (-30%). Due to the high increase in overall electricity supply, the share of nuclear</w:t>
      </w:r>
      <w:r>
        <w:t xml:space="preserve"> </w:t>
      </w:r>
      <w:r>
        <w:t xml:space="preserve">generation is projected to decrease from 25% in 2021 to 10 – 11% in 2040. The results in</w:t>
      </w:r>
      <w:r>
        <w:t xml:space="preserve"> </w:t>
      </w:r>
      <w:r>
        <w:t xml:space="preserve">nuclear generation are based on nuclear capacity assumptions in line with the Member</w:t>
      </w:r>
      <w:r>
        <w:t xml:space="preserve"> </w:t>
      </w:r>
      <w:r>
        <w:t xml:space="preserve">State policies as described in the 2019 National Energy and Climate Plans (57), cf. sub-</w:t>
      </w:r>
      <w:r>
        <w:t xml:space="preserve"> </w:t>
      </w:r>
      <w:r>
        <w:t xml:space="preserve">section 2.5.2.2.</w:t>
      </w:r>
      <w:r>
        <w:t xml:space="preserve"> </w:t>
      </w:r>
      <w:r>
        <w:t xml:space="preserve">The three scenarios follow the same trend in the electricity mix with minor deviations.</w:t>
      </w:r>
      <w:r>
        <w:t xml:space="preserve"> </w:t>
      </w:r>
      <w:r>
        <w:t xml:space="preserve">The higher production of RFNBOs in S3 requires more renewable electricity generation</w:t>
      </w:r>
    </w:p>
    <w:p>
      <w:pPr>
        <w:pStyle w:val="Compact"/>
        <w:numPr>
          <w:ilvl w:val="0"/>
          <w:numId w:val="1022"/>
        </w:numPr>
      </w:pPr>
      <w:r>
        <w:t xml:space="preserve">Future EU policies and analysis will take the revised policies into account, as reflected in the updated</w:t>
      </w:r>
      <w:r>
        <w:t xml:space="preserve"> </w:t>
      </w:r>
      <w:r>
        <w:t xml:space="preserve">National Energy and Climate Plans which are currently being drafted.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5000</w:t>
      </w:r>
      <w:r>
        <w:t xml:space="preserve"> </w:t>
      </w:r>
      <w:r>
        <w:t xml:space="preserve">6000</w:t>
      </w:r>
      <w:r>
        <w:t xml:space="preserve"> </w:t>
      </w:r>
      <w:r>
        <w:t xml:space="preserve">7000</w:t>
      </w:r>
      <w:r>
        <w:t xml:space="preserve"> </w:t>
      </w:r>
      <w:r>
        <w:t xml:space="preserve">8000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2021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TWh</w:t>
      </w:r>
      <w:r>
        <w:t xml:space="preserve"> </w:t>
      </w:r>
      <w:r>
        <w:t xml:space="preserve">Renewables</w:t>
      </w:r>
      <w:r>
        <w:t xml:space="preserve"> </w:t>
      </w:r>
      <w:r>
        <w:t xml:space="preserve">Nuclear</w:t>
      </w:r>
      <w:r>
        <w:t xml:space="preserve"> </w:t>
      </w:r>
      <w:r>
        <w:t xml:space="preserve">Fossil fuels</w:t>
      </w:r>
    </w:p>
    <w:p>
      <w:pPr>
        <w:pStyle w:val="FirstParagraph"/>
      </w:pPr>
      <w:r>
        <w:t xml:space="preserve">33</w:t>
      </w:r>
    </w:p>
    <w:p>
      <w:pPr>
        <w:pStyle w:val="BodyText"/>
      </w:pPr>
      <w:r>
        <w:t xml:space="preserve">(around 850 TWh more in 2040 compared to S1). At the same time, S1 shows a higher</w:t>
      </w:r>
      <w:r>
        <w:t xml:space="preserve"> </w:t>
      </w:r>
      <w:r>
        <w:t xml:space="preserve">use of fossil-fired generation by 2040 (around +200 TWh in comparison to S3) and result</w:t>
      </w:r>
      <w:r>
        <w:t xml:space="preserve"> </w:t>
      </w:r>
      <w:r>
        <w:t xml:space="preserve">in overall lower emission reductions.</w:t>
      </w:r>
      <w:r>
        <w:br/>
      </w:r>
      <w:r>
        <w:t xml:space="preserve">The electricity system will increasingly face the need to integrate variable wind and solar</w:t>
      </w:r>
      <w:r>
        <w:t xml:space="preserve"> </w:t>
      </w:r>
      <w:r>
        <w:t xml:space="preserve">generation. Renewable generation will increase from 1 125 TWh in 2021 to 3 700 to</w:t>
      </w:r>
      <w:r>
        <w:t xml:space="preserve"> </w:t>
      </w:r>
      <w:r>
        <w:t xml:space="preserve">4 540 TWh in 2040 in the S1-S2-S3 (see Figure 20). As the total demand for electricity</w:t>
      </w:r>
      <w:r>
        <w:t xml:space="preserve"> </w:t>
      </w:r>
      <w:r>
        <w:t xml:space="preserve">generation increases significantly but less than renewable generation, the share of</w:t>
      </w:r>
      <w:r>
        <w:t xml:space="preserve"> </w:t>
      </w:r>
      <w:r>
        <w:t xml:space="preserve">renewables in the electricity mix increases continuously, from 39% in 2021 to 85% in</w:t>
      </w:r>
      <w:r>
        <w:t xml:space="preserve"> </w:t>
      </w:r>
      <w:r>
        <w:t xml:space="preserve">2040 and almost 90% in 2050.</w:t>
      </w:r>
      <w:r>
        <w:br/>
      </w:r>
      <w:r>
        <w:t xml:space="preserve">Figure 20: Electricity generation from renewables,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Due to the relatively low full load hours of wind and solar PV generation, total installed</w:t>
      </w:r>
      <w:r>
        <w:t xml:space="preserve"> </w:t>
      </w:r>
      <w:r>
        <w:t xml:space="preserve">capacity is projected to grow more than two times faster than the amount of electricity</w:t>
      </w:r>
      <w:r>
        <w:t xml:space="preserve"> </w:t>
      </w:r>
      <w:r>
        <w:t xml:space="preserve">generated between 2015 and 2040. The net capacity increases from 870 GW in 2015 to</w:t>
      </w:r>
      <w:r>
        <w:t xml:space="preserve"> </w:t>
      </w:r>
      <w:r>
        <w:t xml:space="preserve">2 180-2 525 GW in S1-S2-S3 in 2040, led by an increase of renewable capacity (see</w:t>
      </w:r>
      <w:r>
        <w:t xml:space="preserve"> </w:t>
      </w:r>
      <w:r>
        <w:t xml:space="preserve">Figure 21). The implementation of LIFE measures reduces the need for installed power</w:t>
      </w:r>
      <w:r>
        <w:t xml:space="preserve"> </w:t>
      </w:r>
      <w:r>
        <w:t xml:space="preserve">capacity by around 195 GW in 2040.</w:t>
      </w:r>
      <w:r>
        <w:t xml:space="preserve"> </w:t>
      </w:r>
      <w:r>
        <w:t xml:space="preserve">During the same time, the installed fossil-fuel capacity will decrease from 385 GW in</w:t>
      </w:r>
      <w:r>
        <w:t xml:space="preserve"> </w:t>
      </w:r>
      <w:r>
        <w:t xml:space="preserve">2015 to only 155-170 GW in 2040. While today the share of gas-fired power capacity is</w:t>
      </w:r>
      <w:r>
        <w:t xml:space="preserve"> </w:t>
      </w:r>
      <w:r>
        <w:t xml:space="preserve">about half of total fossil-fired capacity, the share is projected to increase to around 90%</w:t>
      </w:r>
      <w:r>
        <w:t xml:space="preserve"> </w:t>
      </w:r>
      <w:r>
        <w:t xml:space="preserve">in 2040 due to the overall decrease of fossil-based generation. A small amount of coal-</w:t>
      </w:r>
      <w:r>
        <w:t xml:space="preserve"> </w:t>
      </w:r>
      <w:r>
        <w:t xml:space="preserve">and oil-fired capacity remains during this period.</w:t>
      </w:r>
      <w:r>
        <w:t xml:space="preserve"> </w:t>
      </w:r>
      <w:r>
        <w:t xml:space="preserve">-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2015 2021 2030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TWh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Figure 21: Net installed capacity by energy carrier,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By 2030, the EU’s nuclear power capacity is projected to decline from around 110 GW</w:t>
      </w:r>
      <w:r>
        <w:t xml:space="preserve"> </w:t>
      </w:r>
      <w:r>
        <w:t xml:space="preserve">in 2015 to 95 GW in 2030 and 70 GW in 2040, under the current modelling assumptions,</w:t>
      </w:r>
      <w:r>
        <w:t xml:space="preserve"> </w:t>
      </w:r>
      <w:r>
        <w:t xml:space="preserve">cf. sub-section 2.5.2.2. The decline in capacity can be attributed to the policy decisions of</w:t>
      </w:r>
      <w:r>
        <w:t xml:space="preserve"> </w:t>
      </w:r>
      <w:r>
        <w:t xml:space="preserve">the respective EU Member States (58).</w:t>
      </w:r>
      <w:r>
        <w:t xml:space="preserve"> </w:t>
      </w:r>
      <w:r>
        <w:t xml:space="preserve">Only a limited use of CCS for power generation is projected in the considered scenarios.</w:t>
      </w:r>
      <w:r>
        <w:t xml:space="preserve"> </w:t>
      </w:r>
      <w:r>
        <w:t xml:space="preserve">In 2030, there is only a small amount of CCS-equipped installed capacity which</w:t>
      </w:r>
      <w:r>
        <w:t xml:space="preserve"> </w:t>
      </w:r>
      <w:r>
        <w:t xml:space="preserve">increases to 10-20 GW in 2040 in S1-S2-S3 and 30 GW in 2050 in the S2 scenario.</w:t>
      </w:r>
      <w:r>
        <w:t xml:space="preserve"> </w:t>
      </w:r>
      <w:r>
        <w:t xml:space="preserve">The difference in the scenarios for total installed capacity results from the higher</w:t>
      </w:r>
      <w:r>
        <w:t xml:space="preserve"> </w:t>
      </w:r>
      <w:r>
        <w:t xml:space="preserve">electricity consumption in the S3 scenario. The difference to S1 in total installed capacity</w:t>
      </w:r>
      <w:r>
        <w:t xml:space="preserve"> </w:t>
      </w:r>
      <w:r>
        <w:t xml:space="preserve">is 345 GW, which is covered by higher renewable capacity deployment.</w:t>
      </w:r>
      <w:r>
        <w:t xml:space="preserve"> </w:t>
      </w:r>
      <w:r>
        <w:t xml:space="preserve">Net installed renewable capacity increases dramatically by a factor of 4 to 5 between</w:t>
      </w:r>
      <w:r>
        <w:t xml:space="preserve"> </w:t>
      </w:r>
      <w:r>
        <w:t xml:space="preserve">2020 and 2040 (see Figure 22).</w:t>
      </w:r>
    </w:p>
    <w:p>
      <w:pPr>
        <w:pStyle w:val="Compact"/>
        <w:numPr>
          <w:ilvl w:val="0"/>
          <w:numId w:val="1023"/>
        </w:numPr>
      </w:pPr>
      <w:r>
        <w:t xml:space="preserve">The installed nuclear capacity is mostly exogenous based on the NECPs submitted in 2019 and</w:t>
      </w:r>
      <w:r>
        <w:t xml:space="preserve"> </w:t>
      </w:r>
      <w:r>
        <w:t xml:space="preserve">modifications based on discussions with Member States, which however reflect the status only until</w:t>
      </w:r>
      <w:r>
        <w:t xml:space="preserve"> </w:t>
      </w:r>
      <w:r>
        <w:t xml:space="preserve">March 2023. In June 2023, France has adopted a law which removes the objective of reducing the</w:t>
      </w:r>
      <w:r>
        <w:t xml:space="preserve"> </w:t>
      </w:r>
      <w:r>
        <w:t xml:space="preserve">share of nuclear power in the electricity mix. Additional 3.3 GWe capacity was officially announced</w:t>
      </w:r>
      <w:r>
        <w:t xml:space="preserve"> </w:t>
      </w:r>
      <w:r>
        <w:t xml:space="preserve">for deployment by mid-2030s. . See the box in 6.2.1 of the main Impact Assessment and the</w:t>
      </w:r>
      <w:r>
        <w:t xml:space="preserve"> </w:t>
      </w:r>
      <w:r>
        <w:t xml:space="preserve">assumptions in Annex 6. Forthcoming analysis will take the revised policies into account, as reflected</w:t>
      </w:r>
      <w:r>
        <w:t xml:space="preserve"> </w:t>
      </w:r>
      <w:r>
        <w:t xml:space="preserve">in the updated National Energy and Climate Plans which are currently being drafted. See Annex 8 for</w:t>
      </w:r>
      <w:r>
        <w:t xml:space="preserve"> </w:t>
      </w:r>
      <w:r>
        <w:t xml:space="preserve">more details.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2015 2020 2030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GW</w:t>
      </w:r>
      <w:r>
        <w:t xml:space="preserve"> </w:t>
      </w:r>
      <w:r>
        <w:t xml:space="preserve">Renewables</w:t>
      </w:r>
      <w:r>
        <w:t xml:space="preserve"> </w:t>
      </w:r>
      <w:r>
        <w:t xml:space="preserve">Nuclear</w:t>
      </w:r>
      <w:r>
        <w:t xml:space="preserve"> </w:t>
      </w:r>
      <w:r>
        <w:t xml:space="preserve">Fossil fuels</w:t>
      </w:r>
    </w:p>
    <w:p>
      <w:pPr>
        <w:pStyle w:val="FirstParagraph"/>
      </w:pPr>
      <w:r>
        <w:t xml:space="preserve">35</w:t>
      </w:r>
    </w:p>
    <w:p>
      <w:pPr>
        <w:pStyle w:val="BodyText"/>
      </w:pPr>
      <w:r>
        <w:t xml:space="preserve">Figure 22: Net installed renewable capacity,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The increasingly high share of variable renewable electricity generation will increase</w:t>
      </w:r>
      <w:r>
        <w:t xml:space="preserve"> </w:t>
      </w:r>
      <w:r>
        <w:t xml:space="preserve">flexibility requirements. These flexibility needs will increasingly be addressed by new</w:t>
      </w:r>
      <w:r>
        <w:t xml:space="preserve"> </w:t>
      </w:r>
      <w:r>
        <w:t xml:space="preserve">flexibility technologies and storage solutions. Regarding the latter, pumped hydro storage</w:t>
      </w:r>
      <w:r>
        <w:t xml:space="preserve"> </w:t>
      </w:r>
      <w:r>
        <w:t xml:space="preserve">and increasingly batteries will allow to store electricity when demand does not match</w:t>
      </w:r>
      <w:r>
        <w:t xml:space="preserve"> </w:t>
      </w:r>
      <w:r>
        <w:t xml:space="preserve">supply. Albeit not the main driver, electrolysers may also provide some form of storage</w:t>
      </w:r>
      <w:r>
        <w:t xml:space="preserve"> </w:t>
      </w:r>
      <w:r>
        <w:t xml:space="preserve">in the form of power-to-power. Total capacity from technologies that may provide such</w:t>
      </w:r>
      <w:r>
        <w:t xml:space="preserve"> </w:t>
      </w:r>
      <w:r>
        <w:t xml:space="preserve">storage solutions is multiplied by 10 (from 50 to 350-530 GW) between 2020 and 2040</w:t>
      </w:r>
      <w:r>
        <w:t xml:space="preserve"> </w:t>
      </w:r>
      <w:r>
        <w:t xml:space="preserve">in the S1-S2-S3 (see Figure 23). Pumped-hydro storage capacity is projected to grow</w:t>
      </w:r>
      <w:r>
        <w:t xml:space="preserve"> </w:t>
      </w:r>
      <w:r>
        <w:t xml:space="preserve">from 50 GW in 2020 to 75 GW in 2040. Deployment of battery storage is projected to</w:t>
      </w:r>
      <w:r>
        <w:t xml:space="preserve"> </w:t>
      </w:r>
      <w:r>
        <w:t xml:space="preserve">accelerate after 2030, from 100 GW to 135-200 GW in S1-S2-S3 in 2040 enabling</w:t>
      </w:r>
      <w:r>
        <w:t xml:space="preserve"> </w:t>
      </w:r>
      <w:r>
        <w:t xml:space="preserve">mostly the daily and weekly storage of electricity. Electrolyser capacity increases from</w:t>
      </w:r>
      <w:r>
        <w:t xml:space="preserve"> </w:t>
      </w:r>
      <w:r>
        <w:t xml:space="preserve">30 GW in 2030 to 185-300 GW in 2040. The measures accompanying LIFE reduce the</w:t>
      </w:r>
      <w:r>
        <w:t xml:space="preserve"> </w:t>
      </w:r>
      <w:r>
        <w:t xml:space="preserve">need for flexibility, in particular of electrolyser capacity. Comparing the 2040 scenarios,</w:t>
      </w:r>
      <w:r>
        <w:t xml:space="preserve"> </w:t>
      </w:r>
      <w:r>
        <w:t xml:space="preserve">the increased deployment of renewables in S3 results in an additional 180 GW of</w:t>
      </w:r>
      <w:r>
        <w:t xml:space="preserve"> </w:t>
      </w:r>
      <w:r>
        <w:t xml:space="preserve">installed storage technologies in comparison to S1. Between 2040 and 2050, batteries and</w:t>
      </w:r>
      <w:r>
        <w:t xml:space="preserve"> </w:t>
      </w:r>
      <w:r>
        <w:t xml:space="preserve">pumped storage are projected to remain relatively stable, while electrolysers show</w:t>
      </w:r>
      <w:r>
        <w:t xml:space="preserve"> </w:t>
      </w:r>
      <w:r>
        <w:t xml:space="preserve">additional growth (from 300 to 535 GW).</w:t>
      </w:r>
      <w:r>
        <w:t xml:space="preserve"> </w:t>
      </w:r>
      <w:r>
        <w:t xml:space="preserve">Figure 23: Net installed storage and new fuels production capacity, 2015-2050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2015 2020 2030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GW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2015 2020 2030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GW</w:t>
      </w:r>
      <w:r>
        <w:t xml:space="preserve"> </w:t>
      </w:r>
      <w:r>
        <w:t xml:space="preserve">Power-to-liquid</w:t>
      </w:r>
      <w:r>
        <w:t xml:space="preserve"> </w:t>
      </w:r>
      <w:r>
        <w:t xml:space="preserve">Power-to-gas</w:t>
      </w:r>
      <w:r>
        <w:t xml:space="preserve"> </w:t>
      </w:r>
      <w:r>
        <w:t xml:space="preserve">Electrolyzers</w:t>
      </w:r>
      <w:r>
        <w:t xml:space="preserve"> </w:t>
      </w:r>
      <w:r>
        <w:t xml:space="preserve">Pumped-hydro storage</w:t>
      </w:r>
      <w:r>
        <w:t xml:space="preserve"> </w:t>
      </w:r>
      <w:r>
        <w:t xml:space="preserve">Batteries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Power-to-X technologies provide additional flexibility in the future by adjusting</w:t>
      </w:r>
      <w:r>
        <w:t xml:space="preserve"> </w:t>
      </w:r>
      <w:r>
        <w:t xml:space="preserve">production levels to match the pattern of intermittent electricity generation. Installed</w:t>
      </w:r>
      <w:r>
        <w:t xml:space="preserve"> </w:t>
      </w:r>
      <w:r>
        <w:t xml:space="preserve">power-to-gas and power-to-liquid capacities remain relatively low amounting to 5-20</w:t>
      </w:r>
      <w:r>
        <w:t xml:space="preserve"> </w:t>
      </w:r>
      <w:r>
        <w:t xml:space="preserve">GW and 20-35 GW, respectively, by 2040. Power-to-X capacity further increases from</w:t>
      </w:r>
      <w:r>
        <w:t xml:space="preserve"> </w:t>
      </w:r>
      <w:r>
        <w:t xml:space="preserve">55 GW in 2040 to 85 GW in 2050.</w:t>
      </w:r>
      <w:r>
        <w:br/>
      </w:r>
      <w:r>
        <w:t xml:space="preserve">Electricity is stored in the form of direct electricity storage (via pumped-hydro storage or</w:t>
      </w:r>
      <w:r>
        <w:t xml:space="preserve"> </w:t>
      </w:r>
      <w:r>
        <w:t xml:space="preserve">batteries) and chemical storage (via hydrogen or clean gas). Figure 24 shows the stored</w:t>
      </w:r>
      <w:r>
        <w:t xml:space="preserve"> </w:t>
      </w:r>
      <w:r>
        <w:t xml:space="preserve">energy across scenarios. Storage needs are currently met by pumped hydro storage and</w:t>
      </w:r>
      <w:r>
        <w:t xml:space="preserve"> </w:t>
      </w:r>
      <w:r>
        <w:t xml:space="preserve">increasingly batteries. The electricity stored in pumped hydro is projected to grow from</w:t>
      </w:r>
      <w:r>
        <w:t xml:space="preserve"> </w:t>
      </w:r>
      <w:r>
        <w:t xml:space="preserve">25 TWh in 2020 to 35-50 TWh in 2040. Batteries are expected to surpass pumped hydro</w:t>
      </w:r>
      <w:r>
        <w:t xml:space="preserve"> </w:t>
      </w:r>
      <w:r>
        <w:t xml:space="preserve">storage as the main source of providing storage between 2025 and 2030, reaching 160</w:t>
      </w:r>
      <w:r>
        <w:t xml:space="preserve"> </w:t>
      </w:r>
      <w:r>
        <w:t xml:space="preserve">TWh in 2030. By 2040, electricity stored in electrolysers (10-70 TWh) plays a minor role</w:t>
      </w:r>
      <w:r>
        <w:t xml:space="preserve"> </w:t>
      </w:r>
      <w:r>
        <w:t xml:space="preserve">in providing storage to the electricity system than that stored in batteries (200-240 TWh),</w:t>
      </w:r>
      <w:r>
        <w:t xml:space="preserve"> </w:t>
      </w:r>
      <w:r>
        <w:t xml:space="preserve">as the available electrolyser capacity to produce hydrogen (see Figure 23) will be used in</w:t>
      </w:r>
      <w:r>
        <w:t xml:space="preserve"> </w:t>
      </w:r>
      <w:r>
        <w:t xml:space="preserve">sectors other than the power sector. In 2040, methane storage, i.e., clean gas, will play a</w:t>
      </w:r>
      <w:r>
        <w:t xml:space="preserve"> </w:t>
      </w:r>
      <w:r>
        <w:t xml:space="preserve">minor role covering 4-15% of stored electricity in S1-S2-S3. The measures of LIFE are</w:t>
      </w:r>
      <w:r>
        <w:t xml:space="preserve"> </w:t>
      </w:r>
      <w:r>
        <w:t xml:space="preserve">projected to result in a slight reduction in stored electricity in 2040. The four scenarios</w:t>
      </w:r>
      <w:r>
        <w:t xml:space="preserve"> </w:t>
      </w:r>
      <w:r>
        <w:t xml:space="preserve">result in different compositions of stored electricity by technology. Methane storage</w:t>
      </w:r>
      <w:r>
        <w:t xml:space="preserve"> </w:t>
      </w:r>
      <w:r>
        <w:t xml:space="preserve">displays a crucial uptake in S3 where it reaches 50 TWh or 15% of all stored electricity</w:t>
      </w:r>
      <w:r>
        <w:t xml:space="preserve"> </w:t>
      </w:r>
      <w:r>
        <w:t xml:space="preserve">in 2040. The lower use of methane storage in S1 is compensated by hydrogen, which</w:t>
      </w:r>
      <w:r>
        <w:t xml:space="preserve"> </w:t>
      </w:r>
      <w:r>
        <w:t xml:space="preserve">covers 20% of the total stored electricity, in contrast to S3, where it only accounts for</w:t>
      </w:r>
      <w:r>
        <w:t xml:space="preserve"> </w:t>
      </w:r>
      <w:r>
        <w:t xml:space="preserve">4%. Until 2050, batteries remain the dominant electricity storage covering 63% of all</w:t>
      </w:r>
      <w:r>
        <w:t xml:space="preserve"> </w:t>
      </w:r>
      <w:r>
        <w:t xml:space="preserve">stored electricity. The amount of total stored electricity remains stable between 2040 and</w:t>
      </w:r>
      <w:r>
        <w:t xml:space="preserve"> </w:t>
      </w:r>
      <w:r>
        <w:t xml:space="preserve">2050 despite the uptake of renewables in the electricity mix.</w:t>
      </w:r>
      <w:r>
        <w:t xml:space="preserve"> </w:t>
      </w:r>
      <w:r>
        <w:t xml:space="preserve">Figure 24: Stored energy by technology,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The five models used for this impact assessment show a high degree of similarity in the</w:t>
      </w:r>
      <w:r>
        <w:t xml:space="preserve"> </w:t>
      </w:r>
      <w:r>
        <w:t xml:space="preserve">trajectory of the share of renewables in gross electricity generation, which increases quite</w:t>
      </w:r>
      <w:r>
        <w:t xml:space="preserve"> </w:t>
      </w:r>
      <w:r>
        <w:t xml:space="preserve">steeply over the course of this decade to fulfil the Renewable Energy Directive and then</w:t>
      </w:r>
      <w:r>
        <w:t xml:space="preserve"> </w:t>
      </w:r>
      <w:r>
        <w:t xml:space="preserve">at slower pace over the rest of the time horizon. Figure 25 shows the share of renewables</w:t>
      </w:r>
      <w:r>
        <w:t xml:space="preserve"> </w:t>
      </w:r>
      <w:r>
        <w:t xml:space="preserve">in gross electricity generation across models. Four out of five models reach a renewable</w:t>
      </w:r>
      <w:r>
        <w:t xml:space="preserve"> </w:t>
      </w:r>
      <w:r>
        <w:t xml:space="preserve">share in gross electricity generation around 85% in 2040, while one already achieves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2015 2020 2030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TWh</w:t>
      </w:r>
      <w:r>
        <w:t xml:space="preserve"> </w:t>
      </w:r>
      <w:r>
        <w:t xml:space="preserve">Pumped-hydro storage</w:t>
      </w:r>
      <w:r>
        <w:t xml:space="preserve"> </w:t>
      </w:r>
      <w:r>
        <w:t xml:space="preserve">Methane Storage</w:t>
      </w:r>
      <w:r>
        <w:t xml:space="preserve"> </w:t>
      </w:r>
      <w:r>
        <w:t xml:space="preserve">Hydrogen storage</w:t>
      </w:r>
      <w:r>
        <w:t xml:space="preserve"> </w:t>
      </w:r>
      <w:r>
        <w:t xml:space="preserve">Batteries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90% by then. Then, in 2050 all five models identify that the share of renewables reaches</w:t>
      </w:r>
      <w:r>
        <w:t xml:space="preserve"> </w:t>
      </w:r>
      <w:r>
        <w:t xml:space="preserve">around 90% (87-93%) to achieve the 2050 climate neutrality objective.</w:t>
      </w:r>
      <w:r>
        <w:t xml:space="preserve"> </w:t>
      </w:r>
      <w:r>
        <w:t xml:space="preserve">Figure 25: Share of renewables in gross electricity generation, 2019-2050</w:t>
      </w:r>
    </w:p>
    <w:p>
      <w:pPr>
        <w:pStyle w:val="BodyText"/>
      </w:pPr>
      <w:r>
        <w:t xml:space="preserve">Note: renewables include solar PV, wind, hydro, concentration solar power, biomass, geothermal, tidal and</w:t>
      </w:r>
      <w:r>
        <w:t xml:space="preserve"> </w:t>
      </w:r>
      <w:r>
        <w:t xml:space="preserve">marine.</w:t>
      </w:r>
      <w:r>
        <w:t xml:space="preserve"> </w:t>
      </w:r>
      <w:r>
        <w:t xml:space="preserve">Sources: AMADEUS-METIS, EU-TIMES, POLES, POTEnCIA, PRIMES.</w:t>
      </w:r>
      <w:r>
        <w:t xml:space="preserve"> </w:t>
      </w:r>
      <w:r>
        <w:t xml:space="preserve">It is worth noting that while the share of renewables is very similar across the five</w:t>
      </w:r>
      <w:r>
        <w:t xml:space="preserve"> </w:t>
      </w:r>
      <w:r>
        <w:t xml:space="preserve">models, the renewable electricity generation in absolute terms shows a large variation.</w:t>
      </w:r>
      <w:r>
        <w:t xml:space="preserve"> </w:t>
      </w:r>
      <w:r>
        <w:t xml:space="preserve">While all models feature an increase in renewable electricity generation over time, that is</w:t>
      </w:r>
      <w:r>
        <w:t xml:space="preserve"> </w:t>
      </w:r>
      <w:r>
        <w:t xml:space="preserve">more pronounced in PRIMES, POTEnCIA and EU-TIMES – which feature a very</w:t>
      </w:r>
      <w:r>
        <w:t xml:space="preserve"> </w:t>
      </w:r>
      <w:r>
        <w:t xml:space="preserve">similar trajectory – than in POLES and AMADEUS-METIS.</w:t>
      </w:r>
      <w:r>
        <w:t xml:space="preserve"> </w:t>
      </w:r>
      <w:r>
        <w:t xml:space="preserve">Projections for electricity generation across models show more variability as shown in</w:t>
      </w:r>
      <w:r>
        <w:t xml:space="preserve"> </w:t>
      </w:r>
      <w:r>
        <w:t xml:space="preserve">Figure 26. This happens because energy models have more degrees of freedom in</w:t>
      </w:r>
      <w:r>
        <w:t xml:space="preserve"> </w:t>
      </w:r>
      <w:r>
        <w:t xml:space="preserve">computing indicators such as electricity generation (compared to indicators such as GAE</w:t>
      </w:r>
      <w:r>
        <w:t xml:space="preserve"> </w:t>
      </w:r>
      <w:r>
        <w:t xml:space="preserve">that is constrained by assumptions on economic activity and by emissions reduction</w:t>
      </w:r>
      <w:r>
        <w:t xml:space="preserve"> </w:t>
      </w:r>
      <w:r>
        <w:t xml:space="preserve">targets). For example, in 2040 the POTEnCIA model projects 13% more electricity</w:t>
      </w:r>
      <w:r>
        <w:t xml:space="preserve"> </w:t>
      </w:r>
      <w:r>
        <w:t xml:space="preserve">generation than PRIMES, which is largely due to a higher number of heat pumps</w:t>
      </w:r>
      <w:r>
        <w:t xml:space="preserve"> </w:t>
      </w:r>
      <w:r>
        <w:t xml:space="preserve">deployed by the former model. On the other hand, PRIMES deploys significantly more</w:t>
      </w:r>
      <w:r>
        <w:t xml:space="preserve"> </w:t>
      </w:r>
      <w:r>
        <w:t xml:space="preserve">RFNBOs than POTEnCIA in 2040 and 2050, which results in higher electricity</w:t>
      </w:r>
      <w:r>
        <w:t xml:space="preserve"> </w:t>
      </w:r>
      <w:r>
        <w:t xml:space="preserve">generation in 2050 in PRIMES. POLES and AMADEUS-METIS show the lowest level</w:t>
      </w:r>
      <w:r>
        <w:t xml:space="preserve"> </w:t>
      </w:r>
      <w:r>
        <w:t xml:space="preserve">of electricity production throughout the time horizon and particularly in 2050. This is</w:t>
      </w:r>
      <w:r>
        <w:t xml:space="preserve"> </w:t>
      </w:r>
      <w:r>
        <w:t xml:space="preserve">mainly due to the fact that these models feature the smallest deployment of DAC and the</w:t>
      </w:r>
      <w:r>
        <w:t xml:space="preserve"> </w:t>
      </w:r>
      <w:r>
        <w:t xml:space="preserve">smallest production of e-fuels. Overall, these results highlight the fact that different</w:t>
      </w:r>
      <w:r>
        <w:t xml:space="preserve"> </w:t>
      </w:r>
      <w:r>
        <w:t xml:space="preserve">technology pathways are possible to reach the 2050 carbon neutrality target, which entail</w:t>
      </w:r>
      <w:r>
        <w:t xml:space="preserve"> </w:t>
      </w:r>
      <w:r>
        <w:t xml:space="preserve">different levels of gross electricity generation.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AMADEUS - METIS</w:t>
      </w:r>
      <w:r>
        <w:t xml:space="preserve"> </w:t>
      </w:r>
      <w:r>
        <w:t xml:space="preserve">EU-TIMES</w:t>
      </w:r>
      <w:r>
        <w:t xml:space="preserve"> </w:t>
      </w:r>
      <w:r>
        <w:t xml:space="preserve">POLES</w:t>
      </w:r>
      <w:r>
        <w:t xml:space="preserve"> </w:t>
      </w:r>
      <w:r>
        <w:t xml:space="preserve">POTEnCIA</w:t>
      </w:r>
      <w:r>
        <w:t xml:space="preserve"> </w:t>
      </w:r>
      <w:r>
        <w:t xml:space="preserve">PRIMES</w:t>
      </w:r>
      <w:r>
        <w:t xml:space="preserve"> </w:t>
      </w:r>
      <w:r>
        <w:t xml:space="preserve">Historic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Figure 26: Gross electricity generation in different energy models, 2019-2050</w:t>
      </w:r>
    </w:p>
    <w:p>
      <w:pPr>
        <w:pStyle w:val="BodyText"/>
      </w:pPr>
      <w:r>
        <w:t xml:space="preserve">Sources: AMADEUS-METIS, EU-TIMES, POLES, POTEnCIA, PRIMES.</w:t>
      </w:r>
      <w:r>
        <w:t xml:space="preserve"> </w:t>
      </w:r>
      <w:r>
        <w:t xml:space="preserve">Figure 27 compares annual deployment of wind and PV in different scenarios to the</w:t>
      </w:r>
      <w:r>
        <w:t xml:space="preserve"> </w:t>
      </w:r>
      <w:r>
        <w:t xml:space="preserve">average of recent years (2016-2050, blue line) and to the maximum value reached in</w:t>
      </w:r>
      <w:r>
        <w:t xml:space="preserve"> </w:t>
      </w:r>
      <w:r>
        <w:t xml:space="preserve">2022 (green line).</w:t>
      </w:r>
    </w:p>
    <w:p>
      <w:pPr>
        <w:pStyle w:val="BodyText"/>
      </w:pPr>
      <w:r>
        <w:t xml:space="preserve">Figure 27: Average annual deployment of wind and PV</w:t>
      </w:r>
    </w:p>
    <w:p>
      <w:pPr>
        <w:pStyle w:val="BodyText"/>
      </w:pPr>
      <w:r>
        <w:t xml:space="preserve">Note: Blue line: average 2016-2020; Green line: max historical deployment (occurred in 2022).</w:t>
      </w:r>
      <w:r>
        <w:t xml:space="preserve"> </w:t>
      </w:r>
      <w:r>
        <w:t xml:space="preserve">Source: PRIMES</w:t>
      </w:r>
      <w:r>
        <w:t xml:space="preserve"> </w:t>
      </w:r>
      <w:r>
        <w:t xml:space="preserve">The pace of the energy transition will increase in the 2031- 2040 decade, both compared</w:t>
      </w:r>
      <w:r>
        <w:t xml:space="preserve"> </w:t>
      </w:r>
      <w:r>
        <w:t xml:space="preserve">to recent year and (especially in s ome scenarios) to the projections for 2030. Some</w:t>
      </w:r>
      <w:r>
        <w:t xml:space="preserve"> </w:t>
      </w:r>
      <w:r>
        <w:t xml:space="preserve">patterns emerge across scenarios. The effort in the S1 scenario in the decade between</w:t>
      </w:r>
      <w:r>
        <w:t xml:space="preserve"> </w:t>
      </w:r>
      <w:r>
        <w:t xml:space="preserve">2030 and 2040 is comparable or slightly lower to that required to reach the 2030 target.</w:t>
      </w:r>
      <w:r>
        <w:t xml:space="preserve"> </w:t>
      </w:r>
      <w:r>
        <w:t xml:space="preserve">However, in the 2041 – 2050 decade, the effort in S1 is significantly higher than in the</w:t>
      </w:r>
      <w:r>
        <w:t xml:space="preserve"> </w:t>
      </w:r>
      <w:r>
        <w:t xml:space="preserve">other scenario (see Figure 28).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On the contrary the S3 scenario anticipates decarbonisation in the years 2031-2040 with</w:t>
      </w:r>
      <w:r>
        <w:t xml:space="preserve"> </w:t>
      </w:r>
      <w:r>
        <w:t xml:space="preserve">lower effort required up to 2050. The S2 scenario lies in between S1 and S3. These</w:t>
      </w:r>
      <w:r>
        <w:t xml:space="preserve"> </w:t>
      </w:r>
      <w:r>
        <w:t xml:space="preserve">trends are repeated for several other key indicators and is particularly noticeable when</w:t>
      </w:r>
      <w:r>
        <w:t xml:space="preserve"> </w:t>
      </w:r>
      <w:r>
        <w:t xml:space="preserve">considering the annual increase in renewable power generation required to electrify the</w:t>
      </w:r>
      <w:r>
        <w:t xml:space="preserve"> </w:t>
      </w:r>
      <w:r>
        <w:t xml:space="preserve">energy system (see Figure 28).</w:t>
      </w:r>
      <w:r>
        <w:t xml:space="preserve"> </w:t>
      </w:r>
      <w:r>
        <w:t xml:space="preserve">Figure 28: Average change in renewable power generation</w:t>
      </w:r>
    </w:p>
    <w:p>
      <w:pPr>
        <w:pStyle w:val="BodyText"/>
      </w:pPr>
      <w:r>
        <w:t xml:space="preserve">Source: PRIMES</w:t>
      </w:r>
      <w:r>
        <w:t xml:space="preserve"> </w:t>
      </w:r>
      <w:r>
        <w:t xml:space="preserve">The combined needs of carbon capture, RFNBOs and electrification of final demand will</w:t>
      </w:r>
      <w:r>
        <w:t xml:space="preserve"> </w:t>
      </w:r>
      <w:r>
        <w:t xml:space="preserve">require a very rapid increase in power generation. The rate of change up to 2040 is</w:t>
      </w:r>
      <w:r>
        <w:t xml:space="preserve"> </w:t>
      </w:r>
      <w:r>
        <w:t xml:space="preserve">extreme in the S3 scenario. On the contrary, S1 requires the largest increase by far up to</w:t>
      </w:r>
      <w:r>
        <w:t xml:space="preserve"> </w:t>
      </w:r>
      <w:r>
        <w:t xml:space="preserve">2050. In this respect the S2 scenario shows a safer trajectory with an effort better</w:t>
      </w:r>
      <w:r>
        <w:t xml:space="preserve"> </w:t>
      </w:r>
      <w:r>
        <w:t xml:space="preserve">balanced between the decades 2031 – 2040 and 2041 – 2050. Notably, LIFE allows to</w:t>
      </w:r>
      <w:r>
        <w:t xml:space="preserve"> </w:t>
      </w:r>
      <w:r>
        <w:t xml:space="preserve">contain the needs for decarbonised power compared to the other scenarios.</w:t>
      </w:r>
      <w:r>
        <w:t xml:space="preserve"> </w:t>
      </w:r>
      <w:r>
        <w:t xml:space="preserve">1.2.3. Gaseous fuels</w:t>
      </w:r>
      <w:r>
        <w:t xml:space="preserve"> </w:t>
      </w:r>
      <w:r>
        <w:t xml:space="preserve">The RepowerEU Plan aims at rapidly reducing Europe’s dependence on Russian fossil</w:t>
      </w:r>
      <w:r>
        <w:t xml:space="preserve"> </w:t>
      </w:r>
      <w:r>
        <w:t xml:space="preserve">fuels by fast-forwarding the clean transition and achieve a more resilient energy system.</w:t>
      </w:r>
      <w:r>
        <w:t xml:space="preserve"> </w:t>
      </w:r>
      <w:r>
        <w:t xml:space="preserve">REPowerEU builds on the full implementation of the Fit-for-55 package, but the fast</w:t>
      </w:r>
      <w:r>
        <w:t xml:space="preserve"> </w:t>
      </w:r>
      <w:r>
        <w:t xml:space="preserve">phasing-out of fossil fuel imports from Russia affects the transition trajectory – and how</w:t>
      </w:r>
      <w:r>
        <w:t xml:space="preserve"> </w:t>
      </w:r>
      <w:r>
        <w:t xml:space="preserve">we reach the EU climate neutrality target – compared to previous assumptions. The EU’s</w:t>
      </w:r>
      <w:r>
        <w:t xml:space="preserve"> </w:t>
      </w:r>
      <w:r>
        <w:t xml:space="preserve">consumption of natural gas is expected to reduce at a faster pace than expected before the</w:t>
      </w:r>
      <w:r>
        <w:t xml:space="preserve"> </w:t>
      </w:r>
      <w:r>
        <w:t xml:space="preserve">crisis (e.g., in the Climate Target Plan 2030).</w:t>
      </w:r>
      <w:r>
        <w:br/>
      </w:r>
      <w:r>
        <w:t xml:space="preserve">Consumption of gaseous fuels is expected to decrease by between 54% and 68% between</w:t>
      </w:r>
      <w:r>
        <w:t xml:space="preserve"> </w:t>
      </w:r>
      <w:r>
        <w:t xml:space="preserve">2020 and 2040, reducing from 319 Mtoe in 2020 to 100 to 150 Mtoe in 2040 in S1-S2-S3</w:t>
      </w:r>
      <w:r>
        <w:t xml:space="preserve"> </w:t>
      </w:r>
      <w:r>
        <w:t xml:space="preserve">(Figure 29). The impact of the LIFE measures is projected to slightly increase the overall</w:t>
      </w:r>
      <w:r>
        <w:t xml:space="preserve"> </w:t>
      </w:r>
      <w:r>
        <w:t xml:space="preserve">consumption of gas. The consumption of gaseous fuels amounts to 100 Mtoe in the S3</w:t>
      </w:r>
      <w:r>
        <w:t xml:space="preserve"> </w:t>
      </w:r>
      <w:r>
        <w:t xml:space="preserve">scenario. By 2050, gas consumption in the EU is further declines to around 80 Mtoe.</w:t>
      </w:r>
      <w:r>
        <w:br/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2001-2010</w:t>
      </w:r>
      <w:r>
        <w:t xml:space="preserve"> </w:t>
      </w:r>
      <w:r>
        <w:t xml:space="preserve">2011-2020</w:t>
      </w:r>
      <w:r>
        <w:t xml:space="preserve"> </w:t>
      </w:r>
      <w:r>
        <w:t xml:space="preserve">2021-2030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TWh/year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Figure 29: Consumption of gaseous fuels in the gas network, 2040-2050</w:t>
      </w:r>
    </w:p>
    <w:p>
      <w:pPr>
        <w:pStyle w:val="BodyText"/>
      </w:pPr>
      <w:r>
        <w:t xml:space="preserve">Note: the consumption of gaseous fuels hereby represented refers to gas consumed as transformation input in thermal</w:t>
      </w:r>
      <w:r>
        <w:t xml:space="preserve"> </w:t>
      </w:r>
      <w:r>
        <w:t xml:space="preserve">power stations and district heating plants, consumption of the energy branch, and gas available for final consumption</w:t>
      </w:r>
      <w:r>
        <w:t xml:space="preserve"> </w:t>
      </w:r>
      <w:r>
        <w:t xml:space="preserve">(including final non-energy consumption). It includes natural gas, clean gas and biomethane. Biogas is not covered in</w:t>
      </w:r>
      <w:r>
        <w:t xml:space="preserve"> </w:t>
      </w:r>
      <w:r>
        <w:t xml:space="preserve">this figure and related analysis as it is not injected in the gas network.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In the gas network, this decrease in the consumption of natural gas is partly compensated</w:t>
      </w:r>
      <w:r>
        <w:t xml:space="preserve"> </w:t>
      </w:r>
      <w:r>
        <w:t xml:space="preserve">by an increase in the consumption of biomethane. The sector with the largest absolute</w:t>
      </w:r>
      <w:r>
        <w:t xml:space="preserve"> </w:t>
      </w:r>
      <w:r>
        <w:t xml:space="preserve">decrease in consumption of gas in the gas networks by 2040 is the residential sector, with</w:t>
      </w:r>
      <w:r>
        <w:t xml:space="preserve"> </w:t>
      </w:r>
      <w:r>
        <w:t xml:space="preserve">-55 Mtoe (-70%) to -64 Mtoe (-82%) between 2020 and 2040. European energy policies</w:t>
      </w:r>
      <w:r>
        <w:t xml:space="preserve"> </w:t>
      </w:r>
      <w:r>
        <w:t xml:space="preserve">encourage building renovation and energy efficiency improvements in the residential and</w:t>
      </w:r>
      <w:r>
        <w:t xml:space="preserve"> </w:t>
      </w:r>
      <w:r>
        <w:t xml:space="preserve">commercial sector reducing the need for heating fuel.</w:t>
      </w:r>
      <w:r>
        <w:br/>
      </w:r>
      <w:r>
        <w:t xml:space="preserve">Figure 30: Consumption of gaseous fuels by sector, 2040-2050</w:t>
      </w:r>
    </w:p>
    <w:p>
      <w:pPr>
        <w:pStyle w:val="BodyText"/>
      </w:pPr>
      <w:r>
        <w:t xml:space="preserve">Note: Gaseous fuels include natural gas, biogas and biomethane.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Consumption of gaseous fuels per sector differs across scenarios in 2040, with notable</w:t>
      </w:r>
      <w:r>
        <w:t xml:space="preserve"> </w:t>
      </w:r>
      <w:r>
        <w:t xml:space="preserve">differences for some sectors. At this time horizon, gas consumption in the industrial</w:t>
      </w:r>
      <w:r>
        <w:t xml:space="preserve"> </w:t>
      </w:r>
      <w:r>
        <w:t xml:space="preserve">sector is higher in S1 compared to S3 (35 Mtoe versus 20 Mtoe). In the residential sector,</w:t>
      </w:r>
      <w:r>
        <w:t xml:space="preserve"> </w:t>
      </w:r>
      <w:r>
        <w:t xml:space="preserve">-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Other</w:t>
      </w:r>
      <w:r>
        <w:t xml:space="preserve"> </w:t>
      </w:r>
      <w:r>
        <w:t xml:space="preserve">Services and</w:t>
      </w:r>
      <w:r>
        <w:t xml:space="preserve"> </w:t>
      </w:r>
      <w:r>
        <w:t xml:space="preserve">agriculture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input</w:t>
      </w:r>
      <w:r>
        <w:t xml:space="preserve"> </w:t>
      </w:r>
      <w:r>
        <w:t xml:space="preserve">Residential</w:t>
      </w:r>
      <w:r>
        <w:t xml:space="preserve"> </w:t>
      </w:r>
      <w:r>
        <w:t xml:space="preserve">Non-energy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shipping</w:t>
      </w:r>
      <w:r>
        <w:t xml:space="preserve"> </w:t>
      </w:r>
      <w:r>
        <w:t xml:space="preserve">Industry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consumption is also significantly higher in S1 compared to S3 (25 Mtoe versus 15 Mtoe)</w:t>
      </w:r>
      <w:r>
        <w:t xml:space="preserve"> </w:t>
      </w:r>
      <w:r>
        <w:t xml:space="preserve">as well as in agriculture and services (15 Mtoe versus 10 Mtoe).</w:t>
      </w:r>
      <w:r>
        <w:br/>
      </w:r>
      <w:r>
        <w:t xml:space="preserve">Renewable hydrogen is a rapidly evolving technology and sector. The modelling results</w:t>
      </w:r>
      <w:r>
        <w:t xml:space="preserve"> </w:t>
      </w:r>
      <w:r>
        <w:t xml:space="preserve">for 2030 reflect the EU RFNBO targets, and associated hydrogen production, as per the</w:t>
      </w:r>
      <w:r>
        <w:t xml:space="preserve"> </w:t>
      </w:r>
      <w:r>
        <w:t xml:space="preserve">revision of the Renewable Energy Directive under the Fit-for-55 package. However, the</w:t>
      </w:r>
      <w:r>
        <w:t xml:space="preserve"> </w:t>
      </w:r>
      <w:r>
        <w:t xml:space="preserve">modelling for the future design of the post-2030 policy framework will take into account</w:t>
      </w:r>
      <w:r>
        <w:t xml:space="preserve"> </w:t>
      </w:r>
      <w:r>
        <w:t xml:space="preserve">the updates of the National Climate and Energy Plans due in June 2024. The</w:t>
      </w:r>
      <w:r>
        <w:t xml:space="preserve"> </w:t>
      </w:r>
      <w:r>
        <w:t xml:space="preserve">consumption of hydrogen as energy vector beyond traditional applications (like the</w:t>
      </w:r>
      <w:r>
        <w:t xml:space="preserve"> </w:t>
      </w:r>
      <w:r>
        <w:t xml:space="preserve">chemical sector and refineries) appears in the EU energy system and contributes to</w:t>
      </w:r>
      <w:r>
        <w:t xml:space="preserve"> </w:t>
      </w:r>
      <w:r>
        <w:t xml:space="preserve">decarbonise the hard-to-abate sectors and to support the operation of the power sector</w:t>
      </w:r>
      <w:r>
        <w:t xml:space="preserve"> </w:t>
      </w:r>
      <w:r>
        <w:t xml:space="preserve">with high shares of variables renewable energies providing seasonal storage. In this</w:t>
      </w:r>
      <w:r>
        <w:t xml:space="preserve"> </w:t>
      </w:r>
      <w:r>
        <w:t xml:space="preserve">decade, the consumption of hydrogen remains limited (see Figure 31), both because</w:t>
      </w:r>
      <w:r>
        <w:t xml:space="preserve"> </w:t>
      </w:r>
      <w:r>
        <w:t xml:space="preserve">hydrogen-based technologies are generally characterised by relatively low maturity level</w:t>
      </w:r>
      <w:r>
        <w:t xml:space="preserve"> </w:t>
      </w:r>
      <w:r>
        <w:t xml:space="preserve">and because the models prioritise the decarbonisation of sectors characterised by lower</w:t>
      </w:r>
      <w:r>
        <w:t xml:space="preserve"> </w:t>
      </w:r>
      <w:r>
        <w:t xml:space="preserve">marginal abatement costs. Hydrogen consumption rapidly scales up, achieving in 2040</w:t>
      </w:r>
      <w:r>
        <w:t xml:space="preserve"> </w:t>
      </w:r>
      <w:r>
        <w:t xml:space="preserve">55-95 Mtoe in the S1-S2-S3 scenarios. The production of e-fuels (both gaseous and</w:t>
      </w:r>
      <w:r>
        <w:t xml:space="preserve"> </w:t>
      </w:r>
      <w:r>
        <w:t xml:space="preserve">liquid) accounts for the lion’s share of total hydrogen consumption in 2040, followed by</w:t>
      </w:r>
      <w:r>
        <w:t xml:space="preserve"> </w:t>
      </w:r>
      <w:r>
        <w:t xml:space="preserve">industry and – very closely – transport (in the S1, in 2040 the consumption of hydrogen</w:t>
      </w:r>
      <w:r>
        <w:t xml:space="preserve"> </w:t>
      </w:r>
      <w:r>
        <w:t xml:space="preserve">in transport is higher than in industry). These three sectors alone account for more than</w:t>
      </w:r>
      <w:r>
        <w:t xml:space="preserve"> </w:t>
      </w:r>
      <w:r>
        <w:t xml:space="preserve">three-fourths of total hydrogen consumption in 2040 in all scenarios. As a large</w:t>
      </w:r>
      <w:r>
        <w:t xml:space="preserve"> </w:t>
      </w:r>
      <w:r>
        <w:t xml:space="preserve">deployment of e-fuels occurs in S3, this scenario experiences the highest level of</w:t>
      </w:r>
      <w:r>
        <w:t xml:space="preserve"> </w:t>
      </w:r>
      <w:r>
        <w:t xml:space="preserve">hydrogen consumption in 2040 (i.e., about 95 Mtoe) and is characterised by a</w:t>
      </w:r>
      <w:r>
        <w:t xml:space="preserve"> </w:t>
      </w:r>
      <w:r>
        <w:t xml:space="preserve">tremendous growth in hydrogen use in the next decade. The main driver of the higher</w:t>
      </w:r>
      <w:r>
        <w:t xml:space="preserve"> </w:t>
      </w:r>
      <w:r>
        <w:t xml:space="preserve">hydrogen consumption in the S3 scenario is the production of e-fuels, which consumes</w:t>
      </w:r>
      <w:r>
        <w:t xml:space="preserve"> </w:t>
      </w:r>
      <w:r>
        <w:t xml:space="preserve">by itself around 50 Mtoe of hydrogen. In 2050, the consumption of hydrogen doubles</w:t>
      </w:r>
      <w:r>
        <w:t xml:space="preserve"> </w:t>
      </w:r>
      <w:r>
        <w:t xml:space="preserve">with respect to 2040, attaining about 170-175 Mtoe in the S1-S2-S3 scenarios. LIFE</w:t>
      </w:r>
      <w:r>
        <w:t xml:space="preserve"> </w:t>
      </w:r>
      <w:r>
        <w:t xml:space="preserve">measures would reduce the production of hydrogen by around 15 Mtoe. In 2050, the</w:t>
      </w:r>
      <w:r>
        <w:t xml:space="preserve"> </w:t>
      </w:r>
      <w:r>
        <w:t xml:space="preserve">production of e-fuels continues being the main driver of hydrogen use in the EU energy</w:t>
      </w:r>
      <w:r>
        <w:t xml:space="preserve"> </w:t>
      </w:r>
      <w:r>
        <w:t xml:space="preserve">system (70-75 Mtoe across scenarios), followed by non-energy uses (about 30 Mtoe</w:t>
      </w:r>
      <w:r>
        <w:t xml:space="preserve"> </w:t>
      </w:r>
      <w:r>
        <w:t xml:space="preserve">across scenarios), then very closely followed by transport (about 30 Mtoe across</w:t>
      </w:r>
      <w:r>
        <w:t xml:space="preserve"> </w:t>
      </w:r>
      <w:r>
        <w:t xml:space="preserve">scenarios) and finally by industry (20 Mtoe across scenarios).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Figure 31: Consumption of hydrogen by sector, 2040-2050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1.2.4. Final Energy Consumption</w:t>
      </w:r>
      <w:r>
        <w:t xml:space="preserve"> </w:t>
      </w:r>
      <w:r>
        <w:t xml:space="preserve">Final Energy Consumption (FEC) declines steadily, attaining in 2030 the 763 Mtoe</w:t>
      </w:r>
      <w:r>
        <w:t xml:space="preserve"> </w:t>
      </w:r>
      <w:r>
        <w:t xml:space="preserve">targeted by the Energy Efficiency Directive (Figure 32). Then, FEC further reduces to</w:t>
      </w:r>
      <w:r>
        <w:t xml:space="preserve"> </w:t>
      </w:r>
      <w:r>
        <w:t xml:space="preserve">606-624 Mtoe in the S1-S2-S3 and scenarios. LIFE measures are projected to reduce</w:t>
      </w:r>
      <w:r>
        <w:t xml:space="preserve"> </w:t>
      </w:r>
      <w:r>
        <w:t xml:space="preserve">FEC by additional 12 Mtoe. In 2050, FEC reaches approximately 560 Mtoe. The fuel and</w:t>
      </w:r>
      <w:r>
        <w:t xml:space="preserve"> </w:t>
      </w:r>
      <w:r>
        <w:t xml:space="preserve">sector split of total FEC also changes progressively and the sector-specific drivers and</w:t>
      </w:r>
      <w:r>
        <w:t xml:space="preserve"> </w:t>
      </w:r>
      <w:r>
        <w:t xml:space="preserve">dynamics are described in the relevant sections (Sections 1.3, 1.4 and 1.5).</w:t>
      </w:r>
      <w:r>
        <w:t xml:space="preserve"> </w:t>
      </w:r>
      <w:r>
        <w:t xml:space="preserve">Figure 32: Final Energy Consumption by fuel,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The share of fossil fuels in total FEC decreases from above 60% in 2019 to 52% in 2030,</w:t>
      </w:r>
      <w:r>
        <w:t xml:space="preserve"> </w:t>
      </w:r>
      <w:r>
        <w:t xml:space="preserve">between 23% and 30% in 2040 under the various scenarios and 6% in 2050. Coal FEC</w:t>
      </w:r>
      <w:r>
        <w:t xml:space="preserve"> </w:t>
      </w:r>
      <w:r>
        <w:t xml:space="preserve">becomes very small in 2030 and disappears shortly after 2040, driven by phase out in</w:t>
      </w:r>
      <w:r>
        <w:t xml:space="preserve"> </w:t>
      </w:r>
      <w:r>
        <w:t xml:space="preserve">buildings after 2030 (pushed by the policies of several Member States) and by significant</w:t>
      </w:r>
      <w:r>
        <w:t xml:space="preserve"> </w:t>
      </w:r>
      <w:r>
        <w:t xml:space="preserve">reductions in industry after 2030. Encouraged by the gradually more stringent CO2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Other</w:t>
      </w:r>
      <w:r>
        <w:t xml:space="preserve"> </w:t>
      </w:r>
      <w:r>
        <w:t xml:space="preserve">International shipping</w:t>
      </w:r>
      <w:r>
        <w:t xml:space="preserve"> </w:t>
      </w:r>
      <w:r>
        <w:t xml:space="preserve">International aviation</w:t>
      </w:r>
      <w:r>
        <w:t xml:space="preserve"> </w:t>
      </w:r>
      <w:r>
        <w:t xml:space="preserve">Industry</w:t>
      </w:r>
      <w:r>
        <w:t xml:space="preserve"> </w:t>
      </w:r>
      <w:r>
        <w:t xml:space="preserve">Transport</w:t>
      </w:r>
      <w:r>
        <w:t xml:space="preserve"> </w:t>
      </w:r>
      <w:r>
        <w:t xml:space="preserve">Non-energy</w:t>
      </w:r>
      <w:r>
        <w:t xml:space="preserve"> </w:t>
      </w:r>
      <w:r>
        <w:t xml:space="preserve">e-fuels production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S3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2015 2019 2030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Synthetic fuels</w:t>
      </w:r>
      <w:r>
        <w:t xml:space="preserve"> </w:t>
      </w:r>
      <w:r>
        <w:t xml:space="preserve">Coal</w:t>
      </w:r>
      <w:r>
        <w:t xml:space="preserve"> </w:t>
      </w:r>
      <w:r>
        <w:t xml:space="preserve">Hydrogen</w:t>
      </w:r>
      <w:r>
        <w:t xml:space="preserve"> </w:t>
      </w:r>
      <w:r>
        <w:t xml:space="preserve">Distric Heating</w:t>
      </w:r>
      <w:r>
        <w:t xml:space="preserve"> </w:t>
      </w:r>
      <w:r>
        <w:t xml:space="preserve">Renewables</w:t>
      </w:r>
      <w:r>
        <w:t xml:space="preserve"> </w:t>
      </w:r>
      <w:r>
        <w:t xml:space="preserve">Electricity</w:t>
      </w:r>
      <w:r>
        <w:t xml:space="preserve"> </w:t>
      </w:r>
      <w:r>
        <w:t xml:space="preserve">Gas</w:t>
      </w:r>
      <w:r>
        <w:t xml:space="preserve"> </w:t>
      </w:r>
      <w:r>
        <w:t xml:space="preserve">Oil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emission standards, oil FEC in 2030 reduces by 28% (108 Mtoe) compared to 2019</w:t>
      </w:r>
      <w:r>
        <w:t xml:space="preserve"> </w:t>
      </w:r>
      <w:r>
        <w:t xml:space="preserve">levels. After 2035, the reduction in oil FEC accelerates in light of the CO2 emissions</w:t>
      </w:r>
      <w:r>
        <w:t xml:space="preserve"> </w:t>
      </w:r>
      <w:r>
        <w:t xml:space="preserve">standards mandating sales of zero-emission vehicles only: in 2040, oil FEC attains</w:t>
      </w:r>
      <w:r>
        <w:t xml:space="preserve"> </w:t>
      </w:r>
      <w:r>
        <w:t xml:space="preserve">approximately 100-110 Mtoe in the S1-S2-S3 scenarios. Natural gas FEC gradually</w:t>
      </w:r>
      <w:r>
        <w:t xml:space="preserve"> </w:t>
      </w:r>
      <w:r>
        <w:t xml:space="preserve">reduces to only small quantities by 2040 (59). That is mainly due to improved energy</w:t>
      </w:r>
      <w:r>
        <w:t xml:space="preserve"> </w:t>
      </w:r>
      <w:r>
        <w:t xml:space="preserve">performances of the building stock and to fuel switching towards mainly electricity in the</w:t>
      </w:r>
      <w:r>
        <w:t xml:space="preserve"> </w:t>
      </w:r>
      <w:r>
        <w:t xml:space="preserve">building sector and hydrogen and electricity in the industrial sector. Natural gas FEC</w:t>
      </w:r>
      <w:r>
        <w:t xml:space="preserve"> </w:t>
      </w:r>
      <w:r>
        <w:t xml:space="preserve">differs significantly in the S1 and S3 scenarios compared to the S2 scenario (-27% in S1</w:t>
      </w:r>
      <w:r>
        <w:t xml:space="preserve"> </w:t>
      </w:r>
      <w:r>
        <w:t xml:space="preserve">compared to S3 and -46% for S3), as the three scenarios are underpinned by different</w:t>
      </w:r>
      <w:r>
        <w:t xml:space="preserve"> </w:t>
      </w:r>
      <w:r>
        <w:t xml:space="preserve">renovation rates (see section 1.3.2) and fuel switching to hydrogen and e-fuels. The share</w:t>
      </w:r>
      <w:r>
        <w:t xml:space="preserve"> </w:t>
      </w:r>
      <w:r>
        <w:t xml:space="preserve">of renewable energy in gross FEC increases from 42.5% in 2030 (in line with the</w:t>
      </w:r>
      <w:r>
        <w:t xml:space="preserve"> </w:t>
      </w:r>
      <w:r>
        <w:t xml:space="preserve">Renewable Energy Directive target) to between 65% and 75% in 2040 (with the S3</w:t>
      </w:r>
      <w:r>
        <w:t xml:space="preserve"> </w:t>
      </w:r>
      <w:r>
        <w:t xml:space="preserve">scenario requiring 10% more renewable energy than S1).</w:t>
      </w:r>
      <w:r>
        <w:t xml:space="preserve"> </w:t>
      </w:r>
      <w:r>
        <w:t xml:space="preserve">The contribution of electricity in FEC increases across all scenarios, and electricity</w:t>
      </w:r>
      <w:r>
        <w:t xml:space="preserve"> </w:t>
      </w:r>
      <w:r>
        <w:t xml:space="preserve">becomes the dominating energy vector in final energy sectors. From 23% in 2015, the</w:t>
      </w:r>
      <w:r>
        <w:t xml:space="preserve"> </w:t>
      </w:r>
      <w:r>
        <w:t xml:space="preserve">share of electricity in final demand increases to more than 30% in 2030 (240 Mtoe), to</w:t>
      </w:r>
      <w:r>
        <w:t xml:space="preserve"> </w:t>
      </w:r>
      <w:r>
        <w:t xml:space="preserve">above 45% in 2040 across scenarios (280-290 Mtoe). The measures in LIFE reduce the</w:t>
      </w:r>
      <w:r>
        <w:t xml:space="preserve"> </w:t>
      </w:r>
      <w:r>
        <w:t xml:space="preserve">need for electricity in FEC by 9 Mtoe. In 2050, it reaches 57% (320 Mtoe). Such increase</w:t>
      </w:r>
      <w:r>
        <w:t xml:space="preserve"> </w:t>
      </w:r>
      <w:r>
        <w:t xml:space="preserve">is mainly driven by the uptake of electric vehicles in the transport sector, the penetration</w:t>
      </w:r>
      <w:r>
        <w:t xml:space="preserve"> </w:t>
      </w:r>
      <w:r>
        <w:t xml:space="preserve">of heat pumps in buildings and electrification of low and medium temperature industrial</w:t>
      </w:r>
      <w:r>
        <w:t xml:space="preserve"> </w:t>
      </w:r>
      <w:r>
        <w:t xml:space="preserve">processes.</w:t>
      </w:r>
      <w:r>
        <w:t xml:space="preserve"> </w:t>
      </w:r>
      <w:r>
        <w:t xml:space="preserve">Fossil fuels are also partially replaced by hydrogen and other RFNBOs, whose uptake</w:t>
      </w:r>
      <w:r>
        <w:t xml:space="preserve"> </w:t>
      </w:r>
      <w:r>
        <w:t xml:space="preserve">only scales up at the end of this decade. Renewable hydrogen is a rapidly evolving</w:t>
      </w:r>
      <w:r>
        <w:t xml:space="preserve"> </w:t>
      </w:r>
      <w:r>
        <w:t xml:space="preserve">technology and sector. The modelling results for 2030 reflect the EU RFNBO targets,</w:t>
      </w:r>
      <w:r>
        <w:t xml:space="preserve"> </w:t>
      </w:r>
      <w:r>
        <w:t xml:space="preserve">and associated hydrogen production, as per the revision of the Renewable Energy</w:t>
      </w:r>
      <w:r>
        <w:t xml:space="preserve"> </w:t>
      </w:r>
      <w:r>
        <w:t xml:space="preserve">Directive under the Fit-for-55 package. However, the modelling for the future design of</w:t>
      </w:r>
      <w:r>
        <w:t xml:space="preserve"> </w:t>
      </w:r>
      <w:r>
        <w:t xml:space="preserve">the post-2030 policy framework will take into account the updates of the National</w:t>
      </w:r>
      <w:r>
        <w:t xml:space="preserve"> </w:t>
      </w:r>
      <w:r>
        <w:t xml:space="preserve">Climate and Energy Plans due in June 2024.</w:t>
      </w:r>
      <w:r>
        <w:t xml:space="preserve"> </w:t>
      </w:r>
      <w:r>
        <w:t xml:space="preserve">Combined, RFNBOs account for 1% of total FEC in 2030 (5 Mtoe), 5-12% in 2040</w:t>
      </w:r>
      <w:r>
        <w:t xml:space="preserve"> </w:t>
      </w:r>
      <w:r>
        <w:t xml:space="preserve">(about 30-65 Mtoe) and 20% in 2050 (105 Mtoe). Measures from LIFE in 2040 have</w:t>
      </w:r>
      <w:r>
        <w:t xml:space="preserve"> </w:t>
      </w:r>
      <w:r>
        <w:t xml:space="preserve">only a limited impact on the FEC of RFNBOs. Hydrogen is mostly consumed by heavy-</w:t>
      </w:r>
      <w:r>
        <w:t xml:space="preserve"> </w:t>
      </w:r>
      <w:r>
        <w:t xml:space="preserve">duty trucks and in energy intensive industrial processes that can be hardly electrified.</w:t>
      </w:r>
      <w:r>
        <w:t xml:space="preserve"> </w:t>
      </w:r>
      <w:r>
        <w:t xml:space="preserve">Gaseous e-fuels are consumed in almost equal proportions by the industrial sector and by</w:t>
      </w:r>
      <w:r>
        <w:t xml:space="preserve"> </w:t>
      </w:r>
      <w:r>
        <w:t xml:space="preserve">the residential sector, and in lower amounts in the services sector as well. Liquid e-fuels</w:t>
      </w:r>
      <w:r>
        <w:t xml:space="preserve"> </w:t>
      </w:r>
      <w:r>
        <w:t xml:space="preserve">are consumed entirely in the transport sector. Under the S3 scenario, the decline of FEC</w:t>
      </w:r>
      <w:r>
        <w:t xml:space="preserve"> </w:t>
      </w:r>
      <w:r>
        <w:t xml:space="preserve">of oil and natural gas accelerates and in 2040 fossil fuels only account for approximately</w:t>
      </w:r>
      <w:r>
        <w:t xml:space="preserve"> </w:t>
      </w:r>
      <w:r>
        <w:t xml:space="preserve">23% of total FEC. This acceleration is driven by the need to rapidly reduce emissions in</w:t>
      </w:r>
      <w:r>
        <w:t xml:space="preserve"> </w:t>
      </w:r>
      <w:r>
        <w:t xml:space="preserve">industry, buildings and transport sectors, which should get to almost net zero in early</w:t>
      </w:r>
      <w:r>
        <w:t xml:space="preserve"> </w:t>
      </w:r>
      <w:r>
        <w:t xml:space="preserve">2040s.</w:t>
      </w:r>
      <w:r>
        <w:t xml:space="preserve"> </w:t>
      </w:r>
      <w:r>
        <w:t xml:space="preserve">All five energy system models used in this impact assessment project a major increase in</w:t>
      </w:r>
      <w:r>
        <w:t xml:space="preserve"> </w:t>
      </w:r>
      <w:r>
        <w:t xml:space="preserve">the contribution of electricity in total FEC, with high similarity in the overall trend in</w:t>
      </w:r>
      <w:r>
        <w:t xml:space="preserve"> </w:t>
      </w:r>
      <w:r>
        <w:t xml:space="preserve">four of the five models (see Figure 33). In particular, POTEnCIA features a higher level</w:t>
      </w:r>
      <w:r>
        <w:t xml:space="preserve"> </w:t>
      </w:r>
      <w:r>
        <w:t xml:space="preserve">of electrification than the other models from 2035 onwards: in 2040, it reaches 55% share</w:t>
      </w:r>
    </w:p>
    <w:p>
      <w:pPr>
        <w:pStyle w:val="Compact"/>
        <w:numPr>
          <w:ilvl w:val="0"/>
          <w:numId w:val="1024"/>
        </w:numPr>
      </w:pPr>
      <w:r>
        <w:t xml:space="preserve">Natural gas is still used as feedstock for the industry after 2040.</w:t>
      </w:r>
    </w:p>
    <w:p>
      <w:pPr>
        <w:pStyle w:val="FirstParagraph"/>
      </w:pPr>
      <w:r>
        <w:t xml:space="preserve">44</w:t>
      </w:r>
    </w:p>
    <w:p>
      <w:pPr>
        <w:pStyle w:val="BodyText"/>
      </w:pPr>
      <w:r>
        <w:t xml:space="preserve">of electricity in FEC compared to 43-46% in the other models and in 2050 it reaches 63%</w:t>
      </w:r>
      <w:r>
        <w:t xml:space="preserve"> </w:t>
      </w:r>
      <w:r>
        <w:t xml:space="preserve">compared to 49-57%. The higher electrification rate in POTEnCIA is mainly explained</w:t>
      </w:r>
      <w:r>
        <w:t xml:space="preserve"> </w:t>
      </w:r>
      <w:r>
        <w:t xml:space="preserve">by POTEnCIA’s technology choices in the transport and residential sectors, i.e.,</w:t>
      </w:r>
      <w:r>
        <w:t xml:space="preserve"> </w:t>
      </w:r>
      <w:r>
        <w:t xml:space="preserve">POTEnCIA features a larger adoption of heat pumps in buildings and higher roll-out of</w:t>
      </w:r>
      <w:r>
        <w:t xml:space="preserve"> </w:t>
      </w:r>
      <w:r>
        <w:t xml:space="preserve">electric vehicles.</w:t>
      </w:r>
      <w:r>
        <w:t xml:space="preserve"> </w:t>
      </w:r>
      <w:r>
        <w:t xml:space="preserve">Regarding the share of RFNBOs in total FEC, the different models show a larger</w:t>
      </w:r>
      <w:r>
        <w:t xml:space="preserve"> </w:t>
      </w:r>
      <w:r>
        <w:t xml:space="preserve">variability in the results, especially after 2035. In 2030, all five models see the</w:t>
      </w:r>
      <w:r>
        <w:t xml:space="preserve"> </w:t>
      </w:r>
      <w:r>
        <w:t xml:space="preserve">contribution of RFNBOs to total FEC at below 3%. Afterwards, a larger degree of</w:t>
      </w:r>
      <w:r>
        <w:t xml:space="preserve"> </w:t>
      </w:r>
      <w:r>
        <w:t xml:space="preserve">variability emerges in the results, with EU-TIMES showing the largest uptake – at 912 in</w:t>
      </w:r>
      <w:r>
        <w:t xml:space="preserve"> </w:t>
      </w:r>
      <w:r>
        <w:t xml:space="preserve">2040 and 21% in 2050 - and AMADEUS-METIS the smallest one – 3% in 2040 and 4%</w:t>
      </w:r>
      <w:r>
        <w:t xml:space="preserve"> </w:t>
      </w:r>
      <w:r>
        <w:t xml:space="preserve">in 2050. This suggests that while electrification of end-use sectors is broadly considered</w:t>
      </w:r>
      <w:r>
        <w:t xml:space="preserve"> </w:t>
      </w:r>
      <w:r>
        <w:t xml:space="preserve">a robust pathway for the decarbonisation of the EU energy system, there is more</w:t>
      </w:r>
      <w:r>
        <w:t xml:space="preserve"> </w:t>
      </w:r>
      <w:r>
        <w:t xml:space="preserve">uncertainty on the actual role that RFNBOs are going to play.</w:t>
      </w:r>
      <w:r>
        <w:t xml:space="preserve"> </w:t>
      </w:r>
      <w:r>
        <w:t xml:space="preserve">Figure 33: Share of electricity (left) and RFNBOs (right) in FEC, 2019-2050</w:t>
      </w:r>
    </w:p>
    <w:p>
      <w:pPr>
        <w:pStyle w:val="BodyText"/>
      </w:pPr>
      <w:r>
        <w:t xml:space="preserve">Sources: AMADEUS-METIS, EU-TIMES, POLES, POTEnCIA, PRIMES.</w:t>
      </w:r>
      <w:r>
        <w:t xml:space="preserve"> </w:t>
      </w:r>
      <w:r>
        <w:t xml:space="preserve">FEC of district heating and renewable heating (solar thermal, biomass and geothermal) in</w:t>
      </w:r>
      <w:r>
        <w:t xml:space="preserve"> </w:t>
      </w:r>
      <w:r>
        <w:t xml:space="preserve">PRIMES slightly reduces over the time horizon, mainly due to better energy</w:t>
      </w:r>
      <w:r>
        <w:t xml:space="preserve"> </w:t>
      </w:r>
      <w:r>
        <w:t xml:space="preserve">performances of the building stock, without particular variations across scenarios. The</w:t>
      </w:r>
      <w:r>
        <w:t xml:space="preserve"> </w:t>
      </w:r>
      <w:r>
        <w:t xml:space="preserve">reduction of renewables FEC is lower than that of total FEC. As a result, the share of</w:t>
      </w:r>
      <w:r>
        <w:t xml:space="preserve"> </w:t>
      </w:r>
      <w:r>
        <w:t xml:space="preserve">renewable heating in total FEC grows from 10% in 2015 to about 15% in 2040 and 2050.</w:t>
      </w:r>
      <w:r>
        <w:br/>
      </w:r>
      <w:r>
        <w:t xml:space="preserve">Among the end-use sectors, the residential sector is expected to experience the largest</w:t>
      </w:r>
      <w:r>
        <w:t xml:space="preserve"> </w:t>
      </w:r>
      <w:r>
        <w:t xml:space="preserve">reduction in energy consumption in this decade with almost -30% in 2030 (175 Mtoe)</w:t>
      </w:r>
      <w:r>
        <w:t xml:space="preserve"> </w:t>
      </w:r>
      <w:r>
        <w:t xml:space="preserve">with respect to 2015, triggered by dedicated policies and measures (Figure 34). The</w:t>
      </w:r>
      <w:r>
        <w:t xml:space="preserve"> </w:t>
      </w:r>
      <w:r>
        <w:t xml:space="preserve">residential sector is projected to further reduce its energy consumption by39-41% under</w:t>
      </w:r>
      <w:r>
        <w:t xml:space="preserve"> </w:t>
      </w:r>
      <w:r>
        <w:t xml:space="preserve">the S1-S2-S3 scenarios (around 140-150 Mtoe), up to reducing by 44% in 2050 (140</w:t>
      </w:r>
      <w:r>
        <w:t xml:space="preserve"> </w:t>
      </w:r>
      <w:r>
        <w:t xml:space="preserve">Mtoe). The measures of LIFE only have a minor impact.</w:t>
      </w:r>
      <w:r>
        <w:t xml:space="preserve"> </w:t>
      </w:r>
      <w:r>
        <w:t xml:space="preserve">Transport FEC undergoes a markedly different trajectory: the reduction with respect to</w:t>
      </w:r>
      <w:r>
        <w:t xml:space="preserve"> </w:t>
      </w:r>
      <w:r>
        <w:t xml:space="preserve">2015 is limited to -13% by 2030 (about 270 Mtoe), but afterwards it experiences a steep</w:t>
      </w:r>
      <w:r>
        <w:t xml:space="preserve"> </w:t>
      </w:r>
      <w:r>
        <w:t xml:space="preserve">reduction to reach -42% in 2040 (about 180 Mtoe) across all scenarios and -53% in 2050</w:t>
      </w:r>
      <w:r>
        <w:t xml:space="preserve"> </w:t>
      </w:r>
      <w:r>
        <w:t xml:space="preserve">(about 150 Mtoe) – the largest reductions across end-use sectors. Such dynamics is</w:t>
      </w:r>
      <w:r>
        <w:t xml:space="preserve"> </w:t>
      </w:r>
      <w:r>
        <w:t xml:space="preserve">largely explained by the CO2 emission standards, which are gradually tightening until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2030 and then from 2035 mandate sales of zero-emission vehicles only (See Section</w:t>
      </w:r>
      <w:r>
        <w:t xml:space="preserve"> </w:t>
      </w:r>
      <w:r>
        <w:t xml:space="preserve">1.5.3 for more details). The impact of LIFE further reduces FEC in transport by 9 Mtoe n</w:t>
      </w:r>
      <w:r>
        <w:t xml:space="preserve"> </w:t>
      </w:r>
      <w:r>
        <w:t xml:space="preserve">2040. FEC in services and agriculture combined reduces at slower pace than in the</w:t>
      </w:r>
      <w:r>
        <w:t xml:space="preserve"> </w:t>
      </w:r>
      <w:r>
        <w:t xml:space="preserve">residential sector, attaining -21% in 2030 (about 120 Mtoe) with respect to 2015; -25, -</w:t>
      </w:r>
      <w:r>
        <w:t xml:space="preserve"> </w:t>
      </w:r>
      <w:r>
        <w:t xml:space="preserve">29% under the S1-S2-S3 scenarios, and -29% in 2050 (about 110 Mtoe). Finally, industry</w:t>
      </w:r>
      <w:r>
        <w:t xml:space="preserve"> </w:t>
      </w:r>
      <w:r>
        <w:t xml:space="preserve">undergoes the smallest reduction in FEC of all end-use sectors throughout the time</w:t>
      </w:r>
      <w:r>
        <w:t xml:space="preserve"> </w:t>
      </w:r>
      <w:r>
        <w:t xml:space="preserve">horizon, with -13% in 2030 with respect to 2015 (about 200 Mtoe), -27% in 2030 (about</w:t>
      </w:r>
      <w:r>
        <w:t xml:space="preserve"> </w:t>
      </w:r>
      <w:r>
        <w:t xml:space="preserve">170 Mtoe) and -39% in 2050 (about 165 Mtoe). Such dynamics are mainly due to the fact</w:t>
      </w:r>
      <w:r>
        <w:t xml:space="preserve"> </w:t>
      </w:r>
      <w:r>
        <w:t xml:space="preserve">activity grows significantly in many energy-intensive sectors. Nevertheless, circular</w:t>
      </w:r>
      <w:r>
        <w:t xml:space="preserve"> </w:t>
      </w:r>
      <w:r>
        <w:t xml:space="preserve">economy measures, as well as material, resource and energy efficiency are able to</w:t>
      </w:r>
      <w:r>
        <w:t xml:space="preserve"> </w:t>
      </w:r>
      <w:r>
        <w:t xml:space="preserve">partially offset the economic growth and still lead to a FEC reduction in the sector (see</w:t>
      </w:r>
      <w:r>
        <w:t xml:space="preserve"> </w:t>
      </w:r>
      <w:r>
        <w:t xml:space="preserve">Section 1.4.2 and 1.4.3 for more details).</w:t>
      </w:r>
      <w:r>
        <w:br/>
      </w:r>
      <w:r>
        <w:t xml:space="preserve">Figure 34: FEC by sector,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The above-mentioned sectoral dynamics lead to a different sectoral composition of FEC,</w:t>
      </w:r>
      <w:r>
        <w:t xml:space="preserve"> </w:t>
      </w:r>
      <w:r>
        <w:t xml:space="preserve">with industry and agriculture and services becoming relatively more important over time,</w:t>
      </w:r>
      <w:r>
        <w:t xml:space="preserve"> </w:t>
      </w:r>
      <w:r>
        <w:t xml:space="preserve">while residential and transport are declining.</w:t>
      </w:r>
      <w:r>
        <w:t xml:space="preserve"> </w:t>
      </w:r>
      <w:r>
        <w:t xml:space="preserve">The different scenario assumptions in the S1-S2-S3 scenarios have a somehow limited</w:t>
      </w:r>
      <w:r>
        <w:t xml:space="preserve"> </w:t>
      </w:r>
      <w:r>
        <w:t xml:space="preserve">effect on energy consumption by sector. For each sector considered, the differences</w:t>
      </w:r>
      <w:r>
        <w:t xml:space="preserve"> </w:t>
      </w:r>
      <w:r>
        <w:t xml:space="preserve">between scenarios are limited to approximately 5%.</w:t>
      </w:r>
      <w:r>
        <w:br/>
      </w:r>
      <w:r>
        <w:t xml:space="preserve">Figure 35 compares projections for Final Energy Consumption from different energy</w:t>
      </w:r>
      <w:r>
        <w:t xml:space="preserve"> </w:t>
      </w:r>
      <w:r>
        <w:t xml:space="preserve">system models and finds good alignment between them. In 2030, all models fulfil the</w:t>
      </w:r>
      <w:r>
        <w:t xml:space="preserve"> </w:t>
      </w:r>
      <w:r>
        <w:t xml:space="preserve">target of the Energy Efficiency Directive, but different trends can be appreciated</w:t>
      </w:r>
      <w:r>
        <w:t xml:space="preserve"> </w:t>
      </w:r>
      <w:r>
        <w:t xml:space="preserve">afterwards. EU-TIMES in particular features the slowest pace of reduction in total FEC:</w:t>
      </w:r>
      <w:r>
        <w:t xml:space="preserve"> </w:t>
      </w:r>
      <w:r>
        <w:t xml:space="preserve">its total FEC is 14% and 21% higher than PRIMES’s total FEC in 2040 and 2050</w:t>
      </w:r>
      <w:r>
        <w:t xml:space="preserve"> </w:t>
      </w:r>
      <w:r>
        <w:t xml:space="preserve">respectively. EU-TIMES’ higher FEC than other models is largely explained by the fact</w:t>
      </w:r>
      <w:r>
        <w:t xml:space="preserve"> </w:t>
      </w:r>
      <w:r>
        <w:t xml:space="preserve">that it features the lowest degree of electrification of end-use sectors and the highest</w:t>
      </w:r>
      <w:r>
        <w:t xml:space="preserve"> </w:t>
      </w:r>
      <w:r>
        <w:t xml:space="preserve">reliance on RFNBOs (see also Figure 33). Results from the PRIMES and POTEnCIA</w:t>
      </w:r>
      <w:r>
        <w:t xml:space="preserve"> </w:t>
      </w:r>
      <w:r>
        <w:t xml:space="preserve">models are very close throughout the time horizon (with a maximum difference below</w:t>
      </w:r>
      <w:r>
        <w:t xml:space="preserve"> </w:t>
      </w:r>
      <w:r>
        <w:t xml:space="preserve">4% over the 2035 – 2050 period).</w:t>
      </w:r>
      <w:r>
        <w:br/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2015 2019 2030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Agriculture</w:t>
      </w:r>
      <w:r>
        <w:t xml:space="preserve"> </w:t>
      </w:r>
      <w:r>
        <w:t xml:space="preserve">Services</w:t>
      </w:r>
      <w:r>
        <w:t xml:space="preserve"> </w:t>
      </w:r>
      <w:r>
        <w:t xml:space="preserve">Industry</w:t>
      </w:r>
      <w:r>
        <w:t xml:space="preserve"> </w:t>
      </w:r>
      <w:r>
        <w:t xml:space="preserve">Residential</w:t>
      </w:r>
      <w:r>
        <w:t xml:space="preserve"> </w:t>
      </w:r>
      <w:r>
        <w:t xml:space="preserve">Transport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Figure 35: Total FEC from different energy models, 2019-2050</w:t>
      </w:r>
    </w:p>
    <w:p>
      <w:pPr>
        <w:pStyle w:val="BodyText"/>
      </w:pPr>
      <w:r>
        <w:t xml:space="preserve">Sources: AMADEUS-METIS, EU-TIMES, POLES, POTEnCIA, PRIMES</w:t>
      </w:r>
      <w:r>
        <w:t xml:space="preserve"> </w:t>
      </w:r>
      <w:r>
        <w:t xml:space="preserve">1.2.5. Energy related CO2 emissions</w:t>
      </w:r>
      <w:r>
        <w:t xml:space="preserve"> </w:t>
      </w:r>
      <w:r>
        <w:t xml:space="preserve">Figure 36 illustrates the energy-related CO2 emissions profile over the modelling time</w:t>
      </w:r>
      <w:r>
        <w:t xml:space="preserve"> </w:t>
      </w:r>
      <w:r>
        <w:t xml:space="preserve">horizon for the main energy sectors and for all the scenarios assessed. Achieving the</w:t>
      </w:r>
      <w:r>
        <w:t xml:space="preserve"> </w:t>
      </w:r>
      <w:r>
        <w:t xml:space="preserve">climate neutrality objective in 2050 requires energy-related CO2 emissions in 2040 to be</w:t>
      </w:r>
      <w:r>
        <w:t xml:space="preserve"> </w:t>
      </w:r>
      <w:r>
        <w:t xml:space="preserve">in the range of 200-590 MtCO2 across scenarios. This is equivalent to a reduction in</w:t>
      </w:r>
      <w:r>
        <w:t xml:space="preserve"> </w:t>
      </w:r>
      <w:r>
        <w:t xml:space="preserve">CO2 emissions with respect to 1990 in the range of 83-94%.</w:t>
      </w:r>
      <w:r>
        <w:br/>
      </w:r>
      <w:r>
        <w:t xml:space="preserve">Historically, the power generation and district heating sectors were the largest emitter of</w:t>
      </w:r>
      <w:r>
        <w:t xml:space="preserve"> </w:t>
      </w:r>
      <w:r>
        <w:t xml:space="preserve">CO2 from combustion processes. With about 1 010 MtCO2 emitted in 2015, it accounted</w:t>
      </w:r>
      <w:r>
        <w:t xml:space="preserve"> </w:t>
      </w:r>
      <w:r>
        <w:t xml:space="preserve">for 37% of all energy-related CO2 emissions. However, the power generation and district</w:t>
      </w:r>
      <w:r>
        <w:t xml:space="preserve"> </w:t>
      </w:r>
      <w:r>
        <w:t xml:space="preserve">heating sectors reduce CO2 emissions at the fastest pace across the energy system and are</w:t>
      </w:r>
      <w:r>
        <w:t xml:space="preserve"> </w:t>
      </w:r>
      <w:r>
        <w:t xml:space="preserve">the first achieving net-zero emissions. This result is in line with the findings of the public</w:t>
      </w:r>
      <w:r>
        <w:t xml:space="preserve"> </w:t>
      </w:r>
      <w:r>
        <w:t xml:space="preserve">consultation on the EU climate targets for 2040, where respondents have most frequently</w:t>
      </w:r>
      <w:r>
        <w:t xml:space="preserve"> </w:t>
      </w:r>
      <w:r>
        <w:t xml:space="preserve">identified “power generation and and district heating” as the first sector to achieve</w:t>
      </w:r>
      <w:r>
        <w:t xml:space="preserve"> </w:t>
      </w:r>
      <w:r>
        <w:t xml:space="preserve">climate neutrality. In 2040, less than 10 MtCO2 are emitted from these sectors in the S2</w:t>
      </w:r>
      <w:r>
        <w:t xml:space="preserve"> </w:t>
      </w:r>
      <w:r>
        <w:t xml:space="preserve">scenario (99% reduction with respect to 1990) and under the S3 scenario negative</w:t>
      </w:r>
      <w:r>
        <w:t xml:space="preserve"> </w:t>
      </w:r>
      <w:r>
        <w:t xml:space="preserve">emissions are achieved (thanks to BECCS) shortly before 2040. In 2050, these sectors</w:t>
      </w:r>
      <w:r>
        <w:t xml:space="preserve"> </w:t>
      </w:r>
      <w:r>
        <w:t xml:space="preserve">become a negative emitter in all the scenarios analysed, with 30-40 MtCO2 of negative</w:t>
      </w:r>
      <w:r>
        <w:t xml:space="preserve"> </w:t>
      </w:r>
      <w:r>
        <w:t xml:space="preserve">emissions, thus partially offsetting residual emissions from the other sectors. The</w:t>
      </w:r>
      <w:r>
        <w:t xml:space="preserve"> </w:t>
      </w:r>
      <w:r>
        <w:t xml:space="preserve">relatively fast pace in CO2 emission reductions from the power generation and district</w:t>
      </w:r>
      <w:r>
        <w:t xml:space="preserve"> </w:t>
      </w:r>
      <w:r>
        <w:t xml:space="preserve">heating sectors is explained by the stringency of the emission reduction target and the</w:t>
      </w:r>
      <w:r>
        <w:t xml:space="preserve"> </w:t>
      </w:r>
      <w:r>
        <w:t xml:space="preserve">availability of a broad set of technologies to generate carbon-free electricity backed by</w:t>
      </w:r>
      <w:r>
        <w:t xml:space="preserve"> </w:t>
      </w:r>
      <w:r>
        <w:t xml:space="preserve">proven storage technologies. The reductions in energy-related emissions for the other</w:t>
      </w:r>
      <w:r>
        <w:t xml:space="preserve"> </w:t>
      </w:r>
      <w:r>
        <w:t xml:space="preserve">energy sectors is discussed in dedicated sectoral sections.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Figure 36: Domestic energy-related CO2 emissions by sector, 2015-2050</w:t>
      </w:r>
    </w:p>
    <w:p>
      <w:pPr>
        <w:pStyle w:val="BodyText"/>
      </w:pPr>
      <w:r>
        <w:t xml:space="preserve">Note: the transport sector covers road, rail, inland navigation, domestic aviation and other transport.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The energy-related CO2 emission reduction trajectory is very similar in the S2 scenario</w:t>
      </w:r>
      <w:r>
        <w:t xml:space="preserve"> </w:t>
      </w:r>
      <w:r>
        <w:t xml:space="preserve">across the energy models used in this impact assessment. Overall, there is good</w:t>
      </w:r>
      <w:r>
        <w:t xml:space="preserve"> </w:t>
      </w:r>
      <w:r>
        <w:t xml:space="preserve">agreement among the five energy models in identifying that energy-related CO2</w:t>
      </w:r>
      <w:r>
        <w:t xml:space="preserve"> </w:t>
      </w:r>
      <w:r>
        <w:t xml:space="preserve">emissions in 2040 should reduce between 86% and 90% compared to 1990 (Figure 37).</w:t>
      </w:r>
      <w:r>
        <w:t xml:space="preserve"> </w:t>
      </w:r>
      <w:r>
        <w:t xml:space="preserve">The AMADEUS-METIS model attains the largest CO2 emission reductions in 2050 and</w:t>
      </w:r>
      <w:r>
        <w:t xml:space="preserve"> </w:t>
      </w:r>
      <w:r>
        <w:t xml:space="preserve">EU-TIMES is the least ambitious model. In 2050, three models (i.e., AMADEUS-</w:t>
      </w:r>
      <w:r>
        <w:t xml:space="preserve"> </w:t>
      </w:r>
      <w:r>
        <w:t xml:space="preserve">METIS, POLES and POTEnCIA) attain negative energy-related CO2 emissions, while</w:t>
      </w:r>
      <w:r>
        <w:t xml:space="preserve"> </w:t>
      </w:r>
      <w:r>
        <w:t xml:space="preserve">the other two models achieve almost net-zero emissions.</w:t>
      </w:r>
      <w:r>
        <w:br/>
      </w:r>
      <w:r>
        <w:t xml:space="preserve">Figure 37: Comparison of domestic energy-related CO2 emissions, 2021-2050</w:t>
      </w:r>
    </w:p>
    <w:p>
      <w:pPr>
        <w:pStyle w:val="BodyText"/>
      </w:pPr>
      <w:r>
        <w:t xml:space="preserve">Note: the figures for the five energy models refer to the S2 scenario.</w:t>
      </w:r>
      <w:r>
        <w:t xml:space="preserve"> </w:t>
      </w:r>
      <w:r>
        <w:t xml:space="preserve">Sources: AMADEUS-METIS, EU-TIMES, POLES, POTEnCIA, PRIMES.</w:t>
      </w:r>
    </w:p>
    <w:p>
      <w:pPr>
        <w:pStyle w:val="BodyText"/>
      </w:pPr>
      <w:r>
        <w:t xml:space="preserve">-500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 LIFE S1</w:t>
      </w:r>
      <w:r>
        <w:t xml:space="preserve"> </w:t>
      </w:r>
      <w:r>
        <w:t xml:space="preserve">S2</w:t>
      </w:r>
      <w:r>
        <w:t xml:space="preserve"> </w:t>
      </w:r>
      <w:r>
        <w:t xml:space="preserve">S3 LIFE</w:t>
      </w:r>
      <w:r>
        <w:t xml:space="preserve"> </w:t>
      </w:r>
      <w:r>
        <w:t xml:space="preserve">201520202030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</w:t>
      </w:r>
      <w:r>
        <w:t xml:space="preserve"> </w:t>
      </w:r>
      <w:r>
        <w:t xml:space="preserve">Agriculture</w:t>
      </w:r>
      <w:r>
        <w:t xml:space="preserve"> </w:t>
      </w:r>
      <w:r>
        <w:t xml:space="preserve">Services</w:t>
      </w:r>
      <w:r>
        <w:t xml:space="preserve"> </w:t>
      </w:r>
      <w:r>
        <w:t xml:space="preserve">Energy branch</w:t>
      </w:r>
      <w:r>
        <w:t xml:space="preserve"> </w:t>
      </w:r>
      <w:r>
        <w:t xml:space="preserve">Residential</w:t>
      </w:r>
      <w:r>
        <w:t xml:space="preserve"> </w:t>
      </w:r>
      <w:r>
        <w:t xml:space="preserve">Industry</w:t>
      </w:r>
      <w:r>
        <w:t xml:space="preserve"> </w:t>
      </w:r>
      <w:r>
        <w:t xml:space="preserve">Transport</w:t>
      </w:r>
      <w:r>
        <w:t xml:space="preserve"> </w:t>
      </w:r>
      <w:r>
        <w:t xml:space="preserve">Power Generation/District</w:t>
      </w:r>
      <w:r>
        <w:t xml:space="preserve"> </w:t>
      </w:r>
      <w:r>
        <w:t xml:space="preserve">Heating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1.2.6. Raw materials’ needs</w:t>
      </w:r>
      <w:r>
        <w:t xml:space="preserve"> </w:t>
      </w:r>
      <w:r>
        <w:t xml:space="preserve">The manufacturing and deployment of net-zero technologies will increase the needs for</w:t>
      </w:r>
      <w:r>
        <w:t xml:space="preserve"> </w:t>
      </w:r>
      <w:r>
        <w:t xml:space="preserve">Critical Raw Materials (CRMs). With the scenario S3, the deployment of five net-zero</w:t>
      </w:r>
      <w:r>
        <w:t xml:space="preserve"> </w:t>
      </w:r>
      <w:r>
        <w:t xml:space="preserve">technologies (wind turbines, solar PV, batteries, electrolysers and heat pumps) in the</w:t>
      </w:r>
      <w:r>
        <w:t xml:space="preserve"> </w:t>
      </w:r>
      <w:r>
        <w:t xml:space="preserve">decade 2031-2040 would imply the need of up to 500 000 tonnes of copper each year.</w:t>
      </w:r>
      <w:r>
        <w:t xml:space="preserve"> </w:t>
      </w:r>
      <w:r>
        <w:t xml:space="preserve">This compares with a global copper demand of 26 million tonnes in 2022 according to</w:t>
      </w:r>
      <w:r>
        <w:t xml:space="preserve"> </w:t>
      </w:r>
      <w:r>
        <w:t xml:space="preserve">the IEA, including 370 000 tonnes for electric vehicles and 1.2 million tonnes for wind</w:t>
      </w:r>
      <w:r>
        <w:t xml:space="preserve"> </w:t>
      </w:r>
      <w:r>
        <w:t xml:space="preserve">and solar. In 2030, global demand for copper could achieve 261 million tonnes in the Net</w:t>
      </w:r>
      <w:r>
        <w:t xml:space="preserve"> </w:t>
      </w:r>
      <w:r>
        <w:t xml:space="preserve">Zero Emissions by 2050 scenario of the IEA (60).</w:t>
      </w:r>
      <w:r>
        <w:br/>
      </w:r>
      <w:r>
        <w:t xml:space="preserve">Wind power on its own would create needs of up to 50 000 tonnes of manganese and</w:t>
      </w:r>
      <w:r>
        <w:t xml:space="preserve"> </w:t>
      </w:r>
      <w:r>
        <w:t xml:space="preserve">125 000 tonnes of copper per year. Batteries would create needs of up to 900 000 tonnes</w:t>
      </w:r>
      <w:r>
        <w:t xml:space="preserve"> </w:t>
      </w:r>
      <w:r>
        <w:t xml:space="preserve">of aluminium, 80 000 tonnes of lithium and 60 000 tonnes of cobalt per year. Solar PV</w:t>
      </w:r>
      <w:r>
        <w:t xml:space="preserve"> </w:t>
      </w:r>
      <w:r>
        <w:t xml:space="preserve">would also create needs of gallium (50 tonnes per year) and germanium (3 000 tonnes per</w:t>
      </w:r>
      <w:r>
        <w:t xml:space="preserve"> </w:t>
      </w:r>
      <w:r>
        <w:t xml:space="preserve">year). Raw materials’ needs would be lower in scenarios S1 and S2, as in 2040, net</w:t>
      </w:r>
      <w:r>
        <w:t xml:space="preserve"> </w:t>
      </w:r>
      <w:r>
        <w:t xml:space="preserve">installed renewable power capacity is lower by 7% in S2 and by 16% in S1 compared</w:t>
      </w:r>
      <w:r>
        <w:t xml:space="preserve"> </w:t>
      </w:r>
      <w:r>
        <w:t xml:space="preserve">with S3. As regards batteries though, deployment is relatively comparable in S1, S2 and</w:t>
      </w:r>
      <w:r>
        <w:t xml:space="preserve"> </w:t>
      </w:r>
      <w:r>
        <w:t xml:space="preserve">S3, as battery capacity in 2040 is lower by only 1% in S2, and by 2.6% in S1 compared</w:t>
      </w:r>
      <w:r>
        <w:t xml:space="preserve"> </w:t>
      </w:r>
      <w:r>
        <w:t xml:space="preserve">with S3. As a comparison, global lithium demand in 2022 was 130 000 tonnes, including</w:t>
      </w:r>
      <w:r>
        <w:t xml:space="preserve"> </w:t>
      </w:r>
      <w:r>
        <w:t xml:space="preserve">69 000 tonnes for electric vehicles according to the IEA. In 2030, global demand for</w:t>
      </w:r>
      <w:r>
        <w:t xml:space="preserve"> </w:t>
      </w:r>
      <w:r>
        <w:t xml:space="preserve">lithium could be as high as 721 000 tonnes in the Net Zero Emissions by 2050 scenario</w:t>
      </w:r>
      <w:r>
        <w:t xml:space="preserve"> </w:t>
      </w:r>
      <w:r>
        <w:t xml:space="preserve">of the IEA (61).</w:t>
      </w:r>
      <w:r>
        <w:t xml:space="preserve"> </w:t>
      </w:r>
      <w:r>
        <w:t xml:space="preserve">1.3.</w:t>
      </w:r>
      <w:r>
        <w:t xml:space="preserve"> </w:t>
      </w:r>
      <w:r>
        <w:t xml:space="preserve">Buildings</w:t>
      </w:r>
      <w:r>
        <w:br/>
      </w:r>
      <w:r>
        <w:t xml:space="preserve">The building sector (62) (including the residential and services sectors) accounted for</w:t>
      </w:r>
      <w:r>
        <w:t xml:space="preserve"> </w:t>
      </w:r>
      <w:r>
        <w:t xml:space="preserve">42% of final energy consumption in the EU in 2021 (63). The projections discussed below</w:t>
      </w:r>
      <w:r>
        <w:t xml:space="preserve"> </w:t>
      </w:r>
      <w:r>
        <w:t xml:space="preserve">show that in this decade energy efficiency measures – i.e., renovating the building</w:t>
      </w:r>
      <w:r>
        <w:t xml:space="preserve"> </w:t>
      </w:r>
      <w:r>
        <w:t xml:space="preserve">envelope and adopting minimum energy performance standards – is the main lever for</w:t>
      </w:r>
      <w:r>
        <w:t xml:space="preserve"> </w:t>
      </w:r>
      <w:r>
        <w:t xml:space="preserve">buildings to contribute to the Fit for 55 targets in 2030. By reducing the useful energy</w:t>
      </w:r>
      <w:r>
        <w:t xml:space="preserve"> </w:t>
      </w:r>
      <w:r>
        <w:t xml:space="preserve">needs, energy renovation enables to diminish the size of the heating and cooling</w:t>
      </w:r>
      <w:r>
        <w:t xml:space="preserve"> </w:t>
      </w:r>
      <w:r>
        <w:t xml:space="preserve">equipment, thus reducing related capital and running costs and shielding vulnerable</w:t>
      </w:r>
      <w:r>
        <w:t xml:space="preserve"> </w:t>
      </w:r>
      <w:r>
        <w:t xml:space="preserve">consumers from the impact of increasing energy prices. Fuel switching from fossils to</w:t>
      </w:r>
      <w:r>
        <w:t xml:space="preserve"> </w:t>
      </w:r>
      <w:r>
        <w:t xml:space="preserve">renewable electricity for space heating is a key decarbonisation lever throughout the time</w:t>
      </w:r>
      <w:r>
        <w:t xml:space="preserve"> </w:t>
      </w:r>
      <w:r>
        <w:t xml:space="preserve">horizon and is also essential to contribute to security of supply. In order to achieve</w:t>
      </w:r>
      <w:r>
        <w:t xml:space="preserve"> </w:t>
      </w:r>
      <w:r>
        <w:t xml:space="preserve">climate neutrality by 2050 and to achieve significant emission reductions already in</w:t>
      </w:r>
      <w:r>
        <w:t xml:space="preserve"> </w:t>
      </w:r>
      <w:r>
        <w:t xml:space="preserve">2040, electrification in buildings needs to be intensified and – to a lower extent -</w:t>
      </w:r>
      <w:r>
        <w:t xml:space="preserve"> </w:t>
      </w:r>
      <w:r>
        <w:t xml:space="preserve">accompanied by fuel switch to low-carbon gases. Besides, the push for high standard</w:t>
      </w:r>
      <w:r>
        <w:t xml:space="preserve"> </w:t>
      </w:r>
      <w:r>
        <w:t xml:space="preserve">renovation must be kept beyond 2030 at higher rates than historically.</w:t>
      </w:r>
    </w:p>
    <w:p>
      <w:pPr>
        <w:pStyle w:val="Compact"/>
        <w:numPr>
          <w:ilvl w:val="0"/>
          <w:numId w:val="1025"/>
        </w:numPr>
      </w:pPr>
      <w:r>
        <w:t xml:space="preserve">IEA (2023), Critical Minerals Data Explorer, IEA, Paris https://www.iea.org/data-and-statistics/data-</w:t>
      </w:r>
      <w:r>
        <w:t xml:space="preserve"> </w:t>
      </w:r>
      <w:r>
        <w:t xml:space="preserve">tools/critical-minerals-data-explorer. Accessed on 05 December 2023.</w:t>
      </w:r>
    </w:p>
    <w:p>
      <w:pPr>
        <w:pStyle w:val="Compact"/>
        <w:numPr>
          <w:ilvl w:val="0"/>
          <w:numId w:val="1025"/>
        </w:numPr>
      </w:pPr>
      <w:r>
        <w:t xml:space="preserve">Ibid</w:t>
      </w:r>
    </w:p>
    <w:p>
      <w:pPr>
        <w:pStyle w:val="Compact"/>
        <w:numPr>
          <w:ilvl w:val="0"/>
          <w:numId w:val="1025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</w:p>
    <w:p>
      <w:pPr>
        <w:pStyle w:val="Compact"/>
        <w:numPr>
          <w:ilvl w:val="0"/>
          <w:numId w:val="1025"/>
        </w:numPr>
      </w:pPr>
      <w:r>
        <w:t xml:space="preserve">Eurostat, Complete Energy Balances European Union (27 countries) – 2021, 2023.</w:t>
      </w:r>
    </w:p>
    <w:p>
      <w:pPr>
        <w:pStyle w:val="FirstParagraph"/>
      </w:pPr>
      <w:r>
        <w:t xml:space="preserve">49</w:t>
      </w:r>
    </w:p>
    <w:p>
      <w:pPr>
        <w:pStyle w:val="BodyText"/>
      </w:pPr>
      <w:r>
        <w:t xml:space="preserve">1.3.1. Buildings activity</w:t>
      </w:r>
      <w:r>
        <w:t xml:space="preserve"> </w:t>
      </w:r>
      <w:r>
        <w:t xml:space="preserve">In the residential sector, the total floor area of households is projected to grow by 21%</w:t>
      </w:r>
      <w:r>
        <w:t xml:space="preserve"> </w:t>
      </w:r>
      <w:r>
        <w:t xml:space="preserve">and 26% respectively in 2040 and 2050 with respect to 2015. Although the European</w:t>
      </w:r>
      <w:r>
        <w:t xml:space="preserve"> </w:t>
      </w:r>
      <w:r>
        <w:t xml:space="preserve">population is projected to remain quite stable in the first half of the century (less than 1%</w:t>
      </w:r>
      <w:r>
        <w:t xml:space="preserve"> </w:t>
      </w:r>
      <w:r>
        <w:t xml:space="preserve">reduction in 2050 compared to 2015), the total floor area of households grows due to two</w:t>
      </w:r>
      <w:r>
        <w:t xml:space="preserve"> </w:t>
      </w:r>
      <w:r>
        <w:t xml:space="preserve">concurring dynamics:</w:t>
      </w:r>
      <w:r>
        <w:t xml:space="preserve"> </w:t>
      </w:r>
      <w:r>
        <w:t xml:space="preserve">• The average number of inhabitants per household is projected to reduce over</w:t>
      </w:r>
      <w:r>
        <w:t xml:space="preserve"> </w:t>
      </w:r>
      <w:r>
        <w:t xml:space="preserve">time, which tends to increase the number of dwellings.</w:t>
      </w:r>
      <w:r>
        <w:br/>
      </w:r>
      <w:r>
        <w:t xml:space="preserve">• The average size of the houses is projected to grow, as new houses have</w:t>
      </w:r>
      <w:r>
        <w:t xml:space="preserve"> </w:t>
      </w:r>
      <w:r>
        <w:t xml:space="preserve">significantly larger surfaces than the existing ones.</w:t>
      </w:r>
      <w:r>
        <w:br/>
      </w:r>
      <w:r>
        <w:t xml:space="preserve">In the commercial and services sector, the overall floor area of the buildings is projected</w:t>
      </w:r>
      <w:r>
        <w:t xml:space="preserve"> </w:t>
      </w:r>
      <w:r>
        <w:t xml:space="preserve">to slightly reduce reaching in 2040 and beyond a floor area around 5% higher than 2015.</w:t>
      </w:r>
      <w:r>
        <w:t xml:space="preserve"> </w:t>
      </w:r>
      <w:r>
        <w:t xml:space="preserve">These socio-economic dynamics push up the energy consumption in building, which</w:t>
      </w:r>
      <w:r>
        <w:t xml:space="preserve"> </w:t>
      </w:r>
      <w:r>
        <w:t xml:space="preserve">makes the effort to mitigate energy demand and CO2 emissions of buildings harder.</w:t>
      </w:r>
      <w:r>
        <w:t xml:space="preserve"> </w:t>
      </w:r>
      <w:r>
        <w:t xml:space="preserve">Heating degree days (HDD) and cooling degree days (CDD) are climate-based indicators</w:t>
      </w:r>
      <w:r>
        <w:t xml:space="preserve"> </w:t>
      </w:r>
      <w:r>
        <w:t xml:space="preserve">commonly used to represent buildings’ space heating and cooling needs in energy system</w:t>
      </w:r>
      <w:r>
        <w:t xml:space="preserve"> </w:t>
      </w:r>
      <w:r>
        <w:t xml:space="preserve">models. HDDs and CDDs in historic years are based on EUROSTAT, and projections</w:t>
      </w:r>
      <w:r>
        <w:t xml:space="preserve"> </w:t>
      </w:r>
      <w:r>
        <w:t xml:space="preserve">depart from statistics considering the effect of climate change on these indicators based</w:t>
      </w:r>
      <w:r>
        <w:t xml:space="preserve"> </w:t>
      </w:r>
      <w:r>
        <w:t xml:space="preserve">on the findings of climate models (64). Projections of HDDs and CDDs are the same</w:t>
      </w:r>
      <w:r>
        <w:t xml:space="preserve"> </w:t>
      </w:r>
      <w:r>
        <w:t xml:space="preserve">across the S1-S2-S3 scenarios, where - due to rising global average temperature - in the</w:t>
      </w:r>
      <w:r>
        <w:t xml:space="preserve"> </w:t>
      </w:r>
      <w:r>
        <w:t xml:space="preserve">future HDDs are assumed to reduce in all member states with respect to today. In</w:t>
      </w:r>
      <w:r>
        <w:t xml:space="preserve"> </w:t>
      </w:r>
      <w:r>
        <w:t xml:space="preserve">particular, in most member states the reduction in 2050 is in the range of -3/-11%</w:t>
      </w:r>
      <w:r>
        <w:t xml:space="preserve"> </w:t>
      </w:r>
      <w:r>
        <w:t xml:space="preserve">compared to 2022. Consistently, CDDs are assumed to increase in all Member States</w:t>
      </w:r>
      <w:r>
        <w:t xml:space="preserve"> </w:t>
      </w:r>
      <w:r>
        <w:t xml:space="preserve">compared to today. In particular, Member States characterised by colder climates, which</w:t>
      </w:r>
      <w:r>
        <w:t xml:space="preserve"> </w:t>
      </w:r>
      <w:r>
        <w:t xml:space="preserve">today do not use air conditioning or make very limited use of it, are expected to increase</w:t>
      </w:r>
      <w:r>
        <w:t xml:space="preserve"> </w:t>
      </w:r>
      <w:r>
        <w:t xml:space="preserve">CDDs the most in the future in relative terms, in some cases more than tripling compared</w:t>
      </w:r>
      <w:r>
        <w:t xml:space="preserve"> </w:t>
      </w:r>
      <w:r>
        <w:t xml:space="preserve">to today (65). LIFE assumes a decrease/increase of the thermostat setpoint for heating and</w:t>
      </w:r>
      <w:r>
        <w:t xml:space="preserve"> </w:t>
      </w:r>
      <w:r>
        <w:t xml:space="preserve">cooling respectively to mimic behavioural change related to thermal comfort. The</w:t>
      </w:r>
      <w:r>
        <w:t xml:space="preserve"> </w:t>
      </w:r>
      <w:r>
        <w:t xml:space="preserve">thermostat setpoint is changed gradually, reaching +/-1.5 degrees in 2040 and remaining</w:t>
      </w:r>
      <w:r>
        <w:t xml:space="preserve"> </w:t>
      </w:r>
      <w:r>
        <w:t xml:space="preserve">at that level until 2050.</w:t>
      </w:r>
      <w:r>
        <w:t xml:space="preserve"> </w:t>
      </w:r>
      <w:r>
        <w:t xml:space="preserve">1.3.2. Energy efficiency in buildings</w:t>
      </w:r>
      <w:r>
        <w:t xml:space="preserve"> </w:t>
      </w:r>
      <w:r>
        <w:t xml:space="preserve">Energy efficiency in buildings consists in two main types of action. For existing</w:t>
      </w:r>
      <w:r>
        <w:t xml:space="preserve"> </w:t>
      </w:r>
      <w:r>
        <w:t xml:space="preserve">buildings, it implies renovating the building envelope - in order to reduce the demand for</w:t>
      </w:r>
      <w:r>
        <w:t xml:space="preserve"> </w:t>
      </w:r>
      <w:r>
        <w:t xml:space="preserve">space heating and cooling while ensuring high comfort levels – and deploying</w:t>
      </w:r>
      <w:r>
        <w:t xml:space="preserve"> </w:t>
      </w:r>
      <w:r>
        <w:t xml:space="preserve">renewables and energy efficient equipment for heating, cooling, cooking and appliances.</w:t>
      </w:r>
    </w:p>
    <w:p>
      <w:pPr>
        <w:pStyle w:val="Compact"/>
        <w:numPr>
          <w:ilvl w:val="0"/>
          <w:numId w:val="1026"/>
        </w:numPr>
      </w:pPr>
      <w:r>
        <w:t xml:space="preserve">Dosio, A, Fischer, E.M. (2018): Will half a degree make a difference? Robust projection of indices of</w:t>
      </w:r>
      <w:r>
        <w:t xml:space="preserve"> </w:t>
      </w:r>
      <w:r>
        <w:t xml:space="preserve">mean and extreme climate in Europe under 1.5°C, 2°C and 3°C global warming, Geophysical</w:t>
      </w:r>
      <w:r>
        <w:t xml:space="preserve"> </w:t>
      </w:r>
      <w:r>
        <w:t xml:space="preserve">Research Letter, 45(2), 935-944, DOI:10.1002/2017GL076222</w:t>
      </w:r>
    </w:p>
    <w:p>
      <w:pPr>
        <w:pStyle w:val="Compact"/>
        <w:numPr>
          <w:ilvl w:val="0"/>
          <w:numId w:val="1026"/>
        </w:numPr>
      </w:pPr>
      <w:r>
        <w:t xml:space="preserve">Energy consumption associated to cooling buildings is much lower than the one associated to heating</w:t>
      </w:r>
      <w:r>
        <w:t xml:space="preserve"> </w:t>
      </w:r>
      <w:r>
        <w:t xml:space="preserve">and thus a large growth in CDDs provides a limited contribution to the overall change in building</w:t>
      </w:r>
      <w:r>
        <w:t xml:space="preserve"> </w:t>
      </w:r>
      <w:r>
        <w:t xml:space="preserve">energy (see Figure and Figure ).</w:t>
      </w:r>
    </w:p>
    <w:p>
      <w:pPr>
        <w:pStyle w:val="FirstParagraph"/>
      </w:pPr>
      <w:r>
        <w:t xml:space="preserve">50</w:t>
      </w:r>
    </w:p>
    <w:p>
      <w:pPr>
        <w:pStyle w:val="BodyText"/>
      </w:pPr>
      <w:r>
        <w:t xml:space="preserve">For new buildings, it implies sticking to the minimum energy performance standards, as</w:t>
      </w:r>
      <w:r>
        <w:t xml:space="preserve"> </w:t>
      </w:r>
      <w:r>
        <w:t xml:space="preserve">outlined in the Energy Performance of Buildings Directive (EPBD).</w:t>
      </w:r>
      <w:r>
        <w:t xml:space="preserve"> </w:t>
      </w:r>
      <w:r>
        <w:t xml:space="preserve">The current policy context is expected to significantly reduce energy consumption in</w:t>
      </w:r>
      <w:r>
        <w:t xml:space="preserve"> </w:t>
      </w:r>
      <w:r>
        <w:t xml:space="preserve">buildings already in the course of this decade. Climate neutrality by 2050 requires</w:t>
      </w:r>
      <w:r>
        <w:t xml:space="preserve"> </w:t>
      </w:r>
      <w:r>
        <w:t xml:space="preserve">reductions in buildings’ energy demand beyond the levels reached in 2030. Encouraged</w:t>
      </w:r>
      <w:r>
        <w:t xml:space="preserve"> </w:t>
      </w:r>
      <w:r>
        <w:t xml:space="preserve">by several policy initiatives that extend their impact after 2030, as well as by possible</w:t>
      </w:r>
      <w:r>
        <w:t xml:space="preserve"> </w:t>
      </w:r>
      <w:r>
        <w:t xml:space="preserve">long-term effects of current energy crisis and pressure on gas imports, energy savings in</w:t>
      </w:r>
      <w:r>
        <w:t xml:space="preserve"> </w:t>
      </w:r>
      <w:r>
        <w:t xml:space="preserve">buildings reach 35-38% across scenarios in 2040 and 40% in 2050. The residential sector</w:t>
      </w:r>
      <w:r>
        <w:t xml:space="preserve"> </w:t>
      </w:r>
      <w:r>
        <w:t xml:space="preserve">would contribute more than the services sector to the overall energy savings in buildings,</w:t>
      </w:r>
      <w:r>
        <w:t xml:space="preserve"> </w:t>
      </w:r>
      <w:r>
        <w:t xml:space="preserve">with 29% savings in 2030 with respect to 2015 (vs 23% savings in services), 39-41%</w:t>
      </w:r>
      <w:r>
        <w:t xml:space="preserve"> </w:t>
      </w:r>
      <w:r>
        <w:t xml:space="preserve">across scenarios in 2040 (27-32% savings in services) and 44% in 2050 (31% savings in</w:t>
      </w:r>
      <w:r>
        <w:t xml:space="preserve"> </w:t>
      </w:r>
      <w:r>
        <w:t xml:space="preserve">services).</w:t>
      </w:r>
      <w:r>
        <w:t xml:space="preserve"> </w:t>
      </w:r>
      <w:r>
        <w:t xml:space="preserve">The most important energy use in buildings is for space heating, which in 2015</w:t>
      </w:r>
      <w:r>
        <w:t xml:space="preserve"> </w:t>
      </w:r>
      <w:r>
        <w:t xml:space="preserve">accounted for more than three-quarters of final energy consumption in buildings.</w:t>
      </w:r>
      <w:r>
        <w:t xml:space="preserve"> </w:t>
      </w:r>
      <w:r>
        <w:t xml:space="preserve">Figure 38: FEC in the residential sector by energy service, 2015-2050</w:t>
      </w:r>
    </w:p>
    <w:p>
      <w:pPr>
        <w:pStyle w:val="BodyText"/>
      </w:pPr>
      <w:r>
        <w:t xml:space="preserve">Note: heating refers to both space heating and water heating.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201520202030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Heating and cooking</w:t>
      </w:r>
      <w:r>
        <w:t xml:space="preserve"> </w:t>
      </w:r>
      <w:r>
        <w:t xml:space="preserve">Electric appliances and</w:t>
      </w:r>
      <w:r>
        <w:t xml:space="preserve"> </w:t>
      </w:r>
      <w:r>
        <w:t xml:space="preserve">lighting</w:t>
      </w:r>
      <w:r>
        <w:t xml:space="preserve"> </w:t>
      </w:r>
      <w:r>
        <w:t xml:space="preserve">Cooling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Figure 39: FEC in the services sector by energy service, 2015-2050</w:t>
      </w:r>
    </w:p>
    <w:p>
      <w:pPr>
        <w:pStyle w:val="BodyText"/>
      </w:pPr>
      <w:r>
        <w:t xml:space="preserve">Note: “Heating” refers to both space heating and water heating.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Final energy consumption related to heating in buildings is projected to reduce by one</w:t>
      </w:r>
      <w:r>
        <w:t xml:space="preserve"> </w:t>
      </w:r>
      <w:r>
        <w:t xml:space="preserve">third in 2030 compared to 2015, by 46-47% across the S1-S2-S3 scenarios and by 51% in</w:t>
      </w:r>
      <w:r>
        <w:t xml:space="preserve"> </w:t>
      </w:r>
      <w:r>
        <w:t xml:space="preserve">2050, with almost identical dynamics in the residential and services sector (66). Final</w:t>
      </w:r>
      <w:r>
        <w:t xml:space="preserve"> </w:t>
      </w:r>
      <w:r>
        <w:t xml:space="preserve">energy consumption related to cooling buildings accounted for only 2% of the total in</w:t>
      </w:r>
      <w:r>
        <w:t xml:space="preserve"> </w:t>
      </w:r>
      <w:r>
        <w:t xml:space="preserve">2015, but its share is projected to double by 2040 mainly due to higher comfort needs.</w:t>
      </w:r>
      <w:r>
        <w:t xml:space="preserve"> </w:t>
      </w:r>
      <w:r>
        <w:t xml:space="preserve">The final energy consumption of appliances and lighting accounted for less than 20% of</w:t>
      </w:r>
      <w:r>
        <w:t xml:space="preserve"> </w:t>
      </w:r>
      <w:r>
        <w:t xml:space="preserve">total energy consumption in buildings and the dynamics of this end-use sector are</w:t>
      </w:r>
      <w:r>
        <w:t xml:space="preserve"> </w:t>
      </w:r>
      <w:r>
        <w:t xml:space="preserve">outlined in detail in Section 8.1.3.4 below.</w:t>
      </w:r>
      <w:r>
        <w:t xml:space="preserve"> </w:t>
      </w:r>
      <w:r>
        <w:t xml:space="preserve">The reduction of energy demand for space heating &amp; cooling is largely achieved via the</w:t>
      </w:r>
      <w:r>
        <w:t xml:space="preserve"> </w:t>
      </w:r>
      <w:r>
        <w:t xml:space="preserve">improvement of the thermal integrity of the building envelopes via increased renovation</w:t>
      </w:r>
      <w:r>
        <w:t xml:space="preserve"> </w:t>
      </w:r>
      <w:r>
        <w:t xml:space="preserve">rates of existing buildings and high energy performance standards for renovated and new</w:t>
      </w:r>
      <w:r>
        <w:t xml:space="preserve"> </w:t>
      </w:r>
      <w:r>
        <w:t xml:space="preserve">buildings. Renovation rates of the building envelope increase significantly in the future</w:t>
      </w:r>
      <w:r>
        <w:t xml:space="preserve"> </w:t>
      </w:r>
      <w:r>
        <w:t xml:space="preserve">compared to historically observed rates. Higher renovation rates are encouraged by</w:t>
      </w:r>
      <w:r>
        <w:t xml:space="preserve"> </w:t>
      </w:r>
      <w:r>
        <w:t xml:space="preserve">existing policies (e.g., the EPBD, ETS2, Energy Efficiency Directive) and increasing</w:t>
      </w:r>
      <w:r>
        <w:t xml:space="preserve"> </w:t>
      </w:r>
      <w:r>
        <w:t xml:space="preserve">material circularity, and assuming that market failures - such as access to finance and</w:t>
      </w:r>
      <w:r>
        <w:t xml:space="preserve"> </w:t>
      </w:r>
      <w:r>
        <w:t xml:space="preserve">split-incentives - that currently limit renovations are addressed.</w:t>
      </w:r>
    </w:p>
    <w:p>
      <w:pPr>
        <w:pStyle w:val="Compact"/>
        <w:numPr>
          <w:ilvl w:val="0"/>
          <w:numId w:val="1027"/>
        </w:numPr>
      </w:pPr>
      <w:r>
        <w:t xml:space="preserve">The figures on heating include energy used for space heating, water heating and cooking, although the</w:t>
      </w:r>
      <w:r>
        <w:t xml:space="preserve"> </w:t>
      </w:r>
      <w:r>
        <w:t xml:space="preserve">two latter have minor contributions.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201520202030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Heating and cooking</w:t>
      </w:r>
      <w:r>
        <w:t xml:space="preserve"> </w:t>
      </w:r>
      <w:r>
        <w:t xml:space="preserve">Electric appliances and</w:t>
      </w:r>
      <w:r>
        <w:t xml:space="preserve"> </w:t>
      </w:r>
      <w:r>
        <w:t xml:space="preserve">lighting</w:t>
      </w:r>
      <w:r>
        <w:t xml:space="preserve"> </w:t>
      </w:r>
      <w:r>
        <w:t xml:space="preserve">Cooling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Figure 40: Renovation rates in the residential and services sectors, 2020-2050</w:t>
      </w:r>
    </w:p>
    <w:p>
      <w:pPr>
        <w:pStyle w:val="BodyText"/>
      </w:pPr>
      <w:r>
        <w:t xml:space="preserve">Source: PRIMES</w:t>
      </w:r>
      <w:r>
        <w:t xml:space="preserve"> </w:t>
      </w:r>
      <w:r>
        <w:t xml:space="preserve">Over the course of this decade, the residential sector doubles the building shell</w:t>
      </w:r>
      <w:r>
        <w:t xml:space="preserve"> </w:t>
      </w:r>
      <w:r>
        <w:t xml:space="preserve">renovation rate, from 0.9% in 2020 to 2.2% in 2030 and 1.4% to 1.9% in 2040. The</w:t>
      </w:r>
      <w:r>
        <w:t xml:space="preserve"> </w:t>
      </w:r>
      <w:r>
        <w:t xml:space="preserve">faster renovation rate of buildings than historically is in line with the findings of the</w:t>
      </w:r>
      <w:r>
        <w:t xml:space="preserve"> </w:t>
      </w:r>
      <w:r>
        <w:t xml:space="preserve">public consultation on the climate target for 2040: 80% of individuals and 64% of</w:t>
      </w:r>
      <w:r>
        <w:t xml:space="preserve"> </w:t>
      </w:r>
      <w:r>
        <w:t xml:space="preserve">organisations claim that the transition to climate neutrality should accelerate up to 2040.</w:t>
      </w:r>
      <w:r>
        <w:t xml:space="preserve"> </w:t>
      </w:r>
      <w:r>
        <w:t xml:space="preserve">In the S3 scenario, the renovation rate in the residential sector changes to 1.6% in 2040</w:t>
      </w:r>
      <w:r>
        <w:t xml:space="preserve"> </w:t>
      </w:r>
      <w:r>
        <w:t xml:space="preserve">and then stabilises at that level. The S3 and S1 are characterised by opposite dynamics</w:t>
      </w:r>
      <w:r>
        <w:t xml:space="preserve"> </w:t>
      </w:r>
      <w:r>
        <w:t xml:space="preserve">after 2030. The S3 scenario anticipates the renovation effort in the next decade (attaining</w:t>
      </w:r>
      <w:r>
        <w:t xml:space="preserve"> </w:t>
      </w:r>
      <w:r>
        <w:t xml:space="preserve">1.9% in 2040, the maximum across scenarios) and then limits the renovation in 2050 to a</w:t>
      </w:r>
      <w:r>
        <w:t xml:space="preserve"> </w:t>
      </w:r>
      <w:r>
        <w:t xml:space="preserve">rate of 1.4% (the minimum level across scenarios). On the other hand, the S1 scenario</w:t>
      </w:r>
      <w:r>
        <w:t xml:space="preserve"> </w:t>
      </w:r>
      <w:r>
        <w:t xml:space="preserve">after 2030 reduces substantially the renovation rate (attaining 1.4% in 2040) to then</w:t>
      </w:r>
      <w:r>
        <w:t xml:space="preserve"> </w:t>
      </w:r>
      <w:r>
        <w:t xml:space="preserve">accelerate it in the 2040-2050 decade until 1.9% in 2050 (the highest level across</w:t>
      </w:r>
      <w:r>
        <w:t xml:space="preserve"> </w:t>
      </w:r>
      <w:r>
        <w:t xml:space="preserve">scenarios) to compensate for missed climate action in the earlier decade. Similarly, in the</w:t>
      </w:r>
      <w:r>
        <w:t xml:space="preserve"> </w:t>
      </w:r>
      <w:r>
        <w:t xml:space="preserve">services sector the renovation rate increases from 0.5% in 2020 to 0.6 to 1.3% in 2040. In</w:t>
      </w:r>
      <w:r>
        <w:t xml:space="preserve"> </w:t>
      </w:r>
      <w:r>
        <w:t xml:space="preserve">the S2 scenario it gradually reduces (although at higher levels than historical) to 0.9% in</w:t>
      </w:r>
      <w:r>
        <w:t xml:space="preserve"> </w:t>
      </w:r>
      <w:r>
        <w:t xml:space="preserve">2040 and finally stabilizes at that level. The S1 and S3 scenarios show similar dynamics</w:t>
      </w:r>
      <w:r>
        <w:t xml:space="preserve"> </w:t>
      </w:r>
      <w:r>
        <w:t xml:space="preserve">as in the residential sector, with the S3 anticipating the renovation effort and the S1</w:t>
      </w:r>
      <w:r>
        <w:t xml:space="preserve"> </w:t>
      </w:r>
      <w:r>
        <w:t xml:space="preserve">delaying it to the last decade of this analysis.</w:t>
      </w:r>
      <w:r>
        <w:br/>
      </w:r>
      <w:r>
        <w:t xml:space="preserve">The renovation rates discussed above lead to 29% of the EU residential buildings fleet</w:t>
      </w:r>
      <w:r>
        <w:t xml:space="preserve"> </w:t>
      </w:r>
      <w:r>
        <w:t xml:space="preserve">having been renovated in 2030, up to 40%-43% in the S1-S2-S3 scenarios) and finally to</w:t>
      </w:r>
      <w:r>
        <w:t xml:space="preserve"> </w:t>
      </w:r>
      <w:r>
        <w:t xml:space="preserve">55% in 2050. Regarding the services building fleet, 15% get renovated by 2030, 20% in</w:t>
      </w:r>
      <w:r>
        <w:t xml:space="preserve"> </w:t>
      </w:r>
      <w:r>
        <w:t xml:space="preserve">the S2 scenario in 2040 (between 18% and 22% in the S1-S2-S3 scenarios) up to 32% in</w:t>
      </w:r>
      <w:r>
        <w:t xml:space="preserve"> </w:t>
      </w:r>
      <w:r>
        <w:t xml:space="preserve">2050.</w:t>
      </w:r>
      <w:r>
        <w:t xml:space="preserve"> </w:t>
      </w:r>
      <w:r>
        <w:t xml:space="preserve">0,0%</w:t>
      </w:r>
      <w:r>
        <w:t xml:space="preserve"> </w:t>
      </w:r>
      <w:r>
        <w:t xml:space="preserve">0,5%</w:t>
      </w:r>
      <w:r>
        <w:t xml:space="preserve"> </w:t>
      </w:r>
      <w:r>
        <w:t xml:space="preserve">1,0%</w:t>
      </w:r>
      <w:r>
        <w:t xml:space="preserve"> </w:t>
      </w:r>
      <w:r>
        <w:t xml:space="preserve">1,5%</w:t>
      </w:r>
      <w:r>
        <w:t xml:space="preserve"> </w:t>
      </w:r>
      <w:r>
        <w:t xml:space="preserve">2,0%</w:t>
      </w:r>
      <w:r>
        <w:t xml:space="preserve"> </w:t>
      </w:r>
      <w:r>
        <w:t xml:space="preserve">2,5%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0,0%</w:t>
      </w:r>
      <w:r>
        <w:t xml:space="preserve"> </w:t>
      </w:r>
      <w:r>
        <w:t xml:space="preserve">0,5%</w:t>
      </w:r>
      <w:r>
        <w:t xml:space="preserve"> </w:t>
      </w:r>
      <w:r>
        <w:t xml:space="preserve">1,0%</w:t>
      </w:r>
      <w:r>
        <w:t xml:space="preserve"> </w:t>
      </w:r>
      <w:r>
        <w:t xml:space="preserve">1,5%</w:t>
      </w:r>
      <w:r>
        <w:t xml:space="preserve"> </w:t>
      </w:r>
      <w:r>
        <w:t xml:space="preserve">2,0%</w:t>
      </w:r>
      <w:r>
        <w:t xml:space="preserve"> </w:t>
      </w:r>
      <w:r>
        <w:t xml:space="preserve">2,5%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The improvement of the energy performance standards and the renovation of the building</w:t>
      </w:r>
      <w:r>
        <w:t xml:space="preserve"> </w:t>
      </w:r>
      <w:r>
        <w:t xml:space="preserve">fleet contribute to a gradual reduction in the average useful energy consumption for space</w:t>
      </w:r>
      <w:r>
        <w:t xml:space="preserve"> </w:t>
      </w:r>
      <w:r>
        <w:t xml:space="preserve">heating (Figure 41). For new dwellings, the average useful energy for space heating at</w:t>
      </w:r>
      <w:r>
        <w:t xml:space="preserve"> </w:t>
      </w:r>
      <w:r>
        <w:t xml:space="preserve">EU level will be pushed down from 36 kWh/m2/year in 2015 to 32 in 2030 (-11%), to 27</w:t>
      </w:r>
      <w:r>
        <w:t xml:space="preserve"> </w:t>
      </w:r>
      <w:r>
        <w:t xml:space="preserve">in 2040 across scenarios (-25% compared to 2015) and 24 kWh/m2/year in 2050.</w:t>
      </w:r>
      <w:r>
        <w:t xml:space="preserve"> </w:t>
      </w:r>
      <w:r>
        <w:t xml:space="preserve">Existing dwellings will reduce useful energy for space heating from almost 80</w:t>
      </w:r>
      <w:r>
        <w:t xml:space="preserve"> </w:t>
      </w:r>
      <w:r>
        <w:t xml:space="preserve">kWh/m2/year in 2015 to 66 in 2030 (-14% compared to 2015), 54-57 in 2040 across</w:t>
      </w:r>
      <w:r>
        <w:t xml:space="preserve"> </w:t>
      </w:r>
      <w:r>
        <w:t xml:space="preserve">scenarios (-25/29% compared to 2015) and approximately 48 kWh/m2/year in 2050 (-</w:t>
      </w:r>
      <w:r>
        <w:t xml:space="preserve"> </w:t>
      </w:r>
      <w:r>
        <w:t xml:space="preserve">36% compared to 2015).</w:t>
      </w:r>
      <w:r>
        <w:t xml:space="preserve"> </w:t>
      </w:r>
      <w:r>
        <w:t xml:space="preserve">Figure 41: Average useful energy for space heating (S3)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1.3.3. Fuel mix in buildings</w:t>
      </w:r>
      <w:r>
        <w:t xml:space="preserve"> </w:t>
      </w:r>
      <w:r>
        <w:t xml:space="preserve">The main trend related to the fuel mix that can be observed in buildings is the rapid</w:t>
      </w:r>
      <w:r>
        <w:t xml:space="preserve"> </w:t>
      </w:r>
      <w:r>
        <w:t xml:space="preserve">growth of electricity consumption and the decrease of fossil fuels (notably natural gas)</w:t>
      </w:r>
      <w:r>
        <w:t xml:space="preserve"> </w:t>
      </w:r>
      <w:r>
        <w:t xml:space="preserve">(see Figure 42 and Figure 43). In 2015, fossil fuels accounted for almost half of the final</w:t>
      </w:r>
      <w:r>
        <w:t xml:space="preserve"> </w:t>
      </w:r>
      <w:r>
        <w:t xml:space="preserve">energy consumption in the buildings sector (about 170 Mtoe), with natural gas giving the</w:t>
      </w:r>
      <w:r>
        <w:t xml:space="preserve"> </w:t>
      </w:r>
      <w:r>
        <w:t xml:space="preserve">largest contribution (about 110 Mtoe). By 2040, fossil fuels account for 9-15% under the</w:t>
      </w:r>
      <w:r>
        <w:t xml:space="preserve"> </w:t>
      </w:r>
      <w:r>
        <w:t xml:space="preserve">S1-S2-S3 scenarios (20-37 Mtoe). In 2040 the consumption of oil and coal in buildings is</w:t>
      </w:r>
      <w:r>
        <w:t xml:space="preserve"> </w:t>
      </w:r>
      <w:r>
        <w:t xml:space="preserve">almost entirely phased-out in all scenarios. By 2050, natural gas is phased-out from</w:t>
      </w:r>
      <w:r>
        <w:t xml:space="preserve"> </w:t>
      </w:r>
      <w:r>
        <w:t xml:space="preserve">buildings as well.</w:t>
      </w:r>
      <w:r>
        <w:br/>
      </w:r>
      <w:r>
        <w:t xml:space="preserve">Electricity becomes the backbone of the buildings sector. It increases from one-third of</w:t>
      </w:r>
      <w:r>
        <w:t xml:space="preserve"> </w:t>
      </w:r>
      <w:r>
        <w:t xml:space="preserve">buildings energy demand in 2015 (about 120 Mtoe), to more than half in 2030 (140</w:t>
      </w:r>
      <w:r>
        <w:t xml:space="preserve"> </w:t>
      </w:r>
      <w:r>
        <w:t xml:space="preserve">Mtoe), up to 61-64% under the S1-S2-S3 scenarios (about 150 Mtoe) in 2040 and 67% in</w:t>
      </w:r>
      <w:r>
        <w:t xml:space="preserve"> </w:t>
      </w:r>
      <w:r>
        <w:t xml:space="preserve">2050. The electrification pattern is quite different between the residential and services</w:t>
      </w:r>
      <w:r>
        <w:t xml:space="preserve"> </w:t>
      </w:r>
      <w:r>
        <w:t xml:space="preserve">sectors. In the residential sector, the share of electricity is projected to grow from one-</w:t>
      </w:r>
      <w:r>
        <w:t xml:space="preserve"> </w:t>
      </w:r>
      <w:r>
        <w:t xml:space="preserve">fourth today to just above 40% in 2030, 53-56% across the S1, S2 and S3 scenarios in</w:t>
      </w:r>
      <w:r>
        <w:t xml:space="preserve"> </w:t>
      </w:r>
      <w:r>
        <w:t xml:space="preserve">2040 and up to 60% in 2050. In services, the electricity share today is already much</w:t>
      </w:r>
      <w:r>
        <w:t xml:space="preserve"> </w:t>
      </w:r>
      <w:r>
        <w:t xml:space="preserve">higher: almost 50% and would increase to around two-thirds in 2030, more than 75% in</w:t>
      </w:r>
      <w:r>
        <w:t xml:space="preserve"> </w:t>
      </w:r>
      <w:r>
        <w:t xml:space="preserve">all scenarios in 2040, until achieving almost 80% in 2050.</w:t>
      </w:r>
      <w:r>
        <w:br/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kWh/m2</w:t>
      </w:r>
      <w:r>
        <w:t xml:space="preserve"> </w:t>
      </w:r>
      <w:r>
        <w:t xml:space="preserve">Existing stock</w:t>
      </w:r>
      <w:r>
        <w:t xml:space="preserve"> </w:t>
      </w:r>
      <w:r>
        <w:t xml:space="preserve">New dwellings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Figure 42: FEC in the residential sector, 2015-2050</w:t>
      </w:r>
    </w:p>
    <w:p>
      <w:pPr>
        <w:pStyle w:val="BodyText"/>
      </w:pPr>
      <w:r>
        <w:t xml:space="preserve">Note: Biomass and waste include non-renewable waste. Ambient heat is not shown.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Figure 43: FEC in the services sector, 2015-2050</w:t>
      </w:r>
    </w:p>
    <w:p>
      <w:pPr>
        <w:pStyle w:val="BodyText"/>
      </w:pPr>
      <w:r>
        <w:t xml:space="preserve">Note: Biomass and waste include non-renewable waste. Ambient heat is not shown.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Electrification of the buildings sector is characterised by the deployment of efficient</w:t>
      </w:r>
      <w:r>
        <w:t xml:space="preserve"> </w:t>
      </w:r>
      <w:r>
        <w:t xml:space="preserve">electric heating and cooling technologies (notably heat pumps), energy efficient</w:t>
      </w:r>
      <w:r>
        <w:t xml:space="preserve"> </w:t>
      </w:r>
      <w:r>
        <w:t xml:space="preserve">appliances and LED lighting. Efficiency of the electricity use in the buildings sector is</w:t>
      </w:r>
      <w:r>
        <w:t xml:space="preserve"> </w:t>
      </w:r>
      <w:r>
        <w:t xml:space="preserve">well illustrated by the fact that the growing use of equipment consuming electricity is</w:t>
      </w:r>
      <w:r>
        <w:t xml:space="preserve"> </w:t>
      </w:r>
      <w:r>
        <w:t xml:space="preserve">accompanied by limited growth in absolute electricity consumption: from 123 Mtoe in</w:t>
      </w:r>
      <w:r>
        <w:t xml:space="preserve"> </w:t>
      </w:r>
      <w:r>
        <w:t xml:space="preserve">2015 to almost 140 in 2030 (+12% compared to 2015), almost 150 Mtoe in 2040 across</w:t>
      </w:r>
      <w:r>
        <w:t xml:space="preserve"> </w:t>
      </w:r>
      <w:r>
        <w:t xml:space="preserve">scenarios (+21% compared to 2015) and almost 155 Mtoe (+24%) in 2050.</w:t>
      </w:r>
      <w:r>
        <w:t xml:space="preserve"> </w:t>
      </w:r>
      <w:r>
        <w:t xml:space="preserve">Since space heating accounts for the lion’s share of energy consumption in buildings,</w:t>
      </w:r>
      <w:r>
        <w:t xml:space="preserve"> </w:t>
      </w:r>
      <w:r>
        <w:t xml:space="preserve">fuel switch in buildings’ heating services is the key avenue for buildings to contribute to</w:t>
      </w:r>
      <w:r>
        <w:t xml:space="preserve"> </w:t>
      </w:r>
      <w:r>
        <w:t xml:space="preserve">the carbon neutrality objective in 2050 and to curb emissions in 2040. Electrification of</w:t>
      </w:r>
      <w:r>
        <w:t xml:space="preserve"> </w:t>
      </w:r>
      <w:r>
        <w:t xml:space="preserve">space heating and cooling is driven by the uptake of heat pumps (triggered partly by</w:t>
      </w:r>
      <w:r>
        <w:t xml:space="preserve"> </w:t>
      </w:r>
      <w:r>
        <w:t xml:space="preserve">RepowerEU Plan), which experience a tremendous growth especially in the next two</w:t>
      </w:r>
      <w:r>
        <w:t xml:space="preserve"> </w:t>
      </w:r>
      <w:r>
        <w:t xml:space="preserve">decades (see Figure 44).</w:t>
      </w:r>
      <w:r>
        <w:br/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 LIFE S1</w:t>
      </w:r>
      <w:r>
        <w:t xml:space="preserve"> </w:t>
      </w:r>
      <w:r>
        <w:t xml:space="preserve">S2</w:t>
      </w:r>
      <w:r>
        <w:t xml:space="preserve"> </w:t>
      </w:r>
      <w:r>
        <w:t xml:space="preserve">S3 LIFE</w:t>
      </w:r>
      <w:r>
        <w:t xml:space="preserve"> </w:t>
      </w:r>
      <w:r>
        <w:t xml:space="preserve">201520212030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Syntethic fuels</w:t>
      </w:r>
      <w:r>
        <w:t xml:space="preserve"> </w:t>
      </w:r>
      <w:r>
        <w:t xml:space="preserve">Hydrogen</w:t>
      </w:r>
      <w:r>
        <w:t xml:space="preserve"> </w:t>
      </w:r>
      <w:r>
        <w:t xml:space="preserve">Geothermal and solar heat</w:t>
      </w:r>
      <w:r>
        <w:t xml:space="preserve"> </w:t>
      </w:r>
      <w:r>
        <w:t xml:space="preserve">Coal</w:t>
      </w:r>
      <w:r>
        <w:t xml:space="preserve"> </w:t>
      </w:r>
      <w:r>
        <w:t xml:space="preserve">District heating</w:t>
      </w:r>
      <w:r>
        <w:t xml:space="preserve"> </w:t>
      </w:r>
      <w:r>
        <w:t xml:space="preserve">Petroleum products</w:t>
      </w:r>
      <w:r>
        <w:t xml:space="preserve"> </w:t>
      </w:r>
      <w:r>
        <w:t xml:space="preserve">Biomass and waste</w:t>
      </w:r>
      <w:r>
        <w:t xml:space="preserve"> </w:t>
      </w:r>
      <w:r>
        <w:t xml:space="preserve">Electricity</w:t>
      </w:r>
      <w:r>
        <w:t xml:space="preserve"> </w:t>
      </w:r>
      <w:r>
        <w:t xml:space="preserve">Natural gas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201520212030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Syntethic fuels</w:t>
      </w:r>
      <w:r>
        <w:t xml:space="preserve"> </w:t>
      </w:r>
      <w:r>
        <w:t xml:space="preserve">Hydrogen</w:t>
      </w:r>
      <w:r>
        <w:t xml:space="preserve"> </w:t>
      </w:r>
      <w:r>
        <w:t xml:space="preserve">Geothermal and solar heat</w:t>
      </w:r>
      <w:r>
        <w:t xml:space="preserve"> </w:t>
      </w:r>
      <w:r>
        <w:t xml:space="preserve">Coal</w:t>
      </w:r>
      <w:r>
        <w:t xml:space="preserve"> </w:t>
      </w:r>
      <w:r>
        <w:t xml:space="preserve">Biomass and waste</w:t>
      </w:r>
      <w:r>
        <w:t xml:space="preserve"> </w:t>
      </w:r>
      <w:r>
        <w:t xml:space="preserve">District heating</w:t>
      </w:r>
      <w:r>
        <w:t xml:space="preserve"> </w:t>
      </w:r>
      <w:r>
        <w:t xml:space="preserve">Petroleum products</w:t>
      </w:r>
      <w:r>
        <w:t xml:space="preserve"> </w:t>
      </w:r>
      <w:r>
        <w:t xml:space="preserve">Natural gas</w:t>
      </w:r>
      <w:r>
        <w:t xml:space="preserve"> </w:t>
      </w:r>
      <w:r>
        <w:t xml:space="preserve">Electricity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Figure 44: Stock of heat pumps in the residential and services sector,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Hydrogen and gaseous e-fuels (67) start featuring an uptake in the buildings sector from</w:t>
      </w:r>
      <w:r>
        <w:t xml:space="preserve"> </w:t>
      </w:r>
      <w:r>
        <w:t xml:space="preserve">2035 and partially substitute the use of natural gas, thus supporting the phase out of such</w:t>
      </w:r>
      <w:r>
        <w:t xml:space="preserve"> </w:t>
      </w:r>
      <w:r>
        <w:t xml:space="preserve">fossil fuel (see Section 1.2.4). However, the consumption of RFNBOs in the buildings</w:t>
      </w:r>
      <w:r>
        <w:t xml:space="preserve"> </w:t>
      </w:r>
      <w:r>
        <w:t xml:space="preserve">sector remains extremely limited, at 1-3% in the S1-S2-S3 scenarios and below 10% in</w:t>
      </w:r>
      <w:r>
        <w:t xml:space="preserve"> </w:t>
      </w:r>
      <w:r>
        <w:t xml:space="preserve">all scenarios in 2050.</w:t>
      </w:r>
      <w:r>
        <w:t xml:space="preserve"> </w:t>
      </w:r>
      <w:r>
        <w:t xml:space="preserve">Renewable energy sources (such as geothermal and solar heat) have marginal shares in</w:t>
      </w:r>
      <w:r>
        <w:t xml:space="preserve"> </w:t>
      </w:r>
      <w:r>
        <w:t xml:space="preserve">buildings energy consumption and only experiences a moderate growth during the time</w:t>
      </w:r>
      <w:r>
        <w:t xml:space="preserve"> </w:t>
      </w:r>
      <w:r>
        <w:t xml:space="preserve">horizon. Rather, the use of heat pumps with electricity provided by solar PV is expected</w:t>
      </w:r>
      <w:r>
        <w:t xml:space="preserve"> </w:t>
      </w:r>
      <w:r>
        <w:t xml:space="preserve">be a more competitive technology option underpinned by faster cost reductions. Biomass</w:t>
      </w:r>
      <w:r>
        <w:t xml:space="preserve"> </w:t>
      </w:r>
      <w:r>
        <w:t xml:space="preserve">(used in modern stoves) broadly maintains constant its share of energy consumption in</w:t>
      </w:r>
      <w:r>
        <w:t xml:space="preserve"> </w:t>
      </w:r>
      <w:r>
        <w:t xml:space="preserve">buildings throughout the projections’ time horizon. In the residential sector, where</w:t>
      </w:r>
      <w:r>
        <w:t xml:space="preserve"> </w:t>
      </w:r>
      <w:r>
        <w:t xml:space="preserve">biomass accounted for 17% of residential energy consumption in 2015, the consumption</w:t>
      </w:r>
      <w:r>
        <w:t xml:space="preserve"> </w:t>
      </w:r>
      <w:r>
        <w:t xml:space="preserve">of biomass almost halves between 2015 and 2050, at the same pace as total energy</w:t>
      </w:r>
      <w:r>
        <w:t xml:space="preserve"> </w:t>
      </w:r>
      <w:r>
        <w:t xml:space="preserve">consumption in the residential sector. (68) In the services sector, the share of biomass</w:t>
      </w:r>
      <w:r>
        <w:t xml:space="preserve"> </w:t>
      </w:r>
      <w:r>
        <w:t xml:space="preserve">remains stable as well, although at much lower level than in the residential sector -</w:t>
      </w:r>
      <w:r>
        <w:t xml:space="preserve"> </w:t>
      </w:r>
      <w:r>
        <w:t xml:space="preserve">around 3%. District heating increases slightly its share of total energy demand in</w:t>
      </w:r>
      <w:r>
        <w:t xml:space="preserve"> </w:t>
      </w:r>
      <w:r>
        <w:t xml:space="preserve">buildings reaching approximately 11% in 2040 in all scenarios.</w:t>
      </w:r>
      <w:r>
        <w:br/>
      </w:r>
      <w:r>
        <w:t xml:space="preserve">It is worth noting that the role of RFNBOs in the decarbonisation of the building sector is</w:t>
      </w:r>
      <w:r>
        <w:t xml:space="preserve"> </w:t>
      </w:r>
      <w:r>
        <w:t xml:space="preserve">highly uncertain. A literature review has found out that hydrogen’s role in global energy</w:t>
      </w:r>
      <w:r>
        <w:t xml:space="preserve"> </w:t>
      </w:r>
      <w:r>
        <w:t xml:space="preserve">scenarios is extremely inconsistent: only two out of ten studies reviewed feature a</w:t>
      </w:r>
      <w:r>
        <w:t xml:space="preserve"> </w:t>
      </w:r>
      <w:r>
        <w:t xml:space="preserve">contribution of hydrogen to space heating, which is less than 15% of total space heating</w:t>
      </w:r>
    </w:p>
    <w:p>
      <w:pPr>
        <w:pStyle w:val="Compact"/>
        <w:numPr>
          <w:ilvl w:val="0"/>
          <w:numId w:val="1028"/>
        </w:numPr>
      </w:pPr>
      <w:r>
        <w:t xml:space="preserve">Renewable hydrogen is a rapidly evolving technology and sector. The modelling results for 2030</w:t>
      </w:r>
      <w:r>
        <w:t xml:space="preserve"> </w:t>
      </w:r>
      <w:r>
        <w:t xml:space="preserve">reflect the EU RFNBO targets, and associated hydrogen production, as per the revision of the</w:t>
      </w:r>
      <w:r>
        <w:t xml:space="preserve"> </w:t>
      </w:r>
      <w:r>
        <w:t xml:space="preserve">Renewable Energy Directive under the Fit-for-55 package. However, the modelling for the future</w:t>
      </w:r>
      <w:r>
        <w:t xml:space="preserve"> </w:t>
      </w:r>
      <w:r>
        <w:t xml:space="preserve">design of the post-2030 policy framework will take into account the updates of the National Climate</w:t>
      </w:r>
      <w:r>
        <w:t xml:space="preserve"> </w:t>
      </w:r>
      <w:r>
        <w:t xml:space="preserve">and Energy Plans due in June 2024.</w:t>
      </w:r>
    </w:p>
    <w:p>
      <w:pPr>
        <w:pStyle w:val="Compact"/>
        <w:numPr>
          <w:ilvl w:val="0"/>
          <w:numId w:val="1028"/>
        </w:numPr>
      </w:pPr>
      <w:r>
        <w:t xml:space="preserve">Future analyses may assume other supply levels of biomass to stay within the sustainability</w:t>
      </w:r>
      <w:r>
        <w:t xml:space="preserve"> </w:t>
      </w:r>
      <w:r>
        <w:t xml:space="preserve">boundaries, in view of the on-going scientific debate.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millions</w:t>
      </w:r>
      <w:r>
        <w:t xml:space="preserve"> </w:t>
      </w:r>
      <w:r>
        <w:t xml:space="preserve">Services</w:t>
      </w:r>
      <w:r>
        <w:t xml:space="preserve"> </w:t>
      </w:r>
      <w:r>
        <w:t xml:space="preserve">Residential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demand even in the most hydrogen ambitious scenarios in 2050. (69). Another recent</w:t>
      </w:r>
      <w:r>
        <w:t xml:space="preserve"> </w:t>
      </w:r>
      <w:r>
        <w:t xml:space="preserve">literature review has found out that few EU energy system models see RFNBOs used in</w:t>
      </w:r>
      <w:r>
        <w:t xml:space="preserve"> </w:t>
      </w:r>
      <w:r>
        <w:t xml:space="preserve">buildings in 2030 (and with a share below 1% of total energy consumption in buildings).</w:t>
      </w:r>
      <w:r>
        <w:t xml:space="preserve"> </w:t>
      </w:r>
      <w:r>
        <w:t xml:space="preserve">In 2040, more models feature hydrogen demand in buildings, which remains below 6%</w:t>
      </w:r>
      <w:r>
        <w:t xml:space="preserve"> </w:t>
      </w:r>
      <w:r>
        <w:t xml:space="preserve">of final demand. In 2050, EU models are characterised by very different levels of</w:t>
      </w:r>
      <w:r>
        <w:t xml:space="preserve"> </w:t>
      </w:r>
      <w:r>
        <w:t xml:space="preserve">RFNBOs consumption in buildings, ranging from nothing or extremely low levels up to</w:t>
      </w:r>
      <w:r>
        <w:t xml:space="preserve"> </w:t>
      </w:r>
      <w:r>
        <w:t xml:space="preserve">16% of final demand in buildings.</w:t>
      </w:r>
      <w:r>
        <w:t xml:space="preserve"> </w:t>
      </w:r>
      <w:r>
        <w:t xml:space="preserve">Both PRIMES and POTEnCIA project a similar growing trajectory in terms of combined</w:t>
      </w:r>
      <w:r>
        <w:t xml:space="preserve"> </w:t>
      </w:r>
      <w:r>
        <w:t xml:space="preserve">share of gaseous fuels (natural gas, hydrogen and synthetic gas) and electricity in total</w:t>
      </w:r>
      <w:r>
        <w:t xml:space="preserve"> </w:t>
      </w:r>
      <w:r>
        <w:t xml:space="preserve">buildings’ FEC (Figure 45). However, the two models differ in that PRIMES features a</w:t>
      </w:r>
      <w:r>
        <w:t xml:space="preserve"> </w:t>
      </w:r>
      <w:r>
        <w:t xml:space="preserve">higher and longer reliance on the gas network to fulfil buildings’ energy needs, while</w:t>
      </w:r>
      <w:r>
        <w:t xml:space="preserve"> </w:t>
      </w:r>
      <w:r>
        <w:t xml:space="preserve">POTEnCIA features a deeper and faster electrification. Such difference is partially</w:t>
      </w:r>
      <w:r>
        <w:t xml:space="preserve"> </w:t>
      </w:r>
      <w:r>
        <w:t xml:space="preserve">explained by the fact that PRIMES reduces the carbon intensity of the gas mix provided</w:t>
      </w:r>
      <w:r>
        <w:t xml:space="preserve"> </w:t>
      </w:r>
      <w:r>
        <w:t xml:space="preserve">to buildings by producing RFNBOs to be injected in the gas network earlier and in larger</w:t>
      </w:r>
      <w:r>
        <w:t xml:space="preserve"> </w:t>
      </w:r>
      <w:r>
        <w:t xml:space="preserve">amounts.</w:t>
      </w:r>
      <w:r>
        <w:br/>
      </w:r>
      <w:r>
        <w:t xml:space="preserve">Figure 45: Contribution of electricity and gaseous fuels to buildings’ FEC, 2030-2050</w:t>
      </w:r>
    </w:p>
    <w:p>
      <w:pPr>
        <w:pStyle w:val="BodyText"/>
      </w:pPr>
      <w:r>
        <w:t xml:space="preserve">Sources: POTEnCIA, PRIMES</w:t>
      </w:r>
      <w:r>
        <w:t xml:space="preserve"> </w:t>
      </w:r>
      <w:r>
        <w:t xml:space="preserve">This analysis underlines that a very similar level of decarbonisation of the building sector</w:t>
      </w:r>
      <w:r>
        <w:t xml:space="preserve"> </w:t>
      </w:r>
      <w:r>
        <w:t xml:space="preserve">– as other sectors - can be achieved via different pathways, with the largest differences</w:t>
      </w:r>
      <w:r>
        <w:t xml:space="preserve"> </w:t>
      </w:r>
      <w:r>
        <w:t xml:space="preserve">around 2040. The balance between the use of heat pumps rather than RFNBOs to heat</w:t>
      </w:r>
      <w:r>
        <w:t xml:space="preserve"> </w:t>
      </w:r>
      <w:r>
        <w:t xml:space="preserve">households has important implications on the economics of the gas network and on the</w:t>
      </w:r>
      <w:r>
        <w:t xml:space="preserve"> </w:t>
      </w:r>
      <w:r>
        <w:t xml:space="preserve">sizing of the electricity distribution network.</w:t>
      </w:r>
    </w:p>
    <w:p>
      <w:pPr>
        <w:pStyle w:val="Compact"/>
        <w:numPr>
          <w:ilvl w:val="0"/>
          <w:numId w:val="1029"/>
        </w:numPr>
      </w:pPr>
      <w:r>
        <w:t xml:space="preserve">Quarton C.J, Tlili O., Welder L., Mansilla C., Blanco H., Heinrichs H., Leaver J., Samsatli N.J.,</w:t>
      </w:r>
      <w:r>
        <w:t xml:space="preserve"> </w:t>
      </w:r>
      <w:r>
        <w:t xml:space="preserve">Lucchese P., Robinius M., Samsatli S. (2020), The curious case of the conflicting roles of hydrogen in</w:t>
      </w:r>
      <w:r>
        <w:t xml:space="preserve"> </w:t>
      </w:r>
      <w:r>
        <w:t xml:space="preserve">global energy scenarios, Sustainable Energy Fuels, 4, 80, DOI: 10.1039/c9se00833k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1.3.4. Appliances</w:t>
      </w:r>
      <w:r>
        <w:t xml:space="preserve"> </w:t>
      </w:r>
      <w:r>
        <w:t xml:space="preserve">The growing number of dwellings (Section 1.3.1), higher GDP and living standards drive</w:t>
      </w:r>
      <w:r>
        <w:t xml:space="preserve"> </w:t>
      </w:r>
      <w:r>
        <w:t xml:space="preserve">up the number of appliances (Figure 46). Compared to 2015, the stock of black</w:t>
      </w:r>
      <w:r>
        <w:t xml:space="preserve"> </w:t>
      </w:r>
      <w:r>
        <w:t xml:space="preserve">appliances grows by 44%, 68% and 86% respectively in 2030, 2040 and 2050</w:t>
      </w:r>
      <w:r>
        <w:t xml:space="preserve"> </w:t>
      </w:r>
      <w:r>
        <w:t xml:space="preserve">respectively70. Information and communication appliances experience the largest growth,</w:t>
      </w:r>
      <w:r>
        <w:t xml:space="preserve"> </w:t>
      </w:r>
      <w:r>
        <w:t xml:space="preserve">more than doubling their stock already in 2030. The stock of white appliances grows at</w:t>
      </w:r>
      <w:r>
        <w:t xml:space="preserve"> </w:t>
      </w:r>
      <w:r>
        <w:t xml:space="preserve">slightly lower pace, by 41%, 55% and 65% respectively in 2030, 2040 and 2050 with</w:t>
      </w:r>
      <w:r>
        <w:t xml:space="preserve"> </w:t>
      </w:r>
      <w:r>
        <w:t xml:space="preserve">respect to 2015 (71). The growth of the stock of lighting equipment is more limited</w:t>
      </w:r>
      <w:r>
        <w:t xml:space="preserve"> </w:t>
      </w:r>
      <w:r>
        <w:t xml:space="preserve">compared to that of appliances.</w:t>
      </w:r>
      <w:r>
        <w:t xml:space="preserve"> </w:t>
      </w:r>
      <w:r>
        <w:t xml:space="preserve">Figure 46: Stock of black and white appliances and of lighting equipment, 2015-2050</w:t>
      </w:r>
    </w:p>
    <w:p>
      <w:pPr>
        <w:pStyle w:val="BodyText"/>
      </w:pPr>
      <w:r>
        <w:t xml:space="preserve">Note: the stock of appliances and of lighting equipment does not vary across scenarios.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Such ever increasing number and use of appliances is moderated by energy efficiency</w:t>
      </w:r>
      <w:r>
        <w:t xml:space="preserve"> </w:t>
      </w:r>
      <w:r>
        <w:t xml:space="preserve">measures (such as eco-design and energy labelling legislation targeting the energy</w:t>
      </w:r>
      <w:r>
        <w:t xml:space="preserve"> </w:t>
      </w:r>
      <w:r>
        <w:t xml:space="preserve">efficiency of appliances) resulting in almost constant electricity demand from appliances</w:t>
      </w:r>
      <w:r>
        <w:t xml:space="preserve"> </w:t>
      </w:r>
      <w:r>
        <w:t xml:space="preserve">and lighting, at around 35 Mtoe throughout the projections’ time horizon (see Figure 47).</w:t>
      </w:r>
      <w:r>
        <w:t xml:space="preserve"> </w:t>
      </w:r>
      <w:r>
        <w:t xml:space="preserve">Since energy demand for space heating is projected to reduce significantly, the share of</w:t>
      </w:r>
      <w:r>
        <w:t xml:space="preserve"> </w:t>
      </w:r>
      <w:r>
        <w:t xml:space="preserve">energy demand for appliances out of total energy demand in buildings grows from 14%</w:t>
      </w:r>
      <w:r>
        <w:t xml:space="preserve"> </w:t>
      </w:r>
      <w:r>
        <w:t xml:space="preserve">in 2015 to 19% in 2030, 23% in 2040 and 26% in 2050 across scenarios.</w:t>
      </w:r>
    </w:p>
    <w:p>
      <w:pPr>
        <w:pStyle w:val="Compact"/>
        <w:numPr>
          <w:ilvl w:val="0"/>
          <w:numId w:val="1030"/>
        </w:numPr>
      </w:pPr>
      <w:r>
        <w:t xml:space="preserve">Black appliances refer to vacuum cleaners, small appliances, information and entertainment</w:t>
      </w:r>
      <w:r>
        <w:t xml:space="preserve"> </w:t>
      </w:r>
      <w:r>
        <w:t xml:space="preserve">appliances.</w:t>
      </w:r>
    </w:p>
    <w:p>
      <w:pPr>
        <w:pStyle w:val="Compact"/>
        <w:numPr>
          <w:ilvl w:val="0"/>
          <w:numId w:val="1030"/>
        </w:numPr>
      </w:pPr>
      <w:r>
        <w:t xml:space="preserve">White appliances refer to dishwasher, dryers, freezers, refrigerators and washing machines.</w: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Figure 47: Electricity demand associated to appliances and lighting, 2015-2050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1.3.5. CO2 emissions from buildings</w:t>
      </w:r>
      <w:r>
        <w:t xml:space="preserve"> </w:t>
      </w:r>
      <w:r>
        <w:t xml:space="preserve">Direct CO2 emissions from buildings experience a rapid decrease already in this decade,</w:t>
      </w:r>
      <w:r>
        <w:t xml:space="preserve"> </w:t>
      </w:r>
      <w:r>
        <w:t xml:space="preserve">from about 450 MtCO2 in 2015 to 190 MtCO2 in 2030, i.e., -57% (Figure 48). Then, CO2</w:t>
      </w:r>
      <w:r>
        <w:t xml:space="preserve"> </w:t>
      </w:r>
      <w:r>
        <w:t xml:space="preserve">emissions further reduce to about 50-90 MtCO2 under the S1-S2-S3 scenarios in 2040</w:t>
      </w:r>
      <w:r>
        <w:t xml:space="preserve"> </w:t>
      </w:r>
      <w:r>
        <w:t xml:space="preserve">and reach almost zero emissions in 2050 for all scenarios. The residential and services</w:t>
      </w:r>
      <w:r>
        <w:t xml:space="preserve"> </w:t>
      </w:r>
      <w:r>
        <w:t xml:space="preserve">sectors face a similar pace of CO2 emission reductions throughout the projection time</w:t>
      </w:r>
      <w:r>
        <w:t xml:space="preserve"> </w:t>
      </w:r>
      <w:r>
        <w:t xml:space="preserve">horizon. This is largely explained by the fact both sectors rely on essentially the same</w:t>
      </w:r>
      <w:r>
        <w:t xml:space="preserve"> </w:t>
      </w:r>
      <w:r>
        <w:t xml:space="preserve">mitigation options, which have very similar costs, and are triggered by the same policy</w:t>
      </w:r>
      <w:r>
        <w:t xml:space="preserve"> </w:t>
      </w:r>
      <w:r>
        <w:t xml:space="preserve">measures.</w:t>
      </w:r>
      <w:r>
        <w:t xml:space="preserve"> </w:t>
      </w:r>
      <w:r>
        <w:t xml:space="preserve">Figure 48: Buildings CO2 emissions trajectory by sector, 2015-2050</w:t>
      </w:r>
    </w:p>
    <w:p>
      <w:pPr>
        <w:pStyle w:val="BodyText"/>
      </w:pPr>
      <w:r>
        <w:t xml:space="preserve">Note: CO2 emissions shown in the figure are only direct emissions, i.e., related to the combustion of fuels</w:t>
      </w:r>
      <w:r>
        <w:t xml:space="preserve"> </w:t>
      </w:r>
      <w:r>
        <w:t xml:space="preserve">consumed in the building sector. Emissions related to the production of the electricity and RFNBOs consumed</w:t>
      </w:r>
      <w:r>
        <w:t xml:space="preserve"> </w:t>
      </w:r>
      <w:r>
        <w:t xml:space="preserve">in the buildings sector are accounted in the upstream sectors.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The CO2 emissions discussed above only account for direct CO2 emissions, i.e., those</w:t>
      </w:r>
      <w:r>
        <w:t xml:space="preserve"> </w:t>
      </w:r>
      <w:r>
        <w:t xml:space="preserve">directly related to the combustion of fuels consumed in the building sector. Instead,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2015 2021 2030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</w:t>
      </w:r>
      <w:r>
        <w:t xml:space="preserve"> </w:t>
      </w:r>
      <w:r>
        <w:t xml:space="preserve">Services</w:t>
      </w:r>
      <w:r>
        <w:t xml:space="preserve"> </w:t>
      </w:r>
      <w:r>
        <w:t xml:space="preserve">Residential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emissions associated to the production of electricity and RFNBOs consumed by</w:t>
      </w:r>
      <w:r>
        <w:t xml:space="preserve"> </w:t>
      </w:r>
      <w:r>
        <w:t xml:space="preserve">buildings are accounted in the upstream sectors. Given that the buildings sector is</w:t>
      </w:r>
      <w:r>
        <w:t xml:space="preserve"> </w:t>
      </w:r>
      <w:r>
        <w:t xml:space="preserve">expected to experience a significant electrification (see Figure 42 and Figure 43) and to</w:t>
      </w:r>
      <w:r>
        <w:t xml:space="preserve"> </w:t>
      </w:r>
      <w:r>
        <w:t xml:space="preserve">consume – to a lower extent – RFNBOs, the building sector is responsible for significant</w:t>
      </w:r>
      <w:r>
        <w:t xml:space="preserve"> </w:t>
      </w:r>
      <w:r>
        <w:t xml:space="preserve">amounts of indirect CO2 emissions as well. However, the power generation sector is set</w:t>
      </w:r>
      <w:r>
        <w:t xml:space="preserve"> </w:t>
      </w:r>
      <w:r>
        <w:t xml:space="preserve">to decarbonise rapidly and become completely carbon neutral by around 2040.</w:t>
      </w:r>
      <w:r>
        <w:t xml:space="preserve"> </w:t>
      </w:r>
      <w:r>
        <w:t xml:space="preserve">The reduction in CO2 emissions from buildings is achieved mainly via the faster rate of</w:t>
      </w:r>
      <w:r>
        <w:t xml:space="preserve"> </w:t>
      </w:r>
      <w:r>
        <w:t xml:space="preserve">renovation of the buildings’ envelopes, which reduces the overall energy consumption,</w:t>
      </w:r>
      <w:r>
        <w:t xml:space="preserve"> </w:t>
      </w:r>
      <w:r>
        <w:t xml:space="preserve">and by the replacement of fossil fuels space heating equipment with heat pumps. The</w:t>
      </w:r>
      <w:r>
        <w:t xml:space="preserve"> </w:t>
      </w:r>
      <w:r>
        <w:t xml:space="preserve">deployment of renewables and the blending of low-carbon gases in the gas network also</w:t>
      </w:r>
      <w:r>
        <w:t xml:space="preserve"> </w:t>
      </w:r>
      <w:r>
        <w:t xml:space="preserve">contributes to lower emissions. As discussed in detail in Sections 1.3.2 and 1.3.3, these</w:t>
      </w:r>
      <w:r>
        <w:t xml:space="preserve"> </w:t>
      </w:r>
      <w:r>
        <w:t xml:space="preserve">transformations are largely driven by climate policies extending their impact beyond</w:t>
      </w:r>
      <w:r>
        <w:t xml:space="preserve"> </w:t>
      </w:r>
      <w:r>
        <w:t xml:space="preserve">2030, such as the ETS2. Finally, CO2 emission reductions are also achieved by reducing</w:t>
      </w:r>
      <w:r>
        <w:t xml:space="preserve"> </w:t>
      </w:r>
      <w:r>
        <w:t xml:space="preserve">energy consumption from heating, cooling and cooking equipment and appliances –</w:t>
      </w:r>
      <w:r>
        <w:t xml:space="preserve"> </w:t>
      </w:r>
      <w:r>
        <w:t xml:space="preserve">driven by the eco-labelling policy.</w:t>
      </w:r>
      <w:r>
        <w:t xml:space="preserve"> </w:t>
      </w:r>
      <w:r>
        <w:t xml:space="preserve">1.4.</w:t>
      </w:r>
      <w:r>
        <w:t xml:space="preserve"> </w:t>
      </w:r>
      <w:r>
        <w:t xml:space="preserve">Industry</w:t>
      </w:r>
      <w:r>
        <w:br/>
      </w:r>
      <w:r>
        <w:t xml:space="preserve">1.4.1. Introduction</w:t>
      </w:r>
      <w:r>
        <w:t xml:space="preserve"> </w:t>
      </w:r>
      <w:r>
        <w:t xml:space="preserve">According to IEA, global industry (72) accounts for one-third of total final energy</w:t>
      </w:r>
      <w:r>
        <w:t xml:space="preserve"> </w:t>
      </w:r>
      <w:r>
        <w:t xml:space="preserve">consumption, and the CO2 emitted (9 GtCO2) represents one-quarter of all energy and</w:t>
      </w:r>
      <w:r>
        <w:t xml:space="preserve"> </w:t>
      </w:r>
      <w:r>
        <w:t xml:space="preserve">process CO2 emissions (73). In the EU, industrial emissions have been decreasing</w:t>
      </w:r>
      <w:r>
        <w:t xml:space="preserve"> </w:t>
      </w:r>
      <w:r>
        <w:t xml:space="preserve">steadily since 1990, overcoming also the rebound due to the restart of economic activity</w:t>
      </w:r>
      <w:r>
        <w:t xml:space="preserve"> </w:t>
      </w:r>
      <w:r>
        <w:t xml:space="preserve">after the COVID-19 pandemic (74), and in 2020, they represented 26% of total net GHG</w:t>
      </w:r>
      <w:r>
        <w:t xml:space="preserve"> </w:t>
      </w:r>
      <w:r>
        <w:t xml:space="preserve">emissions (75).</w:t>
      </w:r>
    </w:p>
    <w:p>
      <w:pPr>
        <w:pStyle w:val="BodyText"/>
      </w:pPr>
      <w:r>
        <w:t xml:space="preserve">No silver bullet exists to decarbonise industry, and different solutions are to be</w:t>
      </w:r>
      <w:r>
        <w:t xml:space="preserve"> </w:t>
      </w:r>
      <w:r>
        <w:t xml:space="preserve">implemented to the various subsectors to achieve climate neutrality. Reduction of raw</w:t>
      </w:r>
      <w:r>
        <w:t xml:space="preserve"> </w:t>
      </w:r>
      <w:r>
        <w:t xml:space="preserve">materials demand, for instance by implementation of circular economy and demand-side</w:t>
      </w:r>
      <w:r>
        <w:t xml:space="preserve"> </w:t>
      </w:r>
      <w:r>
        <w:t xml:space="preserve">actions, can reduce emissions by 20% in 2040 (76). Energy efficiency, together with</w:t>
      </w:r>
      <w:r>
        <w:t xml:space="preserve"> </w:t>
      </w:r>
      <w:r>
        <w:t xml:space="preserve">indirect and direct electrification can reduce emissions by 25% (77), acting on the</w:t>
      </w:r>
      <w:r>
        <w:t xml:space="preserve"> </w:t>
      </w:r>
      <w:r>
        <w:t xml:space="preserve">industry energy needs. Replacement of fossil fuels by bio- and e-fuels can contribute to</w:t>
      </w:r>
      <w:r>
        <w:t xml:space="preserve"> </w:t>
      </w:r>
      <w:r>
        <w:t xml:space="preserve">decarbonisation where electrification is not technically possible and carbon capture can</w:t>
      </w:r>
      <w:r>
        <w:t xml:space="preserve"> </w:t>
      </w:r>
      <w:r>
        <w:t xml:space="preserve">be implemented where low carbon alternative processes have limited potential. Literature</w:t>
      </w:r>
    </w:p>
    <w:p>
      <w:pPr>
        <w:pStyle w:val="Compact"/>
        <w:numPr>
          <w:ilvl w:val="0"/>
          <w:numId w:val="1031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</w:p>
    <w:p>
      <w:pPr>
        <w:pStyle w:val="Compact"/>
        <w:numPr>
          <w:ilvl w:val="0"/>
          <w:numId w:val="1031"/>
        </w:numPr>
      </w:pPr>
      <w:r>
        <w:t xml:space="preserve">IEA, (2022). Achieving Net Zero Heavy Industry Sectors in G7 Members.</w:t>
      </w:r>
    </w:p>
    <w:p>
      <w:pPr>
        <w:pStyle w:val="Compact"/>
        <w:numPr>
          <w:ilvl w:val="0"/>
          <w:numId w:val="1031"/>
        </w:numPr>
      </w:pPr>
      <w:r>
        <w:t xml:space="preserve">COM/2022/514 final</w:t>
      </w:r>
    </w:p>
    <w:p>
      <w:pPr>
        <w:pStyle w:val="Compact"/>
        <w:numPr>
          <w:ilvl w:val="0"/>
          <w:numId w:val="1031"/>
        </w:numPr>
      </w:pPr>
      <w:r>
        <w:t xml:space="preserve">McKinsey, (2020). Net-Zero Europe Decarbonization pathways and socioeconomic implications.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Kalcher, L. et al., (2023). The post-2030 climate target debate starts now, Strategic Perspectives and</w:t>
      </w:r>
      <w:r>
        <w:t xml:space="preserve"> </w:t>
      </w:r>
      <w:r>
        <w:t xml:space="preserve">Climact. https://strategicperspectives.eu/the-post-2030-climate-target-debate-starts-now/</w:t>
      </w:r>
    </w:p>
    <w:p>
      <w:pPr>
        <w:pStyle w:val="Compact"/>
        <w:numPr>
          <w:ilvl w:val="0"/>
          <w:numId w:val="1031"/>
        </w:numPr>
      </w:pPr>
      <w:r>
        <w:t xml:space="preserve">Madeddu, S., et al. (2020). The CO2 reduction potential for the European industry via direct</w:t>
      </w:r>
      <w:r>
        <w:t xml:space="preserve"> </w:t>
      </w:r>
      <w:r>
        <w:t xml:space="preserve">electrification of heat supply (power-to-heat). Environmental Research Letters, 15(12), 124004.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shows that combining all approaches can reduce industrial emissions by 86% in 2050</w:t>
      </w:r>
      <w:r>
        <w:t xml:space="preserve"> </w:t>
      </w:r>
      <w:r>
        <w:t xml:space="preserve">compared to 2019 (78).</w:t>
      </w:r>
      <w:r>
        <w:t xml:space="preserve"> </w:t>
      </w:r>
      <w:r>
        <w:t xml:space="preserve">1.4.2. Activity</w:t>
      </w:r>
      <w:r>
        <w:br/>
      </w:r>
      <w:r>
        <w:t xml:space="preserve">The activity in the three main scenarios build on a continuation of trends of sector-</w:t>
      </w:r>
      <w:r>
        <w:t xml:space="preserve"> </w:t>
      </w:r>
      <w:r>
        <w:t xml:space="preserve">specific material demand and associated production. LIFE illustrates how a more</w:t>
      </w:r>
      <w:r>
        <w:t xml:space="preserve"> </w:t>
      </w:r>
      <w:r>
        <w:t xml:space="preserve">efficient use of materials resources, through technological innovations and a higher</w:t>
      </w:r>
      <w:r>
        <w:t xml:space="preserve"> </w:t>
      </w:r>
      <w:r>
        <w:t xml:space="preserve">circularity of the EU’s economy, can impact positively sectoral CO2 emissions.</w:t>
      </w:r>
      <w:r>
        <w:t xml:space="preserve"> </w:t>
      </w:r>
      <w:r>
        <w:t xml:space="preserve">Future production of steel in EU is likely to maintain current levels (79), and this trend is</w:t>
      </w:r>
      <w:r>
        <w:t xml:space="preserve"> </w:t>
      </w:r>
      <w:r>
        <w:t xml:space="preserve">reflected in the main scenarios, where sector decarbonisation happens mainly through the</w:t>
      </w:r>
      <w:r>
        <w:t xml:space="preserve"> </w:t>
      </w:r>
      <w:r>
        <w:t xml:space="preserve">increase of electric arc furnace share and a larger use of hydrogen in the reduction of iron</w:t>
      </w:r>
      <w:r>
        <w:t xml:space="preserve"> </w:t>
      </w:r>
      <w:r>
        <w:t xml:space="preserve">ore (80). A more efficient use of steel and an increasing recycling rate could lead to a</w:t>
      </w:r>
      <w:r>
        <w:t xml:space="preserve"> </w:t>
      </w:r>
      <w:r>
        <w:t xml:space="preserve">decrease in primary production and an increased share of secondary steel, reducing</w:t>
      </w:r>
      <w:r>
        <w:t xml:space="preserve"> </w:t>
      </w:r>
      <w:r>
        <w:t xml:space="preserve">overall demand by up to 15-17% in the period 2040-2050 compared to the most recent</w:t>
      </w:r>
      <w:r>
        <w:t xml:space="preserve"> </w:t>
      </w:r>
      <w:r>
        <w:t xml:space="preserve">years (77)(78). LIFE follows this approach and projects a decrease in demand of around</w:t>
      </w:r>
      <w:r>
        <w:t xml:space="preserve"> </w:t>
      </w:r>
      <w:r>
        <w:t xml:space="preserve">15% in 2050 (25% of primary) compared to the main scenarios.</w:t>
      </w:r>
      <w:r>
        <w:br/>
      </w:r>
      <w:r>
        <w:t xml:space="preserve">According to BNEF (79), global production for aluminium is projected to increase by</w:t>
      </w:r>
      <w:r>
        <w:t xml:space="preserve"> </w:t>
      </w:r>
      <w:r>
        <w:t xml:space="preserve">around 40% by 2050, intensifying especially secondary aluminum. Studies also show</w:t>
      </w:r>
      <w:r>
        <w:t xml:space="preserve"> </w:t>
      </w:r>
      <w:r>
        <w:t xml:space="preserve">that a more efficient use of this material, especially in terms of scrap recycled and</w:t>
      </w:r>
      <w:r>
        <w:t xml:space="preserve"> </w:t>
      </w:r>
      <w:r>
        <w:t xml:space="preserve">lifetime extension of products, can instead maintain production level to similar values as</w:t>
      </w:r>
      <w:r>
        <w:t xml:space="preserve"> </w:t>
      </w:r>
      <w:r>
        <w:t xml:space="preserve">today (77). In S1, S2 and S3, an increase of aluminum production of around 35% until</w:t>
      </w:r>
      <w:r>
        <w:t xml:space="preserve"> </w:t>
      </w:r>
      <w:r>
        <w:t xml:space="preserve">2050 is assumed, while LIFE models an optimisation of material use resulting in a</w:t>
      </w:r>
      <w:r>
        <w:t xml:space="preserve"> </w:t>
      </w:r>
      <w:r>
        <w:t xml:space="preserve">reduction of 20% of production when compared to the main scenarios.</w:t>
      </w:r>
      <w:r>
        <w:br/>
      </w:r>
      <w:r>
        <w:t xml:space="preserve">The paper sector is expected to moderately increase production, as the decline in</w:t>
      </w:r>
      <w:r>
        <w:t xml:space="preserve"> </w:t>
      </w:r>
      <w:r>
        <w:t xml:space="preserve">printing-related paper production is outweighed by growth in packaging and sanitary</w:t>
      </w:r>
      <w:r>
        <w:t xml:space="preserve"> </w:t>
      </w:r>
      <w:r>
        <w:t xml:space="preserve">paper products (81). The high recyclicling rates of today are projected to increase</w:t>
      </w:r>
      <w:r>
        <w:t xml:space="preserve"> </w:t>
      </w:r>
      <w:r>
        <w:t xml:space="preserve">further (82), expanding the secondary share of production and unlocking the possibility to</w:t>
      </w:r>
      <w:r>
        <w:t xml:space="preserve"> </w:t>
      </w:r>
      <w:r>
        <w:t xml:space="preserve">reduced paper demand of up to 14% in 2050 (vs 2015) (78). The modelling captures these</w:t>
      </w:r>
      <w:r>
        <w:t xml:space="preserve"> </w:t>
      </w:r>
      <w:r>
        <w:t xml:space="preserve">trends, projecting a 5% increase of production by 2050 in S1, S2 and S3 and a decrease</w:t>
      </w:r>
      <w:r>
        <w:t xml:space="preserve"> </w:t>
      </w:r>
      <w:r>
        <w:t xml:space="preserve">in LIFE of around 20% in 2050 (40% for primary), thanks to higher recycling rates and</w:t>
      </w:r>
      <w:r>
        <w:t xml:space="preserve"> </w:t>
      </w:r>
      <w:r>
        <w:t xml:space="preserve">material efficiency, and implementation of reusable packaging.</w:t>
      </w:r>
      <w:r>
        <w:br/>
      </w:r>
      <w:r>
        <w:t xml:space="preserve">Production of cement (including clinker) in EU is assumed to increase by around 20% in</w:t>
      </w:r>
      <w:r>
        <w:t xml:space="preserve"> </w:t>
      </w:r>
      <w:r>
        <w:t xml:space="preserve">the main scenarios by 2050 (79). However, low-carbon cement alternatives, high share of</w:t>
      </w:r>
      <w:r>
        <w:t xml:space="preserve"> </w:t>
      </w:r>
      <w:r>
        <w:t xml:space="preserve">recycled cement in concrete, and changes in lifetime and utilisation rate of buildings</w:t>
      </w:r>
      <w:r>
        <w:t xml:space="preserve"> </w:t>
      </w:r>
      <w:r>
        <w:t xml:space="preserve">could decrease demand, with estimates showing lower demand by 25% in 2040</w:t>
      </w:r>
    </w:p>
    <w:p>
      <w:pPr>
        <w:pStyle w:val="Compact"/>
        <w:numPr>
          <w:ilvl w:val="0"/>
          <w:numId w:val="1032"/>
        </w:numPr>
      </w:pPr>
      <w:r>
        <w:t xml:space="preserve">CLEVER, (2023). Climate neutrality, Energy security and Sustainability: A pathway to bridge the gap</w:t>
      </w:r>
      <w:r>
        <w:t xml:space="preserve"> </w:t>
      </w:r>
      <w:r>
        <w:t xml:space="preserve">through Sufficiency, Efficiency and Renewables, Final Report. https://clever-energy-scenario.eu/wp-</w:t>
      </w:r>
      <w:r>
        <w:t xml:space="preserve"> </w:t>
      </w:r>
      <w:r>
        <w:t xml:space="preserve">content/uploads/2023/06/clever_final_report-exec_summary.pdf</w:t>
      </w:r>
    </w:p>
    <w:p>
      <w:pPr>
        <w:pStyle w:val="Compact"/>
        <w:numPr>
          <w:ilvl w:val="0"/>
          <w:numId w:val="1032"/>
        </w:numPr>
      </w:pPr>
      <w:r>
        <w:t xml:space="preserve">BNEF, (2023). New Energy Outlook: Industry.</w:t>
      </w:r>
    </w:p>
    <w:p>
      <w:pPr>
        <w:pStyle w:val="Compact"/>
        <w:numPr>
          <w:ilvl w:val="0"/>
          <w:numId w:val="1032"/>
        </w:numPr>
      </w:pPr>
      <w:r>
        <w:t xml:space="preserve">Agora Industry and Wuppertal Institute, (2023). 15 insights on the global steel transformation.</w:t>
      </w:r>
    </w:p>
    <w:p>
      <w:pPr>
        <w:pStyle w:val="Compact"/>
        <w:numPr>
          <w:ilvl w:val="0"/>
          <w:numId w:val="1032"/>
        </w:numPr>
      </w:pPr>
      <w:r>
        <w:t xml:space="preserve">IEA, (2023). Tracking Clean Energy Process, Tracking Pulp and Paper.</w:t>
      </w:r>
    </w:p>
    <w:p>
      <w:pPr>
        <w:pStyle w:val="Compact"/>
        <w:numPr>
          <w:ilvl w:val="0"/>
          <w:numId w:val="1032"/>
        </w:numPr>
      </w:pPr>
      <w:r>
        <w:t xml:space="preserve">Directive 94/62/EC (Amended by Directive(EU) 2018/852).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compared to 2019 (77) or by 38% in 2050 compared to 2015 (78). LIFE assumes a</w:t>
      </w:r>
      <w:r>
        <w:t xml:space="preserve"> </w:t>
      </w:r>
      <w:r>
        <w:t xml:space="preserve">demand-driven production around 25% lower in 2050.</w:t>
      </w:r>
      <w:r>
        <w:br/>
      </w:r>
      <w:r>
        <w:t xml:space="preserve">The global demand for petrochemicals, including a larger share of chemically recycled</w:t>
      </w:r>
      <w:r>
        <w:t xml:space="preserve"> </w:t>
      </w:r>
      <w:r>
        <w:t xml:space="preserve">feedstock, is projected to double by 2050 compared to 2021, with the EU representing</w:t>
      </w:r>
      <w:r>
        <w:t xml:space="preserve"> </w:t>
      </w:r>
      <w:r>
        <w:t xml:space="preserve">around 4% of market share by mid-century (79). In the main scenarios, an increase of</w:t>
      </w:r>
      <w:r>
        <w:t xml:space="preserve"> </w:t>
      </w:r>
      <w:r>
        <w:t xml:space="preserve">demand for organic chemical and petrochemicals in end-user products of around 23%</w:t>
      </w:r>
      <w:r>
        <w:t xml:space="preserve"> </w:t>
      </w:r>
      <w:r>
        <w:t xml:space="preserve">with respect to the average production in 2015-2020 is assumed, taking also into account</w:t>
      </w:r>
      <w:r>
        <w:t xml:space="preserve"> </w:t>
      </w:r>
      <w:r>
        <w:t xml:space="preserve">a steep increase in recycling rate. According to literature, additional demand-side actions</w:t>
      </w:r>
      <w:r>
        <w:t xml:space="preserve"> </w:t>
      </w:r>
      <w:r>
        <w:t xml:space="preserve">could lead to an optimisation of production of chemicals, with savings of up to around</w:t>
      </w:r>
      <w:r>
        <w:t xml:space="preserve"> </w:t>
      </w:r>
      <w:r>
        <w:t xml:space="preserve">28% of olefins and ammonia in 2040 (vs 2019) (77) and up to 23% in 2050 (vs 2015)</w:t>
      </w:r>
      <w:r>
        <w:t xml:space="preserve"> </w:t>
      </w:r>
      <w:r>
        <w:t xml:space="preserve">when encompassing all chemicals (78). Introduction of additional measures in LIFE such</w:t>
      </w:r>
      <w:r>
        <w:t xml:space="preserve"> </w:t>
      </w:r>
      <w:r>
        <w:t xml:space="preserve">as a ban of single use water bottles and strong reduction of plastic-packaging are</w:t>
      </w:r>
      <w:r>
        <w:t xml:space="preserve"> </w:t>
      </w:r>
      <w:r>
        <w:t xml:space="preserve">projected to save approximately 15% of primary input material in 2050.</w:t>
      </w:r>
      <w:r>
        <w:br/>
      </w:r>
      <w:r>
        <w:t xml:space="preserve">Table 8 summarises the variation of industrial production assumed in the analysis.</w:t>
      </w:r>
      <w:r>
        <w:br/>
      </w:r>
      <w:r>
        <w:t xml:space="preserve">Table 8: Assumptions on evolution of industrial domestic production for selected materials</w:t>
      </w:r>
    </w:p>
    <w:p>
      <w:pPr>
        <w:pStyle w:val="BodyText"/>
      </w:pPr>
      <w:r>
        <w:t xml:space="preserve">S1, S2, S3</w:t>
      </w:r>
      <w:r>
        <w:br/>
      </w:r>
      <w:r>
        <w:t xml:space="preserve">LIFE</w:t>
      </w:r>
      <w:r>
        <w:t xml:space="preserve"> </w:t>
      </w:r>
      <w:r>
        <w:t xml:space="preserve">2050 vs 2015</w:t>
      </w:r>
      <w:r>
        <w:t xml:space="preserve"> </w:t>
      </w:r>
      <w:r>
        <w:t xml:space="preserve">vs S1, S2, S3 in 2050</w:t>
      </w:r>
      <w:r>
        <w:t xml:space="preserve"> </w:t>
      </w:r>
      <w:r>
        <w:t xml:space="preserve">Steel</w:t>
      </w:r>
      <w:r>
        <w:br/>
      </w:r>
      <w:r>
        <w:t xml:space="preserve">0%</w:t>
      </w:r>
      <w:r>
        <w:t xml:space="preserve"> </w:t>
      </w:r>
      <w:r>
        <w:t xml:space="preserve">-15% (-25% primary)</w:t>
      </w:r>
      <w:r>
        <w:t xml:space="preserve"> </w:t>
      </w:r>
      <w:r>
        <w:t xml:space="preserve">Aluminum</w:t>
      </w:r>
      <w:r>
        <w:br/>
      </w:r>
      <w:r>
        <w:t xml:space="preserve">35%</w:t>
      </w:r>
      <w:r>
        <w:t xml:space="preserve"> </w:t>
      </w:r>
      <w:r>
        <w:t xml:space="preserve">-20%</w:t>
      </w:r>
      <w:r>
        <w:t xml:space="preserve"> </w:t>
      </w:r>
      <w:r>
        <w:t xml:space="preserve">Paper</w:t>
      </w:r>
      <w:r>
        <w:br/>
      </w:r>
      <w:r>
        <w:t xml:space="preserve">5%</w:t>
      </w:r>
      <w:r>
        <w:t xml:space="preserve"> </w:t>
      </w:r>
      <w:r>
        <w:t xml:space="preserve">-20% (-40% primary)</w:t>
      </w:r>
      <w:r>
        <w:t xml:space="preserve"> </w:t>
      </w:r>
      <w:r>
        <w:t xml:space="preserve">Cement (including clinker)</w:t>
      </w:r>
      <w:r>
        <w:br/>
      </w:r>
      <w:r>
        <w:t xml:space="preserve">20%</w:t>
      </w:r>
      <w:r>
        <w:br/>
      </w:r>
      <w:r>
        <w:t xml:space="preserve">-25%</w:t>
      </w:r>
      <w:r>
        <w:t xml:space="preserve"> </w:t>
      </w:r>
      <w:r>
        <w:t xml:space="preserve">Petrochemicals and organic materials</w:t>
      </w:r>
      <w:r>
        <w:t xml:space="preserve"> </w:t>
      </w:r>
      <w:r>
        <w:t xml:space="preserve">25%*</w:t>
      </w:r>
      <w:r>
        <w:t xml:space="preserve"> </w:t>
      </w:r>
      <w:r>
        <w:t xml:space="preserve">-15%</w:t>
      </w:r>
      <w:r>
        <w:t xml:space="preserve"> </w:t>
      </w:r>
      <w:r>
        <w:t xml:space="preserve">Note: *Value calculated with respect to the 2015-2020 average production.</w:t>
      </w:r>
      <w:r>
        <w:br/>
      </w:r>
      <w:r>
        <w:t xml:space="preserve">1.4.3. Final Energy Consumption</w:t>
      </w:r>
      <w:r>
        <w:t xml:space="preserve"> </w:t>
      </w:r>
      <w:r>
        <w:t xml:space="preserve">As result of improved energy efficiency and changes in activity, energy consumption (83)</w:t>
      </w:r>
      <w:r>
        <w:t xml:space="preserve"> </w:t>
      </w:r>
      <w:r>
        <w:t xml:space="preserve">in the industrial sector decreases by around 20% in the 2031-2040 decade and by 7</w:t>
      </w:r>
      <w:r>
        <w:t xml:space="preserve"> </w:t>
      </w:r>
      <w:r>
        <w:t xml:space="preserve">additional percentage point in 2041-2050 (vs 2030) in the main scenarios, showing that a</w:t>
      </w:r>
      <w:r>
        <w:t xml:space="preserve"> </w:t>
      </w:r>
      <w:r>
        <w:t xml:space="preserve">significant part of the mitigation potential allocated to efficiency improvement is attained</w:t>
      </w:r>
      <w:r>
        <w:t xml:space="preserve"> </w:t>
      </w:r>
      <w:r>
        <w:t xml:space="preserve">already by 2040. LIFE shows for 2040 a nearly identical value as the other scenarios and</w:t>
      </w:r>
      <w:r>
        <w:t xml:space="preserve"> </w:t>
      </w:r>
      <w:r>
        <w:t xml:space="preserve">for 2050 an additional reduction of few percentage points (Figure 49).</w:t>
      </w:r>
    </w:p>
    <w:p>
      <w:pPr>
        <w:pStyle w:val="Compact"/>
        <w:numPr>
          <w:ilvl w:val="0"/>
          <w:numId w:val="1033"/>
        </w:numPr>
      </w:pPr>
      <w:r>
        <w:t xml:space="preserve">Final energy consumption (FEC) and consumption in refineries</w:t>
      </w:r>
    </w:p>
    <w:p>
      <w:pPr>
        <w:pStyle w:val="FirstParagraph"/>
      </w:pPr>
      <w:r>
        <w:t xml:space="preserve">62</w:t>
      </w:r>
    </w:p>
    <w:p>
      <w:pPr>
        <w:pStyle w:val="BodyText"/>
      </w:pPr>
      <w:r>
        <w:t xml:space="preserve">Figure 49: Final Energy Consumption in industry by sector</w:t>
      </w:r>
    </w:p>
    <w:p>
      <w:pPr>
        <w:pStyle w:val="BodyText"/>
      </w:pPr>
      <w:r>
        <w:t xml:space="preserve">Note: *The iron and steel sector includes blast furnaces.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When looking at the share of the different fuels in industry consumption (Figure 50), the</w:t>
      </w:r>
      <w:r>
        <w:t xml:space="preserve"> </w:t>
      </w:r>
      <w:r>
        <w:t xml:space="preserve">model shows an increasing electrification trend in all scenarios. Electrification share</w:t>
      </w:r>
      <w:r>
        <w:t xml:space="preserve"> </w:t>
      </w:r>
      <w:r>
        <w:t xml:space="preserve">reaches around 48% in 2040 and 62% in 2050 from around 21% in 2021 (84), in line with</w:t>
      </w:r>
      <w:r>
        <w:t xml:space="preserve"> </w:t>
      </w:r>
      <w:r>
        <w:t xml:space="preserve">figures of around 50% in 2040 and 60% in 2050 projected by Eurelectric (85). The model</w:t>
      </w:r>
      <w:r>
        <w:t xml:space="preserve"> </w:t>
      </w:r>
      <w:r>
        <w:t xml:space="preserve">also shows a progressively higher contribution of RFNBOs, representing around 1%,</w:t>
      </w:r>
      <w:r>
        <w:t xml:space="preserve"> </w:t>
      </w:r>
      <w:r>
        <w:t xml:space="preserve">10% and 18% of FEC in 2030, 2040 and 2050. Electrification share in Final Energy</w:t>
      </w:r>
      <w:r>
        <w:t xml:space="preserve"> </w:t>
      </w:r>
      <w:r>
        <w:t xml:space="preserve">Consumption (FEC-E) varies little across scenarios, indicating that it is based on a</w:t>
      </w:r>
      <w:r>
        <w:t xml:space="preserve"> </w:t>
      </w:r>
      <w:r>
        <w:t xml:space="preserve">number of commercial technologies and consolidated trends already available in S1 and</w:t>
      </w:r>
      <w:r>
        <w:t xml:space="preserve"> </w:t>
      </w:r>
      <w:r>
        <w:t xml:space="preserve">deployed similarly across S1, S2 and S3. Fossil fuels, in particular natural gas, are</w:t>
      </w:r>
      <w:r>
        <w:t xml:space="preserve"> </w:t>
      </w:r>
      <w:r>
        <w:t xml:space="preserve">replaced partially by biofuels and mostly by an increasing amount of RFNBOs, in</w:t>
      </w:r>
      <w:r>
        <w:t xml:space="preserve"> </w:t>
      </w:r>
      <w:r>
        <w:t xml:space="preserve">particular hydrogen, whose share in FEC-E increases from 7% to 9% and 12% when</w:t>
      </w:r>
      <w:r>
        <w:t xml:space="preserve"> </w:t>
      </w:r>
      <w:r>
        <w:t xml:space="preserve">moving from S1 to S2 and S3 (Eurelectric shows hydrogen shares of around 10-</w:t>
      </w:r>
      <w:r>
        <w:t xml:space="preserve"> </w:t>
      </w:r>
      <w:r>
        <w:t xml:space="preserve">15% (86)). LIFE shows a use of RFNBOs in line with S2 and more moderate compared to</w:t>
      </w:r>
      <w:r>
        <w:t xml:space="preserve"> </w:t>
      </w:r>
      <w:r>
        <w:t xml:space="preserve">S3: additional emission reductions in sectors outside energy and industry slightly delays</w:t>
      </w:r>
      <w:r>
        <w:t xml:space="preserve"> </w:t>
      </w:r>
      <w:r>
        <w:t xml:space="preserve">the need for extensive deployment of e-fuels. In 2050, almost all fossil fuels disappear, as</w:t>
      </w:r>
      <w:r>
        <w:t xml:space="preserve"> </w:t>
      </w:r>
      <w:r>
        <w:t xml:space="preserve">result of complete fuel switch in furnaces and introduction of alternative heating</w:t>
      </w:r>
      <w:r>
        <w:t xml:space="preserve"> </w:t>
      </w:r>
      <w:r>
        <w:t xml:space="preserve">processes.</w:t>
      </w:r>
    </w:p>
    <w:p>
      <w:pPr>
        <w:pStyle w:val="Compact"/>
        <w:numPr>
          <w:ilvl w:val="0"/>
          <w:numId w:val="1034"/>
        </w:numPr>
      </w:pPr>
      <w:r>
        <w:t xml:space="preserve">Eurostat, (2023). Complete Energy Balances European Union (27 countries) – 2021.</w:t>
      </w:r>
    </w:p>
    <w:p>
      <w:pPr>
        <w:pStyle w:val="Compact"/>
        <w:numPr>
          <w:ilvl w:val="0"/>
          <w:numId w:val="1034"/>
        </w:numPr>
      </w:pPr>
      <w:r>
        <w:t xml:space="preserve">Eurelectric (2023). Decarbonisation speedways: Accelerating Europe’s journey to net zero with</w:t>
      </w:r>
      <w:r>
        <w:t xml:space="preserve"> </w:t>
      </w:r>
      <w:r>
        <w:t xml:space="preserve">realistic 2040 targets. Slide 19. https://www.eurelectric.org/publications/decarbonisation-speedways-</w:t>
      </w:r>
      <w:r>
        <w:t xml:space="preserve"> </w:t>
      </w:r>
      <w:r>
        <w:t xml:space="preserve">full-report</w:t>
      </w:r>
    </w:p>
    <w:p>
      <w:pPr>
        <w:pStyle w:val="Compact"/>
        <w:numPr>
          <w:ilvl w:val="0"/>
          <w:numId w:val="1034"/>
        </w:numPr>
      </w:pPr>
      <w:r>
        <w:t xml:space="preserve">Ibid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Refineries</w:t>
      </w:r>
      <w:r>
        <w:t xml:space="preserve"> </w:t>
      </w:r>
      <w:r>
        <w:t xml:space="preserve">Other Industry Sectors</w:t>
      </w:r>
      <w:r>
        <w:t xml:space="preserve"> </w:t>
      </w:r>
      <w:r>
        <w:t xml:space="preserve">Textile</w:t>
      </w:r>
      <w:r>
        <w:t xml:space="preserve"> </w:t>
      </w:r>
      <w:r>
        <w:t xml:space="preserve">Engineering &amp; Other Metals</w:t>
      </w:r>
      <w:r>
        <w:t xml:space="preserve"> </w:t>
      </w:r>
      <w:r>
        <w:t xml:space="preserve">Food, Beverages &amp; Tobacco</w:t>
      </w:r>
      <w:r>
        <w:t xml:space="preserve"> </w:t>
      </w:r>
      <w:r>
        <w:t xml:space="preserve">Pulp, Paper &amp; Print</w:t>
      </w:r>
      <w:r>
        <w:t xml:space="preserve"> </w:t>
      </w:r>
      <w:r>
        <w:t xml:space="preserve">Chemicals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Iron &amp; Steel*</w:t>
      </w:r>
    </w:p>
    <w:p>
      <w:pPr>
        <w:pStyle w:val="FirstParagraph"/>
      </w:pPr>
      <w:r>
        <w:t xml:space="preserve">63</w:t>
      </w:r>
    </w:p>
    <w:p>
      <w:pPr>
        <w:pStyle w:val="BodyText"/>
      </w:pPr>
      <w:r>
        <w:t xml:space="preserve">Figure 50: Energy Consumption in industry by fuel</w:t>
      </w:r>
    </w:p>
    <w:p>
      <w:pPr>
        <w:pStyle w:val="BodyText"/>
      </w:pPr>
      <w:r>
        <w:t xml:space="preserve">Note: The energy consumption includes the final energy consumption plus the consumption in refineries.</w:t>
      </w:r>
      <w:r>
        <w:br/>
      </w:r>
      <w:r>
        <w:rPr>
          <w:i/>
          <w:iCs/>
        </w:rPr>
        <w:t xml:space="preserve">Natural gas including manufactured gas (coke-oven gas, blast furnace gas &amp; gasworks gas), but not e-gas.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Bioenergy including bio-solids, biofuels, biogas (including waste gas and biomethane) and solid waste.</w:t>
      </w:r>
      <w:r>
        <w:br/>
      </w:r>
      <w:r>
        <w:rPr>
          <w:b/>
          <w:bCs/>
          <w:i/>
          <w:iCs/>
        </w:rPr>
        <w:t xml:space="preserve">Source: PRIMES.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1.4.4. Final Non-Energy Consumption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Figure 51 shows the evolution non-energy consumption in industry, representing fuels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that are used as raw materials (for instance oil transformed in plastics or bitumen used 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road construction). In 2031-2040, total consumption is maintained around 2030 levels,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while significant changes occur in 2041-2050: fossil fuels which represents around 90%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 the industrial feedstock until 2040 decrease by 15 Mtoe and are partially replaced by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hydrogen and electricity. In the same decade, hydrogen increases of around 25 Mtoe.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Negligible differences can be found between S1, S2 and S3. A small decrease in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energy consumption in LIFE is projected in around 5% in 2040 and 10% in 2050, 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result of decrease in activity in the petrochemical and other industrial sectors.</w:t>
      </w:r>
      <w:r>
        <w:br/>
      </w:r>
      <w:r>
        <w:rPr>
          <w:b/>
          <w:bCs/>
          <w:i/>
          <w:iCs/>
        </w:rPr>
        <w:t xml:space="preserve">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100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150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250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300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S2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LIFE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S2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LIFE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2015 2030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2040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2050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Mtoe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Others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Electricity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Other RES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Bio-energy</w:t>
      </w:r>
      <w:r>
        <w:rPr>
          <w:i/>
          <w:iCs/>
        </w:rPr>
        <w:t xml:space="preserve"> </w:t>
      </w:r>
      <w:r>
        <w:rPr>
          <w:i/>
          <w:iCs/>
        </w:rPr>
        <w:t xml:space="preserve">Marketed heat</w:t>
      </w:r>
      <w:r>
        <w:rPr>
          <w:i/>
          <w:iCs/>
        </w:rPr>
        <w:t xml:space="preserve"> </w:t>
      </w:r>
      <w:r>
        <w:rPr>
          <w:i/>
          <w:iCs/>
        </w:rPr>
        <w:t xml:space="preserve">Hydrogen</w:t>
      </w:r>
      <w:r>
        <w:rPr>
          <w:i/>
          <w:iCs/>
        </w:rPr>
        <w:t xml:space="preserve"> </w:t>
      </w:r>
      <w:r>
        <w:rPr>
          <w:i/>
          <w:iCs/>
        </w:rPr>
        <w:t xml:space="preserve">E-gas</w:t>
      </w:r>
      <w:r>
        <w:rPr>
          <w:i/>
          <w:iCs/>
        </w:rPr>
        <w:t xml:space="preserve"> </w:t>
      </w:r>
      <w:r>
        <w:rPr>
          <w:i/>
          <w:iCs/>
        </w:rPr>
        <w:t xml:space="preserve">E-liquids</w:t>
      </w:r>
      <w:r>
        <w:rPr>
          <w:i/>
          <w:iCs/>
        </w:rPr>
        <w:t xml:space="preserve"> </w:t>
      </w:r>
      <w:r>
        <w:rPr>
          <w:i/>
          <w:iCs/>
        </w:rPr>
        <w:t xml:space="preserve">Natural gas</w:t>
      </w:r>
      <w:r>
        <w:t xml:space="preserve"> </w:t>
      </w:r>
      <w:r>
        <w:t xml:space="preserve">Liquid fossil fuels</w:t>
      </w:r>
      <w:r>
        <w:t xml:space="preserve"> </w:t>
      </w:r>
      <w:r>
        <w:t xml:space="preserve">Solid fossil fuels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Figure 51: Final Non-Energy Consumption in industry by fuel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i/>
          <w:iCs/>
        </w:rPr>
        <w:t xml:space="preserve">including manufactured gas (coke-oven gas, blast furnace gas &amp; gasworks gas), but not e-gas.</w:t>
      </w:r>
      <w:r>
        <w:br/>
      </w:r>
      <w:r>
        <w:rPr>
          <w:i/>
          <w:iCs/>
        </w:rPr>
        <w:t xml:space="preserve">Source: PRIMES.</w:t>
      </w:r>
      <w:r>
        <w:rPr>
          <w:i/>
          <w:iCs/>
        </w:rPr>
        <w:t xml:space="preserve"> </w:t>
      </w:r>
      <w:r>
        <w:rPr>
          <w:i/>
          <w:iCs/>
        </w:rPr>
        <w:t xml:space="preserve">1.4.5. CO2 emissions from industry</w:t>
      </w:r>
      <w:r>
        <w:rPr>
          <w:i/>
          <w:iCs/>
        </w:rPr>
        <w:t xml:space="preserve"> </w:t>
      </w:r>
      <w:r>
        <w:rPr>
          <w:i/>
          <w:iCs/>
        </w:rPr>
        <w:t xml:space="preserve">1.4.5.1.Energy-related CO2 emissions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Significant reduction of the energy-related CO2 industrial emissions appears in the decade</w:t>
      </w:r>
      <w:r>
        <w:rPr>
          <w:i/>
          <w:iCs/>
        </w:rPr>
        <w:t xml:space="preserve"> </w:t>
      </w:r>
      <w:r>
        <w:rPr>
          <w:i/>
          <w:iCs/>
        </w:rPr>
        <w:t xml:space="preserve">2031-2040: -47% in S1, -63% in S2 and -80% in S3 (Figure 52). Emissions reduce in all</w:t>
      </w:r>
      <w:r>
        <w:rPr>
          <w:i/>
          <w:iCs/>
        </w:rPr>
        <w:t xml:space="preserve"> </w:t>
      </w:r>
      <w:r>
        <w:rPr>
          <w:i/>
          <w:iCs/>
        </w:rPr>
        <w:t xml:space="preserve">sectors, as result of electrification process and gradual uptake of RFNBOs and carbon</w:t>
      </w:r>
      <w:r>
        <w:rPr>
          <w:i/>
          <w:iCs/>
        </w:rPr>
        <w:t xml:space="preserve"> </w:t>
      </w:r>
      <w:r>
        <w:rPr>
          <w:i/>
          <w:iCs/>
        </w:rPr>
        <w:t xml:space="preserve">capture technologies. The variation across scenarios for all main sectors ranges between 12</w:t>
      </w:r>
      <w:r>
        <w:rPr>
          <w:i/>
          <w:iCs/>
        </w:rPr>
        <w:t xml:space="preserve"> </w:t>
      </w:r>
      <w:r>
        <w:rPr>
          <w:i/>
          <w:iCs/>
        </w:rPr>
        <w:t xml:space="preserve">and 32 percentage point, with the chemical sector achieving the highest reduction in 2040</w:t>
      </w:r>
      <w:r>
        <w:rPr>
          <w:i/>
          <w:iCs/>
        </w:rPr>
        <w:t xml:space="preserve"> </w:t>
      </w:r>
      <w:r>
        <w:rPr>
          <w:i/>
          <w:iCs/>
        </w:rPr>
        <w:t xml:space="preserve">(down to 82% below 2030 level). The iron and steel emissions achieve around -55% in S1,</w:t>
      </w:r>
      <w:r>
        <w:rPr>
          <w:i/>
          <w:iCs/>
        </w:rPr>
        <w:t xml:space="preserve"> </w:t>
      </w:r>
      <w:r>
        <w:rPr>
          <w:i/>
          <w:iCs/>
        </w:rPr>
        <w:t xml:space="preserve">-65% in S2 and -70% in S3 when compared to 2030 levels. These values result from an</w:t>
      </w:r>
      <w:r>
        <w:rPr>
          <w:i/>
          <w:iCs/>
        </w:rPr>
        <w:t xml:space="preserve"> </w:t>
      </w:r>
      <w:r>
        <w:rPr>
          <w:i/>
          <w:iCs/>
        </w:rPr>
        <w:t xml:space="preserve">increased electrification occurring in S1, on top of which carbon capture and RFNBOs</w:t>
      </w:r>
      <w:r>
        <w:rPr>
          <w:i/>
          <w:iCs/>
        </w:rPr>
        <w:t xml:space="preserve"> </w:t>
      </w:r>
      <w:r>
        <w:rPr>
          <w:i/>
          <w:iCs/>
        </w:rPr>
        <w:t xml:space="preserve">deploy progressively in S2 and S3. In 2050, an even higher share of electricity and</w:t>
      </w:r>
      <w:r>
        <w:rPr>
          <w:i/>
          <w:iCs/>
        </w:rPr>
        <w:t xml:space="preserve"> </w:t>
      </w:r>
      <w:r>
        <w:rPr>
          <w:i/>
          <w:iCs/>
        </w:rPr>
        <w:t xml:space="preserve">RFNBOs in industrial consumption (see Figure 49), together with larger development of</w:t>
      </w:r>
      <w:r>
        <w:rPr>
          <w:i/>
          <w:iCs/>
        </w:rPr>
        <w:t xml:space="preserve"> </w:t>
      </w:r>
      <w:r>
        <w:rPr>
          <w:i/>
          <w:iCs/>
        </w:rPr>
        <w:t xml:space="preserve">carbon capture, reduce or eliminate further residual emissions in all sectors in a similar</w:t>
      </w:r>
      <w:r>
        <w:rPr>
          <w:i/>
          <w:iCs/>
        </w:rPr>
        <w:t xml:space="preserve"> </w:t>
      </w:r>
      <w:r>
        <w:rPr>
          <w:i/>
          <w:iCs/>
        </w:rPr>
        <w:t xml:space="preserve">way across the three scenarios.</w:t>
      </w:r>
      <w:r>
        <w:br/>
      </w:r>
      <w:r>
        <w:rPr>
          <w:i/>
          <w:iCs/>
        </w:rPr>
        <w:t xml:space="preserve">LIFE shows emissions higher than S3 and in line with S2 in 2040, since the additional</w:t>
      </w:r>
      <w:r>
        <w:rPr>
          <w:i/>
          <w:iCs/>
        </w:rPr>
        <w:t xml:space="preserve"> </w:t>
      </w:r>
      <w:r>
        <w:rPr>
          <w:i/>
          <w:iCs/>
        </w:rPr>
        <w:t xml:space="preserve">reductions in non-CO2 and the LULUCF allow for less constraints in the energy and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 emissions. This translates into a lower use of RFNBOs in 2040 (see also Figure</w:t>
      </w:r>
      <w:r>
        <w:rPr>
          <w:i/>
          <w:iCs/>
        </w:rPr>
        <w:t xml:space="preserve"> </w:t>
      </w:r>
      <w:r>
        <w:rPr>
          <w:i/>
          <w:iCs/>
        </w:rPr>
        <w:t xml:space="preserve">50) and a lower amount of carbon captured in 2050.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20</w:t>
      </w:r>
      <w:r>
        <w:rPr>
          <w:i/>
          <w:iCs/>
        </w:rPr>
        <w:t xml:space="preserve"> </w:t>
      </w:r>
      <w:r>
        <w:rPr>
          <w:i/>
          <w:iCs/>
        </w:rPr>
        <w:t xml:space="preserve">40</w:t>
      </w:r>
      <w:r>
        <w:rPr>
          <w:i/>
          <w:iCs/>
        </w:rPr>
        <w:t xml:space="preserve"> </w:t>
      </w:r>
      <w:r>
        <w:rPr>
          <w:i/>
          <w:iCs/>
        </w:rPr>
        <w:t xml:space="preserve">60</w:t>
      </w:r>
      <w:r>
        <w:rPr>
          <w:i/>
          <w:iCs/>
        </w:rPr>
        <w:t xml:space="preserve"> </w:t>
      </w:r>
      <w:r>
        <w:rPr>
          <w:i/>
          <w:iCs/>
        </w:rPr>
        <w:t xml:space="preserve">80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120</w:t>
      </w:r>
      <w:r>
        <w:rPr>
          <w:i/>
          <w:iCs/>
        </w:rPr>
        <w:t xml:space="preserve"> </w:t>
      </w:r>
      <w:r>
        <w:rPr>
          <w:i/>
          <w:iCs/>
        </w:rPr>
        <w:t xml:space="preserve">S1</w:t>
      </w:r>
      <w:r>
        <w:rPr>
          <w:i/>
          <w:iCs/>
        </w:rPr>
        <w:t xml:space="preserve"> </w:t>
      </w:r>
      <w:r>
        <w:rPr>
          <w:i/>
          <w:iCs/>
        </w:rPr>
        <w:t xml:space="preserve">S2</w:t>
      </w:r>
      <w:r>
        <w:rPr>
          <w:i/>
          <w:iCs/>
        </w:rPr>
        <w:t xml:space="preserve"> </w:t>
      </w:r>
      <w:r>
        <w:rPr>
          <w:i/>
          <w:iCs/>
        </w:rPr>
        <w:t xml:space="preserve">S3</w:t>
      </w:r>
      <w:r>
        <w:rPr>
          <w:i/>
          <w:iCs/>
        </w:rPr>
        <w:t xml:space="preserve"> </w:t>
      </w:r>
      <w:r>
        <w:rPr>
          <w:i/>
          <w:iCs/>
        </w:rPr>
        <w:t xml:space="preserve">LIFE</w:t>
      </w:r>
      <w:r>
        <w:rPr>
          <w:i/>
          <w:iCs/>
        </w:rPr>
        <w:t xml:space="preserve"> </w:t>
      </w:r>
      <w:r>
        <w:rPr>
          <w:i/>
          <w:iCs/>
        </w:rPr>
        <w:t xml:space="preserve">S1</w:t>
      </w:r>
      <w:r>
        <w:rPr>
          <w:i/>
          <w:iCs/>
        </w:rPr>
        <w:t xml:space="preserve"> </w:t>
      </w:r>
      <w:r>
        <w:rPr>
          <w:i/>
          <w:iCs/>
        </w:rPr>
        <w:t xml:space="preserve">S2</w:t>
      </w:r>
      <w:r>
        <w:rPr>
          <w:i/>
          <w:iCs/>
        </w:rPr>
        <w:t xml:space="preserve"> </w:t>
      </w:r>
      <w:r>
        <w:rPr>
          <w:i/>
          <w:iCs/>
        </w:rPr>
        <w:t xml:space="preserve">S3</w:t>
      </w:r>
      <w:r>
        <w:rPr>
          <w:i/>
          <w:iCs/>
        </w:rPr>
        <w:t xml:space="preserve"> </w:t>
      </w:r>
      <w:r>
        <w:rPr>
          <w:i/>
          <w:iCs/>
        </w:rPr>
        <w:t xml:space="preserve">LIFE</w:t>
      </w:r>
      <w:r>
        <w:rPr>
          <w:i/>
          <w:iCs/>
        </w:rPr>
        <w:t xml:space="preserve"> </w:t>
      </w:r>
      <w:r>
        <w:rPr>
          <w:i/>
          <w:iCs/>
        </w:rPr>
        <w:t xml:space="preserve">2015 2030</w:t>
      </w:r>
      <w:r>
        <w:rPr>
          <w:i/>
          <w:iCs/>
        </w:rPr>
        <w:t xml:space="preserve"> </w:t>
      </w:r>
      <w:r>
        <w:rPr>
          <w:i/>
          <w:iCs/>
        </w:rPr>
        <w:t xml:space="preserve">2040</w:t>
      </w:r>
      <w:r>
        <w:rPr>
          <w:i/>
          <w:iCs/>
        </w:rPr>
        <w:t xml:space="preserve"> </w:t>
      </w:r>
      <w:r>
        <w:rPr>
          <w:i/>
          <w:iCs/>
        </w:rPr>
        <w:t xml:space="preserve">2050</w:t>
      </w:r>
      <w:r>
        <w:rPr>
          <w:i/>
          <w:iCs/>
        </w:rPr>
        <w:t xml:space="preserve"> </w:t>
      </w:r>
      <w:r>
        <w:rPr>
          <w:i/>
          <w:iCs/>
        </w:rPr>
        <w:t xml:space="preserve">Mtoe</w:t>
      </w:r>
      <w:r>
        <w:rPr>
          <w:i/>
          <w:iCs/>
        </w:rPr>
        <w:t xml:space="preserve"> </w:t>
      </w:r>
      <w:r>
        <w:rPr>
          <w:i/>
          <w:iCs/>
        </w:rPr>
        <w:t xml:space="preserve">Electricity</w:t>
      </w:r>
      <w:r>
        <w:rPr>
          <w:i/>
          <w:iCs/>
        </w:rPr>
        <w:t xml:space="preserve"> </w:t>
      </w:r>
      <w:r>
        <w:rPr>
          <w:i/>
          <w:iCs/>
        </w:rPr>
        <w:t xml:space="preserve">Hydrogen</w:t>
      </w:r>
      <w:r>
        <w:rPr>
          <w:i/>
          <w:iCs/>
        </w:rPr>
        <w:t xml:space="preserve"> </w:t>
      </w:r>
      <w:r>
        <w:rPr>
          <w:i/>
          <w:iCs/>
        </w:rPr>
        <w:t xml:space="preserve">Natural gas</w:t>
      </w:r>
      <w:r>
        <w:t xml:space="preserve"> </w:t>
      </w:r>
      <w:r>
        <w:t xml:space="preserve">Liquid fossil fuels</w:t>
      </w:r>
      <w:r>
        <w:t xml:space="preserve"> </w:t>
      </w:r>
      <w:r>
        <w:t xml:space="preserve">Solid fossil fuels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Figure 52 : Energy-related CO2 emissions in industry by sector</w:t>
      </w:r>
    </w:p>
    <w:p>
      <w:pPr>
        <w:pStyle w:val="BodyText"/>
      </w:pPr>
      <w:r>
        <w:t xml:space="preserve">Source: PRIMES.</w:t>
      </w:r>
    </w:p>
    <w:p>
      <w:pPr>
        <w:pStyle w:val="BodyText"/>
      </w:pPr>
      <w:r>
        <w:t xml:space="preserve">1.4.5.2.Process-related CO2 emissions</w:t>
      </w:r>
      <w:r>
        <w:t xml:space="preserve"> </w:t>
      </w:r>
      <w:r>
        <w:t xml:space="preserve">Figure 53 shows that process-related CO2 emissions, are projected to decreased by around</w:t>
      </w:r>
      <w:r>
        <w:t xml:space="preserve"> </w:t>
      </w:r>
      <w:r>
        <w:t xml:space="preserve">30% in 2030 compared to 2015. In 2040, emissions amount respectively to around 135, 85</w:t>
      </w:r>
      <w:r>
        <w:t xml:space="preserve"> </w:t>
      </w:r>
      <w:r>
        <w:t xml:space="preserve">and 10 MtCO2 in S1, S2 and S3, i.e., reducing approximately between 20% and 95% (vs</w:t>
      </w:r>
      <w:r>
        <w:t xml:space="preserve"> </w:t>
      </w:r>
      <w:r>
        <w:t xml:space="preserve">2030). By 2050, all scenarios show negligible residual emissions.</w:t>
      </w:r>
      <w:r>
        <w:br/>
      </w:r>
      <w:r>
        <w:t xml:space="preserve">Figure 53: Process CO2 emissions in industry by sector</w:t>
      </w:r>
    </w:p>
    <w:p>
      <w:pPr>
        <w:pStyle w:val="BodyText"/>
      </w:pPr>
      <w:r>
        <w:t xml:space="preserve">Note: Metal production includes both ferrous and non-ferrous materials. For 2050, S1 and S2 values are similar</w:t>
      </w:r>
      <w:r>
        <w:t xml:space="preserve"> </w:t>
      </w:r>
      <w:r>
        <w:t xml:space="preserve">to S3 and not represented.</w:t>
      </w:r>
      <w:r>
        <w:t xml:space="preserve"> </w:t>
      </w:r>
      <w:r>
        <w:t xml:space="preserve">Source: PRIMES</w:t>
      </w:r>
      <w:r>
        <w:t xml:space="preserve"> </w:t>
      </w:r>
      <w:r>
        <w:t xml:space="preserve">The role of carbon capture (87) is pivotal to explain differences on total net process</w:t>
      </w:r>
      <w:r>
        <w:t xml:space="preserve"> </w:t>
      </w:r>
      <w:r>
        <w:t xml:space="preserve">emissions across scenarios in 2040 and the negligible emissions in 2050 (Figure 54). In S1</w:t>
      </w:r>
    </w:p>
    <w:p>
      <w:pPr>
        <w:pStyle w:val="Compact"/>
        <w:numPr>
          <w:ilvl w:val="0"/>
          <w:numId w:val="1035"/>
        </w:numPr>
      </w:pPr>
      <w:r>
        <w:t xml:space="preserve">Industrial challenges explained in 1.1.3.2 are associated to the development of carbon capture, but</w:t>
      </w:r>
      <w:r>
        <w:t xml:space="preserve"> </w:t>
      </w:r>
      <w:r>
        <w:t xml:space="preserve">these challenges are assumed to be overcome in the projections.</w:t>
      </w:r>
      <w:r>
        <w:br/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Refineries</w:t>
      </w:r>
      <w:r>
        <w:t xml:space="preserve"> </w:t>
      </w:r>
      <w:r>
        <w:t xml:space="preserve">Other Industry Sectors</w:t>
      </w:r>
      <w:r>
        <w:t xml:space="preserve"> </w:t>
      </w:r>
      <w:r>
        <w:t xml:space="preserve">Textile</w:t>
      </w:r>
      <w:r>
        <w:t xml:space="preserve"> </w:t>
      </w:r>
      <w:r>
        <w:t xml:space="preserve">Pulp, Paper &amp; Print</w:t>
      </w:r>
      <w:r>
        <w:t xml:space="preserve"> </w:t>
      </w:r>
      <w:r>
        <w:t xml:space="preserve">Engineering &amp; Other Metals</w:t>
      </w:r>
      <w:r>
        <w:t xml:space="preserve"> </w:t>
      </w:r>
      <w:r>
        <w:t xml:space="preserve">Food, Beverages &amp; Tobacco</w:t>
      </w:r>
      <w:r>
        <w:t xml:space="preserve"> </w:t>
      </w:r>
      <w:r>
        <w:t xml:space="preserve">Chemicals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Iron &amp; Steel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-50</w:t>
      </w:r>
      <w:r>
        <w:t xml:space="preserve"> </w:t>
      </w:r>
      <w:r>
        <w:t xml:space="preserve">50</w:t>
      </w:r>
      <w:r>
        <w:t xml:space="preserve"> </w:t>
      </w:r>
      <w:r>
        <w:t xml:space="preserve">150</w:t>
      </w:r>
      <w:r>
        <w:t xml:space="preserve"> </w:t>
      </w:r>
      <w:r>
        <w:t xml:space="preserve">250</w:t>
      </w:r>
      <w:r>
        <w:t xml:space="preserve"> </w:t>
      </w:r>
      <w:r>
        <w:t xml:space="preserve">350</w:t>
      </w:r>
      <w:r>
        <w:t xml:space="preserve"> </w:t>
      </w:r>
      <w:r>
        <w:t xml:space="preserve">450</w:t>
      </w:r>
      <w:r>
        <w:t xml:space="preserve"> </w:t>
      </w:r>
      <w:r>
        <w:t xml:space="preserve">550</w:t>
      </w:r>
      <w:r>
        <w:t xml:space="preserve"> </w:t>
      </w:r>
      <w:r>
        <w:t xml:space="preserve">2015 2030</w:t>
      </w:r>
      <w:r>
        <w:t xml:space="preserve"> </w:t>
      </w:r>
      <w:r>
        <w:t xml:space="preserve">MtCO2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MtCO2</w:t>
      </w:r>
      <w:r>
        <w:t xml:space="preserve"> </w:t>
      </w:r>
      <w:r>
        <w:t xml:space="preserve">-25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75</w:t>
      </w:r>
      <w:r>
        <w:t xml:space="preserve"> </w:t>
      </w:r>
      <w:r>
        <w:t xml:space="preserve">100</w:t>
      </w:r>
      <w:r>
        <w:t xml:space="preserve"> </w:t>
      </w:r>
      <w:r>
        <w:t xml:space="preserve">125</w:t>
      </w:r>
      <w:r>
        <w:t xml:space="preserve"> </w:t>
      </w:r>
      <w:r>
        <w:t xml:space="preserve">150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Other</w:t>
      </w:r>
      <w:r>
        <w:t xml:space="preserve"> </w:t>
      </w:r>
      <w:r>
        <w:t xml:space="preserve">production</w:t>
      </w:r>
      <w:r>
        <w:t xml:space="preserve"> </w:t>
      </w:r>
      <w:r>
        <w:t xml:space="preserve">Chemical</w:t>
      </w:r>
      <w:r>
        <w:t xml:space="preserve"> </w:t>
      </w:r>
      <w:r>
        <w:t xml:space="preserve">industry</w:t>
      </w:r>
      <w:r>
        <w:t xml:space="preserve"> </w:t>
      </w:r>
      <w:r>
        <w:t xml:space="preserve">Mineral</w:t>
      </w:r>
      <w:r>
        <w:t xml:space="preserve"> </w:t>
      </w:r>
      <w:r>
        <w:t xml:space="preserve">products</w:t>
      </w:r>
      <w:r>
        <w:t xml:space="preserve"> </w:t>
      </w:r>
      <w:r>
        <w:t xml:space="preserve">Metal</w:t>
      </w:r>
      <w:r>
        <w:t xml:space="preserve"> </w:t>
      </w:r>
      <w:r>
        <w:t xml:space="preserve">production</w:t>
      </w:r>
    </w:p>
    <w:p>
      <w:pPr>
        <w:pStyle w:val="FirstParagraph"/>
      </w:pPr>
      <w:r>
        <w:t xml:space="preserve">66</w:t>
      </w:r>
    </w:p>
    <w:p>
      <w:pPr>
        <w:pStyle w:val="BodyText"/>
      </w:pPr>
      <w:r>
        <w:t xml:space="preserve">only around 40 MtCO2 are projected to be captured in 2040, in line with the limited</w:t>
      </w:r>
      <w:r>
        <w:t xml:space="preserve"> </w:t>
      </w:r>
      <w:r>
        <w:t xml:space="preserve">uptake of capture technologies. This value leaps to around 120 MtCO2 in S2, of which</w:t>
      </w:r>
      <w:r>
        <w:t xml:space="preserve"> </w:t>
      </w:r>
      <w:r>
        <w:t xml:space="preserve">around 65% goes to e-fuel production and 35% goes to underground storage (see Figure 11</w:t>
      </w:r>
      <w:r>
        <w:t xml:space="preserve"> </w:t>
      </w:r>
      <w:r>
        <w:t xml:space="preserve">section 1.1.3.2). The stored CO2 is not considered as emitted, and total net industrial</w:t>
      </w:r>
      <w:r>
        <w:t xml:space="preserve"> </w:t>
      </w:r>
      <w:r>
        <w:t xml:space="preserve">process emissions reduce by a corresponding amount. In S3, the carbon captured increases</w:t>
      </w:r>
      <w:r>
        <w:t xml:space="preserve"> </w:t>
      </w:r>
      <w:r>
        <w:t xml:space="preserve">moderately compared to S2, but it is mostly stored underground or in materials and not</w:t>
      </w:r>
      <w:r>
        <w:t xml:space="preserve"> </w:t>
      </w:r>
      <w:r>
        <w:t xml:space="preserve">dedicated to e-fuels productions, reducing further the net process emissions. By 2050, the</w:t>
      </w:r>
      <w:r>
        <w:t xml:space="preserve"> </w:t>
      </w:r>
      <w:r>
        <w:t xml:space="preserve">amount of total carbon captured increases for S1, and it is similar to 2040 values for S2,</w:t>
      </w:r>
      <w:r>
        <w:t xml:space="preserve"> </w:t>
      </w:r>
      <w:r>
        <w:t xml:space="preserve">but in both scenario it is fully stored either underground or in materials, reducing net</w:t>
      </w:r>
      <w:r>
        <w:t xml:space="preserve"> </w:t>
      </w:r>
      <w:r>
        <w:t xml:space="preserve">emission further than in 2040 and reusing CO2 within the industry. In S3, a similar amount</w:t>
      </w:r>
      <w:r>
        <w:t xml:space="preserve"> </w:t>
      </w:r>
      <w:r>
        <w:t xml:space="preserve">of carbon is captured yearly between 2040 and 2050, resulting in limited reduction in net</w:t>
      </w:r>
      <w:r>
        <w:t xml:space="preserve"> </w:t>
      </w:r>
      <w:r>
        <w:t xml:space="preserve">emissions in the 2041-2050 decade. In LIFE, carbon capture falls short to S3 in 2040 and</w:t>
      </w:r>
      <w:r>
        <w:t xml:space="preserve"> </w:t>
      </w:r>
      <w:r>
        <w:t xml:space="preserve">2050, as result of more emission reductions elsewhere (see 1.4.2 in this Annex).</w:t>
      </w:r>
      <w:r>
        <w:br/>
      </w:r>
      <w:r>
        <w:t xml:space="preserve">Figure 54: Carbon captured in industrial processes.</w:t>
      </w:r>
    </w:p>
    <w:p>
      <w:pPr>
        <w:pStyle w:val="BodyText"/>
      </w:pPr>
      <w:r>
        <w:t xml:space="preserve">Note: Metal production includes both ferrous and non-ferrous materials.</w:t>
      </w:r>
      <w:r>
        <w:br/>
      </w:r>
      <w:r>
        <w:t xml:space="preserve">Source: PRIMES</w:t>
      </w:r>
      <w:r>
        <w:t xml:space="preserve"> </w:t>
      </w:r>
      <w:r>
        <w:t xml:space="preserve">The different reduction rates and residual emissions shown by the iron and steel, the</w:t>
      </w:r>
      <w:r>
        <w:t xml:space="preserve"> </w:t>
      </w:r>
      <w:r>
        <w:t xml:space="preserve">chemical and the mineral product sectors are explained by the different availabilities of</w:t>
      </w:r>
      <w:r>
        <w:t xml:space="preserve"> </w:t>
      </w:r>
      <w:r>
        <w:t xml:space="preserve">decarbonisation technologies in each sector (in addition to carbon capture). In the steel</w:t>
      </w:r>
      <w:r>
        <w:t xml:space="preserve"> </w:t>
      </w:r>
      <w:r>
        <w:t xml:space="preserve">sector, options exist today (88): a large implementation of hydrogen-based alternative</w:t>
      </w:r>
      <w:r>
        <w:t xml:space="preserve"> </w:t>
      </w:r>
      <w:r>
        <w:t xml:space="preserve">steelmaking process reduces emissions between 65% and 80% (before carbon capture and</w:t>
      </w:r>
      <w:r>
        <w:t xml:space="preserve"> </w:t>
      </w:r>
      <w:r>
        <w:t xml:space="preserve">depending on the scenario) by 2040, when compared to 2015. Carbon capture completes</w:t>
      </w:r>
      <w:r>
        <w:t xml:space="preserve"> </w:t>
      </w:r>
      <w:r>
        <w:t xml:space="preserve">then the decarbonisation process. The chemical sector relies almost exclusively on carbon</w:t>
      </w:r>
      <w:r>
        <w:t xml:space="preserve"> </w:t>
      </w:r>
      <w:r>
        <w:t xml:space="preserve">capture by 2040 while implementation of low-carbon processes by replacement of fossil</w:t>
      </w:r>
      <w:r>
        <w:t xml:space="preserve"> </w:t>
      </w:r>
      <w:r>
        <w:t xml:space="preserve">fuel feedstock and use of fossil-fuel free CO2 as feedstock occurs only in 2041-2050. In</w:t>
      </w:r>
      <w:r>
        <w:t xml:space="preserve"> </w:t>
      </w:r>
      <w:r>
        <w:t xml:space="preserve">the 2041-2050 decade, capture still plays a prominent role in chemistry, leading to even</w:t>
      </w:r>
      <w:r>
        <w:t xml:space="preserve"> </w:t>
      </w:r>
      <w:r>
        <w:t xml:space="preserve">negative emissions in 2050, as result of improved flow of CO2 within the industrial sector</w:t>
      </w:r>
      <w:r>
        <w:t xml:space="preserve"> </w:t>
      </w:r>
      <w:r>
        <w:t xml:space="preserve">and storage in materials of carbon coming from non-fossil fuel feedstock (89). Production</w:t>
      </w:r>
    </w:p>
    <w:p>
      <w:pPr>
        <w:pStyle w:val="Compact"/>
        <w:numPr>
          <w:ilvl w:val="0"/>
          <w:numId w:val="1036"/>
        </w:numPr>
      </w:pPr>
      <w:r>
        <w:t xml:space="preserve">BNEF, (2021). Decarbonizing steel – Technologies and Costs.</w:t>
      </w:r>
    </w:p>
    <w:p>
      <w:pPr>
        <w:pStyle w:val="Compact"/>
        <w:numPr>
          <w:ilvl w:val="0"/>
          <w:numId w:val="1036"/>
        </w:numPr>
      </w:pPr>
      <w:r>
        <w:t xml:space="preserve">CEFIC, (2021). Shining a light on the EU27 chemical sector’s journey toward climate neutrality.</w:t>
      </w:r>
      <w:r>
        <w:br/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</w:t>
      </w:r>
      <w:r>
        <w:t xml:space="preserve"> </w:t>
      </w:r>
      <w:r>
        <w:t xml:space="preserve">Other</w:t>
      </w:r>
      <w:r>
        <w:t xml:space="preserve"> </w:t>
      </w:r>
      <w:r>
        <w:t xml:space="preserve">Chemical Industry</w:t>
      </w:r>
      <w:r>
        <w:t xml:space="preserve"> </w:t>
      </w:r>
      <w:r>
        <w:t xml:space="preserve">Mineral Products</w:t>
      </w:r>
      <w:r>
        <w:t xml:space="preserve"> </w:t>
      </w:r>
      <w:r>
        <w:t xml:space="preserve">Metal Production</w:t>
      </w:r>
    </w:p>
    <w:p>
      <w:pPr>
        <w:pStyle w:val="FirstParagraph"/>
      </w:pPr>
      <w:r>
        <w:t xml:space="preserve">67</w:t>
      </w:r>
    </w:p>
    <w:p>
      <w:pPr>
        <w:pStyle w:val="BodyText"/>
      </w:pPr>
      <w:r>
        <w:t xml:space="preserve">of minerals, such as cement, are the hardest to decarbonise: literature shows that residual</w:t>
      </w:r>
      <w:r>
        <w:t xml:space="preserve"> </w:t>
      </w:r>
      <w:r>
        <w:t xml:space="preserve">emissions from cement in 2050 can be as high as 25% of 2017 levels (90), and massive</w:t>
      </w:r>
      <w:r>
        <w:t xml:space="preserve"> </w:t>
      </w:r>
      <w:r>
        <w:t xml:space="preserve">deployment of carbon capture and storage is projected to be the most common options for</w:t>
      </w:r>
      <w:r>
        <w:t xml:space="preserve"> </w:t>
      </w:r>
      <w:r>
        <w:t xml:space="preserve">decarbonisation of the sector.</w:t>
      </w:r>
    </w:p>
    <w:p>
      <w:pPr>
        <w:pStyle w:val="BodyText"/>
      </w:pPr>
      <w:r>
        <w:t xml:space="preserve">1.4.5.3.Total CO2 from industry</w:t>
      </w:r>
      <w:r>
        <w:t xml:space="preserve"> </w:t>
      </w:r>
      <w:r>
        <w:t xml:space="preserve">Figure 55 summarises the energy and process related CO2 emission from the industrial</w:t>
      </w:r>
      <w:r>
        <w:t xml:space="preserve"> </w:t>
      </w:r>
      <w:r>
        <w:t xml:space="preserve">sector, showing that total net CO2 reduces by 37%, 55% and 76% in S1, S2 and S3, in</w:t>
      </w:r>
      <w:r>
        <w:t xml:space="preserve"> </w:t>
      </w:r>
      <w:r>
        <w:t xml:space="preserve">2040 compared to 2030 (91). This correspond to a decrease between 60% and 90% in</w:t>
      </w:r>
      <w:r>
        <w:t xml:space="preserve"> </w:t>
      </w:r>
      <w:r>
        <w:t xml:space="preserve">comparison with 1990 levels, well aligned with literature: a report from the</w:t>
      </w:r>
      <w:r>
        <w:t xml:space="preserve"> </w:t>
      </w:r>
      <w:r>
        <w:t xml:space="preserve">NAVIGATE project comparing the results of seven IAM states that industrial emissions</w:t>
      </w:r>
      <w:r>
        <w:t xml:space="preserve"> </w:t>
      </w:r>
      <w:r>
        <w:t xml:space="preserve">should reduce by at least 55% in 2040 vs 2020 to be compatible with the 1.5°C case (92),</w:t>
      </w:r>
      <w:r>
        <w:t xml:space="preserve"> </w:t>
      </w:r>
      <w:r>
        <w:t xml:space="preserve">report from the CLEVER project show how industry can reduce emissions by 86% in 2050</w:t>
      </w:r>
      <w:r>
        <w:t xml:space="preserve"> </w:t>
      </w:r>
      <w:r>
        <w:t xml:space="preserve">vs 2019 (93) and Ecologic illustrates that the industrial sector should reach emissions</w:t>
      </w:r>
      <w:r>
        <w:t xml:space="preserve"> </w:t>
      </w:r>
      <w:r>
        <w:t xml:space="preserve">between -78% and -91% in 2040 vs 1990 to comply with climate neutrality (94).</w:t>
      </w:r>
      <w:r>
        <w:br/>
      </w:r>
      <w:r>
        <w:t xml:space="preserve">Acceleration of the decarbonisation of the industry is also supported by the public</w:t>
      </w:r>
      <w:r>
        <w:t xml:space="preserve"> </w:t>
      </w:r>
      <w:r>
        <w:t xml:space="preserve">consultation results, where almost 48% of respondents, and a number of position papers</w:t>
      </w:r>
      <w:r>
        <w:t xml:space="preserve"> </w:t>
      </w:r>
      <w:r>
        <w:t xml:space="preserve">indicated “Industrial processes and waste” as one of the sectors that can do more to reduce</w:t>
      </w:r>
      <w:r>
        <w:t xml:space="preserve"> </w:t>
      </w:r>
      <w:r>
        <w:t xml:space="preserve">emissions.</w:t>
      </w:r>
      <w:r>
        <w:t xml:space="preserve"> </w:t>
      </w:r>
      <w:r>
        <w:t xml:space="preserve">Figure 55: CO2 Emissions from industrial sector</w:t>
      </w:r>
    </w:p>
    <w:p>
      <w:pPr>
        <w:pStyle w:val="BodyText"/>
      </w:pPr>
      <w:r>
        <w:t xml:space="preserve">Source: PRIMES</w:t>
      </w:r>
    </w:p>
    <w:p>
      <w:pPr>
        <w:pStyle w:val="Compact"/>
        <w:numPr>
          <w:ilvl w:val="0"/>
          <w:numId w:val="1037"/>
        </w:numPr>
      </w:pPr>
      <w:r>
        <w:t xml:space="preserve">McKinsey, (2020). Laying the foundation for zero-carbon cement.</w:t>
      </w:r>
    </w:p>
    <w:p>
      <w:pPr>
        <w:pStyle w:val="Compact"/>
        <w:numPr>
          <w:ilvl w:val="0"/>
          <w:numId w:val="1037"/>
        </w:numPr>
      </w:pPr>
      <w:r>
        <w:t xml:space="preserve">Carbon capture from DACCS not included.</w:t>
      </w:r>
    </w:p>
    <w:p>
      <w:pPr>
        <w:pStyle w:val="Compact"/>
        <w:numPr>
          <w:ilvl w:val="0"/>
          <w:numId w:val="1037"/>
        </w:numPr>
      </w:pPr>
      <w:r>
        <w:t xml:space="preserve">Kriegler, E. et al., (2023). The EU’s 2040 target Insights from the NAVIGATE project, NAVIGATE.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CLEVER, (2023). Climate neutrality, Energy security and Sustainability: A pathway to bridge the gap</w:t>
      </w:r>
      <w:r>
        <w:t xml:space="preserve"> </w:t>
      </w:r>
      <w:r>
        <w:t xml:space="preserve">through Sufficiency, Efficiency and Renewables, Final Report. https://clever-energy-scenario.eu/wp-</w:t>
      </w:r>
      <w:r>
        <w:t xml:space="preserve"> </w:t>
      </w:r>
      <w:r>
        <w:t xml:space="preserve">content/uploads/2023/06/clever_final_report-exec_summary.pdf</w:t>
      </w:r>
    </w:p>
    <w:p>
      <w:pPr>
        <w:pStyle w:val="Compact"/>
        <w:numPr>
          <w:ilvl w:val="0"/>
          <w:numId w:val="1037"/>
        </w:numPr>
      </w:pPr>
      <w:r>
        <w:t xml:space="preserve">Ecologic and Oeko-Institut, (2023). Designing the EU 2040 climate target.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Non-</w:t>
      </w:r>
      <w:r>
        <w:t xml:space="preserve"> </w:t>
      </w:r>
      <w:r>
        <w:t xml:space="preserve">Energy</w:t>
      </w:r>
      <w:r>
        <w:t xml:space="preserve"> </w:t>
      </w:r>
      <w:r>
        <w:t xml:space="preserve">Energy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MtCO2</w:t>
      </w:r>
    </w:p>
    <w:p>
      <w:pPr>
        <w:pStyle w:val="FirstParagraph"/>
      </w:pPr>
      <w:r>
        <w:t xml:space="preserve">68</w:t>
      </w:r>
    </w:p>
    <w:p>
      <w:pPr>
        <w:pStyle w:val="BodyText"/>
      </w:pPr>
      <w:r>
        <w:t xml:space="preserve">1.4.6. Complementary analysis</w:t>
      </w:r>
      <w:r>
        <w:br/>
      </w:r>
      <w:r>
        <w:t xml:space="preserve">1.4.6.1.Introduction</w:t>
      </w:r>
      <w:r>
        <w:t xml:space="preserve"> </w:t>
      </w:r>
      <w:r>
        <w:t xml:space="preserve">Circular Economy (CE) actions can contribute significantly to decarbonise industrial</w:t>
      </w:r>
      <w:r>
        <w:t xml:space="preserve"> </w:t>
      </w:r>
      <w:r>
        <w:t xml:space="preserve">sectors, especially in fields where other mitigation options are under development or</w:t>
      </w:r>
      <w:r>
        <w:t xml:space="preserve"> </w:t>
      </w:r>
      <w:r>
        <w:t xml:space="preserve">available but still come at a cost premium (e.g., electrification of high temperature heat or</w:t>
      </w:r>
      <w:r>
        <w:t xml:space="preserve"> </w:t>
      </w:r>
      <w:r>
        <w:t xml:space="preserve">hydrogen). One of the key channels through which CE actions can support industrial</w:t>
      </w:r>
      <w:r>
        <w:t xml:space="preserve"> </w:t>
      </w:r>
      <w:r>
        <w:t xml:space="preserve">decarbonisation is by reducing the demand for primary production of industrial outputs</w:t>
      </w:r>
      <w:r>
        <w:t xml:space="preserve"> </w:t>
      </w:r>
      <w:r>
        <w:t xml:space="preserve">through the extension of the lifetime of products and materials as well as the substitution</w:t>
      </w:r>
      <w:r>
        <w:t xml:space="preserve"> </w:t>
      </w:r>
      <w:r>
        <w:t xml:space="preserve">of primary with less carbon-intensive, secondary materials. Literature reports 20% GHG</w:t>
      </w:r>
      <w:r>
        <w:t xml:space="preserve"> </w:t>
      </w:r>
      <w:r>
        <w:t xml:space="preserve">emission saving potential in the EU due to CE actions until 2050 (95), that can go up to</w:t>
      </w:r>
      <w:r>
        <w:t xml:space="preserve"> </w:t>
      </w:r>
      <w:r>
        <w:t xml:space="preserve">25% in certain Member States (96). More ambitious estimates, which also include</w:t>
      </w:r>
      <w:r>
        <w:t xml:space="preserve"> </w:t>
      </w:r>
      <w:r>
        <w:t xml:space="preserve">sufficiency actions can go beyond that level (97), (98). CE can also bring several additional</w:t>
      </w:r>
      <w:r>
        <w:t xml:space="preserve"> </w:t>
      </w:r>
      <w:r>
        <w:t xml:space="preserve">co-benefits e.g., reducing the environmental pressure associated with natural resource</w:t>
      </w:r>
      <w:r>
        <w:t xml:space="preserve"> </w:t>
      </w:r>
      <w:r>
        <w:t xml:space="preserve">consumption nd increasing strategic autonomy of the EU by derisking supply chain for</w:t>
      </w:r>
      <w:r>
        <w:t xml:space="preserve"> </w:t>
      </w:r>
      <w:r>
        <w:t xml:space="preserve">critical and other raw materials (see section 1.9.4).</w:t>
      </w:r>
    </w:p>
    <w:p>
      <w:pPr>
        <w:pStyle w:val="BodyText"/>
      </w:pPr>
      <w:r>
        <w:t xml:space="preserve">The following complementary analysis investigates the impact of a limited group of</w:t>
      </w:r>
      <w:r>
        <w:t xml:space="preserve"> </w:t>
      </w:r>
      <w:r>
        <w:t xml:space="preserve">relevant CE actions on the decarbonisation of iron and steel, aluminum, paper and pulp,</w:t>
      </w:r>
      <w:r>
        <w:t xml:space="preserve"> </w:t>
      </w:r>
      <w:r>
        <w:t xml:space="preserve">cement, ethylene, and glass sectors. It shows results on future material production, GHG</w:t>
      </w:r>
      <w:r>
        <w:t xml:space="preserve"> </w:t>
      </w:r>
      <w:r>
        <w:t xml:space="preserve">emissions and energy demand. A broad circular economy approach and the overall impact</w:t>
      </w:r>
      <w:r>
        <w:t xml:space="preserve"> </w:t>
      </w:r>
      <w:r>
        <w:t xml:space="preserve">of CE actions across the whole economy fall outside the scope of this study (99),(100), and</w:t>
      </w:r>
      <w:r>
        <w:t xml:space="preserve"> </w:t>
      </w:r>
      <w:r>
        <w:t xml:space="preserve">is taken into account in S1, S2, S3 and LIFE analysis.</w:t>
      </w:r>
    </w:p>
    <w:p>
      <w:pPr>
        <w:pStyle w:val="BodyText"/>
      </w:pPr>
      <w:r>
        <w:t xml:space="preserve">1.4.6.2.Methodology</w:t>
      </w:r>
      <w:r>
        <w:t xml:space="preserve"> </w:t>
      </w:r>
      <w:r>
        <w:t xml:space="preserve">The complementary analysis focuses on a subset of materials produced by energy-</w:t>
      </w:r>
      <w:r>
        <w:t xml:space="preserve"> </w:t>
      </w:r>
      <w:r>
        <w:t xml:space="preserve">intensive industries EIIs (Iron and Steel, Cement, Aluminium, Glass, Ethylene and Pulp</w:t>
      </w:r>
      <w:r>
        <w:t xml:space="preserve"> </w:t>
      </w:r>
      <w:r>
        <w:t xml:space="preserve">and Paper). It projects future material production, and by mean of the FORECAST tool,</w:t>
      </w:r>
      <w:r>
        <w:br/>
      </w:r>
      <w:r>
        <w:t xml:space="preserve">(see Annex 6), it models GHG emissions and energy demand in two different</w:t>
      </w:r>
      <w:r>
        <w:t xml:space="preserve"> </w:t>
      </w:r>
      <w:r>
        <w:t xml:space="preserve">decarbonisation scenarios: CIRC (after circularity) and STD (after standard). While the</w:t>
      </w:r>
    </w:p>
    <w:p>
      <w:pPr>
        <w:pStyle w:val="Compact"/>
        <w:numPr>
          <w:ilvl w:val="0"/>
          <w:numId w:val="1038"/>
        </w:numPr>
      </w:pPr>
      <w:r>
        <w:t xml:space="preserve">Ellen MacArthur Foundation, Completing the picture: How the circular economy tackles climate</w:t>
      </w:r>
      <w:r>
        <w:t xml:space="preserve"> </w:t>
      </w:r>
      <w:r>
        <w:t xml:space="preserve">change (2019). 20% GHG emission saving potential due to CE actions until 2050.</w:t>
      </w:r>
    </w:p>
    <w:p>
      <w:pPr>
        <w:pStyle w:val="Compact"/>
        <w:numPr>
          <w:ilvl w:val="0"/>
          <w:numId w:val="1038"/>
        </w:numPr>
      </w:pPr>
      <w:r>
        <w:t xml:space="preserve">Agora Industrie, Systemiq (2023): Resilienter Klimaschutz durch eine zirkuläre Wirtschaft:</w:t>
      </w:r>
      <w:r>
        <w:t xml:space="preserve"> </w:t>
      </w:r>
      <w:r>
        <w:t xml:space="preserve">Perspektiven und Potenziale für energieintensive Grundstoffindustrien. Agora estimates circular</w:t>
      </w:r>
      <w:r>
        <w:t xml:space="preserve"> </w:t>
      </w:r>
      <w:r>
        <w:t xml:space="preserve">economy potential to be around 25% until 2050 for Germany.</w:t>
      </w:r>
    </w:p>
    <w:p>
      <w:pPr>
        <w:pStyle w:val="Compact"/>
        <w:numPr>
          <w:ilvl w:val="0"/>
          <w:numId w:val="1038"/>
        </w:numPr>
      </w:pPr>
      <w:r>
        <w:t xml:space="preserve">Ramboll. Fraunhofer ISI, Ecologic Institute (2020). Quantification methodology for, and analysis of,</w:t>
      </w:r>
      <w:r>
        <w:t xml:space="preserve"> </w:t>
      </w:r>
      <w:r>
        <w:t xml:space="preserve">the decarbonisation benefits of sectoral circular economy actions. Final Report.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IRP (2020). Resource Efficiency and Climate Change: Material Efficiency Strategies for a Low-</w:t>
      </w:r>
      <w:r>
        <w:t xml:space="preserve"> </w:t>
      </w:r>
      <w:r>
        <w:t xml:space="preserve">Carbon Future. Hertwich, E., Lifset, R., Pauliuk, S., Heeren, N. A report of the International Resource</w:t>
      </w:r>
      <w:r>
        <w:t xml:space="preserve"> </w:t>
      </w:r>
      <w:r>
        <w:t xml:space="preserve">Panel. United Nations Environment Programme, Nairobi, Kenya.</w:t>
      </w:r>
    </w:p>
    <w:p>
      <w:pPr>
        <w:pStyle w:val="Compact"/>
        <w:numPr>
          <w:ilvl w:val="0"/>
          <w:numId w:val="1039"/>
        </w:numPr>
      </w:pPr>
      <w:r>
        <w:t xml:space="preserve">Ellen MacArthur Foundation, Completing the picture: How the circular economy tackles climate</w:t>
      </w:r>
      <w:r>
        <w:t xml:space="preserve"> </w:t>
      </w:r>
      <w:r>
        <w:t xml:space="preserve">change (2019). 20% GHG emission saving potential due to CE actions until 2050.</w:t>
      </w:r>
    </w:p>
    <w:p>
      <w:pPr>
        <w:pStyle w:val="Compact"/>
        <w:numPr>
          <w:ilvl w:val="0"/>
          <w:numId w:val="1040"/>
        </w:numPr>
      </w:pPr>
      <w:r>
        <w:t xml:space="preserve">Agora Industrie, Systemiq (2023): Resilienter Klimaschutz durch eine zirkuläre Wirtschaft:</w:t>
      </w:r>
      <w:r>
        <w:t xml:space="preserve"> </w:t>
      </w:r>
      <w:r>
        <w:t xml:space="preserve">Perspektiven und Potenziale für energieintensive Grundstoffindustrien. Agora estimates circular</w:t>
      </w:r>
      <w:r>
        <w:t xml:space="preserve"> </w:t>
      </w:r>
      <w:r>
        <w:t xml:space="preserve">economy potential to be around 25% until 2050 for Germany.</w:t>
      </w:r>
    </w:p>
    <w:p>
      <w:pPr>
        <w:pStyle w:val="FirstParagraph"/>
      </w:pPr>
      <w:r>
        <w:t xml:space="preserve">69</w:t>
      </w:r>
    </w:p>
    <w:p>
      <w:pPr>
        <w:pStyle w:val="BodyText"/>
      </w:pPr>
      <w:r>
        <w:t xml:space="preserve">STD assumes the partial implementation Circular Economy Action Plan (CEAP) (101), the</w:t>
      </w:r>
      <w:r>
        <w:t xml:space="preserve"> </w:t>
      </w:r>
      <w:r>
        <w:t xml:space="preserve">CIRC includes additional selected CE actions that are listed in Table 9. The main common</w:t>
      </w:r>
      <w:r>
        <w:t xml:space="preserve"> </w:t>
      </w:r>
      <w:r>
        <w:t xml:space="preserve">assumptions of the CIRC and STD are in line with the main scenarios S1, S2, S3 with</w:t>
      </w:r>
      <w:r>
        <w:t xml:space="preserve"> </w:t>
      </w:r>
      <w:r>
        <w:t xml:space="preserve">some signficiant differences. For instance, in STD and CIRC, deployment of carbon</w:t>
      </w:r>
      <w:r>
        <w:t xml:space="preserve"> </w:t>
      </w:r>
      <w:r>
        <w:t xml:space="preserve">capture is limited to industrial processes in sectors where residual emissions are projected</w:t>
      </w:r>
      <w:r>
        <w:t xml:space="preserve"> </w:t>
      </w:r>
      <w:r>
        <w:t xml:space="preserve">in 2050 (the cement industry (102) (103)), and removal compensation outside EII sectors</w:t>
      </w:r>
      <w:r>
        <w:t xml:space="preserve"> </w:t>
      </w:r>
      <w:r>
        <w:t xml:space="preserve">(DACCS), are not considered. Moreover, the CIRC scenario only reflects selected CE</w:t>
      </w:r>
      <w:r>
        <w:t xml:space="preserve"> </w:t>
      </w:r>
      <w:r>
        <w:t xml:space="preserve">action, without considering a large circular economy framework including sufficiency or</w:t>
      </w:r>
      <w:r>
        <w:t xml:space="preserve"> </w:t>
      </w:r>
      <w:r>
        <w:t xml:space="preserve">shared economy measures. Finally, the analysis focuses on the decarbonisation of</w:t>
      </w:r>
      <w:r>
        <w:t xml:space="preserve"> </w:t>
      </w:r>
      <w:r>
        <w:t xml:space="preserve">industrial sectors and is limited to the savings that could be achieved only during</w:t>
      </w:r>
      <w:r>
        <w:t xml:space="preserve"> </w:t>
      </w:r>
      <w:r>
        <w:t xml:space="preserve">production stage. It does not take into account decarbonisation in the other sectors leading</w:t>
      </w:r>
      <w:r>
        <w:t xml:space="preserve"> </w:t>
      </w:r>
      <w:r>
        <w:t xml:space="preserve">to EU economy-wide climate neutrality, thus, allowing only for comparison in relative</w:t>
      </w:r>
      <w:r>
        <w:t xml:space="preserve"> </w:t>
      </w:r>
      <w:r>
        <w:t xml:space="preserve">terms with scenarios S1, S2 and S3. These limitations need to be taken into account when</w:t>
      </w:r>
      <w:r>
        <w:t xml:space="preserve"> </w:t>
      </w:r>
      <w:r>
        <w:t xml:space="preserve">interpreting the magnitude of the modelled impacts. More details on the methodology can</w:t>
      </w:r>
      <w:r>
        <w:t xml:space="preserve"> </w:t>
      </w:r>
      <w:r>
        <w:t xml:space="preserve">be found elsewhere (104).</w:t>
      </w:r>
    </w:p>
    <w:p>
      <w:pPr>
        <w:pStyle w:val="Compact"/>
        <w:numPr>
          <w:ilvl w:val="0"/>
          <w:numId w:val="1041"/>
        </w:numPr>
      </w:pPr>
      <w:r>
        <w:t xml:space="preserve">The STD scenarios implements actions from the CEAP (COM/2020/98) that have been legislated or</w:t>
      </w:r>
      <w:r>
        <w:t xml:space="preserve"> </w:t>
      </w:r>
      <w:r>
        <w:t xml:space="preserve">agreed until March 2023.</w:t>
      </w:r>
    </w:p>
    <w:p>
      <w:pPr>
        <w:pStyle w:val="Compact"/>
        <w:numPr>
          <w:ilvl w:val="0"/>
          <w:numId w:val="1041"/>
        </w:numPr>
      </w:pPr>
      <w:r>
        <w:t xml:space="preserve">McKinsey, (2020). Laying the foundation for zero-carbon cement.</w:t>
      </w:r>
    </w:p>
    <w:p>
      <w:pPr>
        <w:pStyle w:val="Compact"/>
        <w:numPr>
          <w:ilvl w:val="0"/>
          <w:numId w:val="1041"/>
        </w:numPr>
      </w:pPr>
      <w:r>
        <w:t xml:space="preserve">Cembureau, (2023). Cementing the European Green Deal. Reaching climate neutrality along the</w:t>
      </w:r>
      <w:r>
        <w:t xml:space="preserve"> </w:t>
      </w:r>
      <w:r>
        <w:t xml:space="preserve">cement.</w:t>
      </w:r>
    </w:p>
    <w:p>
      <w:pPr>
        <w:pStyle w:val="Compact"/>
        <w:numPr>
          <w:ilvl w:val="0"/>
          <w:numId w:val="1041"/>
        </w:numPr>
      </w:pPr>
      <w:r>
        <w:t xml:space="preserve">Herbst, A. et al. (2023): Role of the circular economy as a contributor to industry decarbonisation</w:t>
      </w:r>
      <w:r>
        <w:t xml:space="preserve"> </w:t>
      </w:r>
      <w:r>
        <w:t xml:space="preserve">beyond 2030. Report prepared for DG CLIMA: Job number 330301101. Fraunhofer ISI &amp; ICF.</w:t>
      </w:r>
    </w:p>
    <w:p>
      <w:pPr>
        <w:pStyle w:val="FirstParagraph"/>
      </w:pPr>
      <w:r>
        <w:t xml:space="preserve">70</w:t>
      </w:r>
    </w:p>
    <w:p>
      <w:pPr>
        <w:pStyle w:val="BodyText"/>
      </w:pPr>
      <w:r>
        <w:t xml:space="preserve">Table 9: List of circular economy actions applied to the CIRC scenario</w:t>
      </w:r>
      <w:r>
        <w:t xml:space="preserve"> </w:t>
      </w:r>
      <w:r>
        <w:t xml:space="preserve">MATERIAL CE ACTION</w:t>
      </w:r>
      <w:r>
        <w:t xml:space="preserve"> </w:t>
      </w:r>
      <w:r>
        <w:t xml:space="preserve">Aluminium</w:t>
      </w:r>
      <w:r>
        <w:t xml:space="preserve"> </w:t>
      </w:r>
      <w:r>
        <w:t xml:space="preserve">Increased aluminium recycling from buildings (increase collection rate from 96 to 100% by</w:t>
      </w:r>
      <w:r>
        <w:t xml:space="preserve"> </w:t>
      </w:r>
      <w:r>
        <w:t xml:space="preserve">2045)</w:t>
      </w:r>
      <w:r>
        <w:t xml:space="preserve"> </w:t>
      </w:r>
      <w:r>
        <w:t xml:space="preserve">Increased recycling of aluminium cans (reduce losses and disposal to 0 by 2030)</w:t>
      </w:r>
      <w:r>
        <w:t xml:space="preserve"> </w:t>
      </w:r>
      <w:r>
        <w:t xml:space="preserve">Reduction of scrap exports (to 0 by 2050)</w:t>
      </w:r>
      <w:r>
        <w:t xml:space="preserve"> </w:t>
      </w:r>
      <w:r>
        <w:t xml:space="preserve">Reduction of exports of EoL cars (to 0 by 2050)</w:t>
      </w:r>
      <w:r>
        <w:t xml:space="preserve"> </w:t>
      </w:r>
      <w:r>
        <w:t xml:space="preserve">Alloy sorting of post-consumer scraps (reduce input of primary aluminium for dilution of scrap</w:t>
      </w:r>
      <w:r>
        <w:t xml:space="preserve"> </w:t>
      </w:r>
      <w:r>
        <w:t xml:space="preserve">from 20 to 5%)</w:t>
      </w:r>
      <w:r>
        <w:br/>
      </w:r>
      <w:r>
        <w:t xml:space="preserve">Lifetime extension of cars (increasing from 15 to 20 years on average)</w:t>
      </w:r>
      <w:r>
        <w:t xml:space="preserve"> </w:t>
      </w:r>
      <w:r>
        <w:t xml:space="preserve">Lifetime extension of buildings (decreasing building demolition by up to 30%)</w:t>
      </w:r>
      <w:r>
        <w:t xml:space="preserve"> </w:t>
      </w:r>
      <w:r>
        <w:t xml:space="preserve">Lifetime extension of machinery (from 25 to 30 years on average)</w:t>
      </w:r>
      <w:r>
        <w:t xml:space="preserve"> </w:t>
      </w:r>
      <w:r>
        <w:t xml:space="preserve">Cement</w:t>
      </w:r>
      <w:r>
        <w:t xml:space="preserve"> </w:t>
      </w:r>
      <w:r>
        <w:t xml:space="preserve">Using up to 20% recycled cement in buildings</w:t>
      </w:r>
      <w:r>
        <w:t xml:space="preserve"> </w:t>
      </w:r>
      <w:r>
        <w:t xml:space="preserve">Use innovative binders as substitute for ordinary cement (market share of up to 10%)</w:t>
      </w:r>
      <w:r>
        <w:t xml:space="preserve"> </w:t>
      </w:r>
      <w:r>
        <w:t xml:space="preserve">Lifetime extension of buildings (decreasing building demolition by up to 30%)</w:t>
      </w:r>
      <w:r>
        <w:t xml:space="preserve"> </w:t>
      </w:r>
      <w:r>
        <w:t xml:space="preserve">Design for building disassembly, and make standardised building elements (reusing up to 38% of</w:t>
      </w:r>
      <w:r>
        <w:t xml:space="preserve"> </w:t>
      </w:r>
      <w:r>
        <w:t xml:space="preserve">prefab building elements)</w:t>
      </w:r>
      <w:r>
        <w:t xml:space="preserve"> </w:t>
      </w:r>
      <w:r>
        <w:t xml:space="preserve">Reducing use of structural concrete at design stage by up to 41%</w:t>
      </w:r>
      <w:r>
        <w:t xml:space="preserve"> </w:t>
      </w:r>
      <w:r>
        <w:t xml:space="preserve">Using cement with lower clinker shares (reducing average from 0.73 to 0.7)</w:t>
      </w:r>
      <w:r>
        <w:t xml:space="preserve"> </w:t>
      </w:r>
      <w:r>
        <w:t xml:space="preserve">Ethylene</w:t>
      </w:r>
      <w:r>
        <w:t xml:space="preserve"> </w:t>
      </w:r>
      <w:r>
        <w:t xml:space="preserve">Redesign multi-material packaging of different layers to ensure recyclability from the year 2030</w:t>
      </w:r>
      <w:r>
        <w:t xml:space="preserve"> </w:t>
      </w:r>
      <w:r>
        <w:t xml:space="preserve">Increasing the recycled content in plastic bottles</w:t>
      </w:r>
      <w:r>
        <w:t xml:space="preserve"> </w:t>
      </w:r>
      <w:r>
        <w:t xml:space="preserve">Reduction in single-use plastics packaging from supermarkets by 50%</w:t>
      </w:r>
      <w:r>
        <w:t xml:space="preserve"> </w:t>
      </w:r>
      <w:r>
        <w:t xml:space="preserve">Ban single use water bottles</w:t>
      </w:r>
      <w:r>
        <w:t xml:space="preserve"> </w:t>
      </w:r>
      <w:r>
        <w:t xml:space="preserve">Glass</w:t>
      </w:r>
      <w:r>
        <w:t xml:space="preserve"> </w:t>
      </w:r>
      <w:r>
        <w:t xml:space="preserve">Recycling of municipal waste to increase to 55%, 60% and 65% by weight by 2025, 2030 and</w:t>
      </w:r>
      <w:r>
        <w:t xml:space="preserve"> </w:t>
      </w:r>
      <w:r>
        <w:t xml:space="preserve">2035 respectively</w:t>
      </w:r>
      <w:r>
        <w:t xml:space="preserve"> </w:t>
      </w:r>
      <w:r>
        <w:t xml:space="preserve">Increase share of reusable glass bottles and containers</w:t>
      </w:r>
      <w:r>
        <w:t xml:space="preserve"> </w:t>
      </w:r>
      <w:r>
        <w:t xml:space="preserve">Iron and Steel</w:t>
      </w:r>
      <w:r>
        <w:t xml:space="preserve"> </w:t>
      </w:r>
      <w:r>
        <w:t xml:space="preserve">Reduction of scrap exports from 28Mt in 2020 to 0 in 2050</w:t>
      </w:r>
      <w:r>
        <w:t xml:space="preserve"> </w:t>
      </w:r>
      <w:r>
        <w:t xml:space="preserve">Reduction of exports of EoL cars from 72600 cars in 2020 to 0 in 2050</w:t>
      </w:r>
      <w:r>
        <w:t xml:space="preserve"> </w:t>
      </w:r>
      <w:r>
        <w:t xml:space="preserve">Alloy sorting of post-consumer scraps to increase the quality of recycled steel which enables the</w:t>
      </w:r>
      <w:r>
        <w:t xml:space="preserve"> </w:t>
      </w:r>
      <w:r>
        <w:t xml:space="preserve">European usage of formerly exported and downcycled steel scrap</w:t>
      </w:r>
      <w:r>
        <w:t xml:space="preserve"> </w:t>
      </w:r>
      <w:r>
        <w:t xml:space="preserve">Lifetime extension of cars (increasing from 15 to 20 years on average)</w:t>
      </w:r>
      <w:r>
        <w:t xml:space="preserve"> </w:t>
      </w:r>
      <w:r>
        <w:t xml:space="preserve">Lifetime extension of buildings (decreasing building demolition by up to 30%)</w:t>
      </w:r>
      <w:r>
        <w:t xml:space="preserve"> </w:t>
      </w:r>
      <w:r>
        <w:t xml:space="preserve">Lifetime extension of machinery (increasing from 22 to 27 years on average)</w:t>
      </w:r>
      <w:r>
        <w:t xml:space="preserve"> </w:t>
      </w:r>
      <w:r>
        <w:t xml:space="preserve">Reusing up to 6% structural steel from buildings</w:t>
      </w:r>
      <w:r>
        <w:t xml:space="preserve"> </w:t>
      </w:r>
      <w:r>
        <w:t xml:space="preserve">Design for building disassembly, and make standardised building elements (reusing up to 38% of</w:t>
      </w:r>
      <w:r>
        <w:t xml:space="preserve"> </w:t>
      </w:r>
      <w:r>
        <w:t xml:space="preserve">prefab building elements)</w:t>
      </w:r>
      <w:r>
        <w:t xml:space="preserve"> </w:t>
      </w:r>
      <w:r>
        <w:t xml:space="preserve">Lightweighting of steel-intensive products (depending on product, reduction of 5-10% product</w:t>
      </w:r>
      <w:r>
        <w:t xml:space="preserve"> </w:t>
      </w:r>
      <w:r>
        <w:t xml:space="preserve">weight by 2050)</w:t>
      </w:r>
      <w:r>
        <w:t xml:space="preserve"> </w:t>
      </w:r>
      <w:r>
        <w:t xml:space="preserve">Reducing use of structural steel at design stage (reducing overspecification up to 41%)</w:t>
      </w:r>
      <w:r>
        <w:t xml:space="preserve"> </w:t>
      </w:r>
      <w:r>
        <w:t xml:space="preserve">Paper and Pulp</w:t>
      </w:r>
      <w:r>
        <w:t xml:space="preserve"> </w:t>
      </w:r>
      <w:r>
        <w:t xml:space="preserve">Recycling of municipal waste to increase to 55%, 60% and 65% by weight by 2025, 2030 and</w:t>
      </w:r>
      <w:r>
        <w:t xml:space="preserve"> </w:t>
      </w:r>
      <w:r>
        <w:t xml:space="preserve">2035 respectively</w:t>
      </w:r>
      <w:r>
        <w:br/>
      </w:r>
      <w:r>
        <w:t xml:space="preserve">Increase paper recycling</w:t>
      </w:r>
      <w:r>
        <w:t xml:space="preserve"> </w:t>
      </w:r>
      <w:r>
        <w:t xml:space="preserve">Increase the market share of reusable packaging to 40% by 2050</w:t>
      </w:r>
      <w:r>
        <w:t xml:space="preserve"> </w:t>
      </w:r>
      <w:r>
        <w:t xml:space="preserve">Lightweighting of paper packaging (Decreasing paper packaging weight by 20% in 2050</w:t>
      </w:r>
      <w:r>
        <w:t xml:space="preserve"> </w:t>
      </w:r>
      <w:r>
        <w:t xml:space="preserve">compared to 2020)</w:t>
      </w:r>
      <w:r>
        <w:t xml:space="preserve"> </w:t>
      </w:r>
      <w:r>
        <w:t xml:space="preserve">Note: This list only applies to the CIRC scenario. The actions listed in the Circular Economy Action Plan are</w:t>
      </w:r>
      <w:r>
        <w:t xml:space="preserve"> </w:t>
      </w:r>
      <w:r>
        <w:t xml:space="preserve">assumed to be already implemented up to the cutoff date of March 2023 both in the STD and the CIRC</w:t>
      </w:r>
      <w:r>
        <w:t xml:space="preserve"> </w:t>
      </w:r>
      <w:r>
        <w:t xml:space="preserve">scenarios.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1.4.6.3.Activity</w:t>
      </w:r>
      <w:r>
        <w:t xml:space="preserve"> </w:t>
      </w:r>
      <w:r>
        <w:t xml:space="preserve">Figure 56 summarises the projections of the total demand for the different materials in the</w:t>
      </w:r>
      <w:r>
        <w:t xml:space="preserve"> </w:t>
      </w:r>
      <w:r>
        <w:t xml:space="preserve">STD and the CIRC scenario and includes historical data of the material production in EU</w:t>
      </w:r>
      <w:r>
        <w:t xml:space="preserve"> </w:t>
      </w:r>
      <w:r>
        <w:t xml:space="preserve">as reference.</w:t>
      </w:r>
    </w:p>
    <w:p>
      <w:pPr>
        <w:pStyle w:val="BodyText"/>
      </w:pPr>
      <w:r>
        <w:t xml:space="preserve">Figure 56: Historical EU production and future demand for specific materials</w:t>
      </w:r>
    </w:p>
    <w:p>
      <w:pPr>
        <w:pStyle w:val="BodyText"/>
      </w:pPr>
      <w:r>
        <w:t xml:space="preserve">Note: 2019 is taken as the calibration year for the FORECAST model. In case 2019 historic values are not</w:t>
      </w:r>
      <w:r>
        <w:t xml:space="preserve"> </w:t>
      </w:r>
      <w:r>
        <w:t xml:space="preserve">available, first previously available year is represented (e.g., 2018 for Aluminum).</w:t>
      </w:r>
      <w:r>
        <w:t xml:space="preserve"> </w:t>
      </w:r>
      <w:r>
        <w:t xml:space="preserve">Source: FORECAST production database, FORECAST model.</w:t>
      </w:r>
      <w:r>
        <w:t xml:space="preserve"> </w:t>
      </w:r>
      <w:r>
        <w:t xml:space="preserve">For all materials, the material demand reduces, leaving a gap between the two scenarios</w:t>
      </w:r>
      <w:r>
        <w:t xml:space="preserve"> </w:t>
      </w:r>
      <w:r>
        <w:t xml:space="preserve">that increases over time in the period 2030-2050. Around 5% and 10% of total cement are</w:t>
      </w:r>
      <w:r>
        <w:t xml:space="preserve"> </w:t>
      </w:r>
      <w:r>
        <w:t xml:space="preserve">saved in CIRC in 2040 and 2050 compared to STD, which in 2050 splits into around 10%</w:t>
      </w:r>
      <w:r>
        <w:t xml:space="preserve"> </w:t>
      </w:r>
      <w:r>
        <w:t xml:space="preserve">of reduction of conventional cement and 10% replacement of conventional cement by low-</w:t>
      </w:r>
      <w:r>
        <w:t xml:space="preserve"> </w:t>
      </w:r>
      <w:r>
        <w:t xml:space="preserve">carbon cement. Building lifetime extension and demand reduction through reuse, preparing</w:t>
      </w:r>
      <w:r>
        <w:t xml:space="preserve"> </w:t>
      </w:r>
      <w:r>
        <w:t xml:space="preserve">for re-use, and modification of overspecification has the highest optimisation potential</w:t>
      </w:r>
      <w:r>
        <w:t xml:space="preserve"> </w:t>
      </w:r>
      <w:r>
        <w:t xml:space="preserve">among the actions analysed, followed by the substitution of conventional cement by wood</w:t>
      </w:r>
      <w:r>
        <w:t xml:space="preserve"> </w:t>
      </w:r>
      <w:r>
        <w:t xml:space="preserve">and low carbon cement produced using alternative cement constituents (105), (106). The use</w:t>
      </w:r>
    </w:p>
    <w:p>
      <w:pPr>
        <w:pStyle w:val="Compact"/>
        <w:numPr>
          <w:ilvl w:val="0"/>
          <w:numId w:val="1042"/>
        </w:numPr>
      </w:pPr>
      <w:r>
        <w:t xml:space="preserve">Le Den, et al., (2020). Quantification methodology for, and analysis of, the decarbonisation benefits of</w:t>
      </w:r>
      <w:r>
        <w:t xml:space="preserve"> </w:t>
      </w:r>
      <w:r>
        <w:t xml:space="preserve">sectoral circular economy actions. Final report.</w:t>
      </w:r>
    </w:p>
    <w:p>
      <w:pPr>
        <w:pStyle w:val="Compact"/>
        <w:numPr>
          <w:ilvl w:val="0"/>
          <w:numId w:val="1042"/>
        </w:numPr>
      </w:pPr>
      <w:r>
        <w:t xml:space="preserve">Rehfeldt, M. et al., (2020). Modelling circular economy action impacts in the building sector on the</w:t>
      </w:r>
      <w:r>
        <w:t xml:space="preserve"> </w:t>
      </w:r>
      <w:r>
        <w:t xml:space="preserve">EU cement industry. ECEEE Industrial Summer Study Proceedings, 133–143.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Cement</w:t>
      </w:r>
      <w:r>
        <w:t xml:space="preserve"> </w:t>
      </w:r>
      <w:r>
        <w:t xml:space="preserve">Steel</w:t>
      </w:r>
      <w:r>
        <w:t xml:space="preserve"> </w:t>
      </w:r>
      <w:r>
        <w:t xml:space="preserve">Paper &amp; Pulp</w:t>
      </w:r>
      <w:r>
        <w:t xml:space="preserve"> </w:t>
      </w:r>
      <w:r>
        <w:t xml:space="preserve">Mton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Aluminium</w:t>
      </w:r>
      <w:r>
        <w:t xml:space="preserve"> </w:t>
      </w:r>
      <w:r>
        <w:t xml:space="preserve">Glass</w:t>
      </w:r>
      <w:r>
        <w:t xml:space="preserve"> </w:t>
      </w:r>
      <w:r>
        <w:t xml:space="preserve">Ethylene</w:t>
      </w:r>
      <w:r>
        <w:t xml:space="preserve"> </w:t>
      </w:r>
      <w:r>
        <w:t xml:space="preserve">Mton</w:t>
      </w:r>
      <w:r>
        <w:t xml:space="preserve"> </w:t>
      </w:r>
      <w:r>
        <w:t xml:space="preserve">Historic EU Production</w:t>
      </w:r>
      <w:r>
        <w:t xml:space="preserve"> </w:t>
      </w:r>
      <w:r>
        <w:t xml:space="preserve">STD</w:t>
      </w:r>
      <w:r>
        <w:t xml:space="preserve"> </w:t>
      </w:r>
      <w:r>
        <w:t xml:space="preserve">CIRC</w:t>
      </w:r>
    </w:p>
    <w:p>
      <w:pPr>
        <w:pStyle w:val="FirstParagraph"/>
      </w:pPr>
      <w:r>
        <w:t xml:space="preserve">72</w:t>
      </w:r>
    </w:p>
    <w:p>
      <w:pPr>
        <w:pStyle w:val="BodyText"/>
      </w:pPr>
      <w:r>
        <w:t xml:space="preserve">of wood has been restricted only to certain construction elements and in single family</w:t>
      </w:r>
      <w:r>
        <w:t xml:space="preserve"> </w:t>
      </w:r>
      <w:r>
        <w:t xml:space="preserve">houses (107), largely in line with sustainable use of biomass and limiting its possible</w:t>
      </w:r>
      <w:r>
        <w:t xml:space="preserve"> </w:t>
      </w:r>
      <w:r>
        <w:t xml:space="preserve">negative impact on the LULUCF net removals. Total steel and aluminium demand reduce</w:t>
      </w:r>
      <w:r>
        <w:t xml:space="preserve"> </w:t>
      </w:r>
      <w:r>
        <w:t xml:space="preserve">around 15%-20% in 2050 compared to STD: this reduction affects mostly primary</w:t>
      </w:r>
      <w:r>
        <w:t xml:space="preserve"> </w:t>
      </w:r>
      <w:r>
        <w:t xml:space="preserve">production, which reduced for the two materials by around half, while secondary</w:t>
      </w:r>
      <w:r>
        <w:t xml:space="preserve"> </w:t>
      </w:r>
      <w:r>
        <w:t xml:space="preserve">production remains stable or increases due to higher availability of scrap and higher</w:t>
      </w:r>
      <w:r>
        <w:t xml:space="preserve"> </w:t>
      </w:r>
      <w:r>
        <w:t xml:space="preserve">recyclability. Ethylene demand, which already decreases in STD due to the high recycling</w:t>
      </w:r>
      <w:r>
        <w:t xml:space="preserve"> </w:t>
      </w:r>
      <w:r>
        <w:t xml:space="preserve">rates, shows a possible additional reduction of around 20% in CIRC. The demand in the</w:t>
      </w:r>
      <w:r>
        <w:t xml:space="preserve"> </w:t>
      </w:r>
      <w:r>
        <w:t xml:space="preserve">paper and pulp sector by around 20-25% until 2050 in CIRC, driven mostly by an increase</w:t>
      </w:r>
      <w:r>
        <w:t xml:space="preserve"> </w:t>
      </w:r>
      <w:r>
        <w:t xml:space="preserve">market share of reusable packaging and light weighting of paper packaging.</w:t>
      </w:r>
    </w:p>
    <w:p>
      <w:pPr>
        <w:pStyle w:val="BodyText"/>
      </w:pPr>
      <w:r>
        <w:t xml:space="preserve">1.4.6.4.Final Energy Consumption</w:t>
      </w:r>
      <w:r>
        <w:t xml:space="preserve"> </w:t>
      </w:r>
      <w:r>
        <w:t xml:space="preserve">The resulting FEC, FEC-E and FEC-RFNBOs (hydrogen + e-fuels) in STD and CIRC</w:t>
      </w:r>
      <w:r>
        <w:t xml:space="preserve"> </w:t>
      </w:r>
      <w:r>
        <w:t xml:space="preserve">scenarios are shown in Figure 57.</w:t>
      </w:r>
      <w:r>
        <w:br/>
      </w:r>
      <w:r>
        <w:t xml:space="preserve">Figure 57: FEC, FEC-E and FEC-RFNBOs as % of 2019</w:t>
      </w:r>
    </w:p>
    <w:p>
      <w:pPr>
        <w:pStyle w:val="BodyText"/>
      </w:pPr>
      <w:r>
        <w:t xml:space="preserve">Note: 2019 is taken as the calibration year for the FORECAST model.</w:t>
      </w:r>
      <w:r>
        <w:br/>
      </w:r>
      <w:r>
        <w:t xml:space="preserve">Source: FORECAST.</w:t>
      </w:r>
      <w:r>
        <w:t xml:space="preserve"> </w:t>
      </w:r>
      <w:r>
        <w:t xml:space="preserve">A significant decrease in FEC in STD occurs until 2040 (around -10% vs 2019) and</w:t>
      </w:r>
      <w:r>
        <w:t xml:space="preserve"> </w:t>
      </w:r>
      <w:r>
        <w:t xml:space="preserve">stabilises until 2050. This decline is given mainly by efficiency gains from the</w:t>
      </w:r>
      <w:r>
        <w:t xml:space="preserve"> </w:t>
      </w:r>
      <w:r>
        <w:t xml:space="preserve">electrification of processes or the shift to hydrogen-based production, which in part</w:t>
      </w:r>
      <w:r>
        <w:t xml:space="preserve"> </w:t>
      </w:r>
      <w:r>
        <w:t xml:space="preserve">compensate for the assumed growth in industrial value added. Additional savings of 3%,</w:t>
      </w:r>
      <w:r>
        <w:t xml:space="preserve"> </w:t>
      </w:r>
      <w:r>
        <w:t xml:space="preserve">5% and 8% in 2030, 2040 and 2050 are achieved in CIRC compared to STD, leading to</w:t>
      </w:r>
      <w:r>
        <w:t xml:space="preserve"> </w:t>
      </w:r>
      <w:r>
        <w:t xml:space="preserve">an overall decrease of around 20% in 2050 compared to 2019. This trend is attributed to</w:t>
      </w:r>
      <w:r>
        <w:t xml:space="preserve"> </w:t>
      </w:r>
      <w:r>
        <w:t xml:space="preserve">additional energy and material efficiency measures, as well as the increase in recycling-</w:t>
      </w:r>
      <w:r>
        <w:t xml:space="preserve"> </w:t>
      </w:r>
      <w:r>
        <w:t xml:space="preserve">based processes, and confirm that impact of CE actions becomes more visible on the long</w:t>
      </w:r>
      <w:r>
        <w:t xml:space="preserve"> </w:t>
      </w:r>
      <w:r>
        <w:t xml:space="preserve">term. Electricity and RFNBOs consumptions in the sector under analysis increase</w:t>
      </w:r>
      <w:r>
        <w:t xml:space="preserve"> </w:t>
      </w:r>
      <w:r>
        <w:t xml:space="preserve">considerably both in STD and CIRC. In STD, FEC-E grows by around 21%, 55% and</w:t>
      </w:r>
      <w:r>
        <w:t xml:space="preserve"> </w:t>
      </w:r>
      <w:r>
        <w:t xml:space="preserve">68% in 2030, 2040 and 2050 compared to 2019, and FEC-RFNBOs rises from 0 to 1%,</w:t>
      </w:r>
      <w:r>
        <w:t xml:space="preserve"> </w:t>
      </w:r>
      <w:r>
        <w:t xml:space="preserve">6% and 15% in the same years. CIRC allows for lower consumption, leading to</w:t>
      </w:r>
    </w:p>
    <w:p>
      <w:pPr>
        <w:pStyle w:val="Compact"/>
        <w:numPr>
          <w:ilvl w:val="0"/>
          <w:numId w:val="1043"/>
        </w:numPr>
      </w:pPr>
      <w:r>
        <w:t xml:space="preserve">Nemry, F.; Uihlein, A. (2008): Environmental Improvement Potentials of Residential Buildings</w:t>
      </w:r>
      <w:r>
        <w:t xml:space="preserve"> </w:t>
      </w:r>
      <w:r>
        <w:t xml:space="preserve">(IMPRO-Building).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FEC</w:t>
      </w:r>
      <w:r>
        <w:t xml:space="preserve"> </w:t>
      </w:r>
      <w:r>
        <w:t xml:space="preserve">% of 2019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125%</w:t>
      </w:r>
      <w:r>
        <w:t xml:space="preserve"> </w:t>
      </w:r>
      <w:r>
        <w:t xml:space="preserve">150%</w:t>
      </w:r>
      <w:r>
        <w:t xml:space="preserve"> </w:t>
      </w:r>
      <w:r>
        <w:t xml:space="preserve">175%</w:t>
      </w:r>
      <w:r>
        <w:t xml:space="preserve"> </w:t>
      </w:r>
      <w:r>
        <w:t xml:space="preserve">200%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FEC-E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16%</w:t>
      </w:r>
      <w:r>
        <w:t xml:space="preserve"> </w:t>
      </w:r>
      <w:r>
        <w:t xml:space="preserve">20%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FEC-RFNBOs</w:t>
      </w:r>
    </w:p>
    <w:p>
      <w:pPr>
        <w:pStyle w:val="FirstParagraph"/>
      </w:pPr>
      <w:r>
        <w:t xml:space="preserve">73</w:t>
      </w:r>
    </w:p>
    <w:p>
      <w:pPr>
        <w:pStyle w:val="BodyText"/>
      </w:pPr>
      <w:r>
        <w:t xml:space="preserve">electricity savings of around 3-4% in 2030-2040 and up to 6% in 2050, and RFNBOs</w:t>
      </w:r>
      <w:r>
        <w:t xml:space="preserve"> </w:t>
      </w:r>
      <w:r>
        <w:t xml:space="preserve">savings of around 1% in 2040 and 3% in 2050 (with respect to STD).</w:t>
      </w:r>
      <w:r>
        <w:br/>
      </w:r>
      <w:r>
        <w:t xml:space="preserve">The share of FEC across energy carriers also changes (Figure 58). As result of decrease</w:t>
      </w:r>
      <w:r>
        <w:t xml:space="preserve"> </w:t>
      </w:r>
      <w:r>
        <w:t xml:space="preserve">of FEC and increase of FEC-E, electricity becomes the dominant energy carrier, growing</w:t>
      </w:r>
      <w:r>
        <w:t xml:space="preserve"> </w:t>
      </w:r>
      <w:r>
        <w:t xml:space="preserve">from around 30% of FEC share in 2019, to above 50% already in 2040 and up to around</w:t>
      </w:r>
      <w:r>
        <w:t xml:space="preserve"> </w:t>
      </w:r>
      <w:r>
        <w:t xml:space="preserve">65% in 2050. To replace fossil fuels in processes where electrification is currently not</w:t>
      </w:r>
      <w:r>
        <w:t xml:space="preserve"> </w:t>
      </w:r>
      <w:r>
        <w:t xml:space="preserve">viable, the amount of RFNBOs increases in absolute terms and as share of FEC, growing</w:t>
      </w:r>
      <w:r>
        <w:t xml:space="preserve"> </w:t>
      </w:r>
      <w:r>
        <w:t xml:space="preserve">from around 1% in 2030, to above 5% in 2040 and above 10% in 2050. When comparing</w:t>
      </w:r>
      <w:r>
        <w:t xml:space="preserve"> </w:t>
      </w:r>
      <w:r>
        <w:t xml:space="preserve">the two scenarios in relative terms (108), the shares for the two energy carriers behave</w:t>
      </w:r>
      <w:r>
        <w:t xml:space="preserve"> </w:t>
      </w:r>
      <w:r>
        <w:t xml:space="preserve">differently: in CIRC, CE actions boost electricity share by around 1% in 2040 and 2050</w:t>
      </w:r>
      <w:r>
        <w:t xml:space="preserve"> </w:t>
      </w:r>
      <w:r>
        <w:t xml:space="preserve">when compared to the shares of the same years in STD, while share of RFNBOs reduces</w:t>
      </w:r>
      <w:r>
        <w:t xml:space="preserve"> </w:t>
      </w:r>
      <w:r>
        <w:t xml:space="preserve">by 1% and 3% respectively in 2040 and 2050. This indicates that CE actions, in addition</w:t>
      </w:r>
      <w:r>
        <w:t xml:space="preserve"> </w:t>
      </w:r>
      <w:r>
        <w:t xml:space="preserve">to reducing overall FEC, especially contributes to reduce the final energy demand (and</w:t>
      </w:r>
      <w:r>
        <w:t xml:space="preserve"> </w:t>
      </w:r>
      <w:r>
        <w:t xml:space="preserve">relative FEC shares) for carriers that are more expensive or more complex to implement,</w:t>
      </w:r>
      <w:r>
        <w:t xml:space="preserve"> </w:t>
      </w:r>
      <w:r>
        <w:t xml:space="preserve">like hydrogen and e-fuels. A similar effect of reduction of hydrogen and e-fuels due to</w:t>
      </w:r>
      <w:r>
        <w:t xml:space="preserve"> </w:t>
      </w:r>
      <w:r>
        <w:t xml:space="preserve">circular economy actions could be witnessed also in the final non-energy consumption</w:t>
      </w:r>
      <w:r>
        <w:t xml:space="preserve"> </w:t>
      </w:r>
      <w:r>
        <w:t xml:space="preserve">(see 1.4.4 in this Annex).</w:t>
      </w:r>
      <w:r>
        <w:t xml:space="preserve"> </w:t>
      </w:r>
      <w:r>
        <w:t xml:space="preserve">Figure 58: Share of electricity and RFNBOs in FEC</w:t>
      </w:r>
    </w:p>
    <w:p>
      <w:pPr>
        <w:pStyle w:val="BodyText"/>
      </w:pPr>
      <w:r>
        <w:t xml:space="preserve">Note: STD and CIRC shows different FEC, meaning that the comparison between FEC shares in STD and CIRC</w:t>
      </w:r>
      <w:r>
        <w:t xml:space="preserve"> </w:t>
      </w:r>
      <w:r>
        <w:t xml:space="preserve">can only apply in relative terms. A phase out of fossil fuel to less than 3% share of FEC in 2050 is projected,</w:t>
      </w:r>
      <w:r>
        <w:t xml:space="preserve"> </w:t>
      </w:r>
      <w:r>
        <w:t xml:space="preserve">and the rest of FEC is covered by other RES sources. 2019 is taken as the calibration year for the FORECAST</w:t>
      </w:r>
      <w:r>
        <w:t xml:space="preserve"> </w:t>
      </w:r>
      <w:r>
        <w:t xml:space="preserve">model.</w:t>
      </w:r>
      <w:r>
        <w:br/>
      </w:r>
      <w:r>
        <w:t xml:space="preserve">Source: FORECAST.</w:t>
      </w:r>
      <w:r>
        <w:t xml:space="preserve"> </w:t>
      </w:r>
      <w:r>
        <w:t xml:space="preserve">1.4.6.5.GHG Emissions</w:t>
      </w:r>
      <w:r>
        <w:t xml:space="preserve"> </w:t>
      </w:r>
      <w:r>
        <w:t xml:space="preserve">Figure 59 shows the evolution of GHG emissions in the industrial sector. In STD, net</w:t>
      </w:r>
      <w:r>
        <w:t xml:space="preserve"> </w:t>
      </w:r>
      <w:r>
        <w:t xml:space="preserve">GHG emissions reduce by 29%, 69% and 90% in 2030, 2040 and 2050 compared to</w:t>
      </w:r>
    </w:p>
    <w:p>
      <w:pPr>
        <w:pStyle w:val="Compact"/>
        <w:numPr>
          <w:ilvl w:val="0"/>
          <w:numId w:val="1044"/>
        </w:numPr>
      </w:pPr>
      <w:r>
        <w:t xml:space="preserve">Comparison in absolute terms is not possible since the total FEC in CIRC and BENCH is different.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STD</w:t>
      </w:r>
      <w:r>
        <w:t xml:space="preserve"> </w:t>
      </w:r>
      <w:r>
        <w:t xml:space="preserve">STD</w:t>
      </w:r>
      <w:r>
        <w:t xml:space="preserve"> </w:t>
      </w:r>
      <w:r>
        <w:t xml:space="preserve">CIRC</w:t>
      </w:r>
      <w:r>
        <w:t xml:space="preserve"> </w:t>
      </w:r>
      <w:r>
        <w:t xml:space="preserve">STD</w:t>
      </w:r>
      <w:r>
        <w:t xml:space="preserve"> </w:t>
      </w:r>
      <w:r>
        <w:t xml:space="preserve">CIRC</w:t>
      </w:r>
      <w:r>
        <w:t xml:space="preserve"> </w:t>
      </w:r>
      <w:r>
        <w:t xml:space="preserve">STD</w:t>
      </w:r>
      <w:r>
        <w:t xml:space="preserve"> </w:t>
      </w:r>
      <w:r>
        <w:t xml:space="preserve">CIRC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Electricity</w:t>
      </w:r>
      <w:r>
        <w:t xml:space="preserve"> </w:t>
      </w:r>
      <w:r>
        <w:t xml:space="preserve">RFNBOs</w:t>
      </w:r>
    </w:p>
    <w:p>
      <w:pPr>
        <w:pStyle w:val="FirstParagraph"/>
      </w:pPr>
      <w:r>
        <w:t xml:space="preserve">74</w:t>
      </w:r>
    </w:p>
    <w:p>
      <w:pPr>
        <w:pStyle w:val="Compact"/>
        <w:numPr>
          <w:ilvl w:val="0"/>
          <w:numId w:val="1045"/>
        </w:numPr>
      </w:pPr>
      <w:r>
        <w:t xml:space="preserve">GHG emissions in the CIRC scenario reduce by 31%, 72% and 91% for the same</w:t>
      </w:r>
      <w:r>
        <w:t xml:space="preserve"> </w:t>
      </w:r>
      <w:r>
        <w:t xml:space="preserve">years.</w:t>
      </w:r>
      <w:r>
        <w:br/>
      </w:r>
      <w:r>
        <w:t xml:space="preserve">Energy-related emissions decrease in STD in line with the strong electrification of the</w:t>
      </w:r>
      <w:r>
        <w:t xml:space="preserve"> </w:t>
      </w:r>
      <w:r>
        <w:t xml:space="preserve">power system and the reduction of energy needs. In an already well decarbonised sector,</w:t>
      </w:r>
      <w:r>
        <w:t xml:space="preserve"> </w:t>
      </w:r>
      <w:r>
        <w:t xml:space="preserve">the CIRC assumptions can further decrease energy-related emissions by around 7% and</w:t>
      </w:r>
      <w:r>
        <w:t xml:space="preserve"> </w:t>
      </w:r>
      <w:r>
        <w:t xml:space="preserve">12% compared to STD in 2040 and 2050. The use of alternative processes also reduces</w:t>
      </w:r>
      <w:r>
        <w:t xml:space="preserve"> </w:t>
      </w:r>
      <w:r>
        <w:t xml:space="preserve">significantly process emissions in comparison with today level: process changes in the</w:t>
      </w:r>
      <w:r>
        <w:t xml:space="preserve"> </w:t>
      </w:r>
      <w:r>
        <w:t xml:space="preserve">steel and chemical industries, reduced use of hydrofluorocarbons (HFCs) and additives or</w:t>
      </w:r>
      <w:r>
        <w:t xml:space="preserve"> </w:t>
      </w:r>
      <w:r>
        <w:t xml:space="preserve">low-CO2 binders in cement and lime production can cut by around 50% process-related</w:t>
      </w:r>
      <w:r>
        <w:t xml:space="preserve"> </w:t>
      </w:r>
      <w:r>
        <w:t xml:space="preserve">emissions (excl. carbon capture) in 2050 compared 2019 in the industrial sector</w:t>
      </w:r>
      <w:r>
        <w:t xml:space="preserve"> </w:t>
      </w:r>
      <w:r>
        <w:t xml:space="preserve">considered. Implementation of the selected list of CE action leads to additional savings in</w:t>
      </w:r>
      <w:r>
        <w:t xml:space="preserve"> </w:t>
      </w:r>
      <w:r>
        <w:t xml:space="preserve">2040-2050 compared to STD of around 10%. Carbon capture also plays a role in the</w:t>
      </w:r>
      <w:r>
        <w:t xml:space="preserve"> </w:t>
      </w:r>
      <w:r>
        <w:t xml:space="preserve">decarbonisation of process emissions, and CE actions help slightly reduce the carbon</w:t>
      </w:r>
      <w:r>
        <w:t xml:space="preserve"> </w:t>
      </w:r>
      <w:r>
        <w:t xml:space="preserve">capture needs.</w:t>
      </w:r>
      <w:r>
        <w:br/>
      </w:r>
      <w:r>
        <w:t xml:space="preserve">The differences in GHG emissions between STD and CIRC only capture a fraction of the</w:t>
      </w:r>
      <w:r>
        <w:t xml:space="preserve"> </w:t>
      </w:r>
      <w:r>
        <w:t xml:space="preserve">positive impact of CE on the decarbonisation of the economy for two main reasons. First,</w:t>
      </w:r>
      <w:r>
        <w:t xml:space="preserve"> </w:t>
      </w:r>
      <w:r>
        <w:t xml:space="preserve">part of the CE impact is already covered in the STD, which assumes implementation of</w:t>
      </w:r>
      <w:r>
        <w:t xml:space="preserve"> </w:t>
      </w:r>
      <w:r>
        <w:t xml:space="preserve">the CEAP; second, the additional CE actions apply into an already well decarbonised</w:t>
      </w:r>
      <w:r>
        <w:t xml:space="preserve"> </w:t>
      </w:r>
      <w:r>
        <w:t xml:space="preserve">energy system, limiting their potential to cut emissions. The contribution to emission</w:t>
      </w:r>
      <w:r>
        <w:t xml:space="preserve"> </w:t>
      </w:r>
      <w:r>
        <w:t xml:space="preserve">reduction of the CE actions can be disaggregated from the one of the decarbonisation of</w:t>
      </w:r>
      <w:r>
        <w:t xml:space="preserve"> </w:t>
      </w:r>
      <w:r>
        <w:t xml:space="preserve">the energy system by assuming a constant carbon intensity in the period from the year of</w:t>
      </w:r>
      <w:r>
        <w:t xml:space="preserve"> </w:t>
      </w:r>
      <w:r>
        <w:t xml:space="preserve">reference (2019) until 2050. In constant carbon intensity settings, the analysis shows that</w:t>
      </w:r>
      <w:r>
        <w:t xml:space="preserve"> </w:t>
      </w:r>
      <w:r>
        <w:t xml:space="preserve">selected list of CE actions could reduce industrial emissions in the sectors under scrutiny</w:t>
      </w:r>
      <w:r>
        <w:t xml:space="preserve"> </w:t>
      </w:r>
      <w:r>
        <w:t xml:space="preserve">by around 20% in the CIRC scenario with respect to STD (in 2050).</w:t>
      </w:r>
      <w:r>
        <w:t xml:space="preserve"> </w:t>
      </w:r>
      <w:r>
        <w:t xml:space="preserve">Net residual emissions of around 10% of 2019 values are projected in 2050 (see Figure</w:t>
      </w:r>
      <w:r>
        <w:t xml:space="preserve"> </w:t>
      </w:r>
      <w:r>
        <w:t xml:space="preserve">59). This is explained mainly by the assumptions taken on the role of carbon capture in</w:t>
      </w:r>
      <w:r>
        <w:t xml:space="preserve"> </w:t>
      </w:r>
      <w:r>
        <w:t xml:space="preserve">these scenarios, which has been applied only to the emissions of processes where other</w:t>
      </w:r>
      <w:r>
        <w:t xml:space="preserve"> </w:t>
      </w:r>
      <w:r>
        <w:t xml:space="preserve">mitigation strategies (e.g., fuel and process switch) are lacking today, i.e., in the cement</w:t>
      </w:r>
      <w:r>
        <w:t xml:space="preserve"> </w:t>
      </w:r>
      <w:r>
        <w:t xml:space="preserve">sector. Residual emission confirms that a larger deployment of carbon capture in</w:t>
      </w:r>
      <w:r>
        <w:t xml:space="preserve"> </w:t>
      </w:r>
      <w:r>
        <w:t xml:space="preserve">additional (e.g., steel, chemical) and emerging (e.g., DACC) sectors, or compensation of</w:t>
      </w:r>
      <w:r>
        <w:t xml:space="preserve"> </w:t>
      </w:r>
      <w:r>
        <w:t xml:space="preserve">emission by other sectors (e.g. LULUCF) are be needed to reach climate neutrality in</w:t>
      </w:r>
      <w:r>
        <w:t xml:space="preserve"> </w:t>
      </w:r>
      <w:r>
        <w:t xml:space="preserve">industry.</w:t>
      </w:r>
    </w:p>
    <w:p>
      <w:pPr>
        <w:pStyle w:val="FirstParagraph"/>
      </w:pPr>
      <w:r>
        <w:t xml:space="preserve">75</w:t>
      </w:r>
    </w:p>
    <w:p>
      <w:pPr>
        <w:pStyle w:val="BodyText"/>
      </w:pPr>
      <w:r>
        <w:t xml:space="preserve">Figure 59: GHG emissions by type in % of 2019 values</w:t>
      </w:r>
    </w:p>
    <w:p>
      <w:pPr>
        <w:pStyle w:val="BodyText"/>
      </w:pPr>
      <w:r>
        <w:t xml:space="preserve">Note: 2019 is taken as the calibration year for the FORECAST model.</w:t>
      </w:r>
      <w:r>
        <w:br/>
      </w:r>
      <w:r>
        <w:t xml:space="preserve">Source: FORECAST.</w:t>
      </w:r>
      <w:r>
        <w:t xml:space="preserve"> </w:t>
      </w:r>
      <w:r>
        <w:t xml:space="preserve">1.5.</w:t>
      </w:r>
      <w:r>
        <w:t xml:space="preserve"> </w:t>
      </w:r>
      <w:r>
        <w:t xml:space="preserve">Transport</w:t>
      </w:r>
      <w:r>
        <w:t xml:space="preserve"> </w:t>
      </w:r>
      <w:r>
        <w:t xml:space="preserve">1.5.1. Introduction</w:t>
      </w:r>
      <w:r>
        <w:t xml:space="preserve"> </w:t>
      </w:r>
      <w:r>
        <w:t xml:space="preserve">All the decarbonisation pathways for the transport sector (109) analysed in this impact</w:t>
      </w:r>
      <w:r>
        <w:t xml:space="preserve"> </w:t>
      </w:r>
      <w:r>
        <w:t xml:space="preserve">assessment show a sustained growth in transport activity at EU level, as well as a modal</w:t>
      </w:r>
      <w:r>
        <w:t xml:space="preserve"> </w:t>
      </w:r>
      <w:r>
        <w:t xml:space="preserve">shift to rail, from now to 2040 and 2050 (see Section 1.5.2). Nevertheless, as explained in</w:t>
      </w:r>
      <w:r>
        <w:t xml:space="preserve"> </w:t>
      </w:r>
      <w:r>
        <w:t xml:space="preserve">Section 1.5.3, the total amount of energy consumed by the EU’s transport sector is</w:t>
      </w:r>
      <w:r>
        <w:t xml:space="preserve"> </w:t>
      </w:r>
      <w:r>
        <w:t xml:space="preserve">projected to decline significantly because of large-scale electrification (notably in road</w:t>
      </w:r>
      <w:r>
        <w:t xml:space="preserve"> </w:t>
      </w:r>
      <w:r>
        <w:t xml:space="preserve">transport) and implementation of technological and operational measures to improve</w:t>
      </w:r>
      <w:r>
        <w:t xml:space="preserve"> </w:t>
      </w:r>
      <w:r>
        <w:t xml:space="preserve">energy efficiency (notably in maritime and air transport). Furthermore, the fuel mix of</w:t>
      </w:r>
      <w:r>
        <w:t xml:space="preserve"> </w:t>
      </w:r>
      <w:r>
        <w:t xml:space="preserve">the transport sector is projected to undergo a deep transformation characterised by a</w:t>
      </w:r>
      <w:r>
        <w:t xml:space="preserve"> </w:t>
      </w:r>
      <w:r>
        <w:t xml:space="preserve">significant reduction in the consumption of fossil fuels, which are largely replaced by</w:t>
      </w:r>
      <w:r>
        <w:t xml:space="preserve"> </w:t>
      </w:r>
      <w:r>
        <w:t xml:space="preserve">zero- and low-emission energy carriers (i.e., electricity, advanced liquid biofuels and</w:t>
      </w:r>
      <w:r>
        <w:t xml:space="preserve"> </w:t>
      </w:r>
      <w:r>
        <w:t xml:space="preserve">biogas, e-fuels and hydrogen) by 2040 and almost fully replaced by them by 2050. In</w:t>
      </w:r>
      <w:r>
        <w:t xml:space="preserve"> </w:t>
      </w:r>
      <w:r>
        <w:t xml:space="preserve">terms of decarbonisation options deployed, road and rail transport are largely electrified</w:t>
      </w:r>
      <w:r>
        <w:t xml:space="preserve"> </w:t>
      </w:r>
      <w:r>
        <w:t xml:space="preserve">over time, whereas the maritime and air transport sectors, which are hard to electrify,</w:t>
      </w:r>
      <w:r>
        <w:t xml:space="preserve"> </w:t>
      </w:r>
      <w:r>
        <w:t xml:space="preserve">deploy measures to improve energy efficiency combined with a significant uptake of</w:t>
      </w:r>
      <w:r>
        <w:t xml:space="preserve"> </w:t>
      </w:r>
      <w:r>
        <w:t xml:space="preserve">zero- and low-emission fuels, particularly liquid biofuels, biogas and e-fuels (see Section</w:t>
      </w:r>
      <w:r>
        <w:t xml:space="preserve"> </w:t>
      </w:r>
      <w:r>
        <w:t xml:space="preserve">1.5.4). Consequently, direct CO2 emissions from the EU’s transport sector are projected</w:t>
      </w:r>
      <w:r>
        <w:t xml:space="preserve"> </w:t>
      </w:r>
      <w:r>
        <w:t xml:space="preserve">to decrease dramatically in the next decades, especially after 2030 (see Section 1.5.5).</w:t>
      </w:r>
      <w:r>
        <w:t xml:space="preserve"> </w:t>
      </w:r>
      <w:r>
        <w:t xml:space="preserve">Road and maritime transport are the modes reducing their CO2 emissions the most by</w:t>
      </w:r>
      <w:r>
        <w:t xml:space="preserve"> </w:t>
      </w:r>
      <w:r>
        <w:t xml:space="preserve">2040, and most of the transport-related emissions remaining in 2050 are projected to</w:t>
      </w:r>
      <w:r>
        <w:t xml:space="preserve"> </w:t>
      </w:r>
      <w:r>
        <w:t xml:space="preserve">come from the international aviation sector.</w:t>
      </w:r>
      <w:r>
        <w:br/>
      </w:r>
      <w:r>
        <w:t xml:space="preserve">The decarbonisation pathways for the transport sector are in line with the results of the</w:t>
      </w:r>
      <w:r>
        <w:t xml:space="preserve"> </w:t>
      </w:r>
      <w:r>
        <w:t xml:space="preserve">public consultation. The participants to the “expert section” of the public consultation</w:t>
      </w:r>
      <w:r>
        <w:t xml:space="preserve"> </w:t>
      </w:r>
      <w:r>
        <w:t xml:space="preserve">think that the transport sector will be one of the key sectors affected by the green</w:t>
      </w:r>
      <w:r>
        <w:t xml:space="preserve"> </w:t>
      </w:r>
      <w:r>
        <w:t xml:space="preserve">transition after 2030, particularly because of the transition to electric vehicles and</w:t>
      </w:r>
    </w:p>
    <w:p>
      <w:pPr>
        <w:pStyle w:val="Compact"/>
        <w:numPr>
          <w:ilvl w:val="0"/>
          <w:numId w:val="1046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  <w:r>
        <w:t xml:space="preserve"> </w:t>
      </w:r>
      <w:r>
        <w:t xml:space="preserve">-20%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STD</w:t>
      </w:r>
      <w:r>
        <w:t xml:space="preserve"> </w:t>
      </w:r>
      <w:r>
        <w:t xml:space="preserve">STD</w:t>
      </w:r>
      <w:r>
        <w:t xml:space="preserve"> </w:t>
      </w:r>
      <w:r>
        <w:t xml:space="preserve">CIRC</w:t>
      </w:r>
      <w:r>
        <w:t xml:space="preserve"> </w:t>
      </w:r>
      <w:r>
        <w:t xml:space="preserve">STD</w:t>
      </w:r>
      <w:r>
        <w:t xml:space="preserve"> </w:t>
      </w:r>
      <w:r>
        <w:t xml:space="preserve">CIRC</w:t>
      </w:r>
      <w:r>
        <w:t xml:space="preserve"> </w:t>
      </w:r>
      <w:r>
        <w:t xml:space="preserve">STD</w:t>
      </w:r>
      <w:r>
        <w:t xml:space="preserve"> </w:t>
      </w:r>
      <w:r>
        <w:t xml:space="preserve">CIRC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Energy GHG</w:t>
      </w:r>
      <w:r>
        <w:t xml:space="preserve"> </w:t>
      </w:r>
      <w:r>
        <w:t xml:space="preserve">Processes (excl. CCUS)</w:t>
      </w:r>
      <w:r>
        <w:t xml:space="preserve"> </w:t>
      </w:r>
      <w:r>
        <w:t xml:space="preserve">Carbon Captured</w:t>
      </w:r>
      <w:r>
        <w:t xml:space="preserve"> </w:t>
      </w:r>
      <w:r>
        <w:t xml:space="preserve">Total Net</w:t>
      </w:r>
    </w:p>
    <w:p>
      <w:pPr>
        <w:pStyle w:val="FirstParagraph"/>
      </w:pPr>
      <w:r>
        <w:t xml:space="preserve">76</w:t>
      </w:r>
    </w:p>
    <w:p>
      <w:pPr>
        <w:pStyle w:val="BodyText"/>
      </w:pPr>
      <w:r>
        <w:t xml:space="preserve">alternative fuels (this is mentioned by 20% of the respondents). The results of the public</w:t>
      </w:r>
      <w:r>
        <w:t xml:space="preserve"> </w:t>
      </w:r>
      <w:r>
        <w:t xml:space="preserve">consultation also show that, amongst all economic sectors, the respondents give the</w:t>
      </w:r>
      <w:r>
        <w:t xml:space="preserve"> </w:t>
      </w:r>
      <w:r>
        <w:t xml:space="preserve">highest priority to reduce emissions caused by the transport sector, particularly “aviation</w:t>
      </w:r>
      <w:r>
        <w:t xml:space="preserve"> </w:t>
      </w:r>
      <w:r>
        <w:t xml:space="preserve">and maritime transport” (with an average priority of 4.42 between 1 and 5, 5 being the</w:t>
      </w:r>
      <w:r>
        <w:t xml:space="preserve"> </w:t>
      </w:r>
      <w:r>
        <w:t xml:space="preserve">highest priority level) and “road transport” (with an average priority of 4.39 between 1</w:t>
      </w:r>
      <w:r>
        <w:t xml:space="preserve"> </w:t>
      </w:r>
      <w:r>
        <w:t xml:space="preserve">and 5). However, overall, the respondents think that “aviation and maritime transport”</w:t>
      </w:r>
      <w:r>
        <w:t xml:space="preserve"> </w:t>
      </w:r>
      <w:r>
        <w:t xml:space="preserve">will be the last economic sectors to become climate neutral, compared to “production of</w:t>
      </w:r>
      <w:r>
        <w:t xml:space="preserve"> </w:t>
      </w:r>
      <w:r>
        <w:t xml:space="preserve">electricity and district heating”, “industrial processes and waste”, “buildings”,</w:t>
      </w:r>
      <w:r>
        <w:t xml:space="preserve"> </w:t>
      </w:r>
      <w:r>
        <w:t xml:space="preserve">“agriculture, forestry and other land use” and “road transport”.</w:t>
      </w:r>
      <w:r>
        <w:t xml:space="preserve"> </w:t>
      </w:r>
      <w:r>
        <w:t xml:space="preserve">1.5.2. Activity</w:t>
      </w:r>
      <w:r>
        <w:t xml:space="preserve"> </w:t>
      </w:r>
      <w:r>
        <w:t xml:space="preserve">A sustained growth in transport activity at EU level is observed in all scenarios,</w:t>
      </w:r>
      <w:r>
        <w:t xml:space="preserve"> </w:t>
      </w:r>
      <w:r>
        <w:t xml:space="preserve">following the post-COVID recovery. Total passenger transport activity (expressed in</w:t>
      </w:r>
      <w:r>
        <w:t xml:space="preserve"> </w:t>
      </w:r>
      <w:r>
        <w:t xml:space="preserve">passenger-km, excluding international navigation and extra-EU aviation), increases to a</w:t>
      </w:r>
      <w:r>
        <w:t xml:space="preserve"> </w:t>
      </w:r>
      <w:r>
        <w:t xml:space="preserve">similar extent in the main scenarios (S1, S2 and S3). As shown in Figure 60 and Figure</w:t>
      </w:r>
      <w:r>
        <w:t xml:space="preserve"> </w:t>
      </w:r>
      <w:r>
        <w:t xml:space="preserve">61, in these scenarios, total activity increases by 26-27% (depending on the scenario) in</w:t>
      </w:r>
      <w:r>
        <w:t xml:space="preserve"> </w:t>
      </w:r>
      <w:r>
        <w:t xml:space="preserve">2040 and 32% in 2050 compared to 2015. However, there are differences between</w:t>
      </w:r>
      <w:r>
        <w:t xml:space="preserve"> </w:t>
      </w:r>
      <w:r>
        <w:t xml:space="preserve">transport modes with respect to activity growth. The modes showing the greatest increase</w:t>
      </w:r>
      <w:r>
        <w:t xml:space="preserve"> </w:t>
      </w:r>
      <w:r>
        <w:t xml:space="preserve">in activity relative to 2015 are rail (65-67% in 2040 and 83-86% in 2050), driven mainly</w:t>
      </w:r>
      <w:r>
        <w:t xml:space="preserve"> </w:t>
      </w:r>
      <w:r>
        <w:t xml:space="preserve">by the revision of the TEN-T Regulation, CEF funding, the proposal for the increase in</w:t>
      </w:r>
      <w:r>
        <w:t xml:space="preserve"> </w:t>
      </w:r>
      <w:r>
        <w:t xml:space="preserve">railway capacity use and the action plan to boost long-distance and cross-border</w:t>
      </w:r>
      <w:r>
        <w:t xml:space="preserve"> </w:t>
      </w:r>
      <w:r>
        <w:t xml:space="preserve">passenger rail, and intra-EU aviation (56-57% increase in 2040 and 74% increase in</w:t>
      </w:r>
      <w:r>
        <w:t xml:space="preserve"> </w:t>
      </w:r>
      <w:r>
        <w:t xml:space="preserve">2050), driven by the sustained economic growth and the post-COVID recovery. Road</w:t>
      </w:r>
      <w:r>
        <w:t xml:space="preserve"> </w:t>
      </w:r>
      <w:r>
        <w:t xml:space="preserve">transport activity grows by 20-21% between 2015 and 2040 (see Figure 61) and then</w:t>
      </w:r>
      <w:r>
        <w:t xml:space="preserve"> </w:t>
      </w:r>
      <w:r>
        <w:t xml:space="preserve">mostly stabilises (between 2015 and 2050, activity grows by 23%, see Figure 60).</w:t>
      </w:r>
      <w:r>
        <w:t xml:space="preserve"> </w:t>
      </w:r>
      <w:r>
        <w:t xml:space="preserve">Domestic navigation activity is projected to increase by 12-17% in 2040 and by 20-23%</w:t>
      </w:r>
      <w:r>
        <w:t xml:space="preserve"> </w:t>
      </w:r>
      <w:r>
        <w:t xml:space="preserve">in 2050, relative to 2015 (110). There are slight differences between the three main</w:t>
      </w:r>
      <w:r>
        <w:t xml:space="preserve"> </w:t>
      </w:r>
      <w:r>
        <w:t xml:space="preserve">scenarios. The S3 scenario shows the highest increase in rail transport activity and the</w:t>
      </w:r>
      <w:r>
        <w:t xml:space="preserve"> </w:t>
      </w:r>
      <w:r>
        <w:t xml:space="preserve">lowest increase in road and air transport activity over time, whereas the S1 scenario</w:t>
      </w:r>
      <w:r>
        <w:t xml:space="preserve"> </w:t>
      </w:r>
      <w:r>
        <w:t xml:space="preserve">shows the lowest increase in rail transport activity and the highest increase in road and air</w:t>
      </w:r>
      <w:r>
        <w:t xml:space="preserve"> </w:t>
      </w:r>
      <w:r>
        <w:t xml:space="preserve">transport activity.</w:t>
      </w:r>
      <w:r>
        <w:t xml:space="preserve"> </w:t>
      </w:r>
      <w:r>
        <w:t xml:space="preserve">In LIFE, total passenger transport activity (excluding international navigation and extra-</w:t>
      </w:r>
      <w:r>
        <w:t xml:space="preserve"> </w:t>
      </w:r>
      <w:r>
        <w:t xml:space="preserve">EU aviation) still increases over time, but less than in the three main scenarios (111). As</w:t>
      </w:r>
      <w:r>
        <w:t xml:space="preserve"> </w:t>
      </w:r>
      <w:r>
        <w:t xml:space="preserve">shown in Figure 60 and Figure 61, total passenger activity increases by 22% in 2040 and</w:t>
      </w:r>
      <w:r>
        <w:t xml:space="preserve"> </w:t>
      </w:r>
      <w:r>
        <w:t xml:space="preserve">27% in 2050 compared to 2015 (i.e., 4-5 and 5-6 percentage points less than in the other</w:t>
      </w:r>
      <w:r>
        <w:t xml:space="preserve"> </w:t>
      </w:r>
      <w:r>
        <w:t xml:space="preserve">scenarios, respectively). If one looks at the activity per mode, intra-EU aviation shows</w:t>
      </w:r>
      <w:r>
        <w:t xml:space="preserve"> </w:t>
      </w:r>
      <w:r>
        <w:t xml:space="preserve">much lower activity growth rates relative to 2015 than the other scenarios (42% in 2040,</w:t>
      </w:r>
      <w:r>
        <w:t xml:space="preserve"> </w:t>
      </w:r>
      <w:r>
        <w:t xml:space="preserve">i.e., 15-16 pp less than in S2 and S3, and 47% in 2050, i.e., 27 pp less), driven by the</w:t>
      </w:r>
      <w:r>
        <w:t xml:space="preserve"> </w:t>
      </w:r>
      <w:r>
        <w:t xml:space="preserve">assumed substitution of some business trips with video conferences, reduction in the</w:t>
      </w:r>
    </w:p>
    <w:p>
      <w:pPr>
        <w:pStyle w:val="Compact"/>
        <w:numPr>
          <w:ilvl w:val="0"/>
          <w:numId w:val="1047"/>
        </w:numPr>
      </w:pPr>
      <w:r>
        <w:t xml:space="preserve">In this impact assessment, the term domestic navigation includes inland waterway transport and</w:t>
      </w:r>
      <w:r>
        <w:t xml:space="preserve"> </w:t>
      </w:r>
      <w:r>
        <w:t xml:space="preserve">national maritime transport. These two waterborne transport modes are grouped together because a</w:t>
      </w:r>
      <w:r>
        <w:t xml:space="preserve"> </w:t>
      </w:r>
      <w:r>
        <w:t xml:space="preserve">split between inland waterway and national maritime transport is currently not available in the official</w:t>
      </w:r>
      <w:r>
        <w:t xml:space="preserve"> </w:t>
      </w:r>
      <w:r>
        <w:t xml:space="preserve">energy statistics, so the PRIMES model takes them together.</w:t>
      </w:r>
    </w:p>
    <w:p>
      <w:pPr>
        <w:pStyle w:val="Compact"/>
        <w:numPr>
          <w:ilvl w:val="0"/>
          <w:numId w:val="1047"/>
        </w:numPr>
      </w:pPr>
      <w:r>
        <w:t xml:space="preserve">Other analyses look at much stronger changes in mobility patterns. For instance, the CLEVER</w:t>
      </w:r>
      <w:r>
        <w:t xml:space="preserve"> </w:t>
      </w:r>
      <w:r>
        <w:t xml:space="preserve">scenario published in “Energy security and Sustainability: A pathway to bridge the gap through</w:t>
      </w:r>
      <w:r>
        <w:t xml:space="preserve"> </w:t>
      </w:r>
      <w:r>
        <w:t xml:space="preserve">Sufficiency, Efficiency and Renewables” projects a 21% reduction in passenger traffic between 2019</w:t>
      </w:r>
      <w:r>
        <w:t xml:space="preserve"> </w:t>
      </w:r>
      <w:r>
        <w:t xml:space="preserve">and 2050. However, the costs associated to these changes are not assessed.</w:t>
      </w:r>
    </w:p>
    <w:p>
      <w:pPr>
        <w:pStyle w:val="FirstParagraph"/>
      </w:pPr>
      <w:r>
        <w:t xml:space="preserve">77</w:t>
      </w:r>
    </w:p>
    <w:p>
      <w:pPr>
        <w:pStyle w:val="BodyText"/>
      </w:pPr>
      <w:r>
        <w:t xml:space="preserve">distance travelled for trips for personal purposes, and modal shift towards high-speed rail</w:t>
      </w:r>
      <w:r>
        <w:t xml:space="preserve"> </w:t>
      </w:r>
      <w:r>
        <w:t xml:space="preserve">where available. Passenger road transport also shows lower activity growth rates relative</w:t>
      </w:r>
      <w:r>
        <w:t xml:space="preserve"> </w:t>
      </w:r>
      <w:r>
        <w:t xml:space="preserve">to 2015 than in the other scenarios (15% in 2040 and 18% in 2050, i.e., 4-5 pp less than</w:t>
      </w:r>
      <w:r>
        <w:t xml:space="preserve"> </w:t>
      </w:r>
      <w:r>
        <w:t xml:space="preserve">in S2 and S3 in both years). Note that it is assumed that part of this difference in road</w:t>
      </w:r>
      <w:r>
        <w:t xml:space="preserve"> </w:t>
      </w:r>
      <w:r>
        <w:t xml:space="preserve">transport activity growth is replaced by an increased use of active modes, which is not</w:t>
      </w:r>
      <w:r>
        <w:t xml:space="preserve"> </w:t>
      </w:r>
      <w:r>
        <w:t xml:space="preserve">represented in the PRIMES model. Instead, passenger rail activity increases much more</w:t>
      </w:r>
      <w:r>
        <w:t xml:space="preserve"> </w:t>
      </w:r>
      <w:r>
        <w:t xml:space="preserve">than in the other scenarios (74% in 2040, i.e., 7-9 pp more than in S2 and S3, and 97% in</w:t>
      </w:r>
      <w:r>
        <w:t xml:space="preserve"> </w:t>
      </w:r>
      <w:r>
        <w:t xml:space="preserve">2050, i.e., 10-13 pp more). Domestic navigation activity is projected to increase by 12%</w:t>
      </w:r>
      <w:r>
        <w:t xml:space="preserve"> </w:t>
      </w:r>
      <w:r>
        <w:t xml:space="preserve">in 2040 and by 22% in 2050, relative to 2015, that is to say, similarly to the main</w:t>
      </w:r>
      <w:r>
        <w:t xml:space="preserve"> </w:t>
      </w:r>
      <w:r>
        <w:t xml:space="preserve">scenarios. Consequently, in LIFE, air transport represents a lower share of the total</w:t>
      </w:r>
      <w:r>
        <w:t xml:space="preserve"> </w:t>
      </w:r>
      <w:r>
        <w:t xml:space="preserve">passenger transport activity (9% in 2040 and 2050) than in the other scenarios (10% in</w:t>
      </w:r>
      <w:r>
        <w:t xml:space="preserve"> </w:t>
      </w:r>
      <w:r>
        <w:t xml:space="preserve">2040 and 2050), whereas rail transport represents a higher share of the total passenger</w:t>
      </w:r>
      <w:r>
        <w:t xml:space="preserve"> </w:t>
      </w:r>
      <w:r>
        <w:t xml:space="preserve">transport activity (12% in 2040 and 13% 2050) than in the other scenarios (11% in 2040</w:t>
      </w:r>
      <w:r>
        <w:t xml:space="preserve"> </w:t>
      </w:r>
      <w:r>
        <w:t xml:space="preserve">and 2050). This indicates a modal shift to rail.</w:t>
      </w:r>
      <w:r>
        <w:t xml:space="preserve"> </w:t>
      </w:r>
      <w:r>
        <w:t xml:space="preserve">International extra-EU aviation activity (expressed in passenger-km) increases by 62% in</w:t>
      </w:r>
      <w:r>
        <w:t xml:space="preserve"> </w:t>
      </w:r>
      <w:r>
        <w:t xml:space="preserve">2040 and 80-81% in 2050 compared to 2015 in the three main scenarios (S1, S2 and S3),</w:t>
      </w:r>
      <w:r>
        <w:t xml:space="preserve"> </w:t>
      </w:r>
      <w:r>
        <w:t xml:space="preserve">whereas in LIFE it increases to a lesser extent (46% in 2040 and 57% in 2050 relative to</w:t>
      </w:r>
      <w:r>
        <w:t xml:space="preserve"> </w:t>
      </w:r>
      <w:r>
        <w:t xml:space="preserve">2015, i.e., 16 and 23-24 percentage points less than in S2 and S3 in 2040 and 2050,</w:t>
      </w:r>
      <w:r>
        <w:t xml:space="preserve"> </w:t>
      </w:r>
      <w:r>
        <w:t xml:space="preserve">respectively) (112).</w:t>
      </w:r>
      <w:r>
        <w:br/>
      </w:r>
      <w:r>
        <w:t xml:space="preserve">Figure 60: Passenger transport activity in the EU disaggregated by mode</w:t>
      </w:r>
    </w:p>
    <w:p>
      <w:pPr>
        <w:pStyle w:val="BodyText"/>
      </w:pPr>
      <w:r>
        <w:t xml:space="preserve">Note: The y-axis label (“Tpkm”) stands for trillion passenger-kilometres.</w:t>
      </w:r>
      <w:r>
        <w:t xml:space="preserve"> </w:t>
      </w:r>
      <w:r>
        <w:t xml:space="preserve">Source: PRIMES.</w:t>
      </w:r>
    </w:p>
    <w:p>
      <w:pPr>
        <w:pStyle w:val="Compact"/>
        <w:numPr>
          <w:ilvl w:val="0"/>
          <w:numId w:val="1048"/>
        </w:numPr>
      </w:pPr>
      <w:r>
        <w:t xml:space="preserve">In its “Aviation Outlook 2050 – Main Report, 2022” report EUROCONTROL looks at scenarios on</w:t>
      </w:r>
      <w:r>
        <w:t xml:space="preserve"> </w:t>
      </w:r>
      <w:r>
        <w:t xml:space="preserve">the evolution of the number of flights in Europe between 2019 (the year with the highest number of</w:t>
      </w:r>
      <w:r>
        <w:t xml:space="preserve"> </w:t>
      </w:r>
      <w:r>
        <w:t xml:space="preserve">flights) and 2050, reaching +44% in the “base” (or most-likely) scenario, ranging from +54% in the</w:t>
      </w:r>
      <w:r>
        <w:t xml:space="preserve"> </w:t>
      </w:r>
      <w:r>
        <w:t xml:space="preserve">“high” scenario to +20% in the “low” scenario.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Tpkm</w:t>
      </w:r>
      <w:r>
        <w:t xml:space="preserve"> </w:t>
      </w:r>
      <w:r>
        <w:t xml:space="preserve">Intra-EU aviation</w:t>
      </w:r>
      <w:r>
        <w:t xml:space="preserve"> </w:t>
      </w:r>
      <w:r>
        <w:t xml:space="preserve">Domestic navigation</w:t>
      </w:r>
      <w:r>
        <w:t xml:space="preserve"> </w:t>
      </w:r>
      <w:r>
        <w:t xml:space="preserve">Rail</w:t>
      </w:r>
      <w:r>
        <w:t xml:space="preserve"> </w:t>
      </w:r>
      <w:r>
        <w:t xml:space="preserve">Other road transport</w:t>
      </w:r>
      <w:r>
        <w:t xml:space="preserve"> </w:t>
      </w:r>
      <w:r>
        <w:t xml:space="preserve">Passenger cars</w:t>
      </w:r>
    </w:p>
    <w:p>
      <w:pPr>
        <w:pStyle w:val="FirstParagraph"/>
      </w:pPr>
      <w:r>
        <w:t xml:space="preserve">78</w:t>
      </w:r>
    </w:p>
    <w:p>
      <w:pPr>
        <w:pStyle w:val="BodyText"/>
      </w:pPr>
      <w:r>
        <w:t xml:space="preserve">Figure 61: Change in passenger transport activity between 2015 and 2040 by mode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i/>
          <w:iCs/>
        </w:rPr>
        <w:t xml:space="preserve">The total passenger transport activity excludes international navigation and extra-EU aviation.</w:t>
      </w:r>
      <w:r>
        <w:rPr>
          <w:i/>
          <w:iCs/>
        </w:rPr>
        <w:t xml:space="preserve"> </w:t>
      </w:r>
      <w:r>
        <w:rPr>
          <w:i/>
          <w:iCs/>
        </w:rPr>
        <w:t xml:space="preserve">Source: PRIMES.</w:t>
      </w:r>
      <w:r>
        <w:rPr>
          <w:i/>
          <w:iCs/>
        </w:rPr>
        <w:t xml:space="preserve"> </w:t>
      </w:r>
      <w:r>
        <w:rPr>
          <w:i/>
          <w:iCs/>
        </w:rPr>
        <w:t xml:space="preserve">Total freight transport activity (expressed in tonnes-km, including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shipping), also increases to a similar extent in the S1, S2 and S3 scenarios. As shown in</w:t>
      </w:r>
      <w:r>
        <w:rPr>
          <w:i/>
          <w:iCs/>
        </w:rPr>
        <w:t xml:space="preserve"> </w:t>
      </w:r>
      <w:r>
        <w:rPr>
          <w:i/>
          <w:iCs/>
        </w:rPr>
        <w:t xml:space="preserve">Figure 63, in these scenarios, total activity increases by 35-36% in 2040 and 51% in 2050</w:t>
      </w:r>
      <w:r>
        <w:rPr>
          <w:i/>
          <w:iCs/>
        </w:rPr>
        <w:t xml:space="preserve"> </w:t>
      </w:r>
      <w:r>
        <w:rPr>
          <w:i/>
          <w:iCs/>
        </w:rPr>
        <w:t xml:space="preserve">compared to 2015. Note, however, that there are significant differences in activity growth</w:t>
      </w:r>
      <w:r>
        <w:rPr>
          <w:i/>
          <w:iCs/>
        </w:rPr>
        <w:t xml:space="preserve"> </w:t>
      </w:r>
      <w:r>
        <w:rPr>
          <w:i/>
          <w:iCs/>
        </w:rPr>
        <w:t xml:space="preserve">between transport modes. The activity of international navigation increases by 34% in</w:t>
      </w:r>
      <w:r>
        <w:rPr>
          <w:i/>
          <w:iCs/>
        </w:rPr>
        <w:t xml:space="preserve"> </w:t>
      </w:r>
      <w:r>
        <w:rPr>
          <w:i/>
          <w:iCs/>
        </w:rPr>
        <w:t xml:space="preserve">2040 and by 50-51% in 2050 compared to 2015, and the activity growth is slightly higher</w:t>
      </w:r>
      <w:r>
        <w:rPr>
          <w:i/>
          <w:iCs/>
        </w:rPr>
        <w:t xml:space="preserve"> </w:t>
      </w:r>
      <w:r>
        <w:rPr>
          <w:i/>
          <w:iCs/>
        </w:rPr>
        <w:t xml:space="preserve">in the S3 scenario than in the S1 and S2 scenarios. Rail shows the greatest increase in</w:t>
      </w:r>
      <w:r>
        <w:rPr>
          <w:i/>
          <w:iCs/>
        </w:rPr>
        <w:t xml:space="preserve"> </w:t>
      </w:r>
      <w:r>
        <w:rPr>
          <w:i/>
          <w:iCs/>
        </w:rPr>
        <w:t xml:space="preserve">freight transport activity relative to 2015 amongst all modes (77-79% in 2040 and 99-</w:t>
      </w:r>
      <w:r>
        <w:rPr>
          <w:i/>
          <w:iCs/>
        </w:rPr>
        <w:t xml:space="preserve"> </w:t>
      </w:r>
      <w:r>
        <w:rPr>
          <w:i/>
          <w:iCs/>
        </w:rPr>
        <w:t xml:space="preserve">102% in 2050), driven mainly by the revision of the TEN-T Regulation, CEF funding,</w:t>
      </w:r>
      <w:r>
        <w:rPr>
          <w:i/>
          <w:iCs/>
        </w:rPr>
        <w:t xml:space="preserve"> </w:t>
      </w:r>
      <w:r>
        <w:rPr>
          <w:i/>
          <w:iCs/>
        </w:rPr>
        <w:t xml:space="preserve">the proposal for the increase in railway capacity use, and the proposed revision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Combined Transport Directive. The S3 scenario shows the highest increase in rail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 activity over the 2015-2040 and 2015-2050 periods, and the S1 scenario shows</w:t>
      </w:r>
      <w:r>
        <w:rPr>
          <w:i/>
          <w:iCs/>
        </w:rPr>
        <w:t xml:space="preserve"> </w:t>
      </w:r>
      <w:r>
        <w:rPr>
          <w:i/>
          <w:iCs/>
        </w:rPr>
        <w:t xml:space="preserve">the lowest increase over the same periods (see Figure 62 and Figure 63). Regarding road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transport, the S3 scenario shows a lower increase in activity over the 2015-2040 and</w:t>
      </w:r>
      <w:r>
        <w:rPr>
          <w:i/>
          <w:iCs/>
        </w:rPr>
        <w:t xml:space="preserve"> </w:t>
      </w:r>
      <w:r>
        <w:rPr>
          <w:i/>
          <w:iCs/>
        </w:rPr>
        <w:t xml:space="preserve">2015-2050 periods (36% and 40%, respectively) than the S1 and S2 scenarios. Instead,</w:t>
      </w:r>
      <w:r>
        <w:rPr>
          <w:i/>
          <w:iCs/>
        </w:rPr>
        <w:t xml:space="preserve"> </w:t>
      </w:r>
      <w:r>
        <w:rPr>
          <w:i/>
          <w:iCs/>
        </w:rPr>
        <w:t xml:space="preserve">the S1 scenario shows the highest growth in activity between 2015 and 2040 (41%).</w:t>
      </w:r>
      <w:r>
        <w:rPr>
          <w:i/>
          <w:iCs/>
        </w:rPr>
        <w:t xml:space="preserve"> </w:t>
      </w:r>
      <w:r>
        <w:rPr>
          <w:i/>
          <w:iCs/>
        </w:rPr>
        <w:t xml:space="preserve">Road transport activity increases to a similar degree over the 2015-2050 period in the S1</w:t>
      </w:r>
      <w:r>
        <w:rPr>
          <w:i/>
          <w:iCs/>
        </w:rPr>
        <w:t xml:space="preserve"> </w:t>
      </w:r>
      <w:r>
        <w:rPr>
          <w:i/>
          <w:iCs/>
        </w:rPr>
        <w:t xml:space="preserve">and S2 scenarios (49%), which is greater than that of the S3 scenario. All three scenarios</w:t>
      </w:r>
      <w:r>
        <w:rPr>
          <w:i/>
          <w:iCs/>
        </w:rPr>
        <w:t xml:space="preserve"> </w:t>
      </w:r>
      <w:r>
        <w:rPr>
          <w:i/>
          <w:iCs/>
        </w:rPr>
        <w:t xml:space="preserve">reflect the proposed revision of the Weights and Dimensions Directive. Domestic</w:t>
      </w:r>
      <w:r>
        <w:rPr>
          <w:i/>
          <w:iCs/>
        </w:rPr>
        <w:t xml:space="preserve"> </w:t>
      </w:r>
      <w:r>
        <w:rPr>
          <w:i/>
          <w:iCs/>
        </w:rPr>
        <w:t xml:space="preserve">navigation activity is projected to grow by 40-44% over the 2015-2040 period and by 48-</w:t>
      </w:r>
      <w:r>
        <w:rPr>
          <w:i/>
          <w:iCs/>
        </w:rPr>
        <w:t xml:space="preserve"> </w:t>
      </w:r>
      <w:r>
        <w:rPr>
          <w:i/>
          <w:iCs/>
        </w:rPr>
        <w:t xml:space="preserve">51% over the 2015-2050 period.</w:t>
      </w:r>
      <w:r>
        <w:rPr>
          <w:i/>
          <w:iCs/>
        </w:rPr>
        <w:t xml:space="preserve"> </w:t>
      </w:r>
      <w:r>
        <w:rPr>
          <w:i/>
          <w:iCs/>
        </w:rPr>
        <w:t xml:space="preserve">In LIFE, the increase in total freight transport activity (expressed in tonnes-km) is similar</w:t>
      </w:r>
      <w:r>
        <w:rPr>
          <w:i/>
          <w:iCs/>
        </w:rPr>
        <w:t xml:space="preserve"> </w:t>
      </w:r>
      <w:r>
        <w:rPr>
          <w:i/>
          <w:iCs/>
        </w:rPr>
        <w:t xml:space="preserve">to the other scenarios. However, there are small differences between modes. As shown in</w:t>
      </w:r>
      <w:r>
        <w:rPr>
          <w:i/>
          <w:iCs/>
        </w:rPr>
        <w:t xml:space="preserve"> </w:t>
      </w:r>
      <w:r>
        <w:rPr>
          <w:i/>
          <w:iCs/>
        </w:rPr>
        <w:t xml:space="preserve">Figure 63, road transport shows an increase in activity compared to 2015 that is lower</w:t>
      </w:r>
      <w:r>
        <w:rPr>
          <w:i/>
          <w:iCs/>
        </w:rPr>
        <w:t xml:space="preserve"> </w:t>
      </w:r>
      <w:r>
        <w:rPr>
          <w:i/>
          <w:iCs/>
        </w:rPr>
        <w:t xml:space="preserve">than in S2 but higher than in S3 (36% in 2040 and 45% in 2050, i.e., 4 percentage points</w:t>
      </w:r>
      <w:r>
        <w:rPr>
          <w:i/>
          <w:iCs/>
        </w:rPr>
        <w:t xml:space="preserve"> </w:t>
      </w:r>
      <w:r>
        <w:rPr>
          <w:i/>
          <w:iCs/>
        </w:rPr>
        <w:t xml:space="preserve">less than S2 in both years, 1 pp more than in S3 in 2040 and 5 pp more than in S3 in</w:t>
      </w:r>
      <w:r>
        <w:rPr>
          <w:i/>
          <w:iCs/>
        </w:rPr>
        <w:t xml:space="preserve"> </w:t>
      </w:r>
      <w:r>
        <w:rPr>
          <w:i/>
          <w:iCs/>
        </w:rPr>
        <w:t xml:space="preserve">2050). Instead, rail transport shows slightly higher activity growth rates relative to 2015</w:t>
      </w:r>
      <w:r>
        <w:rPr>
          <w:i/>
          <w:iCs/>
        </w:rPr>
        <w:t xml:space="preserve"> </w:t>
      </w:r>
      <w:r>
        <w:rPr>
          <w:i/>
          <w:iCs/>
        </w:rPr>
        <w:t xml:space="preserve">than the S2 scenario (80% in 2040 and 102% in 2050, i.e., up to 2 pp more than S2 and</w:t>
      </w:r>
      <w:r>
        <w:rPr>
          <w:i/>
          <w:iCs/>
        </w:rPr>
        <w:t xml:space="preserve"> </w:t>
      </w:r>
      <w:r>
        <w:rPr>
          <w:i/>
          <w:iCs/>
        </w:rPr>
        <w:t xml:space="preserve">S3 in both years). Furthermore, the increase in domestic navigation activity between</w:t>
      </w:r>
      <w:r>
        <w:rPr>
          <w:i/>
          <w:iCs/>
        </w:rPr>
        <w:t xml:space="preserve"> </w:t>
      </w:r>
      <w:r>
        <w:rPr>
          <w:i/>
          <w:iCs/>
        </w:rPr>
        <w:t xml:space="preserve">2015 and 2040 is also slightly higher in LIFE than in S2 and S3. This indicates a modal</w:t>
      </w:r>
      <w:r>
        <w:rPr>
          <w:i/>
          <w:iCs/>
        </w:rPr>
        <w:t xml:space="preserve"> </w:t>
      </w:r>
      <w:r>
        <w:rPr>
          <w:i/>
          <w:iCs/>
        </w:rPr>
        <w:t xml:space="preserve">shift to rail and domestic navigation.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10%</w:t>
      </w:r>
      <w:r>
        <w:rPr>
          <w:i/>
          <w:iCs/>
        </w:rPr>
        <w:t xml:space="preserve"> </w:t>
      </w:r>
      <w:r>
        <w:rPr>
          <w:i/>
          <w:iCs/>
        </w:rPr>
        <w:t xml:space="preserve">20%</w:t>
      </w:r>
      <w:r>
        <w:rPr>
          <w:i/>
          <w:iCs/>
        </w:rPr>
        <w:t xml:space="preserve"> </w:t>
      </w:r>
      <w:r>
        <w:rPr>
          <w:i/>
          <w:iCs/>
        </w:rPr>
        <w:t xml:space="preserve">30%</w:t>
      </w:r>
      <w:r>
        <w:rPr>
          <w:i/>
          <w:iCs/>
        </w:rPr>
        <w:t xml:space="preserve"> </w:t>
      </w:r>
      <w:r>
        <w:rPr>
          <w:i/>
          <w:iCs/>
        </w:rPr>
        <w:t xml:space="preserve">40%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60%</w:t>
      </w:r>
      <w:r>
        <w:rPr>
          <w:i/>
          <w:iCs/>
        </w:rPr>
        <w:t xml:space="preserve"> </w:t>
      </w:r>
      <w:r>
        <w:rPr>
          <w:i/>
          <w:iCs/>
        </w:rPr>
        <w:t xml:space="preserve">70%</w:t>
      </w:r>
      <w:r>
        <w:rPr>
          <w:i/>
          <w:iCs/>
        </w:rPr>
        <w:t xml:space="preserve"> </w:t>
      </w:r>
      <w:r>
        <w:rPr>
          <w:i/>
          <w:iCs/>
        </w:rPr>
        <w:t xml:space="preserve">80%</w:t>
      </w:r>
      <w:r>
        <w:rPr>
          <w:i/>
          <w:iCs/>
        </w:rP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Rail</w:t>
      </w:r>
      <w:r>
        <w:t xml:space="preserve"> </w:t>
      </w:r>
      <w:r>
        <w:t xml:space="preserve">Intra-EU aviation</w:t>
      </w:r>
      <w:r>
        <w:t xml:space="preserve"> </w:t>
      </w:r>
      <w:r>
        <w:t xml:space="preserve">Change 2015-2040 (%)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Figure 62: EU freight transport activity by mode (excluding international navigation)</w:t>
      </w:r>
    </w:p>
    <w:p>
      <w:pPr>
        <w:pStyle w:val="BodyText"/>
      </w:pPr>
      <w:r>
        <w:t xml:space="preserve">Note: The y-axis label (“Ttkm”) stands for trillion tonne-kilometres.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Figure 63: Change in EU freight transport activity between 2015 and 2040 by mode</w:t>
      </w:r>
    </w:p>
    <w:p>
      <w:pPr>
        <w:pStyle w:val="BodyText"/>
      </w:pPr>
      <w:r>
        <w:t xml:space="preserve">Note: *The total freight transport activity includes international navigation.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1.5.3. Energy consumption and fuel mix</w:t>
      </w:r>
      <w:r>
        <w:t xml:space="preserve"> </w:t>
      </w:r>
      <w:r>
        <w:t xml:space="preserve">The total amount of energy consumed by the transport sector in the EU significantly</w:t>
      </w:r>
      <w:r>
        <w:t xml:space="preserve"> </w:t>
      </w:r>
      <w:r>
        <w:t xml:space="preserve">decreases between 2015 and 2050 in all scenarios (even though transport activity</w:t>
      </w:r>
      <w:r>
        <w:t xml:space="preserve"> </w:t>
      </w:r>
      <w:r>
        <w:t xml:space="preserve">increases over that period, as discussed in Section 1.5.2), thanks to major energy</w:t>
      </w:r>
      <w:r>
        <w:t xml:space="preserve"> </w:t>
      </w:r>
      <w:r>
        <w:t xml:space="preserve">consumption reductions in road transport. The main reasons are electrification (113)</w:t>
      </w:r>
      <w:r>
        <w:t xml:space="preserve"> </w:t>
      </w:r>
      <w:r>
        <w:t xml:space="preserve">(notably in road transport) and energy efficiency improvements. As shown in Figure 64</w:t>
      </w:r>
      <w:r>
        <w:t xml:space="preserve"> </w:t>
      </w:r>
      <w:r>
        <w:t xml:space="preserve">and Figure 65, in the S1, S2 and S3 scenarios, total energy consumption (expressed in</w:t>
      </w:r>
      <w:r>
        <w:t xml:space="preserve"> </w:t>
      </w:r>
      <w:r>
        <w:t xml:space="preserve">Mtoe, including international aviation and navigation) decreases by 33-35% in 2040 and</w:t>
      </w:r>
    </w:p>
    <w:p>
      <w:pPr>
        <w:pStyle w:val="Compact"/>
        <w:numPr>
          <w:ilvl w:val="0"/>
          <w:numId w:val="1049"/>
        </w:numPr>
      </w:pPr>
      <w:r>
        <w:t xml:space="preserve">In general, electric engines are 3-4 times more energy-efficient than internal combustion engines.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Ttkm</w:t>
      </w:r>
      <w:r>
        <w:t xml:space="preserve"> </w:t>
      </w:r>
      <w:r>
        <w:t xml:space="preserve">Domestic</w:t>
      </w:r>
      <w:r>
        <w:t xml:space="preserve"> </w:t>
      </w:r>
      <w:r>
        <w:t xml:space="preserve">Navigation</w:t>
      </w:r>
      <w:r>
        <w:t xml:space="preserve"> </w:t>
      </w:r>
      <w:r>
        <w:t xml:space="preserve">Rail</w:t>
      </w:r>
      <w:r>
        <w:t xml:space="preserve"> </w:t>
      </w:r>
      <w:r>
        <w:t xml:space="preserve">Heavy Goods</w:t>
      </w:r>
      <w:r>
        <w:t xml:space="preserve"> </w:t>
      </w:r>
      <w:r>
        <w:t xml:space="preserve">Vehicles</w:t>
      </w:r>
      <w:r>
        <w:t xml:space="preserve"> </w:t>
      </w:r>
      <w:r>
        <w:t xml:space="preserve">Vans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Total*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Rail</w:t>
      </w:r>
      <w:r>
        <w:t xml:space="preserve"> </w:t>
      </w:r>
      <w:r>
        <w:t xml:space="preserve">Dom. Navigation</w:t>
      </w:r>
      <w:r>
        <w:t xml:space="preserve"> </w:t>
      </w:r>
      <w:r>
        <w:t xml:space="preserve">Int. Navigation</w:t>
      </w:r>
      <w:r>
        <w:t xml:space="preserve"> </w:t>
      </w:r>
      <w:r>
        <w:t xml:space="preserve">Change 2015-2040 (%)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FirstParagraph"/>
      </w:pPr>
      <w:r>
        <w:t xml:space="preserve">80</w:t>
      </w:r>
    </w:p>
    <w:p>
      <w:pPr>
        <w:pStyle w:val="BodyText"/>
      </w:pPr>
      <w:r>
        <w:t xml:space="preserve">by 42-44% in 2050 compared to 2015. The greatest reduction is observed in the S3</w:t>
      </w:r>
      <w:r>
        <w:t xml:space="preserve"> </w:t>
      </w:r>
      <w:r>
        <w:t xml:space="preserve">scenario, whereas the lowest reduction is observed in the S1 scenario.</w:t>
      </w:r>
      <w:r>
        <w:br/>
      </w:r>
      <w:r>
        <w:t xml:space="preserve">There are significant differences between transport modes. As shown in Figure 64 and</w:t>
      </w:r>
      <w:r>
        <w:t xml:space="preserve"> </w:t>
      </w:r>
      <w:r>
        <w:t xml:space="preserve">Figure 65, a large reduction in energy consumption is observed in road transport (by</w:t>
      </w:r>
      <w:r>
        <w:t xml:space="preserve"> </w:t>
      </w:r>
      <w:r>
        <w:t xml:space="preserve">52-53% in 2040 and 65-67% in 2050 relative to 2015, depending on the scenario). The</w:t>
      </w:r>
      <w:r>
        <w:t xml:space="preserve"> </w:t>
      </w:r>
      <w:r>
        <w:t xml:space="preserve">main reason is the large-scale electrification of the fleet. As a result, the percentage of the</w:t>
      </w:r>
      <w:r>
        <w:t xml:space="preserve"> </w:t>
      </w:r>
      <w:r>
        <w:t xml:space="preserve">total energy consumption in the transport sector attributable to road transport drops from</w:t>
      </w:r>
      <w:r>
        <w:t xml:space="preserve"> </w:t>
      </w:r>
      <w:r>
        <w:t xml:space="preserve">74% in 2015 to 53-54% in 2040 and around 44% in 2050. The decrease in energy</w:t>
      </w:r>
      <w:r>
        <w:t xml:space="preserve"> </w:t>
      </w:r>
      <w:r>
        <w:t xml:space="preserve">consumption is especially significant for passenger cars: roughly 105 Mtoe in 2040</w:t>
      </w:r>
      <w:r>
        <w:t xml:space="preserve"> </w:t>
      </w:r>
      <w:r>
        <w:t xml:space="preserve">compared to 2015 (i.e., 60% reduction) and 135 Mtoe in 2050 relative to 2015 (i.e.,</w:t>
      </w:r>
      <w:r>
        <w:t xml:space="preserve"> </w:t>
      </w:r>
      <w:r>
        <w:t xml:space="preserve">around 75% reduction). For trucks, the reduction is significant but more moderate,</w:t>
      </w:r>
      <w:r>
        <w:t xml:space="preserve"> </w:t>
      </w:r>
      <w:r>
        <w:t xml:space="preserve">because of lower levels of electrification (see Figure 64).</w:t>
      </w:r>
      <w:r>
        <w:br/>
      </w:r>
      <w:r>
        <w:t xml:space="preserve">All modes other than road transport increase their energy consumption. These are</w:t>
      </w:r>
      <w:r>
        <w:t xml:space="preserve"> </w:t>
      </w:r>
      <w:r>
        <w:t xml:space="preserve">modes for which the shift to electrification is less prominent than for road transport (114),</w:t>
      </w:r>
      <w:r>
        <w:t xml:space="preserve"> </w:t>
      </w:r>
      <w:r>
        <w:t xml:space="preserve">so their energy consumption increases mainly because of the increased transport activity.</w:t>
      </w:r>
      <w:r>
        <w:t xml:space="preserve"> </w:t>
      </w:r>
      <w:r>
        <w:t xml:space="preserve">However, in relative terms, the increase in energy consumption is significantly lower</w:t>
      </w:r>
      <w:r>
        <w:t xml:space="preserve"> </w:t>
      </w:r>
      <w:r>
        <w:t xml:space="preserve">than the increase in transport activity (see Section 1.5.2), which indicates important</w:t>
      </w:r>
      <w:r>
        <w:t xml:space="preserve"> </w:t>
      </w:r>
      <w:r>
        <w:t xml:space="preserve">energy efficiency gains over time in these transport modes.</w:t>
      </w:r>
      <w:r>
        <w:t xml:space="preserve"> </w:t>
      </w:r>
      <w:r>
        <w:t xml:space="preserve">In LIFE, the total amount of energy consumed by the transport sector decreases over time</w:t>
      </w:r>
      <w:r>
        <w:t xml:space="preserve"> </w:t>
      </w:r>
      <w:r>
        <w:t xml:space="preserve">a bit more than in the other scenarios, mainly because of a different transport activity</w:t>
      </w:r>
      <w:r>
        <w:t xml:space="preserve"> </w:t>
      </w:r>
      <w:r>
        <w:t xml:space="preserve">pattern (including a higher shift to rail transport, which is a very energy-efficient mode,</w:t>
      </w:r>
      <w:r>
        <w:t xml:space="preserve"> </w:t>
      </w:r>
      <w:r>
        <w:t xml:space="preserve">and to active modes). As shown in Figure 64 and Figure 65, total energy consumption</w:t>
      </w:r>
      <w:r>
        <w:t xml:space="preserve"> </w:t>
      </w:r>
      <w:r>
        <w:t xml:space="preserve">drops by 37% in 2040 and 46% in 2050 compared to 2015 (i.e., 1-3 percentage points</w:t>
      </w:r>
      <w:r>
        <w:t xml:space="preserve"> </w:t>
      </w:r>
      <w:r>
        <w:t xml:space="preserve">more than in S2 and S3 in 2040, and 3-4 pp more in 2050). Road transport shows a</w:t>
      </w:r>
      <w:r>
        <w:t xml:space="preserve"> </w:t>
      </w:r>
      <w:r>
        <w:t xml:space="preserve">slightly greater decrease in energy consumption relative to 2015 than the other scenarios</w:t>
      </w:r>
      <w:r>
        <w:t xml:space="preserve"> </w:t>
      </w:r>
      <w:r>
        <w:t xml:space="preserve">(55% in 2040 and 69% in 2050, i.e., 2 pp more than in S2 and S3 in 2040 and 2-3 pp</w:t>
      </w:r>
      <w:r>
        <w:t xml:space="preserve"> </w:t>
      </w:r>
      <w:r>
        <w:t xml:space="preserve">more than in S2 and S3 in 2050), while aviation shows a much lower increase (6% in</w:t>
      </w:r>
      <w:r>
        <w:t xml:space="preserve"> </w:t>
      </w:r>
      <w:r>
        <w:t xml:space="preserve">2040, i.e., 11 pp less than in S2 and S3, and 0.5% in 2050, i.e., 16-17 pp less). Instead,</w:t>
      </w:r>
      <w:r>
        <w:t xml:space="preserve"> </w:t>
      </w:r>
      <w:r>
        <w:t xml:space="preserve">energy consumption in rail transport increases more in LIFE than in the other scenarios</w:t>
      </w:r>
      <w:r>
        <w:t xml:space="preserve"> </w:t>
      </w:r>
      <w:r>
        <w:t xml:space="preserve">(by 48% in 2040, i.e., 4-5 pp more than in S2 and S3, and by 54% in 2050, i.e., 4-6 pp</w:t>
      </w:r>
      <w:r>
        <w:t xml:space="preserve"> </w:t>
      </w:r>
      <w:r>
        <w:t xml:space="preserve">more), driven by the higher increase in activity.</w:t>
      </w:r>
    </w:p>
    <w:p>
      <w:pPr>
        <w:pStyle w:val="Compact"/>
        <w:numPr>
          <w:ilvl w:val="0"/>
          <w:numId w:val="1050"/>
        </w:numPr>
      </w:pPr>
      <w:r>
        <w:t xml:space="preserve">In the case of rail transport, the shift to electrification is less prominent than for road transport only</w:t>
      </w:r>
      <w:r>
        <w:t xml:space="preserve"> </w:t>
      </w:r>
      <w:r>
        <w:t xml:space="preserve">because currently the sector is already largely electrified.</w:t>
      </w:r>
    </w:p>
    <w:p>
      <w:pPr>
        <w:pStyle w:val="FirstParagraph"/>
      </w:pPr>
      <w:r>
        <w:t xml:space="preserve">81</w:t>
      </w:r>
    </w:p>
    <w:p>
      <w:pPr>
        <w:pStyle w:val="BodyText"/>
      </w:pPr>
      <w:r>
        <w:t xml:space="preserve">Figure 64: EU energy consumption in the transport sector by mode</w:t>
      </w:r>
    </w:p>
    <w:p>
      <w:pPr>
        <w:pStyle w:val="BodyText"/>
      </w:pPr>
      <w:r>
        <w:t xml:space="preserve">Note: *Aviation includes domestic aviation as well as international intra-EU and extra-EU aviation.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Figure 65: Change in EU energy consumption between 2015 and 2040 by mode</w:t>
      </w:r>
    </w:p>
    <w:p>
      <w:pPr>
        <w:pStyle w:val="BodyText"/>
      </w:pPr>
      <w:r>
        <w:t xml:space="preserve">Note: *The total energy consumption includes international transport.</w:t>
      </w:r>
      <w:r>
        <w:t xml:space="preserve"> </w:t>
      </w:r>
      <w:r>
        <w:rPr>
          <w:b/>
          <w:bCs/>
        </w:rPr>
        <w:t xml:space="preserve">Aviation includes domestic aviation as</w:t>
      </w:r>
      <w:r>
        <w:rPr>
          <w:b/>
          <w:bCs/>
        </w:rPr>
        <w:t xml:space="preserve"> </w:t>
      </w:r>
      <w:r>
        <w:rPr>
          <w:b/>
          <w:bCs/>
        </w:rPr>
        <w:t xml:space="preserve">well as international intra-EU and extra-EU aviation.</w:t>
      </w:r>
      <w:r>
        <w:rPr>
          <w:b/>
          <w:bCs/>
        </w:rPr>
        <w:t xml:space="preserve"> </w:t>
      </w:r>
      <w:r>
        <w:rPr>
          <w:b/>
          <w:bCs/>
        </w:rPr>
        <w:t xml:space="preserve">Source: PRIMES.</w:t>
      </w:r>
      <w:r>
        <w:rPr>
          <w:b/>
          <w:bCs/>
        </w:rPr>
        <w:t xml:space="preserve"> </w:t>
      </w:r>
      <w:r>
        <w:rPr>
          <w:b/>
          <w:bCs/>
        </w:rPr>
        <w:t xml:space="preserve">The analysis of the fuel mix in the transport sector shows a significant reduction in the</w:t>
      </w:r>
      <w:r>
        <w:rPr>
          <w:b/>
          <w:bCs/>
        </w:rPr>
        <w:t xml:space="preserve"> </w:t>
      </w:r>
      <w:r>
        <w:rPr>
          <w:b/>
          <w:bCs/>
        </w:rPr>
        <w:t xml:space="preserve">consumption of fossil fuels (i.e., oil products and natural gas) between 2015 and 2050,</w:t>
      </w:r>
      <w:r>
        <w:rPr>
          <w:b/>
          <w:bCs/>
        </w:rPr>
        <w:t xml:space="preserve"> </w:t>
      </w:r>
      <w:r>
        <w:rPr>
          <w:b/>
          <w:bCs/>
        </w:rPr>
        <w:t xml:space="preserve">which are partially replaced by electricity, advanced liquid biofuels and biogas, e-fuels</w:t>
      </w:r>
      <w:r>
        <w:rPr>
          <w:b/>
          <w:bCs/>
        </w:rPr>
        <w:t xml:space="preserve"> </w:t>
      </w:r>
      <w:r>
        <w:rPr>
          <w:b/>
          <w:bCs/>
        </w:rPr>
        <w:t xml:space="preserve">and hydrogen. As shown in Figure 66, in the S1, S2 and S3 scenarios, fossil fuel</w:t>
      </w:r>
      <w:r>
        <w:rPr>
          <w:b/>
          <w:bCs/>
        </w:rPr>
        <w:t xml:space="preserve"> </w:t>
      </w:r>
      <w:r>
        <w:rPr>
          <w:b/>
          <w:bCs/>
        </w:rPr>
        <w:t xml:space="preserve">consumption in the EU drops from almost 326 Mtoe in 2015 to 12-16 Mtoe in 2050 (i.e.,</w:t>
      </w:r>
      <w:r>
        <w:rPr>
          <w:b/>
          <w:bCs/>
        </w:rPr>
        <w:t xml:space="preserve"> </w:t>
      </w:r>
      <w:r>
        <w:rPr>
          <w:b/>
          <w:bCs/>
        </w:rPr>
        <w:t xml:space="preserve">95-96% reduction). Most of the fossil fuel consumption remaining in 2050 occurs in the</w:t>
      </w:r>
      <w:r>
        <w:rPr>
          <w:b/>
          <w:bCs/>
        </w:rPr>
        <w:t xml:space="preserve"> </w:t>
      </w:r>
      <w:r>
        <w:rPr>
          <w:b/>
          <w:bCs/>
        </w:rPr>
        <w:t xml:space="preserve">aviation sector. In 2040, fossil fuel consumption is 68% to 77% lower than in 2015,</w:t>
      </w:r>
      <w:r>
        <w:rPr>
          <w:b/>
          <w:bCs/>
        </w:rPr>
        <w:t xml:space="preserve"> </w:t>
      </w:r>
      <w:r>
        <w:rPr>
          <w:b/>
          <w:bCs/>
        </w:rPr>
        <w:t xml:space="preserve">depending on the scenario (68% in S1, 74% in S2 and 77% in S3). Fossil fuel</w:t>
      </w:r>
      <w:r>
        <w:rPr>
          <w:b/>
          <w:bCs/>
        </w:rPr>
        <w:t xml:space="preserve"> </w:t>
      </w:r>
      <w:r>
        <w:rPr>
          <w:b/>
          <w:bCs/>
        </w:rPr>
        <w:t xml:space="preserve">consumption constituted 95% of the total energy consumption in 2015, but this share</w:t>
      </w:r>
      <w:r>
        <w:rPr>
          <w:b/>
          <w:bCs/>
        </w:rPr>
        <w:t xml:space="preserve"> </w:t>
      </w:r>
      <w:r>
        <w:rPr>
          <w:b/>
          <w:bCs/>
        </w:rPr>
        <w:t xml:space="preserve">drops to 33-45% in 2040 and 6-8% in 2050, depending on the scenario.</w:t>
      </w:r>
      <w:r>
        <w:br/>
      </w:r>
      <w:r>
        <w:rPr>
          <w:b/>
          <w:bCs/>
        </w:rPr>
        <w:t xml:space="preserve">Instead, electricity consumption in the EU’s transport sector increases from less than 5</w:t>
      </w:r>
      <w:r>
        <w:rPr>
          <w:b/>
          <w:bCs/>
        </w:rPr>
        <w:t xml:space="preserve"> </w:t>
      </w:r>
      <w:r>
        <w:rPr>
          <w:b/>
          <w:bCs/>
        </w:rPr>
        <w:t xml:space="preserve">Mtoe in 2015 to 42-43 Mtoe in 2040 and 53-54 Mtoe in 2050 in the S1, S2 and S3</w:t>
      </w:r>
      <w:r>
        <w:rPr>
          <w:b/>
          <w:bCs/>
        </w:rPr>
        <w:t xml:space="preserve"> </w:t>
      </w:r>
      <w:r>
        <w:rPr>
          <w:b/>
          <w:bCs/>
        </w:rPr>
        <w:t xml:space="preserve">scenarios (see Figure 66). This represents 15-16% of the EU’s total final electricity</w:t>
      </w:r>
      <w:r>
        <w:rPr>
          <w:b/>
          <w:bCs/>
        </w:rPr>
        <w:t xml:space="preserve"> </w:t>
      </w:r>
      <w:r>
        <w:rPr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50</w:t>
      </w:r>
      <w:r>
        <w:rPr>
          <w:b/>
          <w:bCs/>
        </w:rPr>
        <w:t xml:space="preserve"> </w:t>
      </w:r>
      <w:r>
        <w:rPr>
          <w:b/>
          <w:bCs/>
        </w:rPr>
        <w:t xml:space="preserve">100</w:t>
      </w:r>
      <w:r>
        <w:rPr>
          <w:b/>
          <w:bCs/>
        </w:rPr>
        <w:t xml:space="preserve"> </w:t>
      </w:r>
      <w:r>
        <w:rPr>
          <w:b/>
          <w:bCs/>
        </w:rPr>
        <w:t xml:space="preserve">150</w:t>
      </w:r>
      <w:r>
        <w:rPr>
          <w:b/>
          <w:bCs/>
        </w:rPr>
        <w:t xml:space="preserve"> </w:t>
      </w:r>
      <w:r>
        <w:rPr>
          <w:b/>
          <w:bCs/>
        </w:rPr>
        <w:t xml:space="preserve">200</w:t>
      </w:r>
      <w:r>
        <w:rPr>
          <w:b/>
          <w:bCs/>
        </w:rPr>
        <w:t xml:space="preserve"> </w:t>
      </w:r>
      <w:r>
        <w:rPr>
          <w:b/>
          <w:bCs/>
        </w:rPr>
        <w:t xml:space="preserve">250</w:t>
      </w:r>
      <w:r>
        <w:rPr>
          <w:b/>
          <w:bCs/>
        </w:rPr>
        <w:t xml:space="preserve"> </w:t>
      </w:r>
      <w:r>
        <w:rPr>
          <w:b/>
          <w:bCs/>
        </w:rPr>
        <w:t xml:space="preserve">300</w:t>
      </w:r>
      <w:r>
        <w:rPr>
          <w:b/>
          <w:bCs/>
        </w:rPr>
        <w:t xml:space="preserve"> </w:t>
      </w:r>
      <w:r>
        <w:rPr>
          <w:b/>
          <w:bCs/>
        </w:rPr>
        <w:t xml:space="preserve">350</w:t>
      </w:r>
      <w:r>
        <w:rPr>
          <w:b/>
          <w:bCs/>
        </w:rPr>
        <w:t xml:space="preserve"> </w:t>
      </w:r>
      <w:r>
        <w:rPr>
          <w:b/>
          <w:bCs/>
        </w:rPr>
        <w:t xml:space="preserve">S1</w:t>
      </w:r>
      <w:r>
        <w:rPr>
          <w:b/>
          <w:bCs/>
        </w:rPr>
        <w:t xml:space="preserve"> </w:t>
      </w:r>
      <w:r>
        <w:rPr>
          <w:b/>
          <w:bCs/>
        </w:rPr>
        <w:t xml:space="preserve">S2</w:t>
      </w:r>
      <w:r>
        <w:rPr>
          <w:b/>
          <w:bCs/>
        </w:rPr>
        <w:t xml:space="preserve"> </w:t>
      </w:r>
      <w:r>
        <w:rPr>
          <w:b/>
          <w:bCs/>
        </w:rPr>
        <w:t xml:space="preserve">S3</w:t>
      </w:r>
      <w:r>
        <w:rPr>
          <w:b/>
          <w:bCs/>
        </w:rPr>
        <w:t xml:space="preserve"> </w:t>
      </w:r>
      <w:r>
        <w:rPr>
          <w:b/>
          <w:bCs/>
        </w:rPr>
        <w:t xml:space="preserve">LIFE</w:t>
      </w:r>
      <w:r>
        <w:rPr>
          <w:b/>
          <w:bCs/>
        </w:rPr>
        <w:t xml:space="preserve"> </w:t>
      </w:r>
      <w:r>
        <w:rPr>
          <w:b/>
          <w:bCs/>
        </w:rPr>
        <w:t xml:space="preserve">S1</w:t>
      </w:r>
      <w:r>
        <w:rPr>
          <w:b/>
          <w:bCs/>
        </w:rPr>
        <w:t xml:space="preserve"> </w:t>
      </w:r>
      <w:r>
        <w:rPr>
          <w:b/>
          <w:bCs/>
        </w:rPr>
        <w:t xml:space="preserve">S2</w:t>
      </w:r>
      <w:r>
        <w:rPr>
          <w:b/>
          <w:bCs/>
        </w:rPr>
        <w:t xml:space="preserve"> </w:t>
      </w:r>
      <w:r>
        <w:rPr>
          <w:b/>
          <w:bCs/>
        </w:rPr>
        <w:t xml:space="preserve">S3</w:t>
      </w:r>
      <w:r>
        <w:rPr>
          <w:b/>
          <w:bCs/>
        </w:rPr>
        <w:t xml:space="preserve"> </w:t>
      </w:r>
      <w:r>
        <w:rPr>
          <w:b/>
          <w:bCs/>
        </w:rPr>
        <w:t xml:space="preserve">LIFE</w:t>
      </w:r>
      <w:r>
        <w:rPr>
          <w:b/>
          <w:bCs/>
        </w:rPr>
        <w:t xml:space="preserve"> </w:t>
      </w:r>
      <w:r>
        <w:rPr>
          <w:b/>
          <w:bCs/>
        </w:rPr>
        <w:t xml:space="preserve">2015 2030</w:t>
      </w:r>
      <w:r>
        <w:rPr>
          <w:b/>
          <w:bCs/>
        </w:rPr>
        <w:t xml:space="preserve"> </w:t>
      </w:r>
      <w:r>
        <w:rPr>
          <w:b/>
          <w:bCs/>
        </w:rPr>
        <w:t xml:space="preserve">2040</w:t>
      </w:r>
      <w:r>
        <w:rPr>
          <w:b/>
          <w:bCs/>
        </w:rPr>
        <w:t xml:space="preserve"> </w:t>
      </w:r>
      <w:r>
        <w:rPr>
          <w:b/>
          <w:bCs/>
        </w:rPr>
        <w:t xml:space="preserve">2050</w:t>
      </w:r>
      <w:r>
        <w:rPr>
          <w:b/>
          <w:bCs/>
        </w:rPr>
        <w:t xml:space="preserve"> </w:t>
      </w:r>
      <w:r>
        <w:rPr>
          <w:b/>
          <w:bCs/>
        </w:rPr>
        <w:t xml:space="preserve">Mtoe</w:t>
      </w:r>
      <w:r>
        <w:rPr>
          <w:b/>
          <w:bCs/>
        </w:rPr>
        <w:t xml:space="preserve"> </w:t>
      </w:r>
      <w:r>
        <w:rPr>
          <w:b/>
          <w:bCs/>
        </w:rPr>
        <w:t xml:space="preserve">Aviation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International navigation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Domestic navigation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Rail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Other road transport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Heavy Goods Vehicles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Vans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Passenger cars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-60%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-40%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-20%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60%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Total</w:t>
      </w:r>
      <w:r>
        <w:rPr>
          <w:b/>
          <w:bCs/>
        </w:rPr>
        <w:t xml:space="preserve"> </w:t>
      </w:r>
      <w:r>
        <w:rPr>
          <w:b/>
          <w:bCs/>
        </w:rPr>
        <w:t xml:space="preserve">Road 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Rail</w:t>
      </w:r>
      <w:r>
        <w:rPr>
          <w:b/>
          <w:bCs/>
        </w:rPr>
        <w:t xml:space="preserve"> </w:t>
      </w:r>
      <w:r>
        <w:rPr>
          <w:b/>
          <w:bCs/>
        </w:rPr>
        <w:t xml:space="preserve">Dom.</w:t>
      </w:r>
      <w:r>
        <w:rPr>
          <w:b/>
          <w:bCs/>
        </w:rPr>
        <w:t xml:space="preserve"> </w:t>
      </w:r>
      <w:r>
        <w:rPr>
          <w:b/>
          <w:bCs/>
        </w:rPr>
        <w:t xml:space="preserve">Navigation</w:t>
      </w:r>
      <w:r>
        <w:rPr>
          <w:b/>
          <w:bCs/>
        </w:rPr>
        <w:t xml:space="preserve"> </w:t>
      </w:r>
      <w:r>
        <w:rPr>
          <w:b/>
          <w:bCs/>
        </w:rPr>
        <w:t xml:space="preserve">Int. Navigation</w:t>
      </w:r>
      <w:r>
        <w:rPr>
          <w:b/>
          <w:bCs/>
        </w:rPr>
        <w:t xml:space="preserve"> </w:t>
      </w:r>
      <w:r>
        <w:rPr>
          <w:b/>
          <w:bCs/>
        </w:rPr>
        <w:t xml:space="preserve">Aviation</w:t>
      </w:r>
      <w:r>
        <w:t xml:space="preserve"> </w:t>
      </w:r>
      <w:r>
        <w:t xml:space="preserve">Change 2015-2040 (%)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consumption across all sectors in 2040 and around 17% in 2050 (with small differences</w:t>
      </w:r>
      <w:r>
        <w:t xml:space="preserve"> </w:t>
      </w:r>
      <w:r>
        <w:t xml:space="preserve">between the scenarios). The main driver is the electrification of road transport; however,</w:t>
      </w:r>
      <w:r>
        <w:t xml:space="preserve"> </w:t>
      </w:r>
      <w:r>
        <w:t xml:space="preserve">it should be noted that electricity consumption in rail transport also increases</w:t>
      </w:r>
      <w:r>
        <w:t xml:space="preserve"> </w:t>
      </w:r>
      <w:r>
        <w:t xml:space="preserve">significantly (it almost doubles between 2015 and 2050). As a result, the share of</w:t>
      </w:r>
      <w:r>
        <w:t xml:space="preserve"> </w:t>
      </w:r>
      <w:r>
        <w:t xml:space="preserve">electricity in the total energy consumption of the transport sector increases from around</w:t>
      </w:r>
      <w:r>
        <w:t xml:space="preserve"> </w:t>
      </w:r>
      <w:r>
        <w:t xml:space="preserve">1% in 2015 to 19% in 2040 and 27-28% in 2050, depending on the scenario (the highest</w:t>
      </w:r>
      <w:r>
        <w:t xml:space="preserve"> </w:t>
      </w:r>
      <w:r>
        <w:t xml:space="preserve">shares are observed in S3, and the lowest shares are observed in S1).</w:t>
      </w:r>
      <w:r>
        <w:br/>
      </w:r>
      <w:r>
        <w:t xml:space="preserve">Hydrogen consumption in the EU’s transport sector increases from almost zero in 2015</w:t>
      </w:r>
      <w:r>
        <w:t xml:space="preserve"> </w:t>
      </w:r>
      <w:r>
        <w:t xml:space="preserve">to 14-16 Mtoe in 2040 and 35-40 Mtoe in 2050 in the S1, S2 and S3 scenarios (see</w:t>
      </w:r>
      <w:r>
        <w:t xml:space="preserve"> </w:t>
      </w:r>
      <w:r>
        <w:t xml:space="preserve">Figure 66). Based on the assumptions on hydrogen production pathways and efficiency,</w:t>
      </w:r>
      <w:r>
        <w:t xml:space="preserve"> </w:t>
      </w:r>
      <w:r>
        <w:t xml:space="preserve">producing this amount of hydrogen will require around 17-19 Mtoe of (renewable)</w:t>
      </w:r>
      <w:r>
        <w:t xml:space="preserve"> </w:t>
      </w:r>
      <w:r>
        <w:t xml:space="preserve">electricity in 2040 and 42-48 Mtoe in 2050. In 2040, almost all hydrogen used in the</w:t>
      </w:r>
      <w:r>
        <w:t xml:space="preserve"> </w:t>
      </w:r>
      <w:r>
        <w:t xml:space="preserve">transport sector (more than 90%) is consumed by road transport alone. In 2050, this</w:t>
      </w:r>
      <w:r>
        <w:t xml:space="preserve"> </w:t>
      </w:r>
      <w:r>
        <w:t xml:space="preserve">percentage drops to 75-80% (depending on the scenario), because the navigation and</w:t>
      </w:r>
      <w:r>
        <w:t xml:space="preserve"> </w:t>
      </w:r>
      <w:r>
        <w:t xml:space="preserve">aviation sectors also consume significant amounts of hydrogen. The use of hydrogen in</w:t>
      </w:r>
      <w:r>
        <w:t xml:space="preserve"> </w:t>
      </w:r>
      <w:r>
        <w:t xml:space="preserve">rail transport is more limited; it is mainly used where electrification is not possible. In the</w:t>
      </w:r>
      <w:r>
        <w:t xml:space="preserve"> </w:t>
      </w:r>
      <w:r>
        <w:t xml:space="preserve">S1, S2 and S3 scenarios, the share of hydrogen in the total energy consumption of the</w:t>
      </w:r>
      <w:r>
        <w:t xml:space="preserve"> </w:t>
      </w:r>
      <w:r>
        <w:t xml:space="preserve">transport sector increases from almost zero in 2015 to 6-7% in 2040 and 18-21% in 2050</w:t>
      </w:r>
      <w:r>
        <w:t xml:space="preserve"> </w:t>
      </w:r>
      <w:r>
        <w:t xml:space="preserve">(the highest shares are observed in S3, and the lowest shares are observed in S1).</w:t>
      </w:r>
      <w:r>
        <w:br/>
      </w:r>
      <w:r>
        <w:t xml:space="preserve">As shown in Figure 66, the consumption of liquid biofuels and biogas increases from</w:t>
      </w:r>
      <w:r>
        <w:t xml:space="preserve"> </w:t>
      </w:r>
      <w:r>
        <w:t xml:space="preserve">around 13 Mtoe in 2015 (mostly bioliquids used in road transport) to 48-52 Mtoe in 2040</w:t>
      </w:r>
      <w:r>
        <w:t xml:space="preserve"> </w:t>
      </w:r>
      <w:r>
        <w:t xml:space="preserve">in the three main scenarios, mainly because of increased consumption in the navigation</w:t>
      </w:r>
      <w:r>
        <w:t xml:space="preserve"> </w:t>
      </w:r>
      <w:r>
        <w:t xml:space="preserve">and aviation sectors (115), which are generally considered hard to decarbonise through</w:t>
      </w:r>
      <w:r>
        <w:t xml:space="preserve"> </w:t>
      </w:r>
      <w:r>
        <w:t xml:space="preserve">electrification. In 2050, instead, the consumption of liquid biofuels and biogas decreases</w:t>
      </w:r>
      <w:r>
        <w:t xml:space="preserve"> </w:t>
      </w:r>
      <w:r>
        <w:t xml:space="preserve">to 41-47 Mtoe, depending on the scenario. The main reason is a strong reduction in liquid</w:t>
      </w:r>
      <w:r>
        <w:t xml:space="preserve"> </w:t>
      </w:r>
      <w:r>
        <w:t xml:space="preserve">biofuel consumption in the road transport sector relative to 2040 (due to growing</w:t>
      </w:r>
      <w:r>
        <w:t xml:space="preserve"> </w:t>
      </w:r>
      <w:r>
        <w:t xml:space="preserve">electrification and use of hydrogen), even if consumption in the navigation and aviation</w:t>
      </w:r>
      <w:r>
        <w:t xml:space="preserve"> </w:t>
      </w:r>
      <w:r>
        <w:t xml:space="preserve">sectors continues to rise. In the S1, S2 and S3 scenarios, the consumption of liquid</w:t>
      </w:r>
      <w:r>
        <w:t xml:space="preserve"> </w:t>
      </w:r>
      <w:r>
        <w:t xml:space="preserve">biofuels and biogas represents 21 to 23% of the total energy consumption of the transport</w:t>
      </w:r>
      <w:r>
        <w:t xml:space="preserve"> </w:t>
      </w:r>
      <w:r>
        <w:t xml:space="preserve">sector (depending on the scenario) in 2040, and 22-23% in 2050. Bioliquids dominate,</w:t>
      </w:r>
      <w:r>
        <w:t xml:space="preserve"> </w:t>
      </w:r>
      <w:r>
        <w:t xml:space="preserve">but the importance of biogas, which is mostly used in the navigation sector, grows over</w:t>
      </w:r>
      <w:r>
        <w:t xml:space="preserve"> </w:t>
      </w:r>
      <w:r>
        <w:t xml:space="preserve">time: biogas use constitutes 7-8% of the total consumption of bioliquids and biogas in</w:t>
      </w:r>
      <w:r>
        <w:t xml:space="preserve"> </w:t>
      </w:r>
      <w:r>
        <w:t xml:space="preserve">2040 (depending on the scenario), but this share increases to 16% in 2050 (in all three</w:t>
      </w:r>
      <w:r>
        <w:t xml:space="preserve"> </w:t>
      </w:r>
      <w:r>
        <w:t xml:space="preserve">main scenarios).</w:t>
      </w:r>
      <w:r>
        <w:br/>
      </w:r>
      <w:r>
        <w:t xml:space="preserve">In the S1, S2 and S3 scenarios, the consumption of e-fuels (including e-gas and e-</w:t>
      </w:r>
      <w:r>
        <w:t xml:space="preserve"> </w:t>
      </w:r>
      <w:r>
        <w:t xml:space="preserve">liquids (116)) in the EU rises from zero in 2015 to 22-40 Mtoe in 2040 and 45-49 Mtoe in</w:t>
      </w:r>
      <w:r>
        <w:t xml:space="preserve"> </w:t>
      </w:r>
      <w:r>
        <w:t xml:space="preserve">2050 (depending on the scenario), which are mainly consumed by road transport,</w:t>
      </w:r>
      <w:r>
        <w:t xml:space="preserve"> </w:t>
      </w:r>
      <w:r>
        <w:t xml:space="preserve">navigation and aviation (117). Based on the assumptions on e-fuel production pathways</w:t>
      </w:r>
      <w:r>
        <w:t xml:space="preserve"> </w:t>
      </w:r>
      <w:r>
        <w:t xml:space="preserve">and efficiency, producing this amount of e-fuels will require around 38-69 Mtoe of</w:t>
      </w:r>
      <w:r>
        <w:t xml:space="preserve"> </w:t>
      </w:r>
      <w:r>
        <w:t xml:space="preserve">(renewable) electricity in 2040 and 76-84 Mtoe in 2050. Note that there are significant</w:t>
      </w:r>
      <w:r>
        <w:t xml:space="preserve"> </w:t>
      </w:r>
      <w:r>
        <w:t xml:space="preserve">differences in e-fuel use between scenarios in 2040: 22 Mtoe in S1, 34 Mtoe in S2 and 40</w:t>
      </w:r>
    </w:p>
    <w:p>
      <w:pPr>
        <w:pStyle w:val="Compact"/>
        <w:numPr>
          <w:ilvl w:val="0"/>
          <w:numId w:val="1051"/>
        </w:numPr>
      </w:pPr>
      <w:r>
        <w:t xml:space="preserve">Only bioliquids are used in aviation.</w:t>
      </w:r>
    </w:p>
    <w:p>
      <w:pPr>
        <w:pStyle w:val="Compact"/>
        <w:numPr>
          <w:ilvl w:val="0"/>
          <w:numId w:val="1051"/>
        </w:numPr>
      </w:pPr>
      <w:r>
        <w:t xml:space="preserve">E-liquids include e-ammonia and e-methanol.</w:t>
      </w:r>
    </w:p>
    <w:p>
      <w:pPr>
        <w:pStyle w:val="Compact"/>
        <w:numPr>
          <w:ilvl w:val="0"/>
          <w:numId w:val="1051"/>
        </w:numPr>
      </w:pPr>
      <w:r>
        <w:t xml:space="preserve">Only e-liquids are used in aviation.</w:t>
      </w:r>
    </w:p>
    <w:p>
      <w:pPr>
        <w:pStyle w:val="FirstParagraph"/>
      </w:pPr>
      <w:r>
        <w:t xml:space="preserve">83</w:t>
      </w:r>
    </w:p>
    <w:p>
      <w:pPr>
        <w:pStyle w:val="BodyText"/>
      </w:pPr>
      <w:r>
        <w:t xml:space="preserve">Mtoe in S3 (see Figure 66). These differences are caused mainly by differences in e-fuel</w:t>
      </w:r>
      <w:r>
        <w:t xml:space="preserve"> </w:t>
      </w:r>
      <w:r>
        <w:t xml:space="preserve">consumption in the road transport sector, in which reduced consumption of fossil fuels in</w:t>
      </w:r>
      <w:r>
        <w:t xml:space="preserve"> </w:t>
      </w:r>
      <w:r>
        <w:t xml:space="preserve">the most ambitious scenarios is mostly compensated by increased consumption of e-</w:t>
      </w:r>
      <w:r>
        <w:t xml:space="preserve"> </w:t>
      </w:r>
      <w:r>
        <w:t xml:space="preserve">fuels. E-fuel consumption in road transport in 2040 is rather small in the S1 scenario</w:t>
      </w:r>
      <w:r>
        <w:t xml:space="preserve"> </w:t>
      </w:r>
      <w:r>
        <w:t xml:space="preserve">(roughly 3 Mtoe), but it is significantly higher in the S2 and S3 scenarios (12 and 17</w:t>
      </w:r>
      <w:r>
        <w:t xml:space="preserve"> </w:t>
      </w:r>
      <w:r>
        <w:t xml:space="preserve">Mtoe, respectively). As a result of the above, in the S1, S2 and S3 scenarios, the share of</w:t>
      </w:r>
      <w:r>
        <w:t xml:space="preserve"> </w:t>
      </w:r>
      <w:r>
        <w:t xml:space="preserve">e-fuels in the total energy consumption of the transport sector increases from zero in</w:t>
      </w:r>
      <w:r>
        <w:t xml:space="preserve"> </w:t>
      </w:r>
      <w:r>
        <w:t xml:space="preserve">2015 to 10-18% in 2040 and 23-25% in 2050. The consumption of liquid e-fuels is much</w:t>
      </w:r>
      <w:r>
        <w:t xml:space="preserve"> </w:t>
      </w:r>
      <w:r>
        <w:t xml:space="preserve">higher than that of gaseous e-fuels. However, the importance of e-gas, which is mostly</w:t>
      </w:r>
      <w:r>
        <w:t xml:space="preserve"> </w:t>
      </w:r>
      <w:r>
        <w:t xml:space="preserve">used in the navigation sector, increases over time: 4-6% of e-fuel consumption in 2040</w:t>
      </w:r>
      <w:r>
        <w:t xml:space="preserve"> </w:t>
      </w:r>
      <w:r>
        <w:t xml:space="preserve">corresponds to e-gas, depending on the scenario, whereas in 2050 this share is 13-14%.</w:t>
      </w:r>
      <w:r>
        <w:t xml:space="preserve"> </w:t>
      </w:r>
      <w:r>
        <w:t xml:space="preserve">In LIFE, the total amount of energy consumed by the transport sector decreases over time</w:t>
      </w:r>
      <w:r>
        <w:t xml:space="preserve"> </w:t>
      </w:r>
      <w:r>
        <w:t xml:space="preserve">a bit more than in the other scenarios, mainly because of the different transport activity</w:t>
      </w:r>
      <w:r>
        <w:t xml:space="preserve"> </w:t>
      </w:r>
      <w:r>
        <w:t xml:space="preserve">pattern, as already explained above. However, in relative terms, the fuel mix of the</w:t>
      </w:r>
      <w:r>
        <w:t xml:space="preserve"> </w:t>
      </w:r>
      <w:r>
        <w:t xml:space="preserve">transport sector is very similar to that of the S2 and S3 scenarios (see Figure 66). More</w:t>
      </w:r>
      <w:r>
        <w:t xml:space="preserve"> </w:t>
      </w:r>
      <w:r>
        <w:t xml:space="preserve">specifically, in LIFE, in 2040, fossil fuel and e-fuel shares are in between those observed</w:t>
      </w:r>
      <w:r>
        <w:t xml:space="preserve"> </w:t>
      </w:r>
      <w:r>
        <w:t xml:space="preserve">in S2 and S3, whereas electricity, hydrogen and liquid biofuel and biogas shares are</w:t>
      </w:r>
      <w:r>
        <w:t xml:space="preserve"> </w:t>
      </w:r>
      <w:r>
        <w:t xml:space="preserve">similar in S2, S3 and LIFE.</w:t>
      </w:r>
      <w:r>
        <w:t xml:space="preserve"> </w:t>
      </w:r>
      <w:r>
        <w:t xml:space="preserve">Figure 66: EU energy consumption in the transport sector by fuel/energy carrier type</w:t>
      </w:r>
    </w:p>
    <w:p>
      <w:pPr>
        <w:pStyle w:val="BodyText"/>
      </w:pPr>
      <w:r>
        <w:t xml:space="preserve">Note: Energy consumption including international aviation and navigation.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1.5.4. Technology developments per transport mode</w:t>
      </w:r>
      <w:r>
        <w:t xml:space="preserve"> </w:t>
      </w:r>
      <w:r>
        <w:t xml:space="preserve">1.5.4.1. Passenger cars and vans</w:t>
      </w:r>
      <w:r>
        <w:br/>
      </w:r>
      <w:r>
        <w:t xml:space="preserve">A deep transformation of the EU’s car and van fleet occurs between 2015 and 2050,</w:t>
      </w:r>
      <w:r>
        <w:t xml:space="preserve"> </w:t>
      </w:r>
      <w:r>
        <w:t xml:space="preserve">driven mainly by the new regulation strengthening the CO2 emission performance</w:t>
      </w:r>
      <w:r>
        <w:t xml:space="preserve"> </w:t>
      </w:r>
      <w:r>
        <w:t xml:space="preserve">standards applicable to these types of vehicles. In 2015, the fleet consists practically only</w:t>
      </w:r>
      <w:r>
        <w:t xml:space="preserve"> </w:t>
      </w:r>
      <w:r>
        <w:t xml:space="preserve">of conventional ICE cars and vans. Over time, however, the share of ICE vehicles rapidly</w:t>
      </w:r>
      <w:r>
        <w:t xml:space="preserve"> </w:t>
      </w:r>
      <w:r>
        <w:t xml:space="preserve">declines, and these vehicles are replaced by battery-electric vehicles and, to a lesser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Electricity</w:t>
      </w:r>
      <w:r>
        <w:t xml:space="preserve"> </w:t>
      </w:r>
      <w:r>
        <w:t xml:space="preserve">Hydrogen</w:t>
      </w:r>
      <w:r>
        <w:t xml:space="preserve"> </w:t>
      </w:r>
      <w:r>
        <w:t xml:space="preserve">E-Gas</w:t>
      </w:r>
      <w:r>
        <w:t xml:space="preserve"> </w:t>
      </w:r>
      <w:r>
        <w:t xml:space="preserve">Biogas</w:t>
      </w:r>
      <w:r>
        <w:t xml:space="preserve"> </w:t>
      </w:r>
      <w:r>
        <w:t xml:space="preserve">Natural Gas</w:t>
      </w:r>
      <w:r>
        <w:t xml:space="preserve"> </w:t>
      </w:r>
      <w:r>
        <w:t xml:space="preserve">E-Liquids</w:t>
      </w:r>
      <w:r>
        <w:t xml:space="preserve"> </w:t>
      </w:r>
      <w:r>
        <w:t xml:space="preserve">Liquid Biofuels</w:t>
      </w:r>
      <w:r>
        <w:t xml:space="preserve"> </w:t>
      </w:r>
      <w:r>
        <w:t xml:space="preserve">Oil Products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degree, fuel-cell and plug-in hybrid vehicles (118) (119). As a result, the EU’s car and van</w:t>
      </w:r>
      <w:r>
        <w:t xml:space="preserve"> </w:t>
      </w:r>
      <w:r>
        <w:t xml:space="preserve">fleet goes from consuming almost only fossil fuels in 2015 to consuming energy mostly</w:t>
      </w:r>
      <w:r>
        <w:t xml:space="preserve"> </w:t>
      </w:r>
      <w:r>
        <w:t xml:space="preserve">in the form of electricity and hydrogen in 2050.</w:t>
      </w:r>
      <w:r>
        <w:t xml:space="preserve"> </w:t>
      </w:r>
      <w:r>
        <w:t xml:space="preserve">As shown in Figure 67, in the S1, S2 and S3 scenarios, the share of ICE passenger cars</w:t>
      </w:r>
      <w:r>
        <w:t xml:space="preserve"> </w:t>
      </w:r>
      <w:r>
        <w:t xml:space="preserve">(including diesel, gasoline, LPG and CNG vehicles) in the EU’s car stock declines from</w:t>
      </w:r>
      <w:r>
        <w:t xml:space="preserve"> </w:t>
      </w:r>
      <w:r>
        <w:t xml:space="preserve">practically 100% in 2015, to 26% in 2040 and 2% in 2050. These vehicles are substituted</w:t>
      </w:r>
      <w:r>
        <w:t xml:space="preserve"> </w:t>
      </w:r>
      <w:r>
        <w:t xml:space="preserve">by battery-electric, fuel-cell and plug-in hybrid cars. The share of battery-electric cars</w:t>
      </w:r>
      <w:r>
        <w:t xml:space="preserve"> </w:t>
      </w:r>
      <w:r>
        <w:t xml:space="preserve">increases to 57-58% in 2040 and 79-80% in 2050 (depending on the scenario), and the</w:t>
      </w:r>
      <w:r>
        <w:t xml:space="preserve"> </w:t>
      </w:r>
      <w:r>
        <w:t xml:space="preserve">share of fuel-cell cars increases to 5% in 2040 and 14% in 2050. The share of plug-in</w:t>
      </w:r>
      <w:r>
        <w:t xml:space="preserve"> </w:t>
      </w:r>
      <w:r>
        <w:t xml:space="preserve">hybrids increases to 11% in 2040, which indicates that this technology has a role to play</w:t>
      </w:r>
      <w:r>
        <w:t xml:space="preserve"> </w:t>
      </w:r>
      <w:r>
        <w:t xml:space="preserve">in the transition away from fossil fuels. However, in 2050, the share of plug-in hybrids</w:t>
      </w:r>
      <w:r>
        <w:t xml:space="preserve"> </w:t>
      </w:r>
      <w:r>
        <w:t xml:space="preserve">decreases to 5%, as zero-emission powertrains become dominant. As a result of the</w:t>
      </w:r>
      <w:r>
        <w:t xml:space="preserve"> </w:t>
      </w:r>
      <w:r>
        <w:t xml:space="preserve">above, the passenger car fleet goes from consuming mostly only fossil fuels in 2015</w:t>
      </w:r>
      <w:r>
        <w:t xml:space="preserve"> </w:t>
      </w:r>
      <w:r>
        <w:t xml:space="preserve">(95% of the total amount of energy consumed by cars) to consuming mostly electricity</w:t>
      </w:r>
      <w:r>
        <w:t xml:space="preserve"> </w:t>
      </w:r>
      <w:r>
        <w:t xml:space="preserve">and hydrogen (91% of the total energy consumption) and almost no fossil fuels in 2050</w:t>
      </w:r>
      <w:r>
        <w:t xml:space="preserve"> </w:t>
      </w:r>
      <w:r>
        <w:t xml:space="preserve">(see Figure 68). Finally, it should be noted that the total energy consumption by cars</w:t>
      </w:r>
      <w:r>
        <w:t xml:space="preserve"> </w:t>
      </w:r>
      <w:r>
        <w:t xml:space="preserve">drops from around 180 Mtoe in 2015 to 72-73 Mtoe in 2040 and 45-46 Mtoe in 2050</w:t>
      </w:r>
      <w:r>
        <w:t xml:space="preserve"> </w:t>
      </w:r>
      <w:r>
        <w:t xml:space="preserve">(which means it decreases by roughly 60% and 75% in 2040 and 2050, respectively,</w:t>
      </w:r>
      <w:r>
        <w:t xml:space="preserve"> </w:t>
      </w:r>
      <w:r>
        <w:t xml:space="preserve">relative to 2015). This occurs even if transport activity by car (expressed in passenger-</w:t>
      </w:r>
      <w:r>
        <w:t xml:space="preserve"> </w:t>
      </w:r>
      <w:r>
        <w:t xml:space="preserve">km) increases by 20-21% and 21-22% over the 2015-2040 and 2015-2050 periods,</w:t>
      </w:r>
      <w:r>
        <w:t xml:space="preserve"> </w:t>
      </w:r>
      <w:r>
        <w:t xml:space="preserve">respectively (see Section 1.5.2). This can be explained by the significant energy</w:t>
      </w:r>
      <w:r>
        <w:t xml:space="preserve"> </w:t>
      </w:r>
      <w:r>
        <w:t xml:space="preserve">efficiency gains related to electrification.</w:t>
      </w:r>
      <w:r>
        <w:t xml:space="preserve"> </w:t>
      </w:r>
      <w:r>
        <w:t xml:space="preserve">The picture looks similar for vans, although in this case the switch to alternative</w:t>
      </w:r>
      <w:r>
        <w:t xml:space="preserve"> </w:t>
      </w:r>
      <w:r>
        <w:t xml:space="preserve">drivetrains is slightly more moderate than for cars in 2040. In the S1, S2 and S3</w:t>
      </w:r>
      <w:r>
        <w:t xml:space="preserve"> </w:t>
      </w:r>
      <w:r>
        <w:t xml:space="preserve">scenarios, the share of ICE vehicles in the EU’s van stock declines from virtually 100%</w:t>
      </w:r>
      <w:r>
        <w:t xml:space="preserve"> </w:t>
      </w:r>
      <w:r>
        <w:t xml:space="preserve">in 2015, to 38% in 2040 and 3% in 2050, as ICE vans are replaced by battery-electric,</w:t>
      </w:r>
      <w:r>
        <w:t xml:space="preserve"> </w:t>
      </w:r>
      <w:r>
        <w:t xml:space="preserve">fuel-cell and plug-in hybrid vans. The share of battery-electric vehicles increases to 39-</w:t>
      </w:r>
      <w:r>
        <w:t xml:space="preserve"> </w:t>
      </w:r>
      <w:r>
        <w:t xml:space="preserve">40% in 2040 (depending on the scenario) and 74% in 2050, and the share of fuel-cell</w:t>
      </w:r>
      <w:r>
        <w:t xml:space="preserve"> </w:t>
      </w:r>
      <w:r>
        <w:t xml:space="preserve">vans rises to 5% in 2040 and 15-16% in 2050. As a result, the van fleet goes from</w:t>
      </w:r>
      <w:r>
        <w:t xml:space="preserve"> </w:t>
      </w:r>
      <w:r>
        <w:t xml:space="preserve">consuming mostly only fossil fuels in 2015 (94% of the total amount of energy consumed</w:t>
      </w:r>
      <w:r>
        <w:t xml:space="preserve"> </w:t>
      </w:r>
      <w:r>
        <w:t xml:space="preserve">by vans) to consuming mainly electricity and hydrogen (91% of the total energy</w:t>
      </w:r>
      <w:r>
        <w:t xml:space="preserve"> </w:t>
      </w:r>
      <w:r>
        <w:t xml:space="preserve">consumption) and almost no fossil fuels in 2050, similarly to passenger cars. Also, the</w:t>
      </w:r>
      <w:r>
        <w:t xml:space="preserve"> </w:t>
      </w:r>
      <w:r>
        <w:t xml:space="preserve">total amount of energy consumed by vans in the EU drops by 47-48% in 2040 and by 60-</w:t>
      </w:r>
      <w:r>
        <w:t xml:space="preserve"> </w:t>
      </w:r>
      <w:r>
        <w:t xml:space="preserve">63% in 2050, relative to 2015, even though transport activity by vans actually increases</w:t>
      </w:r>
    </w:p>
    <w:p>
      <w:pPr>
        <w:pStyle w:val="Compact"/>
        <w:numPr>
          <w:ilvl w:val="0"/>
          <w:numId w:val="1052"/>
        </w:numPr>
      </w:pPr>
      <w:r>
        <w:t xml:space="preserve">The electric passenger car and van market is growing rapidly. According to IEA’s ‘Global EV Outlook</w:t>
      </w:r>
      <w:r>
        <w:t xml:space="preserve"> </w:t>
      </w:r>
      <w:r>
        <w:t xml:space="preserve">2023’, in Europe, electric passenger car sales increased by more than 15% in 2022 relative to 2021 to</w:t>
      </w:r>
      <w:r>
        <w:t xml:space="preserve"> </w:t>
      </w:r>
      <w:r>
        <w:t xml:space="preserve">reach 2.7 million units (including battery-electric and plug-in hybrid cars). As a result, 21% of all new</w:t>
      </w:r>
      <w:r>
        <w:t xml:space="preserve"> </w:t>
      </w:r>
      <w:r>
        <w:t xml:space="preserve">cars sold in Europe in 2022 were electric, up from 18% in 2021, 10% in 2020 and less than 3% prior to</w:t>
      </w:r>
    </w:p>
    <w:p>
      <w:pPr>
        <w:pStyle w:val="Compact"/>
        <w:numPr>
          <w:ilvl w:val="0"/>
          <w:numId w:val="1053"/>
        </w:numPr>
      </w:pPr>
      <w:r>
        <w:t xml:space="preserve">Electric van sales increased by around 50% in 2022 relative to 2021 to reach 95 000 units</w:t>
      </w:r>
      <w:r>
        <w:t xml:space="preserve"> </w:t>
      </w:r>
      <w:r>
        <w:t xml:space="preserve">(including battery-electric and plug-in hybrid vehicles). As a result, 5% of all new vans sold in Europe</w:t>
      </w:r>
      <w:r>
        <w:t xml:space="preserve"> </w:t>
      </w:r>
      <w:r>
        <w:t xml:space="preserve">in 2022 were electric, up from 3% in 2021 and less than 2% prior to 2020. Note that, in IEA’s study,</w:t>
      </w:r>
      <w:r>
        <w:t xml:space="preserve"> </w:t>
      </w:r>
      <w:r>
        <w:t xml:space="preserve">“Europe” includes the EU countries, Iceland, Israel, Norway, Switzerland, Türkiye, and the UK.</w:t>
      </w:r>
    </w:p>
    <w:p>
      <w:pPr>
        <w:pStyle w:val="Compact"/>
        <w:numPr>
          <w:ilvl w:val="0"/>
          <w:numId w:val="1054"/>
        </w:numPr>
      </w:pPr>
      <w:r>
        <w:t xml:space="preserve">The share of electric vehicles (including battery-electric and plug-in hybrid vehicles) in the annual</w:t>
      </w:r>
      <w:r>
        <w:t xml:space="preserve"> </w:t>
      </w:r>
      <w:r>
        <w:t xml:space="preserve">amount of cars and vans sold in Europe is expected to continue rising in the next years, reaching more</w:t>
      </w:r>
      <w:r>
        <w:t xml:space="preserve"> </w:t>
      </w:r>
      <w:r>
        <w:t xml:space="preserve">than 40% in 2026 (according to BNEF’s ‘Electric Vehicle Outlook 2023’) and around 60% in 2030</w:t>
      </w:r>
      <w:r>
        <w:t xml:space="preserve"> </w:t>
      </w:r>
      <w:r>
        <w:t xml:space="preserve">(according to IEA’s ‘Global EV Outlook 2023’, in the Stated Policies Scenario).</w:t>
      </w:r>
    </w:p>
    <w:p>
      <w:pPr>
        <w:pStyle w:val="FirstParagraph"/>
      </w:pPr>
      <w:r>
        <w:t xml:space="preserve">85</w:t>
      </w:r>
    </w:p>
    <w:p>
      <w:pPr>
        <w:pStyle w:val="BodyText"/>
      </w:pPr>
      <w:r>
        <w:t xml:space="preserve">over the same periods (see Section 1.5.2). Again, this can be explained by the significant</w:t>
      </w:r>
      <w:r>
        <w:t xml:space="preserve"> </w:t>
      </w:r>
      <w:r>
        <w:t xml:space="preserve">energy efficiency gains related to electrification.</w:t>
      </w:r>
      <w:r>
        <w:t xml:space="preserve"> </w:t>
      </w:r>
      <w:r>
        <w:t xml:space="preserve">It should be noted that the carbon intensity of the fuels used by ICE cars and vans is</w:t>
      </w:r>
      <w:r>
        <w:t xml:space="preserve"> </w:t>
      </w:r>
      <w:r>
        <w:t xml:space="preserve">significantly lower in 2040 and 2050 than in 2015, owing to the increased consumption</w:t>
      </w:r>
      <w:r>
        <w:t xml:space="preserve"> </w:t>
      </w:r>
      <w:r>
        <w:t xml:space="preserve">of liquid biofuels, biogas and e-fuels relative to fossil fuels. This is particularly important</w:t>
      </w:r>
      <w:r>
        <w:t xml:space="preserve"> </w:t>
      </w:r>
      <w:r>
        <w:t xml:space="preserve">in 2040, with significant differences between the S1, S2 and S3 scenarios (see Figure 68).</w:t>
      </w:r>
      <w:r>
        <w:t xml:space="preserve"> </w:t>
      </w:r>
      <w:r>
        <w:t xml:space="preserve">The total amount of fossil fuels, liquid biofuels, biogas and e-fuels consumed by</w:t>
      </w:r>
      <w:r>
        <w:t xml:space="preserve"> </w:t>
      </w:r>
      <w:r>
        <w:t xml:space="preserve">passenger cars and vans in 2040 is similar in the three main scenarios (45-46 Mtoe).</w:t>
      </w:r>
      <w:r>
        <w:t xml:space="preserve"> </w:t>
      </w:r>
      <w:r>
        <w:t xml:space="preserve">However, disaggregating per fuel shows that, in 2040, fossil fuel consumption is higher,</w:t>
      </w:r>
      <w:r>
        <w:t xml:space="preserve"> </w:t>
      </w:r>
      <w:r>
        <w:t xml:space="preserve">and liquid biofuel and e-liquid consumption is lower in the S1 scenario than in the S2 and</w:t>
      </w:r>
      <w:r>
        <w:t xml:space="preserve"> </w:t>
      </w:r>
      <w:r>
        <w:t xml:space="preserve">S3 scenarios. Instead, the S3 scenario shows a lower consumption of fossil fuels and a</w:t>
      </w:r>
      <w:r>
        <w:t xml:space="preserve"> </w:t>
      </w:r>
      <w:r>
        <w:t xml:space="preserve">greater consumption of liquid biofuels and e-liquids than the S1 and S2 scenarios. Biogas</w:t>
      </w:r>
      <w:r>
        <w:t xml:space="preserve"> </w:t>
      </w:r>
      <w:r>
        <w:t xml:space="preserve">and e-gas consumption is similar in the three main scenarios. This implies that the carbon</w:t>
      </w:r>
      <w:r>
        <w:t xml:space="preserve"> </w:t>
      </w:r>
      <w:r>
        <w:t xml:space="preserve">intensity (expressed in tCO2/toe) of fuels used by the ICE passenger cars and vans</w:t>
      </w:r>
      <w:r>
        <w:t xml:space="preserve"> </w:t>
      </w:r>
      <w:r>
        <w:t xml:space="preserve">remaining in the fleet in 2040 is highest in the S1 scenario (21% lower intensity than in</w:t>
      </w:r>
      <w:r>
        <w:t xml:space="preserve"> </w:t>
      </w:r>
      <w:r>
        <w:t xml:space="preserve">2015) and lowest in the S3 scenario (49% lower intensity than in 2015). In 2050, the</w:t>
      </w:r>
      <w:r>
        <w:t xml:space="preserve"> </w:t>
      </w:r>
      <w:r>
        <w:t xml:space="preserve">carbon intensity is 89-93% lower than in 2015 in the main scenarios, with S3 scenario</w:t>
      </w:r>
      <w:r>
        <w:t xml:space="preserve"> </w:t>
      </w:r>
      <w:r>
        <w:t xml:space="preserve">showing the largest decrease (93%).</w:t>
      </w:r>
      <w:r>
        <w:t xml:space="preserve"> </w:t>
      </w:r>
      <w:r>
        <w:t xml:space="preserve">In LIFE, the total amount of energy consumed by cars and vans decreases over time a bit</w:t>
      </w:r>
      <w:r>
        <w:t xml:space="preserve"> </w:t>
      </w:r>
      <w:r>
        <w:t xml:space="preserve">more than in the other scenarios, mainly because of the lower transport activity</w:t>
      </w:r>
      <w:r>
        <w:t xml:space="preserve"> </w:t>
      </w:r>
      <w:r>
        <w:t xml:space="preserve">(expressed in passenger-km for cars, and in tonnes-km for vans). For passenger cars, total</w:t>
      </w:r>
      <w:r>
        <w:t xml:space="preserve"> </w:t>
      </w:r>
      <w:r>
        <w:t xml:space="preserve">energy consumption drops by 62% in 2040 and by 78% in 2050 compared to 2015 (i.e., 2</w:t>
      </w:r>
      <w:r>
        <w:t xml:space="preserve"> </w:t>
      </w:r>
      <w:r>
        <w:t xml:space="preserve">percentage points more than in the S2 and S3 scenarios in 2040, and 3 pp more in 2050).</w:t>
      </w:r>
      <w:r>
        <w:t xml:space="preserve"> </w:t>
      </w:r>
      <w:r>
        <w:t xml:space="preserve">For vans, energy consumption drops by 52% in 2040 and 63% in 2050 compared to 2015</w:t>
      </w:r>
      <w:r>
        <w:t xml:space="preserve"> </w:t>
      </w:r>
      <w:r>
        <w:t xml:space="preserve">(i.e., 4-5 pp more than in the S2 and S3 scenarios in 2040, and 1-3 pp more in 2050). In</w:t>
      </w:r>
      <w:r>
        <w:t xml:space="preserve"> </w:t>
      </w:r>
      <w:r>
        <w:t xml:space="preserve">2040, both for cars and vans, the fuel mix is similar to that of the S2 scenario (in relative</w:t>
      </w:r>
      <w:r>
        <w:t xml:space="preserve"> </w:t>
      </w:r>
      <w:r>
        <w:t xml:space="preserve">terms).</w:t>
      </w:r>
      <w:r>
        <w:t xml:space="preserve"> </w:t>
      </w:r>
      <w:r>
        <w:t xml:space="preserve">Figure 67: Distribution of the EU passenger car stock per type of drivetrain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Fuel cell</w:t>
      </w:r>
      <w:r>
        <w:t xml:space="preserve"> </w:t>
      </w:r>
      <w:r>
        <w:t xml:space="preserve">Electric</w:t>
      </w:r>
      <w:r>
        <w:t xml:space="preserve"> </w:t>
      </w:r>
      <w:r>
        <w:t xml:space="preserve">Plug-in hybrid</w:t>
      </w:r>
      <w:r>
        <w:t xml:space="preserve"> </w:t>
      </w:r>
      <w:r>
        <w:t xml:space="preserve">ICE gaseous</w:t>
      </w:r>
      <w:r>
        <w:t xml:space="preserve"> </w:t>
      </w:r>
      <w:r>
        <w:t xml:space="preserve">Gasoline ICE</w:t>
      </w:r>
      <w:r>
        <w:t xml:space="preserve"> </w:t>
      </w:r>
      <w:r>
        <w:t xml:space="preserve">Diesel ICE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Figure 68: EU energy consumption by passenger cars by fuel/energy carrier type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1.5.4.2. Heavy Goods Vehicles (HGVs)</w:t>
      </w:r>
      <w:r>
        <w:t xml:space="preserve"> </w:t>
      </w:r>
      <w:r>
        <w:t xml:space="preserve">The EU’s HGV stock undergoes a deep transformation between 2015 and 2050, driven</w:t>
      </w:r>
      <w:r>
        <w:t xml:space="preserve"> </w:t>
      </w:r>
      <w:r>
        <w:t xml:space="preserve">mainly by the proposed revision of the regulation on CO2 emission standards for heavy</w:t>
      </w:r>
      <w:r>
        <w:t xml:space="preserve"> </w:t>
      </w:r>
      <w:r>
        <w:t xml:space="preserve">duty vehicles (120). In 2015, the fleet consisted almost entirely of diesel conventional ICE</w:t>
      </w:r>
      <w:r>
        <w:t xml:space="preserve"> </w:t>
      </w:r>
      <w:r>
        <w:t xml:space="preserve">vehicles, but over time their share is projected to decline, and these vehicles are largely</w:t>
      </w:r>
      <w:r>
        <w:t xml:space="preserve"> </w:t>
      </w:r>
      <w:r>
        <w:t xml:space="preserve">replaced by battery-electric vehicles and hydrogen vehicles (the latter, mostly for long-</w:t>
      </w:r>
      <w:r>
        <w:t xml:space="preserve"> </w:t>
      </w:r>
      <w:r>
        <w:t xml:space="preserve">haul transport) (121). Consequently, the EU’s HGV fleet goes from consuming almost</w:t>
      </w:r>
      <w:r>
        <w:t xml:space="preserve"> </w:t>
      </w:r>
      <w:r>
        <w:t xml:space="preserve">only fossil fuels in 2015 to consuming mostly electricity and hydrogen in 2050.</w:t>
      </w:r>
      <w:r>
        <w:t xml:space="preserve"> </w:t>
      </w:r>
      <w:r>
        <w:t xml:space="preserve">As shown in Figure 69, in the S1, S2 and S3 scenarios, the total share of diesel</w:t>
      </w:r>
      <w:r>
        <w:t xml:space="preserve"> </w:t>
      </w:r>
      <w:r>
        <w:t xml:space="preserve">conventional, diesel hybrid (122), LPG and LNG vehicles in the EU’s HGV stock drops</w:t>
      </w:r>
      <w:r>
        <w:t xml:space="preserve"> </w:t>
      </w:r>
      <w:r>
        <w:t xml:space="preserve">from virtually 100% in 2015, to 62-64% in 2040 and 21-29% in 2050 (depending on the</w:t>
      </w:r>
      <w:r>
        <w:t xml:space="preserve"> </w:t>
      </w:r>
      <w:r>
        <w:t xml:space="preserve">scenario). These vehicles are replaced mostly by battery-electric and hydrogen HGVs.</w:t>
      </w:r>
      <w:r>
        <w:t xml:space="preserve"> </w:t>
      </w:r>
      <w:r>
        <w:t xml:space="preserve">The share of battery-electric vehicles in the HGV stock increases to 24-25% in 2040 and</w:t>
      </w:r>
      <w:r>
        <w:t xml:space="preserve"> </w:t>
      </w:r>
      <w:r>
        <w:t xml:space="preserve">45-48% in 2050, and the share of hydrogen HGVs increases to 12-14% in 2040 and 26-</w:t>
      </w:r>
      <w:r>
        <w:t xml:space="preserve"> </w:t>
      </w:r>
      <w:r>
        <w:t xml:space="preserve">31% in 2050. As already mentioned above, however, there is still a significant percentage</w:t>
      </w:r>
      <w:r>
        <w:t xml:space="preserve"> </w:t>
      </w:r>
      <w:r>
        <w:t xml:space="preserve">of diesel conventional, diesel hybrid and ICE gaseous vehicles left in 2050 (21-29% of</w:t>
      </w:r>
      <w:r>
        <w:t xml:space="preserve"> </w:t>
      </w:r>
      <w:r>
        <w:t xml:space="preserve">the HGV stock, depending on the scenario). The differences between scenarios,</w:t>
      </w:r>
      <w:r>
        <w:t xml:space="preserve"> </w:t>
      </w:r>
      <w:r>
        <w:t xml:space="preserve">particularly observed in 2050, are mainly due to different assumptions on HDV CO2</w:t>
      </w:r>
      <w:r>
        <w:t xml:space="preserve"> </w:t>
      </w:r>
      <w:r>
        <w:t xml:space="preserve">standards from 2040 onwards (see Annex 6). S1 is the scenario assuming the least</w:t>
      </w:r>
    </w:p>
    <w:p>
      <w:pPr>
        <w:pStyle w:val="Compact"/>
        <w:numPr>
          <w:ilvl w:val="0"/>
          <w:numId w:val="1055"/>
        </w:numPr>
      </w:pPr>
      <w:r>
        <w:t xml:space="preserve">COM(2023) 88 final.</w:t>
      </w:r>
    </w:p>
    <w:p>
      <w:pPr>
        <w:pStyle w:val="Compact"/>
        <w:numPr>
          <w:ilvl w:val="0"/>
          <w:numId w:val="1055"/>
        </w:numPr>
      </w:pPr>
      <w:r>
        <w:t xml:space="preserve">Electric truck sales are currently low, but this market is growing. According to IEA’s ‘Global EV</w:t>
      </w:r>
      <w:r>
        <w:t xml:space="preserve"> </w:t>
      </w:r>
      <w:r>
        <w:t xml:space="preserve">Outlook 2023’, 0.5% of all new trucks sold in Europe in 2022 were electric (including battery-electric</w:t>
      </w:r>
      <w:r>
        <w:t xml:space="preserve"> </w:t>
      </w:r>
      <w:r>
        <w:t xml:space="preserve">and plug-in hybrid vehicles). This is a small share, but an increasing trend is observed in the last years</w:t>
      </w:r>
      <w:r>
        <w:t xml:space="preserve"> </w:t>
      </w:r>
      <w:r>
        <w:t xml:space="preserve">(the share of electric truck sales was almost zero in 2017 and 0.2% in 2020). Furthermore, the share of</w:t>
      </w:r>
      <w:r>
        <w:t xml:space="preserve"> </w:t>
      </w:r>
      <w:r>
        <w:t xml:space="preserve">electric truck sales is projected to continue rising in the next years, reaching 10% in Europe and 13%</w:t>
      </w:r>
      <w:r>
        <w:t xml:space="preserve"> </w:t>
      </w:r>
      <w:r>
        <w:t xml:space="preserve">in the EU in 2030 (in the Stated Policies Scenario). Note that, in IEA’s study, “Europe” includes the</w:t>
      </w:r>
      <w:r>
        <w:t xml:space="preserve"> </w:t>
      </w:r>
      <w:r>
        <w:t xml:space="preserve">EU countries, Iceland, Israel, Norway, Switzerland, Türkiye, and the UK.</w:t>
      </w:r>
    </w:p>
    <w:p>
      <w:pPr>
        <w:pStyle w:val="Compact"/>
        <w:numPr>
          <w:ilvl w:val="0"/>
          <w:numId w:val="1055"/>
        </w:numPr>
      </w:pPr>
      <w:r>
        <w:t xml:space="preserve">Here, diesel hybrid vehicles include plug-in hybrids. The share of plug-in hybrids in the HGV stock is</w:t>
      </w:r>
      <w:r>
        <w:t xml:space="preserve"> </w:t>
      </w:r>
      <w:r>
        <w:t xml:space="preserve">limited (below 2% of the fleet in all years up to 2050).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Electricity</w:t>
      </w:r>
      <w:r>
        <w:t xml:space="preserve"> </w:t>
      </w:r>
      <w:r>
        <w:t xml:space="preserve">Hydrogen</w:t>
      </w:r>
      <w:r>
        <w:t xml:space="preserve"> </w:t>
      </w:r>
      <w:r>
        <w:t xml:space="preserve">E-Gas</w:t>
      </w:r>
      <w:r>
        <w:t xml:space="preserve"> </w:t>
      </w:r>
      <w:r>
        <w:t xml:space="preserve">Biogas</w:t>
      </w:r>
      <w:r>
        <w:t xml:space="preserve"> </w:t>
      </w:r>
      <w:r>
        <w:t xml:space="preserve">Natural Gas</w:t>
      </w:r>
      <w:r>
        <w:t xml:space="preserve"> </w:t>
      </w:r>
      <w:r>
        <w:t xml:space="preserve">E-Liquids</w:t>
      </w:r>
      <w:r>
        <w:t xml:space="preserve"> </w:t>
      </w:r>
      <w:r>
        <w:t xml:space="preserve">Liquid Biofuels</w:t>
      </w:r>
      <w:r>
        <w:t xml:space="preserve"> </w:t>
      </w:r>
      <w:r>
        <w:t xml:space="preserve">Oil Products</w:t>
      </w:r>
    </w:p>
    <w:p>
      <w:pPr>
        <w:pStyle w:val="FirstParagraph"/>
      </w:pPr>
      <w:r>
        <w:t xml:space="preserve">87</w:t>
      </w:r>
    </w:p>
    <w:p>
      <w:pPr>
        <w:pStyle w:val="BodyText"/>
      </w:pPr>
      <w:r>
        <w:t xml:space="preserve">stringent CO2 standards in the 2040-2050 period, and S3 is the scenario assuming the</w:t>
      </w:r>
      <w:r>
        <w:t xml:space="preserve"> </w:t>
      </w:r>
      <w:r>
        <w:t xml:space="preserve">most stringent ones. This is why the S1 scenario shows the largest share of diesel</w:t>
      </w:r>
      <w:r>
        <w:t xml:space="preserve"> </w:t>
      </w:r>
      <w:r>
        <w:t xml:space="preserve">conventional, diesel hybrid and ICE gaseous vehicles (29%) and the smallest share of</w:t>
      </w:r>
      <w:r>
        <w:t xml:space="preserve"> </w:t>
      </w:r>
      <w:r>
        <w:t xml:space="preserve">battery-electric and hydrogen vehicles (71% taken together) in 2050, whereas S3 is the</w:t>
      </w:r>
      <w:r>
        <w:t xml:space="preserve"> </w:t>
      </w:r>
      <w:r>
        <w:t xml:space="preserve">scenario showing the smallest share of diesel conventional, diesel hybrid and ICE</w:t>
      </w:r>
      <w:r>
        <w:t xml:space="preserve"> </w:t>
      </w:r>
      <w:r>
        <w:t xml:space="preserve">gaseous vehicles (21%) and the biggest share of battery-electric and hydrogen vehicles</w:t>
      </w:r>
      <w:r>
        <w:t xml:space="preserve"> </w:t>
      </w:r>
      <w:r>
        <w:t xml:space="preserve">that year (79% in aggregate).</w:t>
      </w:r>
      <w:r>
        <w:br/>
      </w:r>
      <w:r>
        <w:t xml:space="preserve">As a result of the fleet transformation described above, the HGV fleet goes from</w:t>
      </w:r>
      <w:r>
        <w:t xml:space="preserve"> </w:t>
      </w:r>
      <w:r>
        <w:t xml:space="preserve">consuming mostly only fossil fuels in 2015 (94% of the total amount of energy consumed</w:t>
      </w:r>
      <w:r>
        <w:t xml:space="preserve"> </w:t>
      </w:r>
      <w:r>
        <w:t xml:space="preserve">by HGVs) to consuming mostly hydrogen and electricity (70-84% of the total energy</w:t>
      </w:r>
      <w:r>
        <w:t xml:space="preserve"> </w:t>
      </w:r>
      <w:r>
        <w:t xml:space="preserve">consumption, depending on the scenario) and almost no fossil fuels in 2050 (see Figure</w:t>
      </w:r>
      <w:r>
        <w:t xml:space="preserve"> </w:t>
      </w:r>
      <w:r>
        <w:t xml:space="preserve">70). Moreover, as in the case of passenger cars and vans, the diesel conventional, diesel</w:t>
      </w:r>
      <w:r>
        <w:t xml:space="preserve"> </w:t>
      </w:r>
      <w:r>
        <w:t xml:space="preserve">hybrid and ICE gaseous vehicles remaining in the fleet in 2040 and 2050 use fuels that</w:t>
      </w:r>
      <w:r>
        <w:t xml:space="preserve"> </w:t>
      </w:r>
      <w:r>
        <w:t xml:space="preserve">have a significantly lower carbon intensity than in 2015, owing to the increased</w:t>
      </w:r>
      <w:r>
        <w:t xml:space="preserve"> </w:t>
      </w:r>
      <w:r>
        <w:t xml:space="preserve">consumption of liquid biofuels, biogas and e-fuels relative to fossil fuels. This is</w:t>
      </w:r>
      <w:r>
        <w:t xml:space="preserve"> </w:t>
      </w:r>
      <w:r>
        <w:t xml:space="preserve">particularly important in 2040, with significant differences in carbon intensity between</w:t>
      </w:r>
      <w:r>
        <w:t xml:space="preserve"> </w:t>
      </w:r>
      <w:r>
        <w:t xml:space="preserve">the S1, S2 and S3 scenarios. More specifically, the carbon intensity of fuels used by</w:t>
      </w:r>
      <w:r>
        <w:t xml:space="preserve"> </w:t>
      </w:r>
      <w:r>
        <w:t xml:space="preserve">diesel conventional, diesel hybrid and ICE gaseous vehicles in 2040 is highest in the S1</w:t>
      </w:r>
      <w:r>
        <w:t xml:space="preserve"> </w:t>
      </w:r>
      <w:r>
        <w:t xml:space="preserve">scenario (24% lower intensity than in 2015) and lowest in the S3 scenario (52% lower</w:t>
      </w:r>
      <w:r>
        <w:t xml:space="preserve"> </w:t>
      </w:r>
      <w:r>
        <w:t xml:space="preserve">intensity than in 2015). In 2050, instead, the remaining diesel conventional, diesel hybrid</w:t>
      </w:r>
      <w:r>
        <w:t xml:space="preserve"> </w:t>
      </w:r>
      <w:r>
        <w:t xml:space="preserve">and ICE gaseous vehicles use almost no fossil fuels in all three scenarios (see Figure 70);</w:t>
      </w:r>
      <w:r>
        <w:t xml:space="preserve"> </w:t>
      </w:r>
      <w:r>
        <w:t xml:space="preserve">hence, the carbon intensity is similar in the three main scenarios (95-98% lower than in</w:t>
      </w:r>
      <w:r>
        <w:t xml:space="preserve"> </w:t>
      </w:r>
      <w:r>
        <w:t xml:space="preserve">2015).</w:t>
      </w:r>
      <w:r>
        <w:t xml:space="preserve"> </w:t>
      </w:r>
      <w:r>
        <w:t xml:space="preserve">Furthermore, it should be noted that the total amount of energy consumed by HGVs in</w:t>
      </w:r>
      <w:r>
        <w:t xml:space="preserve"> </w:t>
      </w:r>
      <w:r>
        <w:t xml:space="preserve">the EU, which is almost 50 Mtoe in 2015, decreases by 29% in S1 and S2 and 32% in S3</w:t>
      </w:r>
      <w:r>
        <w:t xml:space="preserve"> </w:t>
      </w:r>
      <w:r>
        <w:t xml:space="preserve">in 2040, and by 36% in S1, 37% in S2 and 42% in S3 in 2050, compared to 2015 (see</w:t>
      </w:r>
      <w:r>
        <w:t xml:space="preserve"> </w:t>
      </w:r>
      <w:r>
        <w:t xml:space="preserve">Figure 70). This occurs even if the HGV transport activity (expressed in tonnes-km)</w:t>
      </w:r>
      <w:r>
        <w:t xml:space="preserve"> </w:t>
      </w:r>
      <w:r>
        <w:t xml:space="preserve">increases by 35-41% and 40-49% (depending on the scenario) over the 2015-2040 and</w:t>
      </w:r>
      <w:r>
        <w:t xml:space="preserve"> </w:t>
      </w:r>
      <w:r>
        <w:t xml:space="preserve">2015-2050 periods, respectively (see Section 1.5.2). This is mostly explained by the</w:t>
      </w:r>
      <w:r>
        <w:t xml:space="preserve"> </w:t>
      </w:r>
      <w:r>
        <w:t xml:space="preserve">energy efficiency gains linked to electrification.</w:t>
      </w:r>
      <w:r>
        <w:t xml:space="preserve"> </w:t>
      </w:r>
      <w:r>
        <w:t xml:space="preserve">In LIFE, the total amount of energy consumed by HGVs decreases over time a bit more</w:t>
      </w:r>
      <w:r>
        <w:t xml:space="preserve"> </w:t>
      </w:r>
      <w:r>
        <w:t xml:space="preserve">than in the S1 and S2 scenarios, mainly because of a slightly lower level of HGV</w:t>
      </w:r>
      <w:r>
        <w:t xml:space="preserve"> </w:t>
      </w:r>
      <w:r>
        <w:t xml:space="preserve">transport activity (expressed in tonnes-km), due to a shift to other modes, such as rail.</w:t>
      </w:r>
      <w:r>
        <w:t xml:space="preserve"> </w:t>
      </w:r>
      <w:r>
        <w:t xml:space="preserve">However, the total energy consumption in LIFE is slightly higher than in S3, mainly</w:t>
      </w:r>
      <w:r>
        <w:t xml:space="preserve"> </w:t>
      </w:r>
      <w:r>
        <w:t xml:space="preserve">because of the somewhat higher level of HGV transport activity. More specifically, the</w:t>
      </w:r>
      <w:r>
        <w:t xml:space="preserve"> </w:t>
      </w:r>
      <w:r>
        <w:t xml:space="preserve">total energy consumption drops by 32% in 2040 and 40% in 2050 compared to 2015 (i.e.,</w:t>
      </w:r>
      <w:r>
        <w:t xml:space="preserve"> </w:t>
      </w:r>
      <w:r>
        <w:t xml:space="preserve">3 percentage points more than in S1 and S2 in 2040 and 3-4 pp more in 2050, and 0.1 pp</w:t>
      </w:r>
      <w:r>
        <w:t xml:space="preserve"> </w:t>
      </w:r>
      <w:r>
        <w:t xml:space="preserve">less than in S3 in 2040 and 2 pp less in 2050). In 2040, the fuel mix in LIFE has similar</w:t>
      </w:r>
      <w:r>
        <w:t xml:space="preserve"> </w:t>
      </w:r>
      <w:r>
        <w:t xml:space="preserve">characteristics to the fuel mix of both the S2 and S3 scenarios (in relative terms).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Figure 69: Distribution of the EU HGV stock by type of drivetrain</w:t>
      </w:r>
    </w:p>
    <w:p>
      <w:pPr>
        <w:pStyle w:val="BodyText"/>
      </w:pPr>
      <w:r>
        <w:t xml:space="preserve">Note: *Diesel hybrid vehicles include plug-in hybrids. **Hydrogen vehicles include fuel-cell vehicles and hydrogen</w:t>
      </w:r>
      <w:r>
        <w:t xml:space="preserve"> </w:t>
      </w:r>
      <w:r>
        <w:t xml:space="preserve">ICE vehicles.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Figure 70: EU energy consumption by HGVs by fuel/energy carrier type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1.5.4.3. Other road transport</w:t>
      </w:r>
      <w:r>
        <w:t xml:space="preserve"> </w:t>
      </w:r>
      <w:r>
        <w:t xml:space="preserve">The EU’s fleet of buses and coaches is projected to undergo significant changes between</w:t>
      </w:r>
      <w:r>
        <w:t xml:space="preserve"> </w:t>
      </w:r>
      <w:r>
        <w:t xml:space="preserve">2015 and 2050, driven mainly by the proposed revision of the regulation on CO2</w:t>
      </w:r>
      <w:r>
        <w:t xml:space="preserve"> </w:t>
      </w:r>
      <w:r>
        <w:t xml:space="preserve">emission standards for heavy duty vehicles (123). In 2015, the fleet consisted almost</w:t>
      </w:r>
      <w:r>
        <w:t xml:space="preserve"> </w:t>
      </w:r>
      <w:r>
        <w:t xml:space="preserve">entirely of diesel ICE vehicles. However, battery-electric and hydrogen vehicles are</w:t>
      </w:r>
      <w:r>
        <w:t xml:space="preserve"> </w:t>
      </w:r>
      <w:r>
        <w:t xml:space="preserve">expected to largely replace this type of vehicles by 2050 (124). Buses are used mostly</w:t>
      </w:r>
    </w:p>
    <w:p>
      <w:pPr>
        <w:pStyle w:val="Compact"/>
        <w:numPr>
          <w:ilvl w:val="0"/>
          <w:numId w:val="1056"/>
        </w:numPr>
      </w:pPr>
      <w:r>
        <w:t xml:space="preserve">COM(2023) 88 final.</w:t>
      </w:r>
    </w:p>
    <w:p>
      <w:pPr>
        <w:pStyle w:val="Compact"/>
        <w:numPr>
          <w:ilvl w:val="0"/>
          <w:numId w:val="1056"/>
        </w:numPr>
      </w:pPr>
      <w:r>
        <w:t xml:space="preserve">Electric bus and coach sales are growing. According to IEA’s ‘Global EV Outlook 2023’, around 9%</w:t>
      </w:r>
      <w:r>
        <w:t xml:space="preserve"> </w:t>
      </w:r>
      <w:r>
        <w:t xml:space="preserve">of all new buses and coaches sold in Europe in 2022 were electric (including battery-electric and plug-</w:t>
      </w:r>
      <w:r>
        <w:t xml:space="preserve"> </w:t>
      </w:r>
      <w:r>
        <w:t xml:space="preserve">in hybrid vehicles), up from around 7% in 2021, 4% in 2020 and less than 3% prior to 2019.</w:t>
      </w:r>
      <w:r>
        <w:t xml:space="preserve"> </w:t>
      </w:r>
      <w:r>
        <w:t xml:space="preserve">Furthermore, the share of electric bus and coach sales is projected to continue rising in the next years,</w:t>
      </w:r>
    </w:p>
    <w:p>
      <w:pPr>
        <w:pStyle w:val="FirstParagraph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Hydrogen**</w:t>
      </w:r>
      <w:r>
        <w:t xml:space="preserve"> </w:t>
      </w:r>
      <w:r>
        <w:t xml:space="preserve">Electric</w:t>
      </w:r>
      <w:r>
        <w:t xml:space="preserve"> </w:t>
      </w:r>
      <w:r>
        <w:t xml:space="preserve">ICE gaseous</w:t>
      </w:r>
      <w:r>
        <w:t xml:space="preserve"> </w:t>
      </w:r>
      <w:r>
        <w:t xml:space="preserve">Diesel hybrid*</w:t>
      </w:r>
      <w:r>
        <w:t xml:space="preserve"> </w:t>
      </w:r>
      <w:r>
        <w:t xml:space="preserve">Diesel</w:t>
      </w:r>
      <w:r>
        <w:t xml:space="preserve"> </w:t>
      </w:r>
      <w:r>
        <w:t xml:space="preserve">conventional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45</w:t>
      </w:r>
      <w:r>
        <w:t xml:space="preserve"> </w:t>
      </w:r>
      <w:r>
        <w:t xml:space="preserve">50</w:t>
      </w:r>
      <w:r>
        <w:t xml:space="preserve"> </w:t>
      </w:r>
      <w:r>
        <w:t xml:space="preserve">55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Electricity</w:t>
      </w:r>
      <w:r>
        <w:t xml:space="preserve"> </w:t>
      </w:r>
      <w:r>
        <w:t xml:space="preserve">Hydrogen</w:t>
      </w:r>
      <w:r>
        <w:t xml:space="preserve"> </w:t>
      </w:r>
      <w:r>
        <w:t xml:space="preserve">E-Gas</w:t>
      </w:r>
      <w:r>
        <w:t xml:space="preserve"> </w:t>
      </w:r>
      <w:r>
        <w:t xml:space="preserve">Biogas</w:t>
      </w:r>
      <w:r>
        <w:t xml:space="preserve"> </w:t>
      </w:r>
      <w:r>
        <w:t xml:space="preserve">Natural Gas</w:t>
      </w:r>
      <w:r>
        <w:t xml:space="preserve"> </w:t>
      </w:r>
      <w:r>
        <w:t xml:space="preserve">E-Liquids</w:t>
      </w:r>
      <w:r>
        <w:t xml:space="preserve"> </w:t>
      </w:r>
      <w:r>
        <w:t xml:space="preserve">Liquid Biofuels</w:t>
      </w:r>
      <w:r>
        <w:t xml:space="preserve"> </w:t>
      </w:r>
      <w:r>
        <w:t xml:space="preserve">Oil Products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within urban areas, where battery-electric vehicles are generally a fully viable alternative,</w:t>
      </w:r>
      <w:r>
        <w:t xml:space="preserve"> </w:t>
      </w:r>
      <w:r>
        <w:t xml:space="preserve">and this allows high shares of this type of vehicles. Instead, coaches are mainly used for</w:t>
      </w:r>
      <w:r>
        <w:t xml:space="preserve"> </w:t>
      </w:r>
      <w:r>
        <w:t xml:space="preserve">long inter-urban trips, which imposes operational limitations on the use of battery-</w:t>
      </w:r>
      <w:r>
        <w:t xml:space="preserve"> </w:t>
      </w:r>
      <w:r>
        <w:t xml:space="preserve">electric vehicles; as a result, the share of hydrogen vehicles in the fleet is higher for</w:t>
      </w:r>
      <w:r>
        <w:t xml:space="preserve"> </w:t>
      </w:r>
      <w:r>
        <w:t xml:space="preserve">coaches than for buses. In the S1, S2 and S3 scenarios, the share of battery-electric</w:t>
      </w:r>
      <w:r>
        <w:t xml:space="preserve"> </w:t>
      </w:r>
      <w:r>
        <w:t xml:space="preserve">vehicles in the bus and coach fleet increases to 36-37% in 2040 and 43-44% in 2050,</w:t>
      </w:r>
      <w:r>
        <w:t xml:space="preserve"> </w:t>
      </w:r>
      <w:r>
        <w:t xml:space="preserve">while the share of hydrogen vehicles reaches 15-16% in 2040 and 32-37% in 2050 (the</w:t>
      </w:r>
      <w:r>
        <w:t xml:space="preserve"> </w:t>
      </w:r>
      <w:r>
        <w:t xml:space="preserve">exact share depends on the scenario). It is important to note that, even though the total</w:t>
      </w:r>
      <w:r>
        <w:t xml:space="preserve"> </w:t>
      </w:r>
      <w:r>
        <w:t xml:space="preserve">share of diesel conventional, diesel hybrid (125) and ICE gaseous buses and coaches is</w:t>
      </w:r>
      <w:r>
        <w:t xml:space="preserve"> </w:t>
      </w:r>
      <w:r>
        <w:t xml:space="preserve">projected to decline over time, their share remains significant in 2040 and 2050. More</w:t>
      </w:r>
      <w:r>
        <w:t xml:space="preserve"> </w:t>
      </w:r>
      <w:r>
        <w:t xml:space="preserve">specifically, the share of diesel conventional, diesel hybrid and ICE gaseous vehicles in</w:t>
      </w:r>
      <w:r>
        <w:t xml:space="preserve"> </w:t>
      </w:r>
      <w:r>
        <w:t xml:space="preserve">the EU’s bus and coach fleet is 47-49% in 2040 and 20-25% in 2050. Note that the exact</w:t>
      </w:r>
      <w:r>
        <w:t xml:space="preserve"> </w:t>
      </w:r>
      <w:r>
        <w:t xml:space="preserve">fleet composition shares differ per scenario. In particular, significant differences can be</w:t>
      </w:r>
      <w:r>
        <w:t xml:space="preserve"> </w:t>
      </w:r>
      <w:r>
        <w:t xml:space="preserve">observed in 2050, which is mainly due to different assumptions on CO2 emission</w:t>
      </w:r>
      <w:r>
        <w:t xml:space="preserve"> </w:t>
      </w:r>
      <w:r>
        <w:t xml:space="preserve">standards for coaches from 2040 onwards (see Annex 6). As a result of the fleet</w:t>
      </w:r>
      <w:r>
        <w:t xml:space="preserve"> </w:t>
      </w:r>
      <w:r>
        <w:t xml:space="preserve">transformation described above, the EU’s bus and coach fleet goes from consuming</w:t>
      </w:r>
      <w:r>
        <w:t xml:space="preserve"> </w:t>
      </w:r>
      <w:r>
        <w:t xml:space="preserve">almost only fossil fuels in 2015 (94% of the total energy consumption) to using mostly</w:t>
      </w:r>
      <w:r>
        <w:t xml:space="preserve"> </w:t>
      </w:r>
      <w:r>
        <w:t xml:space="preserve">alternative energy carriers in 2050 (electricity, hydrogen, liquid biofuels, biogas and e-</w:t>
      </w:r>
      <w:r>
        <w:t xml:space="preserve"> </w:t>
      </w:r>
      <w:r>
        <w:t xml:space="preserve">fuels represent 95-96% of the total energy consumption in that year).</w:t>
      </w:r>
      <w:r>
        <w:br/>
      </w:r>
      <w:r>
        <w:t xml:space="preserve">The EU’s fleet of powered 2-wheelers becomes largely electrified between 2015 and</w:t>
      </w:r>
      <w:r>
        <w:t xml:space="preserve"> </w:t>
      </w:r>
      <w:r>
        <w:t xml:space="preserve">2050 (126). In the S1, S2 and S3 scenarios, the share of ICE 2-wheelers in the EU’s stock</w:t>
      </w:r>
      <w:r>
        <w:t xml:space="preserve"> </w:t>
      </w:r>
      <w:r>
        <w:t xml:space="preserve">declines from virtually 100% in 2015, to 32% in 2040 and 10% in 2050, as ICE vehicles</w:t>
      </w:r>
      <w:r>
        <w:t xml:space="preserve"> </w:t>
      </w:r>
      <w:r>
        <w:t xml:space="preserve">are rapidly replaced by battery-electric vehicles. On the other hand, the share of battery-</w:t>
      </w:r>
      <w:r>
        <w:t xml:space="preserve"> </w:t>
      </w:r>
      <w:r>
        <w:t xml:space="preserve">electric vehicles increases to 68% in 2040 and 90% in 2050. As a result, the 2-wheeler</w:t>
      </w:r>
      <w:r>
        <w:t xml:space="preserve"> </w:t>
      </w:r>
      <w:r>
        <w:t xml:space="preserve">fleet goes from consuming mostly only fossil fuels in 2015 (97% of the total energy</w:t>
      </w:r>
      <w:r>
        <w:t xml:space="preserve"> </w:t>
      </w:r>
      <w:r>
        <w:t xml:space="preserve">consumption) to consuming mainly electricity (78-79% of the total energy consumption)</w:t>
      </w:r>
      <w:r>
        <w:t xml:space="preserve"> </w:t>
      </w:r>
      <w:r>
        <w:t xml:space="preserve">and almost no fossil fuels in 2050.</w:t>
      </w:r>
      <w:r>
        <w:br/>
      </w:r>
      <w:r>
        <w:t xml:space="preserve">It should be noted that the total amount of energy consumed by buses, coaches and</w:t>
      </w:r>
      <w:r>
        <w:t xml:space="preserve"> </w:t>
      </w:r>
      <w:r>
        <w:t xml:space="preserve">powered 2-wheelers taken together decreases by 39-40% in 2040 and 49-51% in 2050</w:t>
      </w:r>
      <w:r>
        <w:t xml:space="preserve"> </w:t>
      </w:r>
      <w:r>
        <w:t xml:space="preserve">compared to 2015. This occurs even if transport activity (expressed in passengers-km) by</w:t>
      </w:r>
      <w:r>
        <w:t xml:space="preserve"> </w:t>
      </w:r>
      <w:r>
        <w:t xml:space="preserve">these transport modes taken together increases by 19-21% and 35-36% over the 2015-</w:t>
      </w:r>
      <w:r>
        <w:t xml:space="preserve"> </w:t>
      </w:r>
      <w:r>
        <w:t xml:space="preserve">2040 and 2015-2050 periods, respectively (see Section 1.5.2). This can be explained by</w:t>
      </w:r>
      <w:r>
        <w:t xml:space="preserve"> </w:t>
      </w:r>
      <w:r>
        <w:t xml:space="preserve">the significant energy efficiency gains related to electrification.</w:t>
      </w:r>
      <w:r>
        <w:t xml:space="preserve"> </w:t>
      </w:r>
      <w:r>
        <w:t xml:space="preserve">Finally, the diesel conventional, diesel hybrid and ICE gaseous buses and coaches and</w:t>
      </w:r>
      <w:r>
        <w:t xml:space="preserve"> </w:t>
      </w:r>
      <w:r>
        <w:t xml:space="preserve">the ICE 2-wheelers that remain in the fleet in 2040 and 2050 use fuels that have a</w:t>
      </w:r>
      <w:r>
        <w:t xml:space="preserve"> </w:t>
      </w:r>
      <w:r>
        <w:t xml:space="preserve">significantly lower carbon intensity than in 2015, due to the increased consumption of</w:t>
      </w:r>
    </w:p>
    <w:p>
      <w:pPr>
        <w:pStyle w:val="BodyText"/>
      </w:pPr>
      <w:r>
        <w:t xml:space="preserve">reaching 40% in Europe and 55% in the EU in 2030 (in the Stated Policies Scenario). Note that, in</w:t>
      </w:r>
      <w:r>
        <w:t xml:space="preserve"> </w:t>
      </w:r>
      <w:r>
        <w:t xml:space="preserve">IEA’s study, “Europe” includes the EU countries, Iceland, Israel, Norway, Switzerland, Türkiye, and</w:t>
      </w:r>
      <w:r>
        <w:t xml:space="preserve"> </w:t>
      </w:r>
      <w:r>
        <w:t xml:space="preserve">the UK.</w:t>
      </w:r>
      <w:r>
        <w:t xml:space="preserve"> </w:t>
      </w:r>
      <w:r>
        <w:t xml:space="preserve">(125) Diesel hybrid vehicles include plug-in hybrids.</w:t>
      </w:r>
      <w:r>
        <w:t xml:space="preserve"> </w:t>
      </w:r>
      <w:r>
        <w:t xml:space="preserve">(126) The electric two- and three-wheeler market is growing. According to IEA’s ‘Global EV Outlook</w:t>
      </w:r>
      <w:r>
        <w:t xml:space="preserve"> </w:t>
      </w:r>
      <w:r>
        <w:t xml:space="preserve">2023’, in Europe, 8% of all new powered two-wheelers and 7% of all new powered three-wheelers</w:t>
      </w:r>
      <w:r>
        <w:t xml:space="preserve"> </w:t>
      </w:r>
      <w:r>
        <w:t xml:space="preserve">sold in 2022 were electric, up from around 5% and 4%, respectively, in 2020. The share of electric</w:t>
      </w:r>
      <w:r>
        <w:t xml:space="preserve"> </w:t>
      </w:r>
      <w:r>
        <w:t xml:space="preserve">two- and three-wheeler sales is projected to continue rising in the next years, reaching more than 90%</w:t>
      </w:r>
      <w:r>
        <w:t xml:space="preserve"> </w:t>
      </w:r>
      <w:r>
        <w:t xml:space="preserve">in 2040 (according to BNEF’s ‘Electric Vehicle Outlook 2023’).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liquid biofuels, biogas and e-fuels relative to fossil fuels. This is particularly important in</w:t>
      </w:r>
      <w:r>
        <w:t xml:space="preserve"> </w:t>
      </w:r>
      <w:r>
        <w:t xml:space="preserve">2040, with significant differences in carbon intensity between scenarios. More</w:t>
      </w:r>
      <w:r>
        <w:t xml:space="preserve"> </w:t>
      </w:r>
      <w:r>
        <w:t xml:space="preserve">specifically, the carbon intensity of fuels used by ICE vehicles in 2040 is highest in the</w:t>
      </w:r>
      <w:r>
        <w:t xml:space="preserve"> </w:t>
      </w:r>
      <w:r>
        <w:t xml:space="preserve">S1 scenario (22% lower intensity than in 2015) and lowest in the S3 scenario (51% lower</w:t>
      </w:r>
      <w:r>
        <w:t xml:space="preserve"> </w:t>
      </w:r>
      <w:r>
        <w:t xml:space="preserve">intensity than in 2015), while in 2050 the carbon intensity is similar in all scenarios (88-</w:t>
      </w:r>
      <w:r>
        <w:t xml:space="preserve"> </w:t>
      </w:r>
      <w:r>
        <w:t xml:space="preserve">91% lower intensity than in 2015).</w:t>
      </w:r>
      <w:r>
        <w:t xml:space="preserve"> </w:t>
      </w:r>
      <w:r>
        <w:t xml:space="preserve">In LIFE, the total amount of energy consumed by buses, coaches and 2-wheelers taken</w:t>
      </w:r>
      <w:r>
        <w:t xml:space="preserve"> </w:t>
      </w:r>
      <w:r>
        <w:t xml:space="preserve">together is similar to that of the other scenarios both in 2040 and 2050 (around 8 and 6</w:t>
      </w:r>
      <w:r>
        <w:t xml:space="preserve"> </w:t>
      </w:r>
      <w:r>
        <w:t xml:space="preserve">Mtoe, respectively). Furthermore, in 2040, the combined fuel mix for all these modes is</w:t>
      </w:r>
      <w:r>
        <w:t xml:space="preserve"> </w:t>
      </w:r>
      <w:r>
        <w:t xml:space="preserve">similar to that of the S2 scenario.</w:t>
      </w:r>
      <w:r>
        <w:t xml:space="preserve"> </w:t>
      </w:r>
      <w:r>
        <w:t xml:space="preserve">1.5.4.4. Rail</w:t>
      </w:r>
      <w:r>
        <w:t xml:space="preserve"> </w:t>
      </w:r>
      <w:r>
        <w:t xml:space="preserve">The EU’s rail transport sector is projected to undergo significant further electrification</w:t>
      </w:r>
      <w:r>
        <w:t xml:space="preserve"> </w:t>
      </w:r>
      <w:r>
        <w:t xml:space="preserve">between 2015 and 2050. In 2015, around 67% of the rolling stock used for passenger</w:t>
      </w:r>
      <w:r>
        <w:t xml:space="preserve"> </w:t>
      </w:r>
      <w:r>
        <w:t xml:space="preserve">transport was already electric, while in the case of freight transport this share was a bit</w:t>
      </w:r>
      <w:r>
        <w:t xml:space="preserve"> </w:t>
      </w:r>
      <w:r>
        <w:t xml:space="preserve">lower (55%). The remainder was internal combustion rolling stock. The proportion of</w:t>
      </w:r>
      <w:r>
        <w:t xml:space="preserve"> </w:t>
      </w:r>
      <w:r>
        <w:t xml:space="preserve">electrified lines in use in the EU is increasing gradually (56% in 2015, 57% in 2020), and</w:t>
      </w:r>
      <w:r>
        <w:t xml:space="preserve"> </w:t>
      </w:r>
      <w:r>
        <w:t xml:space="preserve">the share of electric rolling stock is projected to increase considerably by 2040 and 2050.</w:t>
      </w:r>
      <w:r>
        <w:t xml:space="preserve"> </w:t>
      </w:r>
      <w:r>
        <w:t xml:space="preserve">More specifically, in the S1, S2 and S3 scenarios, the share of electric rolling stock used</w:t>
      </w:r>
      <w:r>
        <w:t xml:space="preserve"> </w:t>
      </w:r>
      <w:r>
        <w:t xml:space="preserve">for passenger transport increases to 85-86% in 2040 and 95% in 2050, and the share of</w:t>
      </w:r>
      <w:r>
        <w:t xml:space="preserve"> </w:t>
      </w:r>
      <w:r>
        <w:t xml:space="preserve">electric rolling stock used for freight transport increases to 76-77% in 2040 and 88-89%</w:t>
      </w:r>
      <w:r>
        <w:t xml:space="preserve"> </w:t>
      </w:r>
      <w:r>
        <w:t xml:space="preserve">in 2050 (the exact shares differ slightly per scenario). At the same time, the share of</w:t>
      </w:r>
      <w:r>
        <w:t xml:space="preserve"> </w:t>
      </w:r>
      <w:r>
        <w:t xml:space="preserve">internal combustion rolling stock used for passenger transport drops to 12-13% in 2040</w:t>
      </w:r>
      <w:r>
        <w:t xml:space="preserve"> </w:t>
      </w:r>
      <w:r>
        <w:t xml:space="preserve">and 4% in 2050, and in the case of freight rail transport, it goes down to 21-22% in 2040</w:t>
      </w:r>
      <w:r>
        <w:t xml:space="preserve"> </w:t>
      </w:r>
      <w:r>
        <w:t xml:space="preserve">and 10% in 2050. The share of hydrogen rolling stock is projected to be limited; it will be</w:t>
      </w:r>
      <w:r>
        <w:t xml:space="preserve"> </w:t>
      </w:r>
      <w:r>
        <w:t xml:space="preserve">mainly used where electrification is not possible. This transformation requires substantial</w:t>
      </w:r>
      <w:r>
        <w:t xml:space="preserve"> </w:t>
      </w:r>
      <w:r>
        <w:t xml:space="preserve">investments in electric rolling stock as well as significant efforts to largely electrify the</w:t>
      </w:r>
      <w:r>
        <w:t xml:space="preserve"> </w:t>
      </w:r>
      <w:r>
        <w:t xml:space="preserve">European rail infrastructure by 2050 (127), and it is supported by the assumed completion</w:t>
      </w:r>
      <w:r>
        <w:t xml:space="preserve"> </w:t>
      </w:r>
      <w:r>
        <w:t xml:space="preserve">of the core TEN-T network by 2030 and the comprehensive TEN-T network by 2050.</w:t>
      </w:r>
      <w:r>
        <w:t xml:space="preserve"> </w:t>
      </w:r>
      <w:r>
        <w:t xml:space="preserve">As a result of the transformation described above, in the S1, S2 and S3 scenarios, the</w:t>
      </w:r>
      <w:r>
        <w:t xml:space="preserve"> </w:t>
      </w:r>
      <w:r>
        <w:t xml:space="preserve">EU’s rail transport sector transitions from meeting 25% of its energy demand with fossil</w:t>
      </w:r>
      <w:r>
        <w:t xml:space="preserve"> </w:t>
      </w:r>
      <w:r>
        <w:t xml:space="preserve">fuels in 2015 (the remainder being electricity), to using almost only electricity and no</w:t>
      </w:r>
      <w:r>
        <w:t xml:space="preserve"> </w:t>
      </w:r>
      <w:r>
        <w:t xml:space="preserve">fossil fuels in 2050 (see Figure 71). Note that, although the share of internal combustion</w:t>
      </w:r>
      <w:r>
        <w:t xml:space="preserve"> </w:t>
      </w:r>
      <w:r>
        <w:t xml:space="preserve">rolling stock is projected to decline over time, there is still some left both in 2040 and in</w:t>
      </w:r>
      <w:r>
        <w:t xml:space="preserve"> </w:t>
      </w:r>
      <w:r>
        <w:t xml:space="preserve">2050; however, in these two years, and particularly in 2050, the internal combustion</w:t>
      </w:r>
      <w:r>
        <w:t xml:space="preserve"> </w:t>
      </w:r>
      <w:r>
        <w:t xml:space="preserve">rolling stock uses a fuel blend that has a significantly lower carbon intensity than in</w:t>
      </w:r>
      <w:r>
        <w:t xml:space="preserve"> </w:t>
      </w:r>
      <w:r>
        <w:t xml:space="preserve">2015, due to the increased consumption of liquid biofuels and e-fuels relative to fossil</w:t>
      </w:r>
      <w:r>
        <w:t xml:space="preserve"> </w:t>
      </w:r>
      <w:r>
        <w:t xml:space="preserve">fuels (see Figure 71). More specifically, in 2040, this carbon intensity is 26% lower in</w:t>
      </w:r>
      <w:r>
        <w:t xml:space="preserve"> </w:t>
      </w:r>
      <w:r>
        <w:t xml:space="preserve">S1, 46% lower in S2 and 56% lower in S3 than in 2015. In 2050, it is more than 95%</w:t>
      </w:r>
      <w:r>
        <w:t xml:space="preserve"> </w:t>
      </w:r>
      <w:r>
        <w:t xml:space="preserve">lower than in 2015 in all three scenarios. Furthermore, it should be noted that the total</w:t>
      </w:r>
      <w:r>
        <w:t xml:space="preserve"> </w:t>
      </w:r>
      <w:r>
        <w:t xml:space="preserve">amount of energy consumed by rail transport in the EU increases by around 43-44% in</w:t>
      </w:r>
      <w:r>
        <w:t xml:space="preserve"> </w:t>
      </w:r>
      <w:r>
        <w:t xml:space="preserve">2040 and 48-51% in 2050 compared to 2015 (see Figure 71), mainly due to increased rail</w:t>
      </w:r>
      <w:r>
        <w:t xml:space="preserve"> </w:t>
      </w:r>
      <w:r>
        <w:t xml:space="preserve">transport activity (see Section 1.5.2). However, these energy consumption growth rates</w:t>
      </w:r>
    </w:p>
    <w:p>
      <w:pPr>
        <w:pStyle w:val="Compact"/>
        <w:numPr>
          <w:ilvl w:val="0"/>
          <w:numId w:val="1057"/>
        </w:numPr>
      </w:pPr>
      <w:r>
        <w:t xml:space="preserve">The investment costs corresponding to the electrification of the rail network are not included in the</w:t>
      </w:r>
      <w:r>
        <w:t xml:space="preserve"> </w:t>
      </w:r>
      <w:r>
        <w:t xml:space="preserve">modelling. Instead, the investment costs related to rolling stock are included.</w:t>
      </w:r>
    </w:p>
    <w:p>
      <w:pPr>
        <w:pStyle w:val="FirstParagraph"/>
      </w:pPr>
      <w:r>
        <w:t xml:space="preserve">91</w:t>
      </w:r>
    </w:p>
    <w:p>
      <w:pPr>
        <w:pStyle w:val="BodyText"/>
      </w:pPr>
      <w:r>
        <w:t xml:space="preserve">are lower than the activity growth rates observed over the same period. The main reason</w:t>
      </w:r>
      <w:r>
        <w:t xml:space="preserve"> </w:t>
      </w:r>
      <w:r>
        <w:t xml:space="preserve">is that the rail sector is projected to be further electrified during the next decades, which</w:t>
      </w:r>
      <w:r>
        <w:t xml:space="preserve"> </w:t>
      </w:r>
      <w:r>
        <w:t xml:space="preserve">brings significant energy efficiency gains.</w:t>
      </w:r>
      <w:r>
        <w:t xml:space="preserve"> </w:t>
      </w:r>
      <w:r>
        <w:t xml:space="preserve">In LIFE, the total amount of energy consumed by the rail sector increases over time a bit</w:t>
      </w:r>
      <w:r>
        <w:t xml:space="preserve"> </w:t>
      </w:r>
      <w:r>
        <w:t xml:space="preserve">more than in the S1, S2 and S3 scenarios, mainly because of a higher level of rail</w:t>
      </w:r>
      <w:r>
        <w:t xml:space="preserve"> </w:t>
      </w:r>
      <w:r>
        <w:t xml:space="preserve">transport activity (both in passenger-km and tonnes-km) due to a higher shift from other</w:t>
      </w:r>
      <w:r>
        <w:t xml:space="preserve"> </w:t>
      </w:r>
      <w:r>
        <w:t xml:space="preserve">modes to rail. The total energy consumption increases by 48% in 2040 and 54% in 2050</w:t>
      </w:r>
      <w:r>
        <w:t xml:space="preserve"> </w:t>
      </w:r>
      <w:r>
        <w:t xml:space="preserve">compared to 2015 (i.e., 4-5 percentage points more than in the core scenarios in 2040,</w:t>
      </w:r>
      <w:r>
        <w:t xml:space="preserve"> </w:t>
      </w:r>
      <w:r>
        <w:t xml:space="preserve">and 4-7 pp more in 2050). Nevertheless, the fuel mix remains similar to that of the core</w:t>
      </w:r>
      <w:r>
        <w:t xml:space="preserve"> </w:t>
      </w:r>
      <w:r>
        <w:t xml:space="preserve">scenarios (in relative terms), particularly S2 and S3.</w:t>
      </w:r>
    </w:p>
    <w:p>
      <w:pPr>
        <w:pStyle w:val="BodyText"/>
      </w:pPr>
      <w:r>
        <w:t xml:space="preserve">Figure 71: EU energy consumption in the rail sector by fuel/energy carrier type</w:t>
      </w:r>
    </w:p>
    <w:p>
      <w:pPr>
        <w:pStyle w:val="BodyText"/>
      </w:pPr>
      <w:r>
        <w:t xml:space="preserve">Note: Energy consumption including passenger and freight rail transport.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1.5.4.5. Domestic navigation</w:t>
      </w:r>
      <w:r>
        <w:t xml:space="preserve"> </w:t>
      </w:r>
      <w:r>
        <w:t xml:space="preserve">As explained in Section 1.5.2, in this impact assessment, the term domestic navigation</w:t>
      </w:r>
      <w:r>
        <w:t xml:space="preserve"> </w:t>
      </w:r>
      <w:r>
        <w:t xml:space="preserve">includes inland waterway transport and national maritime transport (128). The</w:t>
      </w:r>
      <w:r>
        <w:t xml:space="preserve"> </w:t>
      </w:r>
      <w:r>
        <w:t xml:space="preserve">composition of the vessel fleet used for domestic navigation in the EU is projected to</w:t>
      </w:r>
      <w:r>
        <w:t xml:space="preserve"> </w:t>
      </w:r>
      <w:r>
        <w:t xml:space="preserve">undergo significant changes between 2015 and 2050, in a similar way across all</w:t>
      </w:r>
      <w:r>
        <w:t xml:space="preserve"> </w:t>
      </w:r>
      <w:r>
        <w:t xml:space="preserve">scenarios. In 2015, the fleet consisted almost entirely of conventional vessels powered by</w:t>
      </w:r>
      <w:r>
        <w:t xml:space="preserve"> </w:t>
      </w:r>
      <w:r>
        <w:t xml:space="preserve">liquid fossil fuels (i.e., diesel, gasoline and fuel oil). However, the share of vessels using</w:t>
      </w:r>
      <w:r>
        <w:t xml:space="preserve"> </w:t>
      </w:r>
      <w:r>
        <w:t xml:space="preserve">alternative propulsion technologies is expected to grow in the next decades. More</w:t>
      </w:r>
      <w:r>
        <w:t xml:space="preserve"> </w:t>
      </w:r>
      <w:r>
        <w:t xml:space="preserve">specifically, in the S1, S2 and S3 scenarios, the share of battery-electric vessels in the</w:t>
      </w:r>
      <w:r>
        <w:t xml:space="preserve"> </w:t>
      </w:r>
      <w:r>
        <w:t xml:space="preserve">fleet increases to 14% in 2040 and 24% in 2050, while the share of fuel-cell ships, which</w:t>
      </w:r>
      <w:r>
        <w:t xml:space="preserve"> </w:t>
      </w:r>
      <w:r>
        <w:t xml:space="preserve">are deployed only after 2040, becomes 6% in 2050. Furthermore, the share of vessels</w:t>
      </w:r>
      <w:r>
        <w:t xml:space="preserve"> </w:t>
      </w:r>
      <w:r>
        <w:t xml:space="preserve">using gaseous fuels grows over time, reaching 8% of the fleet in 2040 and 11-12% in</w:t>
      </w:r>
      <w:r>
        <w:t xml:space="preserve"> </w:t>
      </w:r>
      <w:r>
        <w:t xml:space="preserve">2050. It is important to note that, even though the share of vessels equipped with</w:t>
      </w:r>
    </w:p>
    <w:p>
      <w:pPr>
        <w:pStyle w:val="Compact"/>
        <w:numPr>
          <w:ilvl w:val="0"/>
          <w:numId w:val="1058"/>
        </w:numPr>
      </w:pPr>
      <w:r>
        <w:t xml:space="preserve">These two waterborne transport modes are grouped together because a split between inland waterway</w:t>
      </w:r>
      <w:r>
        <w:t xml:space="preserve"> </w:t>
      </w:r>
      <w:r>
        <w:t xml:space="preserve">and national maritime transport is currently not available in the official energy statistics, so the</w:t>
      </w:r>
      <w:r>
        <w:t xml:space="preserve"> </w:t>
      </w:r>
      <w:r>
        <w:t xml:space="preserve">PRIMES model takes them together.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Electricity</w:t>
      </w:r>
      <w:r>
        <w:t xml:space="preserve"> </w:t>
      </w:r>
      <w:r>
        <w:t xml:space="preserve">Hydrogen</w:t>
      </w:r>
      <w:r>
        <w:t xml:space="preserve"> </w:t>
      </w:r>
      <w:r>
        <w:t xml:space="preserve">E-Liquids</w:t>
      </w:r>
      <w:r>
        <w:t xml:space="preserve"> </w:t>
      </w:r>
      <w:r>
        <w:t xml:space="preserve">Liquid Biofuels</w:t>
      </w:r>
      <w:r>
        <w:t xml:space="preserve"> </w:t>
      </w:r>
      <w:r>
        <w:t xml:space="preserve">Oil Products</w:t>
      </w:r>
    </w:p>
    <w:p>
      <w:pPr>
        <w:pStyle w:val="FirstParagraph"/>
      </w:pPr>
      <w:r>
        <w:t xml:space="preserve">92</w:t>
      </w:r>
    </w:p>
    <w:p>
      <w:pPr>
        <w:pStyle w:val="BodyText"/>
      </w:pPr>
      <w:r>
        <w:t xml:space="preserve">conventional propulsion systems using liquid fuels is projected to decline over time, this</w:t>
      </w:r>
      <w:r>
        <w:t xml:space="preserve"> </w:t>
      </w:r>
      <w:r>
        <w:t xml:space="preserve">ship type remains the predominant one, representing 78% of the EU fleet in 2040 and</w:t>
      </w:r>
      <w:r>
        <w:t xml:space="preserve"> </w:t>
      </w:r>
      <w:r>
        <w:t xml:space="preserve">58% in 2050.</w:t>
      </w:r>
      <w:r>
        <w:t xml:space="preserve"> </w:t>
      </w:r>
      <w:r>
        <w:t xml:space="preserve">As a result of the fleet composition changes described above, along with a significant</w:t>
      </w:r>
      <w:r>
        <w:t xml:space="preserve"> </w:t>
      </w:r>
      <w:r>
        <w:t xml:space="preserve">uptake of liquid biofuels, biogas and e-fuels after 2030, the EU’s fleet goes from</w:t>
      </w:r>
      <w:r>
        <w:t xml:space="preserve"> </w:t>
      </w:r>
      <w:r>
        <w:t xml:space="preserve">consuming almost only fossil fuels in 2015 to using mostly zero- and low-emission</w:t>
      </w:r>
      <w:r>
        <w:t xml:space="preserve"> </w:t>
      </w:r>
      <w:r>
        <w:t xml:space="preserve">energy carriers in 2050. In the S1, S2 and S3 scenarios, projections show that liquid oil</w:t>
      </w:r>
      <w:r>
        <w:t xml:space="preserve"> </w:t>
      </w:r>
      <w:r>
        <w:t xml:space="preserve">products and natural gas represent only 6-7% and 1% of the total amount of energy</w:t>
      </w:r>
      <w:r>
        <w:t xml:space="preserve"> </w:t>
      </w:r>
      <w:r>
        <w:t xml:space="preserve">consumed by domestic navigation in 2050, respectively (see Figure 72). Instead, liquid</w:t>
      </w:r>
      <w:r>
        <w:t xml:space="preserve"> </w:t>
      </w:r>
      <w:r>
        <w:t xml:space="preserve">biofuels, biogas and e-fuels (in gaseous or liquid form) are projected to represent 76-77%</w:t>
      </w:r>
      <w:r>
        <w:t xml:space="preserve"> </w:t>
      </w:r>
      <w:r>
        <w:t xml:space="preserve">of the total energy consumption in 2050, while the share of electricity and hydrogen</w:t>
      </w:r>
      <w:r>
        <w:t xml:space="preserve"> </w:t>
      </w:r>
      <w:r>
        <w:t xml:space="preserve">taken together reaches 16%. Note that the fuels used by conventional vessels have a</w:t>
      </w:r>
      <w:r>
        <w:t xml:space="preserve"> </w:t>
      </w:r>
      <w:r>
        <w:t xml:space="preserve">significantly lower carbon intensity in 2040 and 2050 than in 2015, due to the increased</w:t>
      </w:r>
      <w:r>
        <w:t xml:space="preserve"> </w:t>
      </w:r>
      <w:r>
        <w:t xml:space="preserve">consumption of liquid biofuels, biogas and e-fuels (both in gaseous and liquid form)</w:t>
      </w:r>
      <w:r>
        <w:t xml:space="preserve"> </w:t>
      </w:r>
      <w:r>
        <w:t xml:space="preserve">relative to fossil fuels (see Figure 72). This is particularly important in 2040, with</w:t>
      </w:r>
      <w:r>
        <w:t xml:space="preserve"> </w:t>
      </w:r>
      <w:r>
        <w:t xml:space="preserve">significant differences in carbon intensity between scenarios. More specifically, the</w:t>
      </w:r>
      <w:r>
        <w:t xml:space="preserve"> </w:t>
      </w:r>
      <w:r>
        <w:t xml:space="preserve">carbon intensity of fuels used by conventional vessels in 2040 is highest in the S1</w:t>
      </w:r>
      <w:r>
        <w:t xml:space="preserve"> </w:t>
      </w:r>
      <w:r>
        <w:t xml:space="preserve">scenario (31% lower intensity than in 2015) and lowest in the S3 scenario (54% lower</w:t>
      </w:r>
      <w:r>
        <w:t xml:space="preserve"> </w:t>
      </w:r>
      <w:r>
        <w:t xml:space="preserve">intensity than in 2015), while in 2050 it is 91-93% lower than in 2015 in the three main</w:t>
      </w:r>
      <w:r>
        <w:t xml:space="preserve"> </w:t>
      </w:r>
      <w:r>
        <w:t xml:space="preserve">scenarios.</w:t>
      </w:r>
      <w:r>
        <w:br/>
      </w:r>
      <w:r>
        <w:t xml:space="preserve">Furthermore, it should be noted that, in S1, S2 and S3, the total amount of energy</w:t>
      </w:r>
      <w:r>
        <w:t xml:space="preserve"> </w:t>
      </w:r>
      <w:r>
        <w:t xml:space="preserve">consumed by domestic navigation in the EU increases by around 18-25% in 2040 and 9-</w:t>
      </w:r>
      <w:r>
        <w:t xml:space="preserve"> </w:t>
      </w:r>
      <w:r>
        <w:t xml:space="preserve">11% in 2050 compared to 2015 (see Figure 72). This occurs in parallel to the deployment</w:t>
      </w:r>
      <w:r>
        <w:t xml:space="preserve"> </w:t>
      </w:r>
      <w:r>
        <w:t xml:space="preserve">of technological and operational measures to improve energy efficiency (e.g., hull design,</w:t>
      </w:r>
      <w:r>
        <w:t xml:space="preserve"> </w:t>
      </w:r>
      <w:r>
        <w:t xml:space="preserve">slow steaming, optimisation of cargo capacity utilisation, etc.) as well as the energy</w:t>
      </w:r>
      <w:r>
        <w:t xml:space="preserve"> </w:t>
      </w:r>
      <w:r>
        <w:t xml:space="preserve">efficiency gains linked to the partial electrification of the fleet.</w:t>
      </w:r>
      <w:r>
        <w:t xml:space="preserve"> </w:t>
      </w:r>
      <w:r>
        <w:t xml:space="preserve">In LIFE, the total amount of energy consumed in the domestic navigation sector evolves</w:t>
      </w:r>
      <w:r>
        <w:t xml:space="preserve"> </w:t>
      </w:r>
      <w:r>
        <w:t xml:space="preserve">over time in the same way as in the core scenarios (reaching almost 5 Mtoe in 2040 and a</w:t>
      </w:r>
      <w:r>
        <w:t xml:space="preserve"> </w:t>
      </w:r>
      <w:r>
        <w:t xml:space="preserve">bit more than 4 Mtoe in 2050). In 2040, the fuel mix is similar to that of the S2 scenario.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Figure 72: EU energy consumption in domestic navigation by fuel/energy carrier type</w:t>
      </w:r>
    </w:p>
    <w:p>
      <w:pPr>
        <w:pStyle w:val="BodyText"/>
      </w:pPr>
      <w:r>
        <w:t xml:space="preserve">Note: Including passenger and freight transport. The category «E-Liquids» includes e-methanol, e-ammonia,</w:t>
      </w:r>
      <w:r>
        <w:t xml:space="preserve"> </w:t>
      </w:r>
      <w:r>
        <w:t xml:space="preserve">synthetic diesel and synthetic fuel oil.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1.5.4.6. International navigation</w:t>
      </w:r>
      <w:r>
        <w:t xml:space="preserve"> </w:t>
      </w:r>
      <w:r>
        <w:t xml:space="preserve">The composition of the vessel fleet used for international maritime transport in the EU is</w:t>
      </w:r>
      <w:r>
        <w:t xml:space="preserve"> </w:t>
      </w:r>
      <w:r>
        <w:t xml:space="preserve">projected to change considerably between 2015 and 2050. The transformation is driven</w:t>
      </w:r>
      <w:r>
        <w:t xml:space="preserve"> </w:t>
      </w:r>
      <w:r>
        <w:t xml:space="preserve">by policy measures aimed at decarbonising this sector adopted by the EU (e.g., FuelEU</w:t>
      </w:r>
      <w:r>
        <w:t xml:space="preserve"> </w:t>
      </w:r>
      <w:r>
        <w:t xml:space="preserve">Maritime) and by the International Maritime Organisation (see Annex 6). In 2015, the</w:t>
      </w:r>
      <w:r>
        <w:t xml:space="preserve"> </w:t>
      </w:r>
      <w:r>
        <w:t xml:space="preserve">EU’s fleet consisted almost entirely of vessels with conventional engines powered by</w:t>
      </w:r>
      <w:r>
        <w:t xml:space="preserve"> </w:t>
      </w:r>
      <w:r>
        <w:t xml:space="preserve">liquid fossil fuels (i.e., diesel and fuel oil). However, the number of ships using</w:t>
      </w:r>
      <w:r>
        <w:t xml:space="preserve"> </w:t>
      </w:r>
      <w:r>
        <w:t xml:space="preserve">alternative propulsion technologies is projected to grow in the next decades. More</w:t>
      </w:r>
      <w:r>
        <w:t xml:space="preserve"> </w:t>
      </w:r>
      <w:r>
        <w:t xml:space="preserve">specifically, in the S1, S2 and S3 scenarios, the share of battery-electric vessels in the</w:t>
      </w:r>
      <w:r>
        <w:t xml:space="preserve"> </w:t>
      </w:r>
      <w:r>
        <w:t xml:space="preserve">fleet increases to 2-3% in 2040 and 6-7% in 2050, while the share of fuel-cell ships</w:t>
      </w:r>
      <w:r>
        <w:t xml:space="preserve"> </w:t>
      </w:r>
      <w:r>
        <w:t xml:space="preserve">increases to 3-7% in 2040 and 21-29% in 2050 (depending on the scenario), as shown in</w:t>
      </w:r>
      <w:r>
        <w:t xml:space="preserve"> </w:t>
      </w:r>
      <w:r>
        <w:t xml:space="preserve">Figure 73. Furthermore, the share of vessels powered by engines that can use gaseous</w:t>
      </w:r>
      <w:r>
        <w:t xml:space="preserve"> </w:t>
      </w:r>
      <w:r>
        <w:t xml:space="preserve">fuels (which are gradually decarbonised over time) grows significantly until 2040</w:t>
      </w:r>
      <w:r>
        <w:t xml:space="preserve"> </w:t>
      </w:r>
      <w:r>
        <w:t xml:space="preserve">(reaching 20-21% in 2040) and it remains relatively stable after that year (reaching 21-</w:t>
      </w:r>
      <w:r>
        <w:t xml:space="preserve"> </w:t>
      </w:r>
      <w:r>
        <w:t xml:space="preserve">23% in 2050). It is important to remark that, even though the share of vessels equipped</w:t>
      </w:r>
      <w:r>
        <w:t xml:space="preserve"> </w:t>
      </w:r>
      <w:r>
        <w:t xml:space="preserve">with conventional propulsion systems using liquid fuels is projected to decline over time,</w:t>
      </w:r>
      <w:r>
        <w:t xml:space="preserve"> </w:t>
      </w:r>
      <w:r>
        <w:t xml:space="preserve">this ship type remains the predominant one, representing 71-74% of the EU fleet in 2040</w:t>
      </w:r>
      <w:r>
        <w:t xml:space="preserve"> </w:t>
      </w:r>
      <w:r>
        <w:t xml:space="preserve">and 44-49% in 2050 (depending on the scenario). Note also that the fleet composition is</w:t>
      </w:r>
      <w:r>
        <w:t xml:space="preserve"> </w:t>
      </w:r>
      <w:r>
        <w:t xml:space="preserve">similar in the S1 and S2 scenarios, whereas in the S3 scenario it shows slightly lower</w:t>
      </w:r>
      <w:r>
        <w:t xml:space="preserve"> </w:t>
      </w:r>
      <w:r>
        <w:t xml:space="preserve">shares of ships with conventional engines along with slightly higher shares of fuel-cell</w:t>
      </w:r>
      <w:r>
        <w:t xml:space="preserve"> </w:t>
      </w:r>
      <w:r>
        <w:t xml:space="preserve">vessels (see Figure 73).</w:t>
      </w:r>
      <w:r>
        <w:t xml:space="preserve"> </w:t>
      </w:r>
      <w:r>
        <w:t xml:space="preserve">As a result of the fleet composition changes described above, combined with a significant</w:t>
      </w:r>
      <w:r>
        <w:t xml:space="preserve"> </w:t>
      </w:r>
      <w:r>
        <w:t xml:space="preserve">uptake of liquid biofuels, biogas and e-fuels (129) after 2030, the EU’s fleet goes from</w:t>
      </w:r>
      <w:r>
        <w:t xml:space="preserve"> </w:t>
      </w:r>
      <w:r>
        <w:t xml:space="preserve">consuming almost only liquid fossil fuels in 2015 to using almost exclusively zero- and</w:t>
      </w:r>
    </w:p>
    <w:p>
      <w:pPr>
        <w:pStyle w:val="Compact"/>
        <w:numPr>
          <w:ilvl w:val="0"/>
          <w:numId w:val="1059"/>
        </w:numPr>
      </w:pPr>
      <w:r>
        <w:t xml:space="preserve">Including e-ammonia, e-methanol and other e-fuels.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Electricity</w:t>
      </w:r>
      <w:r>
        <w:t xml:space="preserve"> </w:t>
      </w:r>
      <w:r>
        <w:t xml:space="preserve">Hydrogen</w:t>
      </w:r>
      <w:r>
        <w:t xml:space="preserve"> </w:t>
      </w:r>
      <w:r>
        <w:t xml:space="preserve">E-Gas</w:t>
      </w:r>
      <w:r>
        <w:t xml:space="preserve"> </w:t>
      </w:r>
      <w:r>
        <w:t xml:space="preserve">Biogas</w:t>
      </w:r>
      <w:r>
        <w:t xml:space="preserve"> </w:t>
      </w:r>
      <w:r>
        <w:t xml:space="preserve">Natural Gas</w:t>
      </w:r>
      <w:r>
        <w:t xml:space="preserve"> </w:t>
      </w:r>
      <w:r>
        <w:t xml:space="preserve">E-Liquids</w:t>
      </w:r>
      <w:r>
        <w:t xml:space="preserve"> </w:t>
      </w:r>
      <w:r>
        <w:t xml:space="preserve">Liquid Biofuels</w:t>
      </w:r>
      <w:r>
        <w:t xml:space="preserve"> </w:t>
      </w:r>
      <w:r>
        <w:t xml:space="preserve">Oil Products</w:t>
      </w:r>
    </w:p>
    <w:p>
      <w:pPr>
        <w:pStyle w:val="FirstParagraph"/>
      </w:pPr>
      <w:r>
        <w:t xml:space="preserve">94</w:t>
      </w:r>
    </w:p>
    <w:p>
      <w:pPr>
        <w:pStyle w:val="BodyText"/>
      </w:pPr>
      <w:r>
        <w:t xml:space="preserve">low-emission energy carriers in 2050 (130). In the S1, S2 and S3 scenarios, liquid oil</w:t>
      </w:r>
      <w:r>
        <w:t xml:space="preserve"> </w:t>
      </w:r>
      <w:r>
        <w:t xml:space="preserve">products are projected to represent almost 0% of the total amount of energy consumed by</w:t>
      </w:r>
      <w:r>
        <w:t xml:space="preserve"> </w:t>
      </w:r>
      <w:r>
        <w:t xml:space="preserve">international navigation in 2050 (see Figure 74). The use of gaseous fuels (LNG, biogas</w:t>
      </w:r>
      <w:r>
        <w:t xml:space="preserve"> </w:t>
      </w:r>
      <w:r>
        <w:t xml:space="preserve">and e-gas) is projected to increase gradually this decade and the next one, reaching 23-</w:t>
      </w:r>
      <w:r>
        <w:t xml:space="preserve"> </w:t>
      </w:r>
      <w:r>
        <w:t xml:space="preserve">24% of the total energy consumption in 2050. It should be noted that gaseous fuels are</w:t>
      </w:r>
      <w:r>
        <w:t xml:space="preserve"> </w:t>
      </w:r>
      <w:r>
        <w:t xml:space="preserve">gradually decarbonised over time: biogas and e-gas taken together represent 63-70% of</w:t>
      </w:r>
      <w:r>
        <w:t xml:space="preserve"> </w:t>
      </w:r>
      <w:r>
        <w:t xml:space="preserve">the consumption of gaseous fuels in the international navigation sector in 2040, whereas</w:t>
      </w:r>
      <w:r>
        <w:t xml:space="preserve"> </w:t>
      </w:r>
      <w:r>
        <w:t xml:space="preserve">in 2050 this share is close to 100%, as biogas and e-gas progressively replace LNG (see</w:t>
      </w:r>
      <w:r>
        <w:t xml:space="preserve"> </w:t>
      </w:r>
      <w:r>
        <w:t xml:space="preserve">Figure 74). Liquid biofuels and e-liquids are projected to represent 61-62% of the total</w:t>
      </w:r>
      <w:r>
        <w:t xml:space="preserve"> </w:t>
      </w:r>
      <w:r>
        <w:t xml:space="preserve">energy consumption in 2050, whereas electricity and hydrogen represent the remaining</w:t>
      </w:r>
      <w:r>
        <w:t xml:space="preserve"> </w:t>
      </w:r>
      <w:r>
        <w:t xml:space="preserve">14-16%. Note that the fuels used by vessels equipped with conventional liquid fuel</w:t>
      </w:r>
      <w:r>
        <w:t xml:space="preserve"> </w:t>
      </w:r>
      <w:r>
        <w:t xml:space="preserve">engines or engines that can use gaseous fuels have a significantly lower carbon intensity</w:t>
      </w:r>
      <w:r>
        <w:t xml:space="preserve"> </w:t>
      </w:r>
      <w:r>
        <w:t xml:space="preserve">in 2040 and 2050 than in 2015, due to the increased consumption of liquid biofuels,</w:t>
      </w:r>
      <w:r>
        <w:t xml:space="preserve"> </w:t>
      </w:r>
      <w:r>
        <w:t xml:space="preserve">biogas and e-fuels (both in gaseous and liquid form) relative to fossil fuels. This is</w:t>
      </w:r>
      <w:r>
        <w:t xml:space="preserve"> </w:t>
      </w:r>
      <w:r>
        <w:t xml:space="preserve">particularly important in 2040, with significant differences in carbon intensity between</w:t>
      </w:r>
      <w:r>
        <w:t xml:space="preserve"> </w:t>
      </w:r>
      <w:r>
        <w:t xml:space="preserve">scenarios. More specifically, the carbon intensity of liquid and gaseous fuels in 2040 is</w:t>
      </w:r>
      <w:r>
        <w:t xml:space="preserve"> </w:t>
      </w:r>
      <w:r>
        <w:t xml:space="preserve">highest in the S1 scenario (73% lower intensity than in 2015) and lowest in the S3</w:t>
      </w:r>
      <w:r>
        <w:t xml:space="preserve"> </w:t>
      </w:r>
      <w:r>
        <w:t xml:space="preserve">scenario (82% lower intensity than in 2015). In 2050, the carbon intensity of these fuels</w:t>
      </w:r>
      <w:r>
        <w:t xml:space="preserve"> </w:t>
      </w:r>
      <w:r>
        <w:t xml:space="preserve">is projected to be almost zero in all scenarios, due to the very low share of fossil fuels in</w:t>
      </w:r>
      <w:r>
        <w:t xml:space="preserve"> </w:t>
      </w:r>
      <w:r>
        <w:t xml:space="preserve">the fuel blend.</w:t>
      </w:r>
      <w:r>
        <w:t xml:space="preserve"> </w:t>
      </w:r>
      <w:r>
        <w:t xml:space="preserve">It should be noted that the total amount of energy consumed by international navigation</w:t>
      </w:r>
      <w:r>
        <w:t xml:space="preserve"> </w:t>
      </w:r>
      <w:r>
        <w:t xml:space="preserve">in the EU increases by around 10-21% in 2040 and 19-30% in 2050 compared to 2015 in</w:t>
      </w:r>
      <w:r>
        <w:t xml:space="preserve"> </w:t>
      </w:r>
      <w:r>
        <w:t xml:space="preserve">the S1, S2 and S3 scenarios (see Figure 74). However, these growth rates are lower than</w:t>
      </w:r>
      <w:r>
        <w:t xml:space="preserve"> </w:t>
      </w:r>
      <w:r>
        <w:t xml:space="preserve">the increase in international navigation activity projected over the same period (see</w:t>
      </w:r>
      <w:r>
        <w:t xml:space="preserve"> </w:t>
      </w:r>
      <w:r>
        <w:t xml:space="preserve">Section 1.5.2). This can be explained mainly by the deployment of technological and</w:t>
      </w:r>
      <w:r>
        <w:t xml:space="preserve"> </w:t>
      </w:r>
      <w:r>
        <w:t xml:space="preserve">operational measures to improve the energy efficiency of maritime transport (e.g., hull</w:t>
      </w:r>
      <w:r>
        <w:t xml:space="preserve"> </w:t>
      </w:r>
      <w:r>
        <w:t xml:space="preserve">design, slow steaming, optimisation of cargo capacity utilisation, increased vessel size,</w:t>
      </w:r>
      <w:r>
        <w:t xml:space="preserve"> </w:t>
      </w:r>
      <w:r>
        <w:t xml:space="preserve">etc.). The energy intensity of international navigation (expressed in toe/tkm) decreases by</w:t>
      </w:r>
      <w:r>
        <w:t xml:space="preserve"> </w:t>
      </w:r>
      <w:r>
        <w:t xml:space="preserve">9-18% between 2015 and 2040 and by 13-21% between 2015 and 2050 (the exact rate</w:t>
      </w:r>
      <w:r>
        <w:t xml:space="preserve"> </w:t>
      </w:r>
      <w:r>
        <w:t xml:space="preserve">depends on the scenario), mostly as a result of these measures. Note that there are</w:t>
      </w:r>
      <w:r>
        <w:t xml:space="preserve"> </w:t>
      </w:r>
      <w:r>
        <w:t xml:space="preserve">significant differences between scenarios, with S3 showing the lowest increase in total</w:t>
      </w:r>
      <w:r>
        <w:t xml:space="preserve"> </w:t>
      </w:r>
      <w:r>
        <w:t xml:space="preserve">energy consumption relative to 2015 (see Figure 74), although it is the scenario with the</w:t>
      </w:r>
      <w:r>
        <w:t xml:space="preserve"> </w:t>
      </w:r>
      <w:r>
        <w:t xml:space="preserve">highest level of transport activity (see Section 1.5.2). The main reason for this difference</w:t>
      </w:r>
      <w:r>
        <w:t xml:space="preserve"> </w:t>
      </w:r>
      <w:r>
        <w:t xml:space="preserve">is a larger deployment of energy efficiency measures compared to the S1 and S2</w:t>
      </w:r>
      <w:r>
        <w:t xml:space="preserve"> </w:t>
      </w:r>
      <w:r>
        <w:t xml:space="preserve">scenarios.</w:t>
      </w:r>
      <w:r>
        <w:t xml:space="preserve"> </w:t>
      </w:r>
      <w:r>
        <w:t xml:space="preserve">In LIFE, the total amount of energy consumed in the international navigation sector</w:t>
      </w:r>
      <w:r>
        <w:t xml:space="preserve"> </w:t>
      </w:r>
      <w:r>
        <w:t xml:space="preserve">evolves over time in the same way as in S2. However, in 2040, the fuel mix is similar to</w:t>
      </w:r>
      <w:r>
        <w:t xml:space="preserve"> </w:t>
      </w:r>
      <w:r>
        <w:t xml:space="preserve">that of the S3 scenario (in relative terms).</w:t>
      </w:r>
    </w:p>
    <w:p>
      <w:pPr>
        <w:pStyle w:val="Compact"/>
        <w:numPr>
          <w:ilvl w:val="0"/>
          <w:numId w:val="1060"/>
        </w:numPr>
      </w:pPr>
      <w:r>
        <w:t xml:space="preserve">Projections made by other studies also show an increasing use of zero- and low-emission energy</w:t>
      </w:r>
      <w:r>
        <w:t xml:space="preserve"> </w:t>
      </w:r>
      <w:r>
        <w:t xml:space="preserve">carriers over the next decades. For example, IEA’s ‘Net Zero Road Map’ (2023 update) shows an</w:t>
      </w:r>
      <w:r>
        <w:t xml:space="preserve"> </w:t>
      </w:r>
      <w:r>
        <w:t xml:space="preserve">increase in the use of bioenergy, hydrogen and e-fuels in international shipping at global level, with</w:t>
      </w:r>
      <w:r>
        <w:t xml:space="preserve"> </w:t>
      </w:r>
      <w:r>
        <w:t xml:space="preserve">bioenergy representing 8% and 19% of the energy consumed in 2030 and 2050, respectively, hydrogen</w:t>
      </w:r>
      <w:r>
        <w:t xml:space="preserve"> </w:t>
      </w:r>
      <w:r>
        <w:t xml:space="preserve">representing 4% and 19% in 2030 and 2050, respectively, and e-fuels (mostly, ammonia), representing</w:t>
      </w:r>
      <w:r>
        <w:t xml:space="preserve"> </w:t>
      </w:r>
      <w:r>
        <w:t xml:space="preserve">7% and 47% in the same years. Similarly, DNV’s ‘Energy Transition Outlook 2023’ argues that the</w:t>
      </w:r>
      <w:r>
        <w:t xml:space="preserve"> </w:t>
      </w:r>
      <w:r>
        <w:t xml:space="preserve">main decarbonisation opportunity for the international maritime sector is switching to low- and zero-</w:t>
      </w:r>
      <w:r>
        <w:t xml:space="preserve"> </w:t>
      </w:r>
      <w:r>
        <w:t xml:space="preserve">carbon fuels such as ammonia, e-methanol, e-methane, and various forms of biofuel.</w:t>
      </w:r>
    </w:p>
    <w:p>
      <w:pPr>
        <w:pStyle w:val="FirstParagraph"/>
      </w:pPr>
      <w:r>
        <w:t xml:space="preserve">95</w:t>
      </w:r>
    </w:p>
    <w:p>
      <w:pPr>
        <w:pStyle w:val="BodyText"/>
      </w:pPr>
      <w:r>
        <w:t xml:space="preserve">Figure 73: Composition of the EU vessel fleet used for international navigation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Figure 74: EU energy consumption in international navigation by fuel/energy carrier type</w:t>
      </w:r>
    </w:p>
    <w:p>
      <w:pPr>
        <w:pStyle w:val="BodyText"/>
      </w:pPr>
      <w:r>
        <w:t xml:space="preserve">Note: The category «E-Liquids» includes e-methanol, e-ammonia, synthetic diesel and synthetic fuel oil.</w:t>
      </w:r>
      <w:r>
        <w:t xml:space="preserve"> </w:t>
      </w:r>
      <w:r>
        <w:t xml:space="preserve">Source: PRIMES.</w:t>
      </w:r>
    </w:p>
    <w:p>
      <w:pPr>
        <w:pStyle w:val="BodyText"/>
      </w:pPr>
      <w:r>
        <w:t xml:space="preserve">1.5.4.7. Aviation</w:t>
      </w:r>
      <w:r>
        <w:t xml:space="preserve"> </w:t>
      </w:r>
      <w:r>
        <w:t xml:space="preserve">The European aviation sector is projected to undergo a significant transformation over</w:t>
      </w:r>
      <w:r>
        <w:t xml:space="preserve"> </w:t>
      </w:r>
      <w:r>
        <w:t xml:space="preserve">the next decades, driven by policy measures aimed at decarbonising this sector, such as</w:t>
      </w:r>
      <w:r>
        <w:t xml:space="preserve"> </w:t>
      </w:r>
      <w:r>
        <w:t xml:space="preserve">the EU Emissions Trading System and ReFuelEU Aviation, which mandates the supply</w:t>
      </w:r>
      <w:r>
        <w:t xml:space="preserve"> </w:t>
      </w:r>
      <w:r>
        <w:t xml:space="preserve">of Sustainable Aviation Fuels (SAF) (see Annex 6). This transformation is multi-</w:t>
      </w:r>
      <w:r>
        <w:t xml:space="preserve"> </w:t>
      </w:r>
      <w:r>
        <w:t xml:space="preserve">dimensional, mainly driven by significant improvements in energy efficiency and a large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Fuel cell engine</w:t>
      </w:r>
      <w:r>
        <w:t xml:space="preserve"> </w:t>
      </w:r>
      <w:r>
        <w:t xml:space="preserve">Battery-electric</w:t>
      </w:r>
      <w:r>
        <w:t xml:space="preserve"> </w:t>
      </w:r>
      <w:r>
        <w:t xml:space="preserve">engine</w:t>
      </w:r>
      <w:r>
        <w:t xml:space="preserve"> </w:t>
      </w:r>
      <w:r>
        <w:t xml:space="preserve">Gas engine</w:t>
      </w:r>
      <w:r>
        <w:t xml:space="preserve"> </w:t>
      </w:r>
      <w:r>
        <w:t xml:space="preserve">Conventional</w:t>
      </w:r>
      <w:r>
        <w:t xml:space="preserve"> </w:t>
      </w:r>
      <w:r>
        <w:t xml:space="preserve">liquid fuel engine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Electricity</w:t>
      </w:r>
      <w:r>
        <w:t xml:space="preserve"> </w:t>
      </w:r>
      <w:r>
        <w:t xml:space="preserve">Hydrogen</w:t>
      </w:r>
      <w:r>
        <w:t xml:space="preserve"> </w:t>
      </w:r>
      <w:r>
        <w:t xml:space="preserve">E-Gas</w:t>
      </w:r>
      <w:r>
        <w:t xml:space="preserve"> </w:t>
      </w:r>
      <w:r>
        <w:t xml:space="preserve">Biogas</w:t>
      </w:r>
      <w:r>
        <w:t xml:space="preserve"> </w:t>
      </w:r>
      <w:r>
        <w:t xml:space="preserve">Natural Gas</w:t>
      </w:r>
      <w:r>
        <w:t xml:space="preserve"> </w:t>
      </w:r>
      <w:r>
        <w:t xml:space="preserve">E-Liquids</w:t>
      </w:r>
      <w:r>
        <w:t xml:space="preserve"> </w:t>
      </w:r>
      <w:r>
        <w:t xml:space="preserve">Liquid Biofuels</w:t>
      </w:r>
      <w:r>
        <w:t xml:space="preserve"> </w:t>
      </w:r>
      <w:r>
        <w:t xml:space="preserve">Oil Products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uptake of zero- and low-emission fuels (such as liquid biofuels and e-fuels) (131), along</w:t>
      </w:r>
      <w:r>
        <w:t xml:space="preserve"> </w:t>
      </w:r>
      <w:r>
        <w:t xml:space="preserve">with a moderate deployment of battery-electric and fuel-cell-electric aircraft.</w:t>
      </w:r>
      <w:r>
        <w:br/>
      </w:r>
      <w:r>
        <w:t xml:space="preserve">In the S1, S2 and S3 scenarios, the total amount of energy consumed by the aviation</w:t>
      </w:r>
      <w:r>
        <w:t xml:space="preserve"> </w:t>
      </w:r>
      <w:r>
        <w:t xml:space="preserve">sector in the EU (including domestic and international intra-EU and extra-EU aviation) is</w:t>
      </w:r>
      <w:r>
        <w:t xml:space="preserve"> </w:t>
      </w:r>
      <w:r>
        <w:t xml:space="preserve">projected to increase by around 16-17% between 2015 and 2040, remaining relatively</w:t>
      </w:r>
      <w:r>
        <w:t xml:space="preserve"> </w:t>
      </w:r>
      <w:r>
        <w:t xml:space="preserve">stable after 2040 (see Figure 75). This increase is much lower than the growth in air</w:t>
      </w:r>
      <w:r>
        <w:t xml:space="preserve"> </w:t>
      </w:r>
      <w:r>
        <w:t xml:space="preserve">transport activity (expressed in passenger-km) over the same period (see Section 1.5.2).</w:t>
      </w:r>
      <w:r>
        <w:t xml:space="preserve"> </w:t>
      </w:r>
      <w:r>
        <w:t xml:space="preserve">There is a decoupling between energy consumption and market growth. The difference</w:t>
      </w:r>
      <w:r>
        <w:t xml:space="preserve"> </w:t>
      </w:r>
      <w:r>
        <w:t xml:space="preserve">between transport activity growth and energy consumption growth is mainly due to the</w:t>
      </w:r>
      <w:r>
        <w:t xml:space="preserve"> </w:t>
      </w:r>
      <w:r>
        <w:t xml:space="preserve">large-scale deployment of technological and operational measures to improve energy</w:t>
      </w:r>
      <w:r>
        <w:t xml:space="preserve"> </w:t>
      </w:r>
      <w:r>
        <w:t xml:space="preserve">efficiency (e.g., measures related to aircraft structure design and aerodynamics,</w:t>
      </w:r>
      <w:r>
        <w:t xml:space="preserve"> </w:t>
      </w:r>
      <w:r>
        <w:t xml:space="preserve">propulsion system technology, and transport capacity utilisation). The energy intensity of</w:t>
      </w:r>
      <w:r>
        <w:t xml:space="preserve"> </w:t>
      </w:r>
      <w:r>
        <w:t xml:space="preserve">air transport (expressed in toe/pkm) decreases by 27-28% between 2015 and 2040, and</w:t>
      </w:r>
      <w:r>
        <w:t xml:space="preserve"> </w:t>
      </w:r>
      <w:r>
        <w:t xml:space="preserve">by 34-35% between 2015 and 2050, mostly as a result of these measures.</w:t>
      </w:r>
      <w:r>
        <w:t xml:space="preserve"> </w:t>
      </w:r>
      <w:r>
        <w:t xml:space="preserve">Furthermore, the S1, S2 and S3 scenarios show an increasing use of zero- and low-</w:t>
      </w:r>
      <w:r>
        <w:t xml:space="preserve"> </w:t>
      </w:r>
      <w:r>
        <w:t xml:space="preserve">emission energy carriers (particularly after 2030), which partially replaces the</w:t>
      </w:r>
      <w:r>
        <w:t xml:space="preserve"> </w:t>
      </w:r>
      <w:r>
        <w:t xml:space="preserve">consumption of fossil fuels in the EU aviation sector. In this respect, the sector</w:t>
      </w:r>
      <w:r>
        <w:t xml:space="preserve"> </w:t>
      </w:r>
      <w:r>
        <w:t xml:space="preserve">transitions from consuming almost only fossil fuels (kerosene) in 2015 to using mostly</w:t>
      </w:r>
      <w:r>
        <w:t xml:space="preserve"> </w:t>
      </w:r>
      <w:r>
        <w:t xml:space="preserve">zero- and low-emission energy carriers in 2050. As shown in Figure 75, oil products are</w:t>
      </w:r>
      <w:r>
        <w:t xml:space="preserve"> </w:t>
      </w:r>
      <w:r>
        <w:t xml:space="preserve">projected to represent 62-66% of the total amount of energy consumed by the aviation</w:t>
      </w:r>
      <w:r>
        <w:t xml:space="preserve"> </w:t>
      </w:r>
      <w:r>
        <w:t xml:space="preserve">sector in 2040, and 24-30% in 2050 (the exact shares depend on the scenario). Thanks to</w:t>
      </w:r>
      <w:r>
        <w:t xml:space="preserve"> </w:t>
      </w:r>
      <w:r>
        <w:t xml:space="preserve">the mandates in ReFuelEU Aviation, the share of liquid biofuels in the total energy</w:t>
      </w:r>
      <w:r>
        <w:t xml:space="preserve"> </w:t>
      </w:r>
      <w:r>
        <w:t xml:space="preserve">consumption increases to 24% in 2040 and 35% in 2050, and the share of e-fuels grows</w:t>
      </w:r>
      <w:r>
        <w:t xml:space="preserve"> </w:t>
      </w:r>
      <w:r>
        <w:t xml:space="preserve">to 10-13% in 2040 and 33-34% in 2050. In addition, hydrogen is projected to represent</w:t>
      </w:r>
      <w:r>
        <w:t xml:space="preserve"> </w:t>
      </w:r>
      <w:r>
        <w:t xml:space="preserve">0.2-1.1% of the aviation fuel mix in 2040 and 1.6-6% in 2050. The use of electricity as</w:t>
      </w:r>
      <w:r>
        <w:t xml:space="preserve"> </w:t>
      </w:r>
      <w:r>
        <w:t xml:space="preserve">an energy carrier in the aviation sector remains limited to very specific niche markets;</w:t>
      </w:r>
      <w:r>
        <w:t xml:space="preserve"> </w:t>
      </w:r>
      <w:r>
        <w:t xml:space="preserve">consequently, it represents a very small share of the total amount of energy consumed by</w:t>
      </w:r>
      <w:r>
        <w:t xml:space="preserve"> </w:t>
      </w:r>
      <w:r>
        <w:t xml:space="preserve">the aviation sector by 2050 (see Figure 75). Note that the fuel mix in 2040 and 2050</w:t>
      </w:r>
      <w:r>
        <w:t xml:space="preserve"> </w:t>
      </w:r>
      <w:r>
        <w:t xml:space="preserve">differs between scenarios: S1 is the scenario showing the highest share of oil products</w:t>
      </w:r>
      <w:r>
        <w:t xml:space="preserve"> </w:t>
      </w:r>
      <w:r>
        <w:t xml:space="preserve">and the lowest shares of e-fuels and hydrogen, whereas S3 shows the lowest share of oil</w:t>
      </w:r>
      <w:r>
        <w:t xml:space="preserve"> </w:t>
      </w:r>
      <w:r>
        <w:t xml:space="preserve">products and the highest shares of e-fuels and hydrogen. The liquid biofuel shares in</w:t>
      </w:r>
      <w:r>
        <w:t xml:space="preserve"> </w:t>
      </w:r>
      <w:r>
        <w:t xml:space="preserve">2040 and 2050, instead, are almost the same across scenarios.</w:t>
      </w:r>
      <w:r>
        <w:br/>
      </w:r>
      <w:r>
        <w:t xml:space="preserve">It is important to remark that the aviation fuel blend (excluding electricity and hydrogen)</w:t>
      </w:r>
      <w:r>
        <w:t xml:space="preserve"> </w:t>
      </w:r>
      <w:r>
        <w:t xml:space="preserve">is projected to have a considerably lower carbon intensity in 2040 and 2050 than in 2015,</w:t>
      </w:r>
      <w:r>
        <w:t xml:space="preserve"> </w:t>
      </w:r>
      <w:r>
        <w:t xml:space="preserve">mainly because of the increased consumption of liquid biofuels and e-fuels relative to</w:t>
      </w:r>
      <w:r>
        <w:t xml:space="preserve"> </w:t>
      </w:r>
      <w:r>
        <w:t xml:space="preserve">fossil fuels. There are significant differences between scenarios; more specifically, the</w:t>
      </w:r>
      <w:r>
        <w:t xml:space="preserve"> </w:t>
      </w:r>
      <w:r>
        <w:t xml:space="preserve">carbon intensities are highest in the S1 scenario (34% lower intensity in 2040 than in</w:t>
      </w:r>
    </w:p>
    <w:p>
      <w:pPr>
        <w:pStyle w:val="Compact"/>
        <w:numPr>
          <w:ilvl w:val="0"/>
          <w:numId w:val="1061"/>
        </w:numPr>
      </w:pPr>
      <w:r>
        <w:t xml:space="preserve">Projections made by other studies also show an increasing use of zero- and low-emission fuels over</w:t>
      </w:r>
      <w:r>
        <w:t xml:space="preserve"> </w:t>
      </w:r>
      <w:r>
        <w:t xml:space="preserve">the next decades. For instance, IEA’s ‘Net Zero Road Map’ (2023 update) projects an increase in the</w:t>
      </w:r>
      <w:r>
        <w:t xml:space="preserve"> </w:t>
      </w:r>
      <w:r>
        <w:t xml:space="preserve">use of sustainable aviation fuels (SAF) at global level, with biofuels representing 10% and 33% of the</w:t>
      </w:r>
      <w:r>
        <w:t xml:space="preserve"> </w:t>
      </w:r>
      <w:r>
        <w:t xml:space="preserve">energy consumed in 2030 and 2050, respectively, and synthetic hydrogen-based fuels representing 1%</w:t>
      </w:r>
      <w:r>
        <w:t xml:space="preserve"> </w:t>
      </w:r>
      <w:r>
        <w:t xml:space="preserve">in 2030 and 37% in 2050. Similarly, both DNV’s ‘Energy Transition Outlook 2023’ and ITF’s</w:t>
      </w:r>
      <w:r>
        <w:t xml:space="preserve"> </w:t>
      </w:r>
      <w:r>
        <w:t xml:space="preserve">‘Decarbonising Air Transport’ (published in 2021) expect a large uptake of sustainable aviation fuels</w:t>
      </w:r>
      <w:r>
        <w:t xml:space="preserve"> </w:t>
      </w:r>
      <w:r>
        <w:t xml:space="preserve">(biofuels and e-fuels) over the next decades, which will play a key role in decarbonising air transport</w:t>
      </w:r>
      <w:r>
        <w:t xml:space="preserve"> </w:t>
      </w:r>
      <w:r>
        <w:t xml:space="preserve">(together with technological and operational measures to improve energy efficiency, which will play a</w:t>
      </w:r>
      <w:r>
        <w:t xml:space="preserve"> </w:t>
      </w:r>
      <w:r>
        <w:t xml:space="preserve">smaller role).</w:t>
      </w:r>
    </w:p>
    <w:p>
      <w:pPr>
        <w:pStyle w:val="FirstParagraph"/>
      </w:pPr>
      <w:r>
        <w:t xml:space="preserve">97</w:t>
      </w:r>
    </w:p>
    <w:p>
      <w:pPr>
        <w:pStyle w:val="BodyText"/>
      </w:pPr>
      <w:r>
        <w:t xml:space="preserve">2015, and 70% lower intensity in 2050 than in 2015) and lowest in the S3 scenario (37%</w:t>
      </w:r>
      <w:r>
        <w:t xml:space="preserve"> </w:t>
      </w:r>
      <w:r>
        <w:t xml:space="preserve">lower intensity in 2040 than in 2015, and 74% lower intensity in 2050 than in 2015).</w:t>
      </w:r>
      <w:r>
        <w:t xml:space="preserve"> </w:t>
      </w:r>
      <w:r>
        <w:t xml:space="preserve">In LIFE, the total amount of energy consumed by the aviation sector increases over time</w:t>
      </w:r>
      <w:r>
        <w:t xml:space="preserve"> </w:t>
      </w:r>
      <w:r>
        <w:t xml:space="preserve">less than in the core scenarios, mainly because of lower levels of air transport activity, as</w:t>
      </w:r>
      <w:r>
        <w:t xml:space="preserve"> </w:t>
      </w:r>
      <w:r>
        <w:t xml:space="preserve">explained in Section 1.5.2. In LIFE, total energy consumption is 6% higher in 2040 and</w:t>
      </w:r>
      <w:r>
        <w:t xml:space="preserve"> </w:t>
      </w:r>
      <w:r>
        <w:t xml:space="preserve">0.5% higher in 2050 relative to 2015 (i.e., 11 percentage points less than in the main</w:t>
      </w:r>
      <w:r>
        <w:t xml:space="preserve"> </w:t>
      </w:r>
      <w:r>
        <w:t xml:space="preserve">scenarios in 2040, and 16-17 pp less in 2050), as shown in Figure 75. However, the</w:t>
      </w:r>
      <w:r>
        <w:t xml:space="preserve"> </w:t>
      </w:r>
      <w:r>
        <w:t xml:space="preserve">energy efficiency of air transport (expressed in toe/pkm) is very similar in all scenarios.</w:t>
      </w:r>
      <w:r>
        <w:t xml:space="preserve"> </w:t>
      </w:r>
      <w:r>
        <w:t xml:space="preserve">Furthermore, the fuel mix in LIFE is similar to that of the S3 scenario (in relative terms),</w:t>
      </w:r>
      <w:r>
        <w:t xml:space="preserve"> </w:t>
      </w:r>
      <w:r>
        <w:t xml:space="preserve">although showing a somewhat lower uptake of hydrogen.</w:t>
      </w:r>
      <w:r>
        <w:t xml:space="preserve"> </w:t>
      </w:r>
      <w:r>
        <w:t xml:space="preserve">Figure 75: EU energy consumption in aviation by fuel/energy carrier type</w:t>
      </w:r>
    </w:p>
    <w:p>
      <w:pPr>
        <w:pStyle w:val="BodyText"/>
      </w:pPr>
      <w:r>
        <w:t xml:space="preserve">Note: Energy consumption including domestic and international (intra-EU and extra-EU) aviation.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1.5.5. CO2 emissions from transport</w:t>
      </w:r>
      <w:r>
        <w:t xml:space="preserve"> </w:t>
      </w:r>
      <w:r>
        <w:t xml:space="preserve">Direct CO2 emissions from the EU transport sector are projected to decrease</w:t>
      </w:r>
      <w:r>
        <w:t xml:space="preserve"> </w:t>
      </w:r>
      <w:r>
        <w:t xml:space="preserve">dramatically between 2015 and 2050, especially after 2030. It should be noted that this</w:t>
      </w:r>
      <w:r>
        <w:t xml:space="preserve"> </w:t>
      </w:r>
      <w:r>
        <w:t xml:space="preserve">occurs within a context of increased transport activity (see Section 1.5.2). Even so,</w:t>
      </w:r>
      <w:r>
        <w:t xml:space="preserve"> </w:t>
      </w:r>
      <w:r>
        <w:t xml:space="preserve">emissions drop because of a sharp decline in fossil fuel consumption, which is mainly</w:t>
      </w:r>
      <w:r>
        <w:t xml:space="preserve"> </w:t>
      </w:r>
      <w:r>
        <w:t xml:space="preserve">caused by a decrease in energy consumption in the transport sector (resulting mainly</w:t>
      </w:r>
      <w:r>
        <w:t xml:space="preserve"> </w:t>
      </w:r>
      <w:r>
        <w:t xml:space="preserve">from electrification and measures to improve energy efficiency) combined with an</w:t>
      </w:r>
      <w:r>
        <w:t xml:space="preserve"> </w:t>
      </w:r>
      <w:r>
        <w:t xml:space="preserve">increased use of zero- and low-emission energy carriers, i.e., electricity, hydrogen, liquid</w:t>
      </w:r>
      <w:r>
        <w:t xml:space="preserve"> </w:t>
      </w:r>
      <w:r>
        <w:t xml:space="preserve">biofuels, biogas and e-fuels (see Section 1.5.3). As a result of the latter, the carbon</w:t>
      </w:r>
      <w:r>
        <w:t xml:space="preserve"> </w:t>
      </w:r>
      <w:r>
        <w:t xml:space="preserve">intensity (expressed in tCO2/toe) of all the energy carriers employed in the transport</w:t>
      </w:r>
      <w:r>
        <w:t xml:space="preserve"> </w:t>
      </w:r>
      <w:r>
        <w:t xml:space="preserve">sector taken together decreases by more than 90% between 2015 and 2050 in all</w:t>
      </w:r>
      <w:r>
        <w:t xml:space="preserve"> </w:t>
      </w:r>
      <w:r>
        <w:t xml:space="preserve">scenarios.</w:t>
      </w:r>
      <w:r>
        <w:br/>
      </w:r>
      <w:r>
        <w:t xml:space="preserve">As shown in Figure 76, in the S1, S2 and S3 scenarios, the total CO2 emissions from the</w:t>
      </w:r>
      <w:r>
        <w:t xml:space="preserve"> </w:t>
      </w:r>
      <w:r>
        <w:t xml:space="preserve">EU transport sector (including international navigation and aviation) are projected to</w:t>
      </w:r>
      <w:r>
        <w:t xml:space="preserve"> </w:t>
      </w:r>
      <w:r>
        <w:t xml:space="preserve">drop from almost 1000 MtCO2 in 2015 to 37-46 MtCO2 (depending on the scenario) in</w:t>
      </w:r>
      <w:r>
        <w:t xml:space="preserve"> </w:t>
      </w:r>
      <w:r>
        <w:t xml:space="preserve">2050, i.e., a 95-96% reduction. It should be noted that, in 2015, almost 74% of the</w:t>
      </w:r>
      <w:r>
        <w:t xml:space="preserve"> </w:t>
      </w:r>
      <w:r>
        <w:t xml:space="preserve">transport-related CO2 emissions were caused by road transport; instead, roughly 90% of</w:t>
      </w:r>
      <w:r>
        <w:t xml:space="preserve"> </w:t>
      </w:r>
      <w:r>
        <w:t xml:space="preserve">the emissions remaining in 2050 are projected to come from the aviation sector,</w:t>
      </w:r>
      <w:r>
        <w:t xml:space="preserve"> </w:t>
      </w:r>
      <w:r>
        <w:t xml:space="preserve">particularly from the international aviation sector. In 2040, the total amount of transport-</w:t>
      </w:r>
      <w:r>
        <w:t xml:space="preserve"> </w:t>
      </w:r>
      <w:r>
        <w:t xml:space="preserve">related emissions differs significantly between scenarios (see Figure 76 and Figure 77):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45</w:t>
      </w:r>
      <w:r>
        <w:t xml:space="preserve"> </w:t>
      </w:r>
      <w:r>
        <w:t xml:space="preserve">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Electricity</w:t>
      </w:r>
      <w:r>
        <w:t xml:space="preserve"> </w:t>
      </w:r>
      <w:r>
        <w:t xml:space="preserve">Hydrogen</w:t>
      </w:r>
      <w:r>
        <w:t xml:space="preserve"> </w:t>
      </w:r>
      <w:r>
        <w:t xml:space="preserve">E-Liquids</w:t>
      </w:r>
      <w:r>
        <w:t xml:space="preserve"> </w:t>
      </w:r>
      <w:r>
        <w:t xml:space="preserve">Liquid Biofuels</w:t>
      </w:r>
      <w:r>
        <w:t xml:space="preserve"> </w:t>
      </w:r>
      <w:r>
        <w:t xml:space="preserve">Oil Products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310 MtCO2 in the S1 scenario (i.e., a 69% reduction relative to 2015), 252 MtCO2 in the</w:t>
      </w:r>
      <w:r>
        <w:t xml:space="preserve"> </w:t>
      </w:r>
      <w:r>
        <w:t xml:space="preserve">S2 scenario (-75% compared to 2015), and 219 MtCO2 in the S3 scenario (-78%</w:t>
      </w:r>
      <w:r>
        <w:t xml:space="preserve"> </w:t>
      </w:r>
      <w:r>
        <w:t xml:space="preserve">compared to 2015). Relative to 1990, this means CO2 emissions reductions of 62% in</w:t>
      </w:r>
      <w:r>
        <w:t xml:space="preserve"> </w:t>
      </w:r>
      <w:r>
        <w:t xml:space="preserve">S1, 69% in S2 and 73% in S3 by 2040. Emissions are lower in S2 compared to S1, and in</w:t>
      </w:r>
      <w:r>
        <w:t xml:space="preserve"> </w:t>
      </w:r>
      <w:r>
        <w:t xml:space="preserve">S3 compared to S2, mainly because of a greater consumption of e-fuels, hydrogen and</w:t>
      </w:r>
      <w:r>
        <w:t xml:space="preserve"> </w:t>
      </w:r>
      <w:r>
        <w:t xml:space="preserve">electricity taken together, which replace fossil fuels (see Figure 66).</w:t>
      </w:r>
      <w:r>
        <w:t xml:space="preserve"> </w:t>
      </w:r>
      <w:r>
        <w:t xml:space="preserve">In the S1, S2 and S3 scenarios, emissions from road and rail transport decrease by 77-</w:t>
      </w:r>
      <w:r>
        <w:t xml:space="preserve"> </w:t>
      </w:r>
      <w:r>
        <w:t xml:space="preserve">86% and 62-78% in 2040 compared to 2015, respectively, and they are almost fully</w:t>
      </w:r>
      <w:r>
        <w:t xml:space="preserve"> </w:t>
      </w:r>
      <w:r>
        <w:t xml:space="preserve">eliminated by 2050 (see Figure 76 and Figure 77). In 2040, both modes show the highest</w:t>
      </w:r>
      <w:r>
        <w:t xml:space="preserve"> </w:t>
      </w:r>
      <w:r>
        <w:t xml:space="preserve">level of emissions in the S1 scenario, and the lowest level in the S3 scenario. These</w:t>
      </w:r>
      <w:r>
        <w:t xml:space="preserve"> </w:t>
      </w:r>
      <w:r>
        <w:t xml:space="preserve">emissions reductions are driven mostly by large-scale electrification combined with a</w:t>
      </w:r>
      <w:r>
        <w:t xml:space="preserve"> </w:t>
      </w:r>
      <w:r>
        <w:t xml:space="preserve">switch to zero- and low-emission fuels (i.e., advanced liquid biofuels, biogas and e-fuels)</w:t>
      </w:r>
      <w:r>
        <w:t xml:space="preserve"> </w:t>
      </w:r>
      <w:r>
        <w:t xml:space="preserve">to power the remaining internal-combustion engine vehicles and rolling stock (see</w:t>
      </w:r>
      <w:r>
        <w:t xml:space="preserve"> </w:t>
      </w:r>
      <w:r>
        <w:t xml:space="preserve">Sections 1.5.4.1 to 1.5.4.4). As shown in Figure 76 and Figure 77, direct emissions from</w:t>
      </w:r>
      <w:r>
        <w:t xml:space="preserve"> </w:t>
      </w:r>
      <w:r>
        <w:t xml:space="preserve">the international navigation sector decrease by 68-81% in 2040 compared to 2015 and</w:t>
      </w:r>
      <w:r>
        <w:t xml:space="preserve"> </w:t>
      </w:r>
      <w:r>
        <w:t xml:space="preserve">they are almost fully eliminated by 2050. The aviation sector (including both domestic</w:t>
      </w:r>
      <w:r>
        <w:t xml:space="preserve"> </w:t>
      </w:r>
      <w:r>
        <w:t xml:space="preserve">and international air transport) is projected to reduce its CO2 emissions by 23-28% in</w:t>
      </w:r>
      <w:r>
        <w:t xml:space="preserve"> </w:t>
      </w:r>
      <w:r>
        <w:t xml:space="preserve">2040 and 65-72% in 2050 relative to 2015, thanks mainly to the uptake of SAF as a</w:t>
      </w:r>
      <w:r>
        <w:t xml:space="preserve"> </w:t>
      </w:r>
      <w:r>
        <w:t xml:space="preserve">major emissions reduction driver. In 2040, both modes show the highest level of</w:t>
      </w:r>
      <w:r>
        <w:t xml:space="preserve"> </w:t>
      </w:r>
      <w:r>
        <w:t xml:space="preserve">emissions in the S1 scenario and the lowest level in the S3 scenario. The emissions</w:t>
      </w:r>
      <w:r>
        <w:t xml:space="preserve"> </w:t>
      </w:r>
      <w:r>
        <w:t xml:space="preserve">reductions in the maritime and air transport sectors are driven mainly by the uptake of</w:t>
      </w:r>
      <w:r>
        <w:t xml:space="preserve"> </w:t>
      </w:r>
      <w:r>
        <w:t xml:space="preserve">zero- and low-emission fuels and the deployment of zero-emission airplanes and vessels,</w:t>
      </w:r>
      <w:r>
        <w:t xml:space="preserve"> </w:t>
      </w:r>
      <w:r>
        <w:t xml:space="preserve">along with further improvements in energy efficiency (see Sections 1.5.4.6 and 1.5.4.7).</w:t>
      </w:r>
      <w:r>
        <w:t xml:space="preserve"> </w:t>
      </w:r>
      <w:r>
        <w:t xml:space="preserve">If one analyses domestic and international transport emissions separately, domestic</w:t>
      </w:r>
      <w:r>
        <w:t xml:space="preserve"> </w:t>
      </w:r>
      <w:r>
        <w:t xml:space="preserve">transport emissions decrease by 76-85% in 2040 compared to 2015 and they reach very</w:t>
      </w:r>
      <w:r>
        <w:t xml:space="preserve"> </w:t>
      </w:r>
      <w:r>
        <w:t xml:space="preserve">low levels in 2050, whereas international transport emissions (including navigation and</w:t>
      </w:r>
      <w:r>
        <w:t xml:space="preserve"> </w:t>
      </w:r>
      <w:r>
        <w:t xml:space="preserve">aviation) decrease by 47-56% in 2040 and by 84-87% in 2050 compared to 2015.</w:t>
      </w:r>
      <w:r>
        <w:t xml:space="preserve"> </w:t>
      </w:r>
      <w:r>
        <w:t xml:space="preserve">However, as already mentioned above, in 2050, most emissions are caused by</w:t>
      </w:r>
      <w:r>
        <w:t xml:space="preserve"> </w:t>
      </w:r>
      <w:r>
        <w:t xml:space="preserve">international air transport, while the international navigation sector is fully decarbonised.</w:t>
      </w:r>
      <w:r>
        <w:t xml:space="preserve"> </w:t>
      </w:r>
      <w:r>
        <w:t xml:space="preserve">In LIFE, which is designed to meet the same climate target in 2040 as the S3 scenario,</w:t>
      </w:r>
      <w:r>
        <w:t xml:space="preserve"> </w:t>
      </w:r>
      <w:r>
        <w:t xml:space="preserve">transport-related CO2 emissions are in between those observed in S2 and S3 (although</w:t>
      </w:r>
      <w:r>
        <w:t xml:space="preserve"> </w:t>
      </w:r>
      <w:r>
        <w:t xml:space="preserve">closer to S3) in 2040 (226 MtCO2) (132), and similar to those observed in the other</w:t>
      </w:r>
      <w:r>
        <w:t xml:space="preserve"> </w:t>
      </w:r>
      <w:r>
        <w:t xml:space="preserve">scenarios in 2050 (35 MtCO2). This is driven by a combination of two factors: a) lower</w:t>
      </w:r>
      <w:r>
        <w:t xml:space="preserve"> </w:t>
      </w:r>
      <w:r>
        <w:t xml:space="preserve">energy consumption compared to the S2 and S3 scenarios, which is caused by a different</w:t>
      </w:r>
      <w:r>
        <w:t xml:space="preserve"> </w:t>
      </w:r>
      <w:r>
        <w:t xml:space="preserve">transport activity pattern including a higher modal shift to rail and to active modes; b) a</w:t>
      </w:r>
      <w:r>
        <w:t xml:space="preserve"> </w:t>
      </w:r>
      <w:r>
        <w:t xml:space="preserve">fuel mix combining characteristics from S2 and S3 (see Sections 1.5.2 and 1.5.3).</w:t>
      </w:r>
      <w:r>
        <w:br/>
      </w:r>
      <w:r>
        <w:t xml:space="preserve">In addition to the above, it should be noted that the transport sector also has significant</w:t>
      </w:r>
      <w:r>
        <w:t xml:space="preserve"> </w:t>
      </w:r>
      <w:r>
        <w:t xml:space="preserve">non-CO2-related impacts on the climate. These effects are caused by emissions of non-</w:t>
      </w:r>
      <w:r>
        <w:t xml:space="preserve"> </w:t>
      </w:r>
      <w:r>
        <w:t xml:space="preserve">CO2 greenhouse gases such as methane and nitrogen oxides, but also by emissions of</w:t>
      </w:r>
      <w:r>
        <w:t xml:space="preserve"> </w:t>
      </w:r>
      <w:r>
        <w:t xml:space="preserve">black carbon from maritime transport, and various types of particles from air transport</w:t>
      </w:r>
      <w:r>
        <w:t xml:space="preserve"> </w:t>
      </w:r>
      <w:r>
        <w:t xml:space="preserve">causing the formation of contrail cirrus. Methane and nitrous oxides emissions from the</w:t>
      </w:r>
    </w:p>
    <w:p>
      <w:pPr>
        <w:pStyle w:val="Compact"/>
        <w:numPr>
          <w:ilvl w:val="0"/>
          <w:numId w:val="1062"/>
        </w:numPr>
      </w:pPr>
      <w:r>
        <w:t xml:space="preserve">Although S3 and LIFE are designed to meet the same climate target in 2040, transport-related CO2</w:t>
      </w:r>
      <w:r>
        <w:t xml:space="preserve"> </w:t>
      </w:r>
      <w:r>
        <w:t xml:space="preserve">emissions are higher in LIFE. Other sectors (e.g., agriculture) have lower GHG emissions in LIFE than</w:t>
      </w:r>
      <w:r>
        <w:t xml:space="preserve"> </w:t>
      </w:r>
      <w:r>
        <w:t xml:space="preserve">in S3, which compensates for the higher transport-related CO2 emissions.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EU transport sector are presented in Section 1.6. Other non-CO2 effects are not</w:t>
      </w:r>
      <w:r>
        <w:t xml:space="preserve"> </w:t>
      </w:r>
      <w:r>
        <w:t xml:space="preserve">quantified in this impact assessment, but they are discussed in Annex 12.</w:t>
      </w:r>
    </w:p>
    <w:p>
      <w:pPr>
        <w:pStyle w:val="BodyText"/>
      </w:pPr>
      <w:r>
        <w:t xml:space="preserve">Figure 76: Direct CO2 emissions from the EU transport sector by mode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Figure 77: Change in EU transport direct CO2 emissions between 2015 and 2040 by mode</w:t>
      </w:r>
    </w:p>
    <w:p>
      <w:pPr>
        <w:pStyle w:val="BodyText"/>
      </w:pPr>
      <w:r>
        <w:t xml:space="preserve">Source: PRIMES.</w:t>
      </w:r>
    </w:p>
    <w:p>
      <w:pPr>
        <w:pStyle w:val="BodyText"/>
      </w:pPr>
      <w:r>
        <w:t xml:space="preserve">1.6.</w:t>
      </w:r>
      <w:r>
        <w:t xml:space="preserve"> </w:t>
      </w:r>
      <w:r>
        <w:t xml:space="preserve">Non-CO2 GHG emissions in non-land-related sectors</w:t>
      </w:r>
      <w:r>
        <w:t xml:space="preserve"> </w:t>
      </w:r>
      <w:r>
        <w:t xml:space="preserve">1.6.1. Evolution of emissions without additional mitigation</w:t>
      </w:r>
      <w:r>
        <w:t xml:space="preserve"> </w:t>
      </w:r>
      <w:r>
        <w:t xml:space="preserve">For non-land-related sectors, the concept of “non-CO2 GHG emissions without</w:t>
      </w:r>
      <w:r>
        <w:t xml:space="preserve"> </w:t>
      </w:r>
      <w:r>
        <w:t xml:space="preserve">additional mitigation” refers to the emissions trajectory resulting from applying a carbon</w:t>
      </w:r>
      <w:r>
        <w:t xml:space="preserve"> </w:t>
      </w:r>
      <w:r>
        <w:t xml:space="preserve">value equal to zero to non-CO2 GHG emissions up to 2050. Thus, this emissions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1100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 CO2</w:t>
      </w:r>
      <w:r>
        <w:t xml:space="preserve"> </w:t>
      </w:r>
      <w:r>
        <w:t xml:space="preserve">International aviation</w:t>
      </w:r>
      <w:r>
        <w:t xml:space="preserve"> </w:t>
      </w:r>
      <w:r>
        <w:t xml:space="preserve">International navigation</w:t>
      </w:r>
      <w:r>
        <w:t xml:space="preserve"> </w:t>
      </w:r>
      <w:r>
        <w:t xml:space="preserve">Domestic aviation</w:t>
      </w:r>
      <w:r>
        <w:t xml:space="preserve"> </w:t>
      </w:r>
      <w:r>
        <w:t xml:space="preserve">Domestic navigation</w:t>
      </w:r>
      <w:r>
        <w:t xml:space="preserve"> </w:t>
      </w:r>
      <w:r>
        <w:t xml:space="preserve">Rail</w:t>
      </w:r>
      <w:r>
        <w:t xml:space="preserve"> </w:t>
      </w:r>
      <w:r>
        <w:t xml:space="preserve">Other road transport</w:t>
      </w:r>
      <w:r>
        <w:t xml:space="preserve"> </w:t>
      </w:r>
      <w:r>
        <w:t xml:space="preserve">Heavy Goods Vehicles</w:t>
      </w:r>
      <w:r>
        <w:t xml:space="preserve"> </w:t>
      </w:r>
      <w:r>
        <w:t xml:space="preserve">Vans</w:t>
      </w:r>
      <w:r>
        <w:t xml:space="preserve"> </w:t>
      </w:r>
      <w:r>
        <w:t xml:space="preserve">Passenger cars</w:t>
      </w:r>
      <w:r>
        <w:t xml:space="preserve"> </w:t>
      </w:r>
      <w:r>
        <w:t xml:space="preserve">-100%</w:t>
      </w:r>
      <w:r>
        <w:t xml:space="preserve"> </w:t>
      </w:r>
      <w:r>
        <w:t xml:space="preserve">-90%</w:t>
      </w:r>
      <w:r>
        <w:t xml:space="preserve"> </w:t>
      </w:r>
      <w:r>
        <w:t xml:space="preserve">-80%</w:t>
      </w:r>
      <w:r>
        <w:t xml:space="preserve"> </w:t>
      </w:r>
      <w:r>
        <w:t xml:space="preserve">-70%</w:t>
      </w:r>
      <w:r>
        <w:t xml:space="preserve"> </w:t>
      </w:r>
      <w:r>
        <w:t xml:space="preserve">-60%</w:t>
      </w:r>
      <w:r>
        <w:t xml:space="preserve"> </w:t>
      </w:r>
      <w:r>
        <w:t xml:space="preserve">-50%</w:t>
      </w:r>
      <w:r>
        <w:t xml:space="preserve"> </w:t>
      </w:r>
      <w:r>
        <w:t xml:space="preserve">-40%</w:t>
      </w:r>
      <w:r>
        <w:t xml:space="preserve"> </w:t>
      </w:r>
      <w:r>
        <w:t xml:space="preserve">-30%</w:t>
      </w:r>
      <w:r>
        <w:t xml:space="preserve"> </w:t>
      </w:r>
      <w:r>
        <w:t xml:space="preserve">-20%</w:t>
      </w:r>
      <w:r>
        <w:t xml:space="preserve"> </w:t>
      </w:r>
      <w:r>
        <w:t xml:space="preserve">-10%</w:t>
      </w:r>
      <w:r>
        <w:t xml:space="preserve"> </w:t>
      </w:r>
      <w:r>
        <w:t xml:space="preserve">0%</w:t>
      </w:r>
      <w:r>
        <w:t xml:space="preserve"> </w:t>
      </w:r>
      <w:r>
        <w:t xml:space="preserve">Total</w:t>
      </w:r>
      <w:r>
        <w:t xml:space="preserve"> </w:t>
      </w:r>
      <w:r>
        <w:t xml:space="preserve">Road</w:t>
      </w:r>
      <w:r>
        <w:t xml:space="preserve"> </w:t>
      </w:r>
      <w:r>
        <w:t xml:space="preserve">transport</w:t>
      </w:r>
      <w:r>
        <w:t xml:space="preserve"> </w:t>
      </w:r>
      <w:r>
        <w:t xml:space="preserve">Rail</w:t>
      </w:r>
      <w:r>
        <w:t xml:space="preserve"> </w:t>
      </w:r>
      <w:r>
        <w:t xml:space="preserve">Domestic</w:t>
      </w:r>
      <w:r>
        <w:t xml:space="preserve"> </w:t>
      </w:r>
      <w:r>
        <w:t xml:space="preserve">navigation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navigation</w:t>
      </w:r>
      <w:r>
        <w:t xml:space="preserve"> </w:t>
      </w:r>
      <w:r>
        <w:t xml:space="preserve">Domestic</w:t>
      </w:r>
      <w:r>
        <w:t xml:space="preserve"> </w:t>
      </w:r>
      <w:r>
        <w:t xml:space="preserve">aviation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aviation</w:t>
      </w:r>
      <w:r>
        <w:t xml:space="preserve"> </w:t>
      </w:r>
      <w:r>
        <w:t xml:space="preserve">Change 2015-2040 (%)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trajectory results solely from the combination of the following two types of drivers for</w:t>
      </w:r>
      <w:r>
        <w:t xml:space="preserve"> </w:t>
      </w:r>
      <w:r>
        <w:t xml:space="preserve">emissions reductions: a) transformation of the energy system on its way to meet climate</w:t>
      </w:r>
      <w:r>
        <w:t xml:space="preserve"> </w:t>
      </w:r>
      <w:r>
        <w:t xml:space="preserve">neutrality by 2050; and b) relevant existing and proposed legislation, particularly the</w:t>
      </w:r>
      <w:r>
        <w:t xml:space="preserve"> </w:t>
      </w:r>
      <w:r>
        <w:t xml:space="preserve">Landfill Directive (133), the Waste Framework Directive (134), and the proposals for a</w:t>
      </w:r>
      <w:r>
        <w:t xml:space="preserve"> </w:t>
      </w:r>
      <w:r>
        <w:t xml:space="preserve">regulation to reduce methane emissions in the energy sector (135), a revised Urban</w:t>
      </w:r>
      <w:r>
        <w:t xml:space="preserve"> </w:t>
      </w:r>
      <w:r>
        <w:t xml:space="preserve">Wastewater Treatment Directive (136) and a revised F-gas regulation (137). In this impact</w:t>
      </w:r>
      <w:r>
        <w:t xml:space="preserve"> </w:t>
      </w:r>
      <w:r>
        <w:t xml:space="preserve">assessment, the non-CO2 GHG emissions without additional mitigation in the non-land-</w:t>
      </w:r>
      <w:r>
        <w:t xml:space="preserve"> </w:t>
      </w:r>
      <w:r>
        <w:t xml:space="preserve">related sectors are assumed to be the same in all scenarios. There is, however, significant</w:t>
      </w:r>
      <w:r>
        <w:t xml:space="preserve"> </w:t>
      </w:r>
      <w:r>
        <w:t xml:space="preserve">mitigation potential beyond this level of emissions. This additional mitigation potential is</w:t>
      </w:r>
      <w:r>
        <w:t xml:space="preserve"> </w:t>
      </w:r>
      <w:r>
        <w:t xml:space="preserve">discussed in Section 1.6.2.</w:t>
      </w:r>
      <w:r>
        <w:br/>
      </w:r>
      <w:r>
        <w:t xml:space="preserve">The non-CO2 GHG emissions without additional mitigation corresponding to all non-</w:t>
      </w:r>
      <w:r>
        <w:t xml:space="preserve"> </w:t>
      </w:r>
      <w:r>
        <w:t xml:space="preserve">land-related sectors taken together equal 116 MtCO2-eq in 2040, which represents a 65%</w:t>
      </w:r>
      <w:r>
        <w:t xml:space="preserve"> </w:t>
      </w:r>
      <w:r>
        <w:t xml:space="preserve">reduction relative to 2015 levels. The degree of reduction varies across sectors (see Table</w:t>
      </w:r>
      <w:r>
        <w:t xml:space="preserve"> </w:t>
      </w:r>
      <w:r>
        <w:t xml:space="preserve">10), but all of them reduce their non-CO2 GHG emissions by more than 40% in 2040</w:t>
      </w:r>
      <w:r>
        <w:t xml:space="preserve"> </w:t>
      </w:r>
      <w:r>
        <w:t xml:space="preserve">compared to 2015. In the energy and transport sector, non-CO2 GHG emissions drop by</w:t>
      </w:r>
      <w:r>
        <w:t xml:space="preserve"> </w:t>
      </w:r>
      <w:r>
        <w:t xml:space="preserve">71% in 2040 compared to 2015. Heating and cooling is the sector showing the largest</w:t>
      </w:r>
      <w:r>
        <w:t xml:space="preserve"> </w:t>
      </w:r>
      <w:r>
        <w:t xml:space="preserve">decline in emissions (97% reduction in 2040 relative to 2015, close to the maximum</w:t>
      </w:r>
      <w:r>
        <w:t xml:space="preserve"> </w:t>
      </w:r>
      <w:r>
        <w:t xml:space="preserve">mitigation potential), mainly due to the impact of the proposal for a revised F-gas</w:t>
      </w:r>
      <w:r>
        <w:t xml:space="preserve"> </w:t>
      </w:r>
      <w:r>
        <w:t xml:space="preserve">regulation. Finally, in industry and other sectors, emissions decrease by 50% over the</w:t>
      </w:r>
      <w:r>
        <w:t xml:space="preserve"> </w:t>
      </w:r>
      <w:r>
        <w:t xml:space="preserve">same period.</w:t>
      </w:r>
    </w:p>
    <w:p>
      <w:pPr>
        <w:pStyle w:val="Compact"/>
        <w:numPr>
          <w:ilvl w:val="0"/>
          <w:numId w:val="1063"/>
        </w:numPr>
      </w:pPr>
      <w:r>
        <w:t xml:space="preserve">Directive 1999/31/EC and Amending Directive (EU) 2018/850.</w:t>
      </w:r>
    </w:p>
    <w:p>
      <w:pPr>
        <w:pStyle w:val="Compact"/>
        <w:numPr>
          <w:ilvl w:val="0"/>
          <w:numId w:val="1063"/>
        </w:numPr>
      </w:pPr>
      <w:r>
        <w:t xml:space="preserve">Directive 2008/98/EC.</w:t>
      </w:r>
    </w:p>
    <w:p>
      <w:pPr>
        <w:pStyle w:val="Compact"/>
        <w:numPr>
          <w:ilvl w:val="0"/>
          <w:numId w:val="1063"/>
        </w:numPr>
      </w:pPr>
      <w:r>
        <w:t xml:space="preserve">COM(2021) 805 final.</w:t>
      </w:r>
    </w:p>
    <w:p>
      <w:pPr>
        <w:pStyle w:val="Compact"/>
        <w:numPr>
          <w:ilvl w:val="0"/>
          <w:numId w:val="1063"/>
        </w:numPr>
      </w:pPr>
      <w:r>
        <w:t xml:space="preserve">COM(2022) 541 final.</w:t>
      </w:r>
    </w:p>
    <w:p>
      <w:pPr>
        <w:pStyle w:val="Compact"/>
        <w:numPr>
          <w:ilvl w:val="0"/>
          <w:numId w:val="1063"/>
        </w:numPr>
      </w:pPr>
      <w:r>
        <w:t xml:space="preserve">COM(2022) 150 final.</w:t>
      </w:r>
    </w:p>
    <w:p>
      <w:pPr>
        <w:pStyle w:val="FirstParagraph"/>
      </w:pPr>
      <w:r>
        <w:t xml:space="preserve">101</w:t>
      </w:r>
    </w:p>
    <w:p>
      <w:pPr>
        <w:pStyle w:val="BodyText"/>
      </w:pPr>
      <w:r>
        <w:t xml:space="preserve">Table 10: Non-CO2 GHG emissions without add. mitigation in non-land-related sectors</w:t>
      </w:r>
    </w:p>
    <w:p>
      <w:pPr>
        <w:pStyle w:val="BodyText"/>
      </w:pPr>
      <w:r>
        <w:t xml:space="preserve">NON-CO2 GREENHOUSE GAS EMISSIONS (MTCO2-EQ)*</w:t>
      </w:r>
      <w:r>
        <w:t xml:space="preserve"> </w:t>
      </w:r>
      <w:r>
        <w:t xml:space="preserve">CHANGE IN EMISSIONS (%)</w:t>
      </w:r>
    </w:p>
    <w:p>
      <w:pPr>
        <w:pStyle w:val="BodyText"/>
      </w:pPr>
      <w:r>
        <w:t xml:space="preserve">2005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</w:t>
      </w:r>
      <w:r>
        <w:t xml:space="preserve"> </w:t>
      </w:r>
      <w:r>
        <w:t xml:space="preserve">30</w:t>
      </w:r>
      <w:r>
        <w:t xml:space="preserve"> </w:t>
      </w:r>
      <w:r>
        <w:t xml:space="preserve">2015-</w:t>
      </w:r>
      <w:r>
        <w:t xml:space="preserve"> </w:t>
      </w:r>
      <w:r>
        <w:t xml:space="preserve">40</w:t>
      </w:r>
      <w:r>
        <w:t xml:space="preserve"> </w:t>
      </w:r>
      <w:r>
        <w:t xml:space="preserve">2015-</w:t>
      </w:r>
      <w:r>
        <w:t xml:space="preserve"> </w:t>
      </w:r>
      <w:r>
        <w:t xml:space="preserve">50</w:t>
      </w:r>
      <w:r>
        <w:t xml:space="preserve"> </w:t>
      </w:r>
      <w:r>
        <w:t xml:space="preserve">Waste treatment**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145</w:t>
      </w:r>
      <w:r>
        <w:t xml:space="preserve"> </w:t>
      </w:r>
      <w:r>
        <w:t xml:space="preserve">109</w:t>
      </w:r>
      <w:r>
        <w:t xml:space="preserve"> </w:t>
      </w:r>
      <w:r>
        <w:t xml:space="preserve">78</w:t>
      </w:r>
      <w:r>
        <w:t xml:space="preserve"> </w:t>
      </w:r>
      <w:r>
        <w:t xml:space="preserve">59</w:t>
      </w:r>
      <w:r>
        <w:t xml:space="preserve"> </w:t>
      </w:r>
      <w:r>
        <w:t xml:space="preserve">47</w:t>
      </w:r>
      <w:r>
        <w:t xml:space="preserve"> </w:t>
      </w:r>
      <w:r>
        <w:t xml:space="preserve">-29%</w:t>
      </w:r>
      <w:r>
        <w:t xml:space="preserve"> </w:t>
      </w:r>
      <w:r>
        <w:t xml:space="preserve">-46%</w:t>
      </w:r>
      <w:r>
        <w:t xml:space="preserve"> </w:t>
      </w:r>
      <w:r>
        <w:t xml:space="preserve">-57%</w:t>
      </w:r>
      <w:r>
        <w:t xml:space="preserve"> </w:t>
      </w:r>
      <w:r>
        <w:t xml:space="preserve">N2O</w:t>
      </w:r>
      <w:r>
        <w:t xml:space="preserve"> </w:t>
      </w:r>
      <w:r>
        <w:t xml:space="preserve">10</w:t>
      </w:r>
      <w:r>
        <w:t xml:space="preserve"> </w:t>
      </w:r>
      <w:r>
        <w:t xml:space="preserve">9.2</w:t>
      </w:r>
      <w:r>
        <w:t xml:space="preserve"> </w:t>
      </w:r>
      <w:r>
        <w:t xml:space="preserve">9.2</w:t>
      </w:r>
      <w:r>
        <w:t xml:space="preserve"> </w:t>
      </w:r>
      <w:r>
        <w:t xml:space="preserve">9.1</w:t>
      </w:r>
      <w:r>
        <w:t xml:space="preserve"> </w:t>
      </w:r>
      <w:r>
        <w:t xml:space="preserve">9.1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155</w:t>
      </w:r>
      <w:r>
        <w:t xml:space="preserve"> </w:t>
      </w:r>
      <w:r>
        <w:t xml:space="preserve">118</w:t>
      </w:r>
      <w:r>
        <w:t xml:space="preserve"> </w:t>
      </w:r>
      <w:r>
        <w:t xml:space="preserve">87</w:t>
      </w:r>
      <w:r>
        <w:t xml:space="preserve"> </w:t>
      </w:r>
      <w:r>
        <w:t xml:space="preserve">68</w:t>
      </w:r>
      <w:r>
        <w:t xml:space="preserve"> </w:t>
      </w:r>
      <w:r>
        <w:t xml:space="preserve">56</w:t>
      </w:r>
      <w:r>
        <w:t xml:space="preserve"> </w:t>
      </w:r>
      <w:r>
        <w:t xml:space="preserve">-27%</w:t>
      </w:r>
      <w:r>
        <w:t xml:space="preserve"> </w:t>
      </w:r>
      <w:r>
        <w:t xml:space="preserve">-42%</w:t>
      </w:r>
      <w:r>
        <w:t xml:space="preserve"> </w:t>
      </w:r>
      <w:r>
        <w:t xml:space="preserve">-53%</w:t>
      </w:r>
      <w:r>
        <w:t xml:space="preserve"> </w:t>
      </w:r>
      <w:r>
        <w:t xml:space="preserve">Energy and transport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110</w:t>
      </w:r>
      <w:r>
        <w:t xml:space="preserve"> </w:t>
      </w:r>
      <w:r>
        <w:t xml:space="preserve">86</w:t>
      </w:r>
      <w:r>
        <w:t xml:space="preserve"> </w:t>
      </w:r>
      <w:r>
        <w:t xml:space="preserve">38</w:t>
      </w:r>
      <w:r>
        <w:t xml:space="preserve"> </w:t>
      </w:r>
      <w:r>
        <w:t xml:space="preserve">20</w:t>
      </w:r>
      <w:r>
        <w:t xml:space="preserve"> </w:t>
      </w:r>
      <w:r>
        <w:t xml:space="preserve">14</w:t>
      </w:r>
      <w:r>
        <w:t xml:space="preserve"> </w:t>
      </w:r>
      <w:r>
        <w:t xml:space="preserve">-56%</w:t>
      </w:r>
      <w:r>
        <w:t xml:space="preserve"> </w:t>
      </w:r>
      <w:r>
        <w:t xml:space="preserve">-76%</w:t>
      </w:r>
      <w:r>
        <w:t xml:space="preserve"> </w:t>
      </w:r>
      <w:r>
        <w:t xml:space="preserve">-83%</w:t>
      </w:r>
      <w:r>
        <w:t xml:space="preserve"> </w:t>
      </w:r>
      <w:r>
        <w:t xml:space="preserve">N2O</w:t>
      </w:r>
      <w:r>
        <w:t xml:space="preserve"> </w:t>
      </w:r>
      <w:r>
        <w:t xml:space="preserve">24</w:t>
      </w:r>
      <w:r>
        <w:t xml:space="preserve"> </w:t>
      </w:r>
      <w:r>
        <w:t xml:space="preserve">23</w:t>
      </w:r>
      <w:r>
        <w:t xml:space="preserve"> </w:t>
      </w:r>
      <w:r>
        <w:t xml:space="preserve">18</w:t>
      </w:r>
      <w:r>
        <w:t xml:space="preserve"> </w:t>
      </w:r>
      <w:r>
        <w:t xml:space="preserve">11</w:t>
      </w:r>
      <w:r>
        <w:t xml:space="preserve"> </w:t>
      </w:r>
      <w:r>
        <w:t xml:space="preserve">8.1</w:t>
      </w:r>
      <w:r>
        <w:t xml:space="preserve"> </w:t>
      </w:r>
      <w:r>
        <w:t xml:space="preserve">-22%</w:t>
      </w:r>
      <w:r>
        <w:t xml:space="preserve"> </w:t>
      </w:r>
      <w:r>
        <w:t xml:space="preserve">-52%</w:t>
      </w:r>
      <w:r>
        <w:t xml:space="preserve"> </w:t>
      </w:r>
      <w:r>
        <w:t xml:space="preserve">-65%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135</w:t>
      </w:r>
      <w:r>
        <w:t xml:space="preserve"> </w:t>
      </w:r>
      <w:r>
        <w:t xml:space="preserve">109</w:t>
      </w:r>
      <w:r>
        <w:t xml:space="preserve"> </w:t>
      </w:r>
      <w:r>
        <w:t xml:space="preserve">56</w:t>
      </w:r>
      <w:r>
        <w:t xml:space="preserve"> </w:t>
      </w:r>
      <w:r>
        <w:t xml:space="preserve">31</w:t>
      </w:r>
      <w:r>
        <w:t xml:space="preserve"> </w:t>
      </w:r>
      <w:r>
        <w:t xml:space="preserve">23</w:t>
      </w:r>
      <w:r>
        <w:t xml:space="preserve"> </w:t>
      </w:r>
      <w:r>
        <w:t xml:space="preserve">-49%</w:t>
      </w:r>
      <w:r>
        <w:t xml:space="preserve"> </w:t>
      </w:r>
      <w:r>
        <w:t xml:space="preserve">-71%</w:t>
      </w:r>
      <w:r>
        <w:t xml:space="preserve"> </w:t>
      </w:r>
      <w:r>
        <w:t xml:space="preserve">-79%</w:t>
      </w:r>
      <w:r>
        <w:t xml:space="preserve"> </w:t>
      </w:r>
      <w:r>
        <w:t xml:space="preserve">Heating and cooling</w:t>
      </w:r>
    </w:p>
    <w:p>
      <w:pPr>
        <w:pStyle w:val="BodyText"/>
      </w:pPr>
      <w:r>
        <w:t xml:space="preserve">F-gases</w:t>
      </w:r>
      <w:r>
        <w:t xml:space="preserve"> </w:t>
      </w:r>
      <w:r>
        <w:t xml:space="preserve">43</w:t>
      </w:r>
      <w:r>
        <w:t xml:space="preserve"> </w:t>
      </w:r>
      <w:r>
        <w:t xml:space="preserve">76</w:t>
      </w:r>
      <w:r>
        <w:t xml:space="preserve"> </w:t>
      </w:r>
      <w:r>
        <w:t xml:space="preserve">21</w:t>
      </w:r>
      <w:r>
        <w:t xml:space="preserve"> </w:t>
      </w:r>
      <w:r>
        <w:t xml:space="preserve">2.6</w:t>
      </w:r>
      <w:r>
        <w:t xml:space="preserve"> </w:t>
      </w:r>
      <w:r>
        <w:t xml:space="preserve">0.7</w:t>
      </w:r>
      <w:r>
        <w:t xml:space="preserve"> </w:t>
      </w:r>
      <w:r>
        <w:t xml:space="preserve">-72%</w:t>
      </w:r>
      <w:r>
        <w:t xml:space="preserve"> </w:t>
      </w:r>
      <w:r>
        <w:t xml:space="preserve">-97%</w:t>
      </w:r>
      <w:r>
        <w:t xml:space="preserve"> </w:t>
      </w:r>
      <w:r>
        <w:t xml:space="preserve">-99%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43</w:t>
      </w:r>
      <w:r>
        <w:t xml:space="preserve"> </w:t>
      </w:r>
      <w:r>
        <w:t xml:space="preserve">76</w:t>
      </w:r>
      <w:r>
        <w:t xml:space="preserve"> </w:t>
      </w:r>
      <w:r>
        <w:t xml:space="preserve">21</w:t>
      </w:r>
      <w:r>
        <w:t xml:space="preserve"> </w:t>
      </w:r>
      <w:r>
        <w:t xml:space="preserve">2.6</w:t>
      </w:r>
      <w:r>
        <w:t xml:space="preserve"> </w:t>
      </w:r>
      <w:r>
        <w:t xml:space="preserve">0.7</w:t>
      </w:r>
      <w:r>
        <w:t xml:space="preserve"> </w:t>
      </w:r>
      <w:r>
        <w:t xml:space="preserve">-72%</w:t>
      </w:r>
      <w:r>
        <w:t xml:space="preserve"> </w:t>
      </w:r>
      <w:r>
        <w:t xml:space="preserve">-97%</w:t>
      </w:r>
      <w:r>
        <w:t xml:space="preserve"> </w:t>
      </w:r>
      <w:r>
        <w:t xml:space="preserve">-99%</w:t>
      </w:r>
      <w:r>
        <w:t xml:space="preserve"> </w:t>
      </w:r>
      <w:r>
        <w:t xml:space="preserve">Industry and other</w:t>
      </w:r>
    </w:p>
    <w:p>
      <w:pPr>
        <w:pStyle w:val="BodyText"/>
      </w:pPr>
      <w:r>
        <w:t xml:space="preserve">N2O</w:t>
      </w:r>
      <w:r>
        <w:t xml:space="preserve"> </w:t>
      </w:r>
      <w:r>
        <w:t xml:space="preserve">48</w:t>
      </w:r>
      <w:r>
        <w:t xml:space="preserve"> </w:t>
      </w:r>
      <w:r>
        <w:t xml:space="preserve">8.3</w:t>
      </w:r>
      <w:r>
        <w:t xml:space="preserve"> </w:t>
      </w:r>
      <w:r>
        <w:t xml:space="preserve">6.9</w:t>
      </w:r>
      <w:r>
        <w:t xml:space="preserve"> </w:t>
      </w:r>
      <w:r>
        <w:t xml:space="preserve">7.2</w:t>
      </w:r>
      <w:r>
        <w:t xml:space="preserve"> </w:t>
      </w:r>
      <w:r>
        <w:t xml:space="preserve">7.6</w:t>
      </w:r>
      <w:r>
        <w:t xml:space="preserve"> </w:t>
      </w:r>
      <w:r>
        <w:t xml:space="preserve">-16%</w:t>
      </w:r>
      <w:r>
        <w:t xml:space="preserve"> </w:t>
      </w:r>
      <w:r>
        <w:t xml:space="preserve">-13%</w:t>
      </w:r>
      <w:r>
        <w:t xml:space="preserve"> </w:t>
      </w:r>
      <w:r>
        <w:t xml:space="preserve">-8%</w:t>
      </w:r>
      <w:r>
        <w:t xml:space="preserve"> </w:t>
      </w:r>
      <w:r>
        <w:t xml:space="preserve">F-gases</w:t>
      </w:r>
      <w:r>
        <w:t xml:space="preserve"> </w:t>
      </w:r>
      <w:r>
        <w:t xml:space="preserve">28</w:t>
      </w:r>
      <w:r>
        <w:t xml:space="preserve"> </w:t>
      </w:r>
      <w:r>
        <w:t xml:space="preserve">18</w:t>
      </w:r>
      <w:r>
        <w:t xml:space="preserve"> </w:t>
      </w:r>
      <w:r>
        <w:t xml:space="preserve">8.9</w:t>
      </w:r>
      <w:r>
        <w:t xml:space="preserve"> </w:t>
      </w:r>
      <w:r>
        <w:t xml:space="preserve">6.1</w:t>
      </w:r>
      <w:r>
        <w:t xml:space="preserve"> </w:t>
      </w:r>
      <w:r>
        <w:t xml:space="preserve">6.8</w:t>
      </w:r>
      <w:r>
        <w:t xml:space="preserve"> </w:t>
      </w:r>
      <w:r>
        <w:t xml:space="preserve">-51%</w:t>
      </w:r>
      <w:r>
        <w:t xml:space="preserve"> </w:t>
      </w:r>
      <w:r>
        <w:t xml:space="preserve">-67%</w:t>
      </w:r>
      <w:r>
        <w:t xml:space="preserve"> </w:t>
      </w:r>
      <w:r>
        <w:t xml:space="preserve">-63%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76</w:t>
      </w:r>
      <w:r>
        <w:t xml:space="preserve"> </w:t>
      </w:r>
      <w:r>
        <w:t xml:space="preserve">27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-41%</w:t>
      </w:r>
      <w:r>
        <w:t xml:space="preserve"> </w:t>
      </w:r>
      <w:r>
        <w:t xml:space="preserve">-50%</w:t>
      </w:r>
      <w:r>
        <w:t xml:space="preserve"> </w:t>
      </w:r>
      <w:r>
        <w:t xml:space="preserve">-46%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255</w:t>
      </w:r>
      <w:r>
        <w:t xml:space="preserve"> </w:t>
      </w:r>
      <w:r>
        <w:t xml:space="preserve">196</w:t>
      </w:r>
      <w:r>
        <w:t xml:space="preserve"> </w:t>
      </w:r>
      <w:r>
        <w:t xml:space="preserve">116</w:t>
      </w:r>
      <w:r>
        <w:t xml:space="preserve"> </w:t>
      </w:r>
      <w:r>
        <w:t xml:space="preserve">80</w:t>
      </w:r>
      <w:r>
        <w:t xml:space="preserve"> </w:t>
      </w:r>
      <w:r>
        <w:t xml:space="preserve">61</w:t>
      </w:r>
      <w:r>
        <w:t xml:space="preserve"> </w:t>
      </w:r>
      <w:r>
        <w:t xml:space="preserve">-41%</w:t>
      </w:r>
      <w:r>
        <w:t xml:space="preserve"> </w:t>
      </w:r>
      <w:r>
        <w:t xml:space="preserve">-59%</w:t>
      </w:r>
      <w:r>
        <w:t xml:space="preserve"> </w:t>
      </w:r>
      <w:r>
        <w:t xml:space="preserve">-69%</w:t>
      </w:r>
      <w:r>
        <w:t xml:space="preserve"> </w:t>
      </w:r>
      <w:r>
        <w:t xml:space="preserve">N2O</w:t>
      </w:r>
      <w:r>
        <w:t xml:space="preserve"> </w:t>
      </w:r>
      <w:r>
        <w:t xml:space="preserve">83</w:t>
      </w:r>
      <w:r>
        <w:t xml:space="preserve"> </w:t>
      </w:r>
      <w:r>
        <w:t xml:space="preserve">41</w:t>
      </w:r>
      <w:r>
        <w:t xml:space="preserve"> </w:t>
      </w:r>
      <w:r>
        <w:t xml:space="preserve">34</w:t>
      </w:r>
      <w:r>
        <w:t xml:space="preserve"> </w:t>
      </w:r>
      <w:r>
        <w:t xml:space="preserve">27</w:t>
      </w:r>
      <w:r>
        <w:t xml:space="preserve"> </w:t>
      </w:r>
      <w:r>
        <w:t xml:space="preserve">25</w:t>
      </w:r>
      <w:r>
        <w:t xml:space="preserve"> </w:t>
      </w:r>
      <w:r>
        <w:t xml:space="preserve">-16%</w:t>
      </w:r>
      <w:r>
        <w:t xml:space="preserve"> </w:t>
      </w:r>
      <w:r>
        <w:t xml:space="preserve">-33%</w:t>
      </w:r>
      <w:r>
        <w:t xml:space="preserve"> </w:t>
      </w:r>
      <w:r>
        <w:t xml:space="preserve">-39%</w:t>
      </w:r>
      <w:r>
        <w:t xml:space="preserve"> </w:t>
      </w:r>
      <w:r>
        <w:t xml:space="preserve">F-gases</w:t>
      </w:r>
      <w:r>
        <w:t xml:space="preserve"> </w:t>
      </w:r>
      <w:r>
        <w:t xml:space="preserve">71</w:t>
      </w:r>
      <w:r>
        <w:t xml:space="preserve"> </w:t>
      </w:r>
      <w:r>
        <w:t xml:space="preserve">94</w:t>
      </w:r>
      <w:r>
        <w:t xml:space="preserve"> </w:t>
      </w:r>
      <w:r>
        <w:t xml:space="preserve">30</w:t>
      </w:r>
      <w:r>
        <w:t xml:space="preserve"> </w:t>
      </w:r>
      <w:r>
        <w:t xml:space="preserve">8.7</w:t>
      </w:r>
      <w:r>
        <w:t xml:space="preserve"> </w:t>
      </w:r>
      <w:r>
        <w:t xml:space="preserve">7.6</w:t>
      </w:r>
      <w:r>
        <w:t xml:space="preserve"> </w:t>
      </w:r>
      <w:r>
        <w:t xml:space="preserve">-68%</w:t>
      </w:r>
      <w:r>
        <w:t xml:space="preserve"> </w:t>
      </w:r>
      <w:r>
        <w:t xml:space="preserve">-91%</w:t>
      </w:r>
      <w:r>
        <w:t xml:space="preserve"> </w:t>
      </w:r>
      <w:r>
        <w:t xml:space="preserve">-92%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409</w:t>
      </w:r>
      <w:r>
        <w:t xml:space="preserve"> </w:t>
      </w:r>
      <w:r>
        <w:t xml:space="preserve">330</w:t>
      </w:r>
      <w:r>
        <w:t xml:space="preserve"> </w:t>
      </w:r>
      <w:r>
        <w:t xml:space="preserve">180</w:t>
      </w:r>
      <w:r>
        <w:t xml:space="preserve"> </w:t>
      </w:r>
      <w:r>
        <w:t xml:space="preserve">116</w:t>
      </w:r>
      <w:r>
        <w:t xml:space="preserve"> </w:t>
      </w:r>
      <w:r>
        <w:t xml:space="preserve">93</w:t>
      </w:r>
      <w:r>
        <w:t xml:space="preserve"> </w:t>
      </w:r>
      <w:r>
        <w:t xml:space="preserve">-46%</w:t>
      </w:r>
      <w:r>
        <w:t xml:space="preserve"> </w:t>
      </w:r>
      <w:r>
        <w:t xml:space="preserve">-65%</w:t>
      </w:r>
      <w:r>
        <w:t xml:space="preserve"> </w:t>
      </w:r>
      <w:r>
        <w:t xml:space="preserve">-72%</w:t>
      </w:r>
    </w:p>
    <w:p>
      <w:pPr>
        <w:pStyle w:val="BodyText"/>
      </w:pPr>
      <w:r>
        <w:t xml:space="preserve">Note: *Non-CO2 GHG emissions without additional mitigation, i.e., assuming a carbon value equal to zero. **The</w:t>
      </w:r>
      <w:r>
        <w:t xml:space="preserve"> </w:t>
      </w:r>
      <w:r>
        <w:t xml:space="preserve">waste treatment sector includes solid waste and wastewater treatment.</w:t>
      </w:r>
      <w:r>
        <w:br/>
      </w:r>
      <w:r>
        <w:t xml:space="preserve">Source: GAINS.</w:t>
      </w:r>
      <w:r>
        <w:t xml:space="preserve"> </w:t>
      </w:r>
      <w:r>
        <w:t xml:space="preserve">1.6.2. Additional mitigation potential</w:t>
      </w:r>
      <w:r>
        <w:t xml:space="preserve"> </w:t>
      </w:r>
      <w:r>
        <w:t xml:space="preserve">Figure 78 and Figure 79 show the 2040 marginal abatement cost curves (MACC)</w:t>
      </w:r>
      <w:r>
        <w:t xml:space="preserve"> </w:t>
      </w:r>
      <w:r>
        <w:t xml:space="preserve">corresponding to non-land-related sectors specified per gas and per sector, respectively.</w:t>
      </w:r>
      <w:r>
        <w:t xml:space="preserve"> </w:t>
      </w:r>
      <w:r>
        <w:t xml:space="preserve">These curves indicate the marginal cost of the additional reductions in non-CO2 GHG</w:t>
      </w:r>
      <w:r>
        <w:t xml:space="preserve"> </w:t>
      </w:r>
      <w:r>
        <w:t xml:space="preserve">emissions, which come on top of the “emissions without additional mitigation” described</w:t>
      </w:r>
      <w:r>
        <w:t xml:space="preserve"> </w:t>
      </w:r>
      <w:r>
        <w:t xml:space="preserve">in Section 1.6.1. Similarly, Table 11 and Table 12 show the reductions in emissions</w:t>
      </w:r>
      <w:r>
        <w:t xml:space="preserve"> </w:t>
      </w:r>
      <w:r>
        <w:t xml:space="preserve">achievable at various marginal abatement cost levels. Note that the marginal abatement</w:t>
      </w:r>
      <w:r>
        <w:t xml:space="preserve"> </w:t>
      </w:r>
      <w:r>
        <w:t xml:space="preserve">cost curves corresponding to non-land-related sectors are assumed to be the same in all</w:t>
      </w:r>
      <w:r>
        <w:t xml:space="preserve"> </w:t>
      </w:r>
      <w:r>
        <w:t xml:space="preserve">scenarios.</w:t>
      </w:r>
      <w:r>
        <w:t xml:space="preserve"> </w:t>
      </w:r>
      <w:r>
        <w:t xml:space="preserve">Table 11 and Table 12 show that, in the non-land-related sectors, there is significant</w:t>
      </w:r>
      <w:r>
        <w:t xml:space="preserve"> </w:t>
      </w:r>
      <w:r>
        <w:t xml:space="preserve">additional mitigation potential: 41 MtCO2-eq in 2040, considering all sectors and gases.</w:t>
      </w:r>
      <w:r>
        <w:t xml:space="preserve"> </w:t>
      </w:r>
      <w:r>
        <w:t xml:space="preserve">If fully achieved, this mitigation potential would reduce the EU’s total non-land-related</w:t>
      </w:r>
      <w:r>
        <w:t xml:space="preserve"> </w:t>
      </w:r>
      <w:r>
        <w:t xml:space="preserve">non-CO2 GHG emissions to 79 MtCO2-eq by 2040 (i.e., 76% less than in 2015). It is</w:t>
      </w:r>
      <w:r>
        <w:t xml:space="preserve"> </w:t>
      </w:r>
      <w:r>
        <w:t xml:space="preserve">important to mention that 61% of this maximum mitigation potential (i.e., 25 MtCO2-eq)</w:t>
      </w:r>
      <w:r>
        <w:t xml:space="preserve"> </w:t>
      </w:r>
      <w:r>
        <w:t xml:space="preserve">could be reached at a marginal cost close to zero. Note, however, that even in cases</w:t>
      </w:r>
      <w:r>
        <w:t xml:space="preserve"> </w:t>
      </w:r>
      <w:r>
        <w:t xml:space="preserve">where marginal abatement costs are nearly zero, policy intervention is usually needed to</w:t>
      </w:r>
      <w:r>
        <w:t xml:space="preserve"> </w:t>
      </w:r>
      <w:r>
        <w:t xml:space="preserve">overcome market barriers, lack of information and split incentives. The largest share of</w:t>
      </w:r>
      <w:r>
        <w:t xml:space="preserve"> </w:t>
      </w:r>
      <w:r>
        <w:t xml:space="preserve">this near-zero-cost potential is found in the waste treatment sector. The remaining share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of the maximum mitigation potential (39%) comes at a marginal cost significantly higher</w:t>
      </w:r>
      <w:r>
        <w:t xml:space="preserve"> </w:t>
      </w:r>
      <w:r>
        <w:t xml:space="preserve">than zero. Nevertheless, 80% and 85% of the maximum mitigation potential (including</w:t>
      </w:r>
      <w:r>
        <w:t xml:space="preserve"> </w:t>
      </w:r>
      <w:r>
        <w:t xml:space="preserve">all sectors and gases) may be reached at a marginal cost lower than 10 and 50</w:t>
      </w:r>
      <w:r>
        <w:t xml:space="preserve"> </w:t>
      </w:r>
      <w:r>
        <w:t xml:space="preserve">EUR/tCO2-eq, respectively, leaving only a small part of the maximum mitigation</w:t>
      </w:r>
      <w:r>
        <w:t xml:space="preserve"> </w:t>
      </w:r>
      <w:r>
        <w:t xml:space="preserve">potential untapped (8 and 6 MtCO2-eq, respectively).</w:t>
      </w:r>
      <w:r>
        <w:br/>
      </w:r>
      <w:r>
        <w:t xml:space="preserve">Figure 78: MACC across all non-land-related sectors in 2040 (per gas)</w:t>
      </w:r>
    </w:p>
    <w:p>
      <w:pPr>
        <w:pStyle w:val="BodyText"/>
      </w:pPr>
      <w:r>
        <w:t xml:space="preserve">Note: MACC including all non-CO2 greenhouse gases, and MACCs per gas. Marginal abatement costs are</w:t>
      </w:r>
      <w:r>
        <w:t xml:space="preserve"> </w:t>
      </w:r>
      <w:r>
        <w:t xml:space="preserve">expressed in constant EUR 2015.</w:t>
      </w:r>
      <w:r>
        <w:br/>
      </w:r>
      <w:r>
        <w:t xml:space="preserve">Source: GAINS.</w:t>
      </w:r>
      <w:r>
        <w:t xml:space="preserve"> </w:t>
      </w:r>
      <w:r>
        <w:t xml:space="preserve">Figure 79: MACC across all non-CO2 greenhouse gases in 2040 (per sector)</w:t>
      </w:r>
    </w:p>
    <w:p>
      <w:pPr>
        <w:pStyle w:val="BodyText"/>
      </w:pPr>
      <w:r>
        <w:t xml:space="preserve">Note: MACC including all non-land-related sectors, and MACCs per sector. Marginal abatement costs are</w:t>
      </w:r>
      <w:r>
        <w:t xml:space="preserve"> </w:t>
      </w:r>
      <w:r>
        <w:t xml:space="preserve">expressed in constant EUR 2015.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By analysing the additional mitigation potential across all non-land-related sectors</w:t>
      </w:r>
      <w:r>
        <w:t xml:space="preserve"> </w:t>
      </w:r>
      <w:r>
        <w:t xml:space="preserve">separately for each gas, one can see that in all cases most of the maximum mitigation</w:t>
      </w:r>
      <w:r>
        <w:t xml:space="preserve"> </w:t>
      </w:r>
      <w:r>
        <w:t xml:space="preserve">potential could be tapped at a low marginal cost. For instance, there exists potential to</w:t>
      </w:r>
      <w:r>
        <w:t xml:space="preserve"> </w:t>
      </w:r>
      <w:r>
        <w:t xml:space="preserve">reduce methane emissions by as much as 23 MtCO2-eq below the “emissions without</w:t>
      </w:r>
      <w:r>
        <w:t xml:space="preserve"> </w:t>
      </w:r>
      <w:r>
        <w:t xml:space="preserve">additional mitigation” in 2040 (see Table 11). Around 82% of this maximum mitigation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Marginal abatement cost (EUR/tCO2-eq)</w:t>
      </w:r>
      <w:r>
        <w:t xml:space="preserve"> </w:t>
      </w:r>
      <w:r>
        <w:t xml:space="preserve">Reduction in non-CO2 GHG emissions (MtCO2-eq)</w:t>
      </w:r>
      <w:r>
        <w:t xml:space="preserve"> </w:t>
      </w:r>
      <w:r>
        <w:t xml:space="preserve">F-gases</w:t>
      </w:r>
      <w:r>
        <w:t xml:space="preserve"> </w:t>
      </w:r>
      <w:r>
        <w:t xml:space="preserve">N2O</w:t>
      </w:r>
      <w:r>
        <w:t xml:space="preserve"> </w:t>
      </w:r>
      <w:r>
        <w:t xml:space="preserve">CH4</w:t>
      </w:r>
      <w:r>
        <w:t xml:space="preserve"> </w:t>
      </w:r>
      <w:r>
        <w:t xml:space="preserve">All gases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Marginal abatement cost (EUR/tCO2-eq)</w:t>
      </w:r>
      <w:r>
        <w:t xml:space="preserve"> </w:t>
      </w:r>
      <w:r>
        <w:t xml:space="preserve">Reduction in non-CO2 GHG emissions (MtCO2-eq)</w:t>
      </w:r>
      <w:r>
        <w:t xml:space="preserve"> </w:t>
      </w:r>
      <w:r>
        <w:t xml:space="preserve">Industry and</w:t>
      </w:r>
      <w:r>
        <w:t xml:space="preserve"> </w:t>
      </w:r>
      <w:r>
        <w:t xml:space="preserve">other</w:t>
      </w:r>
      <w:r>
        <w:t xml:space="preserve"> </w:t>
      </w:r>
      <w:r>
        <w:t xml:space="preserve">Heating and</w:t>
      </w:r>
      <w:r>
        <w:t xml:space="preserve"> </w:t>
      </w:r>
      <w:r>
        <w:t xml:space="preserve">cooling</w:t>
      </w:r>
      <w:r>
        <w:t xml:space="preserve"> </w:t>
      </w:r>
      <w:r>
        <w:t xml:space="preserve">Energy and</w:t>
      </w:r>
      <w:r>
        <w:t xml:space="preserve"> </w:t>
      </w:r>
      <w:r>
        <w:t xml:space="preserve">transport</w:t>
      </w:r>
      <w:r>
        <w:t xml:space="preserve"> </w:t>
      </w:r>
      <w:r>
        <w:t xml:space="preserve">Waste</w:t>
      </w:r>
      <w:r>
        <w:t xml:space="preserve"> </w:t>
      </w:r>
      <w:r>
        <w:t xml:space="preserve">treatment</w:t>
      </w:r>
      <w:r>
        <w:t xml:space="preserve"> </w:t>
      </w:r>
      <w:r>
        <w:t xml:space="preserve">All non-land-</w:t>
      </w:r>
      <w:r>
        <w:t xml:space="preserve"> </w:t>
      </w:r>
      <w:r>
        <w:t xml:space="preserve">related sectors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potential could be tapped at a marginal abatement cost lower than 10 EUR/tCO2-eq,</w:t>
      </w:r>
      <w:r>
        <w:t xml:space="preserve"> </w:t>
      </w:r>
      <w:r>
        <w:t xml:space="preserve">mainly in the waste treatment sector and the energy and transport sector. In the case of</w:t>
      </w:r>
      <w:r>
        <w:t xml:space="preserve"> </w:t>
      </w:r>
      <w:r>
        <w:t xml:space="preserve">nitrous oxide, there exists potential to reduce emissions by as much as 10 MtCO2-eq</w:t>
      </w:r>
      <w:r>
        <w:t xml:space="preserve"> </w:t>
      </w:r>
      <w:r>
        <w:t xml:space="preserve">below the “emissions without additional mitigation” in 2040, about half of which is to be</w:t>
      </w:r>
      <w:r>
        <w:t xml:space="preserve"> </w:t>
      </w:r>
      <w:r>
        <w:t xml:space="preserve">found in the waste treatment sector, and the other half is to be found in industry and other</w:t>
      </w:r>
      <w:r>
        <w:t xml:space="preserve"> </w:t>
      </w:r>
      <w:r>
        <w:t xml:space="preserve">sectors. Around 82% of the maximum mitigation potential for N2O emissions could be</w:t>
      </w:r>
      <w:r>
        <w:t xml:space="preserve"> </w:t>
      </w:r>
      <w:r>
        <w:t xml:space="preserve">reached at a marginal abatement cost lower than 10 EUR/tCO2-eq. Finally, for</w:t>
      </w:r>
      <w:r>
        <w:t xml:space="preserve"> </w:t>
      </w:r>
      <w:r>
        <w:t xml:space="preserve">fluorinated gases, the maximum additional mitigation potential is around 8 MtCO2-eq in</w:t>
      </w:r>
      <w:r>
        <w:t xml:space="preserve"> </w:t>
      </w:r>
      <w:r>
        <w:t xml:space="preserve">2040 (see Table 11), which is to be found mostly in heating and cooling, industry and</w:t>
      </w:r>
      <w:r>
        <w:t xml:space="preserve"> </w:t>
      </w:r>
      <w:r>
        <w:t xml:space="preserve">other sectors. About 70% of this maximum mitigation potential could be reached at a</w:t>
      </w:r>
      <w:r>
        <w:t xml:space="preserve"> </w:t>
      </w:r>
      <w:r>
        <w:t xml:space="preserve">marginal cost lower than 10 EUR/tCO2-eq and 80% may be tapped at a marginal cost</w:t>
      </w:r>
      <w:r>
        <w:t xml:space="preserve"> </w:t>
      </w:r>
      <w:r>
        <w:t xml:space="preserve">lower than 50 EUR/tCO2-eq, leaving only a very small part of the maximum mitigation</w:t>
      </w:r>
      <w:r>
        <w:t xml:space="preserve"> </w:t>
      </w:r>
      <w:r>
        <w:t xml:space="preserve">potential untapped (3 and 2 MtCO2-eq, respectively).</w:t>
      </w:r>
      <w:r>
        <w:t xml:space="preserve"> </w:t>
      </w:r>
      <w:r>
        <w:t xml:space="preserve">Table 11: Additional mitigation potentials of non-CO2 GHG emissions across all non-land-</w:t>
      </w:r>
      <w:r>
        <w:t xml:space="preserve"> </w:t>
      </w:r>
      <w:r>
        <w:t xml:space="preserve">related sectors in 2040 (by gas)</w:t>
      </w:r>
    </w:p>
    <w:p>
      <w:pPr>
        <w:pStyle w:val="BodyText"/>
      </w:pPr>
      <w:r>
        <w:t xml:space="preserve">Marginal abatement cost for non-CO2 GHG emissions (EUR/tCO2-eq)**</w:t>
      </w:r>
      <w:r>
        <w:t xml:space="preserve"> </w:t>
      </w:r>
      <w:r>
        <w:t xml:space="preserve">0*</w:t>
      </w:r>
      <w:r>
        <w:t xml:space="preserve"> </w:t>
      </w:r>
      <w:r>
        <w:t xml:space="preserve">0.1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300</w:t>
      </w:r>
      <w:r>
        <w:t xml:space="preserve"> </w:t>
      </w:r>
      <w:r>
        <w:t xml:space="preserve">Max</w:t>
      </w:r>
      <w:r>
        <w:t xml:space="preserve"> </w:t>
      </w:r>
      <w:r>
        <w:t xml:space="preserve">Emissions mitigation in 2040</w:t>
      </w:r>
      <w:r>
        <w:t xml:space="preserve"> </w:t>
      </w:r>
      <w:r>
        <w:t xml:space="preserve">(MtCO2-eq)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23</w:t>
      </w:r>
      <w:r>
        <w:t xml:space="preserve"> </w:t>
      </w:r>
      <w:r>
        <w:t xml:space="preserve">N2O</w:t>
      </w:r>
      <w:r>
        <w:t xml:space="preserve"> </w:t>
      </w:r>
      <w:r>
        <w:t xml:space="preserve">0</w:t>
      </w:r>
      <w:r>
        <w:t xml:space="preserve"> </w:t>
      </w:r>
      <w:r>
        <w:t xml:space="preserve">6.6</w:t>
      </w:r>
      <w:r>
        <w:t xml:space="preserve"> </w:t>
      </w:r>
      <w:r>
        <w:t xml:space="preserve">8.4</w:t>
      </w:r>
      <w:r>
        <w:t xml:space="preserve"> </w:t>
      </w:r>
      <w:r>
        <w:t xml:space="preserve">8.7</w:t>
      </w:r>
      <w:r>
        <w:t xml:space="preserve"> </w:t>
      </w:r>
      <w:r>
        <w:t xml:space="preserve">8.7</w:t>
      </w:r>
      <w:r>
        <w:t xml:space="preserve"> </w:t>
      </w:r>
      <w:r>
        <w:t xml:space="preserve">8.7</w:t>
      </w:r>
      <w:r>
        <w:t xml:space="preserve"> </w:t>
      </w:r>
      <w:r>
        <w:t xml:space="preserve">10</w:t>
      </w:r>
      <w:r>
        <w:t xml:space="preserve"> </w:t>
      </w:r>
      <w:r>
        <w:t xml:space="preserve">F-gas</w:t>
      </w:r>
      <w:r>
        <w:br/>
      </w:r>
      <w:r>
        <w:t xml:space="preserve">0</w:t>
      </w:r>
      <w:r>
        <w:t xml:space="preserve"> </w:t>
      </w:r>
      <w:r>
        <w:t xml:space="preserve">2.7</w:t>
      </w:r>
      <w:r>
        <w:t xml:space="preserve"> </w:t>
      </w:r>
      <w:r>
        <w:t xml:space="preserve">5.8</w:t>
      </w:r>
      <w:r>
        <w:t xml:space="preserve"> </w:t>
      </w:r>
      <w:r>
        <w:t xml:space="preserve">6.7</w:t>
      </w:r>
      <w:r>
        <w:t xml:space="preserve"> </w:t>
      </w:r>
      <w:r>
        <w:t xml:space="preserve">7.5</w:t>
      </w:r>
      <w:r>
        <w:t xml:space="preserve"> </w:t>
      </w:r>
      <w:r>
        <w:t xml:space="preserve">7.5</w:t>
      </w:r>
      <w:r>
        <w:t xml:space="preserve"> </w:t>
      </w:r>
      <w:r>
        <w:t xml:space="preserve">8.3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33</w:t>
      </w:r>
      <w:r>
        <w:t xml:space="preserve"> </w:t>
      </w:r>
      <w:r>
        <w:t xml:space="preserve">35</w:t>
      </w:r>
      <w:r>
        <w:t xml:space="preserve"> </w:t>
      </w:r>
      <w:r>
        <w:t xml:space="preserve">36</w:t>
      </w:r>
      <w:r>
        <w:t xml:space="preserve"> </w:t>
      </w:r>
      <w:r>
        <w:t xml:space="preserve">36</w:t>
      </w:r>
      <w:r>
        <w:t xml:space="preserve"> </w:t>
      </w:r>
      <w:r>
        <w:t xml:space="preserve">41</w:t>
      </w:r>
      <w:r>
        <w:t xml:space="preserve"> </w:t>
      </w:r>
      <w:r>
        <w:t xml:space="preserve">Share of maximum mitigation</w:t>
      </w:r>
      <w:r>
        <w:t xml:space="preserve"> </w:t>
      </w:r>
      <w:r>
        <w:t xml:space="preserve">potential achieved in 2040 (%)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0%</w:t>
      </w:r>
      <w:r>
        <w:t xml:space="preserve"> </w:t>
      </w:r>
      <w:r>
        <w:t xml:space="preserve">71%</w:t>
      </w:r>
      <w:r>
        <w:t xml:space="preserve"> </w:t>
      </w:r>
      <w:r>
        <w:t xml:space="preserve">82%</w:t>
      </w:r>
      <w:r>
        <w:t xml:space="preserve"> </w:t>
      </w:r>
      <w:r>
        <w:t xml:space="preserve">86%</w:t>
      </w:r>
      <w:r>
        <w:t xml:space="preserve"> </w:t>
      </w:r>
      <w:r>
        <w:t xml:space="preserve">87%</w:t>
      </w:r>
      <w:r>
        <w:t xml:space="preserve"> </w:t>
      </w:r>
      <w:r>
        <w:t xml:space="preserve">87%</w:t>
      </w:r>
      <w:r>
        <w:t xml:space="preserve"> </w:t>
      </w:r>
      <w:r>
        <w:t xml:space="preserve">100%</w:t>
      </w:r>
      <w:r>
        <w:t xml:space="preserve"> </w:t>
      </w:r>
      <w:r>
        <w:t xml:space="preserve">N2O</w:t>
      </w:r>
      <w:r>
        <w:t xml:space="preserve"> </w:t>
      </w:r>
      <w:r>
        <w:t xml:space="preserve">0%</w:t>
      </w:r>
      <w:r>
        <w:t xml:space="preserve"> </w:t>
      </w:r>
      <w:r>
        <w:t xml:space="preserve">64%</w:t>
      </w:r>
      <w:r>
        <w:t xml:space="preserve"> </w:t>
      </w:r>
      <w:r>
        <w:t xml:space="preserve">82%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100%</w:t>
      </w:r>
      <w:r>
        <w:t xml:space="preserve"> </w:t>
      </w:r>
      <w:r>
        <w:t xml:space="preserve">F-gas</w:t>
      </w:r>
      <w:r>
        <w:br/>
      </w: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Total</w:t>
      </w:r>
      <w:r>
        <w:t xml:space="preserve"> </w:t>
      </w:r>
      <w:r>
        <w:t xml:space="preserve">0%</w:t>
      </w:r>
      <w:r>
        <w:t xml:space="preserve"> </w:t>
      </w:r>
      <w:r>
        <w:t xml:space="preserve">61%</w:t>
      </w:r>
      <w:r>
        <w:t xml:space="preserve"> </w:t>
      </w:r>
      <w:r>
        <w:t xml:space="preserve">80%</w:t>
      </w:r>
      <w:r>
        <w:t xml:space="preserve"> </w:t>
      </w:r>
      <w:r>
        <w:t xml:space="preserve">85%</w:t>
      </w:r>
      <w:r>
        <w:t xml:space="preserve"> </w:t>
      </w:r>
      <w:r>
        <w:t xml:space="preserve">87%</w:t>
      </w:r>
      <w:r>
        <w:t xml:space="preserve"> </w:t>
      </w:r>
      <w:r>
        <w:t xml:space="preserve">87%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Note: *In this table, the non-CO2 GHG emissions at zero marginal abatement cost correspond to the emissions</w:t>
      </w:r>
      <w:r>
        <w:t xml:space="preserve"> </w:t>
      </w:r>
      <w:r>
        <w:t xml:space="preserve">without additional mitigation in 2040. **Marginal abatement costs are expressed in constant EUR 2015.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By analysing the mitigation potential separately for each non-land-related sector, one can</w:t>
      </w:r>
      <w:r>
        <w:t xml:space="preserve"> </w:t>
      </w:r>
      <w:r>
        <w:t xml:space="preserve">see that in almost all cases most of the maximum mitigation potential could be reached at</w:t>
      </w:r>
      <w:r>
        <w:t xml:space="preserve"> </w:t>
      </w:r>
      <w:r>
        <w:t xml:space="preserve">a low marginal cost. In the waste treatment sector, there exists potential to reduce</w:t>
      </w:r>
      <w:r>
        <w:t xml:space="preserve"> </w:t>
      </w:r>
      <w:r>
        <w:t xml:space="preserve">emissions by as much as 14 MtCO2-eq below the “emissions without additional</w:t>
      </w:r>
      <w:r>
        <w:t xml:space="preserve"> </w:t>
      </w:r>
      <w:r>
        <w:t xml:space="preserve">mitigation” in 2040. Around 96% of this maximum mitigation potential could be tapped</w:t>
      </w:r>
      <w:r>
        <w:t xml:space="preserve"> </w:t>
      </w:r>
      <w:r>
        <w:t xml:space="preserve">at a marginal abatement cost lower than 10 EUR/tCO2-eq (see Table 12), mainly through</w:t>
      </w:r>
      <w:r>
        <w:t xml:space="preserve"> </w:t>
      </w:r>
      <w:r>
        <w:t xml:space="preserve">process optimisation and deployment of anaerobic digestion technology with biogas</w:t>
      </w:r>
      <w:r>
        <w:t xml:space="preserve"> </w:t>
      </w:r>
      <w:r>
        <w:t xml:space="preserve">recovery. In the energy and transport sector, the maximum additional mitigation</w:t>
      </w:r>
      <w:r>
        <w:t xml:space="preserve"> </w:t>
      </w:r>
      <w:r>
        <w:t xml:space="preserve">potential is 14 MtCO2-eq in 2040. About 73% of this mitigation potential could be</w:t>
      </w:r>
      <w:r>
        <w:t xml:space="preserve"> </w:t>
      </w:r>
      <w:r>
        <w:t xml:space="preserve">achieved at a marginal cost lower than 10 EUR/tCO2-eq, and 82% could be tapped at a</w:t>
      </w:r>
      <w:r>
        <w:t xml:space="preserve"> </w:t>
      </w:r>
      <w:r>
        <w:t xml:space="preserve">marginal cost below 50 EUR/tCO2-eq (in both cases, mostly through implementation of</w:t>
      </w:r>
      <w:r>
        <w:t xml:space="preserve"> </w:t>
      </w:r>
      <w:r>
        <w:t xml:space="preserve">best available technology in bunker fuel use and leak detection and repair programs, and</w:t>
      </w:r>
      <w:r>
        <w:t xml:space="preserve"> </w:t>
      </w:r>
      <w:r>
        <w:t xml:space="preserve">by flooding abandoned coal mines). Higher emission reductions could be achieved only</w:t>
      </w:r>
      <w:r>
        <w:t xml:space="preserve"> </w:t>
      </w:r>
      <w:r>
        <w:t xml:space="preserve">at very high marginal costs, mainly by upgrading long-distance gas pipelines to</w:t>
      </w:r>
      <w:r>
        <w:t xml:space="preserve"> </w:t>
      </w:r>
      <w:r>
        <w:t xml:space="preserve">minimum leakage rates, replacing steel gas distribution networks by PE/PVC networks,</w:t>
      </w:r>
      <w:r>
        <w:t xml:space="preserve"> </w:t>
      </w:r>
      <w:r>
        <w:t xml:space="preserve">and additional leak detection and repair. Non-CO2 GHG emissions from the heating and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cooling sector are mostly F-gas emissions. In this sector, the “emissions without</w:t>
      </w:r>
      <w:r>
        <w:t xml:space="preserve"> </w:t>
      </w:r>
      <w:r>
        <w:t xml:space="preserve">additional mitigation” are already very low in 2040 (less than 3 MtCO2-eq); however,</w:t>
      </w:r>
      <w:r>
        <w:t xml:space="preserve"> </w:t>
      </w:r>
      <w:r>
        <w:t xml:space="preserve">there is enough additional mitigation potential in 2040 to almost eliminate these</w:t>
      </w:r>
      <w:r>
        <w:t xml:space="preserve"> </w:t>
      </w:r>
      <w:r>
        <w:t xml:space="preserve">emissions fully (by using alternative agents). Around 57% of the maximum mitigation</w:t>
      </w:r>
      <w:r>
        <w:t xml:space="preserve"> </w:t>
      </w:r>
      <w:r>
        <w:t xml:space="preserve">potential could be tapped at a marginal cost lower than 10 EUR/tCO2-eq, and 62% could</w:t>
      </w:r>
      <w:r>
        <w:t xml:space="preserve"> </w:t>
      </w:r>
      <w:r>
        <w:t xml:space="preserve">be reached at a marginal cost below 50 EUR/tCO2-eq, leaving only a small part of the</w:t>
      </w:r>
      <w:r>
        <w:t xml:space="preserve"> </w:t>
      </w:r>
      <w:r>
        <w:t xml:space="preserve">maximum mitigation potential untapped (around 1 MtCO2-eq in both cases). Finally, in</w:t>
      </w:r>
      <w:r>
        <w:t xml:space="preserve"> </w:t>
      </w:r>
      <w:r>
        <w:t xml:space="preserve">industry and other sectors, the maximum additional mitigation potential is 11 MtCO2-</w:t>
      </w:r>
      <w:r>
        <w:t xml:space="preserve"> </w:t>
      </w:r>
      <w:r>
        <w:t xml:space="preserve">eq in 2040. About 72% of this potential could be tapped at a marginal abatement cost</w:t>
      </w:r>
      <w:r>
        <w:t xml:space="preserve"> </w:t>
      </w:r>
      <w:r>
        <w:t xml:space="preserve">lower than 10 EUR/tCO2-eq, while 79% may be reached at less than 50 EUR/tCO2-eq.</w:t>
      </w:r>
      <w:r>
        <w:t xml:space="preserve"> </w:t>
      </w:r>
      <w:r>
        <w:t xml:space="preserve">Table 12: Additional mitigation potentials of non-CO2 GHG emissions in 2040 (by non-</w:t>
      </w:r>
      <w:r>
        <w:t xml:space="preserve"> </w:t>
      </w:r>
      <w:r>
        <w:t xml:space="preserve">land-related sector)</w:t>
      </w:r>
    </w:p>
    <w:p>
      <w:pPr>
        <w:pStyle w:val="BodyText"/>
      </w:pPr>
      <w:r>
        <w:t xml:space="preserve">Marginal abatement cost for non-CO2 GHG emissions (EUR/tCO2-eq)**</w:t>
      </w:r>
      <w:r>
        <w:t xml:space="preserve"> </w:t>
      </w:r>
      <w:r>
        <w:t xml:space="preserve">0*</w:t>
      </w:r>
      <w:r>
        <w:t xml:space="preserve"> </w:t>
      </w:r>
      <w:r>
        <w:t xml:space="preserve">0.1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300</w:t>
      </w:r>
      <w:r>
        <w:t xml:space="preserve"> </w:t>
      </w:r>
      <w:r>
        <w:t xml:space="preserve">Max</w:t>
      </w:r>
      <w:r>
        <w:t xml:space="preserve"> </w:t>
      </w:r>
      <w:r>
        <w:t xml:space="preserve">Emissions mitigation in 2040</w:t>
      </w:r>
      <w:r>
        <w:t xml:space="preserve"> </w:t>
      </w:r>
      <w:r>
        <w:t xml:space="preserve">(MtCO2-eq)</w:t>
      </w:r>
    </w:p>
    <w:p>
      <w:pPr>
        <w:pStyle w:val="BodyText"/>
      </w:pPr>
      <w:r>
        <w:t xml:space="preserve">Waste treatment***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Energy and transport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Heating and cooling</w:t>
      </w:r>
      <w:r>
        <w:t xml:space="preserve"> </w:t>
      </w:r>
      <w:r>
        <w:t xml:space="preserve">0</w:t>
      </w:r>
      <w:r>
        <w:t xml:space="preserve"> </w:t>
      </w:r>
      <w:r>
        <w:t xml:space="preserve">0.8</w:t>
      </w:r>
      <w:r>
        <w:t xml:space="preserve"> </w:t>
      </w:r>
      <w:r>
        <w:t xml:space="preserve">1.4</w:t>
      </w:r>
      <w:r>
        <w:t xml:space="preserve"> </w:t>
      </w:r>
      <w:r>
        <w:t xml:space="preserve">1.6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2.5</w:t>
      </w:r>
      <w:r>
        <w:t xml:space="preserve"> </w:t>
      </w:r>
      <w:r>
        <w:t xml:space="preserve">Industry and other</w:t>
      </w:r>
      <w:r>
        <w:t xml:space="preserve"> </w:t>
      </w:r>
      <w:r>
        <w:t xml:space="preserve">0</w:t>
      </w:r>
      <w:r>
        <w:t xml:space="preserve"> </w:t>
      </w:r>
      <w:r>
        <w:t xml:space="preserve">3.5</w:t>
      </w:r>
      <w:r>
        <w:t xml:space="preserve"> </w:t>
      </w:r>
      <w:r>
        <w:t xml:space="preserve">7.8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11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33</w:t>
      </w:r>
      <w:r>
        <w:t xml:space="preserve"> </w:t>
      </w:r>
      <w:r>
        <w:t xml:space="preserve">35</w:t>
      </w:r>
      <w:r>
        <w:t xml:space="preserve"> </w:t>
      </w:r>
      <w:r>
        <w:t xml:space="preserve">36</w:t>
      </w:r>
      <w:r>
        <w:t xml:space="preserve"> </w:t>
      </w:r>
      <w:r>
        <w:t xml:space="preserve">36</w:t>
      </w:r>
      <w:r>
        <w:t xml:space="preserve"> </w:t>
      </w:r>
      <w:r>
        <w:t xml:space="preserve">41</w:t>
      </w:r>
      <w:r>
        <w:t xml:space="preserve"> </w:t>
      </w:r>
      <w:r>
        <w:t xml:space="preserve">Share of maximum mitigation</w:t>
      </w:r>
      <w:r>
        <w:t xml:space="preserve"> </w:t>
      </w:r>
      <w:r>
        <w:t xml:space="preserve">potential achieved in 2040 (%)</w:t>
      </w:r>
    </w:p>
    <w:p>
      <w:pPr>
        <w:pStyle w:val="BodyText"/>
      </w:pPr>
      <w:r>
        <w:t xml:space="preserve">Waste treatment***</w:t>
      </w:r>
      <w:r>
        <w:t xml:space="preserve"> </w:t>
      </w:r>
      <w:r>
        <w:t xml:space="preserve">0%</w:t>
      </w:r>
      <w:r>
        <w:t xml:space="preserve"> </w:t>
      </w:r>
      <w:r>
        <w:t xml:space="preserve">85%</w:t>
      </w:r>
      <w:r>
        <w:t xml:space="preserve"> </w:t>
      </w:r>
      <w:r>
        <w:t xml:space="preserve">96%</w:t>
      </w:r>
      <w:r>
        <w:t xml:space="preserve"> </w:t>
      </w:r>
      <w:r>
        <w:t xml:space="preserve">96%</w:t>
      </w:r>
      <w:r>
        <w:t xml:space="preserve"> </w:t>
      </w:r>
      <w:r>
        <w:t xml:space="preserve">96%</w:t>
      </w:r>
      <w:r>
        <w:t xml:space="preserve"> </w:t>
      </w:r>
      <w:r>
        <w:t xml:space="preserve">96%</w:t>
      </w:r>
      <w:r>
        <w:t xml:space="preserve"> </w:t>
      </w:r>
      <w:r>
        <w:t xml:space="preserve">100%</w:t>
      </w:r>
      <w:r>
        <w:t xml:space="preserve"> </w:t>
      </w:r>
      <w:r>
        <w:t xml:space="preserve">Energy and transport</w:t>
      </w:r>
      <w:r>
        <w:br/>
      </w:r>
      <w:r>
        <w:t xml:space="preserve">0%</w:t>
      </w:r>
      <w:r>
        <w:t xml:space="preserve"> </w:t>
      </w:r>
      <w:r>
        <w:t xml:space="preserve">65%</w:t>
      </w:r>
      <w:r>
        <w:t xml:space="preserve"> </w:t>
      </w:r>
      <w:r>
        <w:t xml:space="preserve">73%</w:t>
      </w:r>
      <w:r>
        <w:t xml:space="preserve"> </w:t>
      </w:r>
      <w:r>
        <w:t xml:space="preserve">82%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100%</w:t>
      </w:r>
      <w:r>
        <w:t xml:space="preserve"> </w:t>
      </w:r>
      <w:r>
        <w:t xml:space="preserve">Heating and cooling</w:t>
      </w:r>
      <w:r>
        <w:t xml:space="preserve"> </w:t>
      </w: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57%</w:t>
      </w:r>
      <w:r>
        <w:t xml:space="preserve"> </w:t>
      </w:r>
      <w:r>
        <w:t xml:space="preserve">62%</w:t>
      </w:r>
      <w:r>
        <w:t xml:space="preserve"> </w:t>
      </w:r>
      <w:r>
        <w:t xml:space="preserve">94%</w:t>
      </w:r>
      <w:r>
        <w:t xml:space="preserve"> </w:t>
      </w:r>
      <w:r>
        <w:t xml:space="preserve">94%</w:t>
      </w:r>
      <w:r>
        <w:t xml:space="preserve"> </w:t>
      </w:r>
      <w:r>
        <w:t xml:space="preserve">100%</w:t>
      </w:r>
      <w:r>
        <w:t xml:space="preserve"> </w:t>
      </w:r>
      <w:r>
        <w:t xml:space="preserve">Industry and other</w:t>
      </w:r>
      <w:r>
        <w:t xml:space="preserve"> </w:t>
      </w:r>
      <w:r>
        <w:t xml:space="preserve">0%</w:t>
      </w:r>
      <w:r>
        <w:t xml:space="preserve"> </w:t>
      </w:r>
      <w:r>
        <w:t xml:space="preserve">32%</w:t>
      </w:r>
      <w:r>
        <w:t xml:space="preserve"> </w:t>
      </w:r>
      <w:r>
        <w:t xml:space="preserve">72%</w:t>
      </w:r>
      <w:r>
        <w:t xml:space="preserve"> </w:t>
      </w:r>
      <w:r>
        <w:t xml:space="preserve">79%</w:t>
      </w:r>
      <w:r>
        <w:t xml:space="preserve"> </w:t>
      </w:r>
      <w:r>
        <w:t xml:space="preserve">79%</w:t>
      </w:r>
      <w:r>
        <w:t xml:space="preserve"> </w:t>
      </w:r>
      <w:r>
        <w:t xml:space="preserve">79%</w:t>
      </w:r>
      <w:r>
        <w:t xml:space="preserve"> </w:t>
      </w:r>
      <w:r>
        <w:t xml:space="preserve">100%</w:t>
      </w:r>
      <w:r>
        <w:t xml:space="preserve"> </w:t>
      </w:r>
      <w:r>
        <w:t xml:space="preserve">Total</w:t>
      </w:r>
      <w:r>
        <w:t xml:space="preserve"> </w:t>
      </w:r>
      <w:r>
        <w:t xml:space="preserve">0%</w:t>
      </w:r>
      <w:r>
        <w:t xml:space="preserve"> </w:t>
      </w:r>
      <w:r>
        <w:t xml:space="preserve">61%</w:t>
      </w:r>
      <w:r>
        <w:t xml:space="preserve"> </w:t>
      </w:r>
      <w:r>
        <w:t xml:space="preserve">80%</w:t>
      </w:r>
      <w:r>
        <w:t xml:space="preserve"> </w:t>
      </w:r>
      <w:r>
        <w:t xml:space="preserve">85%</w:t>
      </w:r>
      <w:r>
        <w:t xml:space="preserve"> </w:t>
      </w:r>
      <w:r>
        <w:t xml:space="preserve">87%</w:t>
      </w:r>
      <w:r>
        <w:t xml:space="preserve"> </w:t>
      </w:r>
      <w:r>
        <w:t xml:space="preserve">87%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i/>
          <w:iCs/>
        </w:rPr>
        <w:t xml:space="preserve">In this table, the non-CO2 GHG emissions at zero marginal abatement cost correspond to the emissions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additional mitigation in 2040.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Marginal abatement costs are expressed in constant EUR 2015.</w:t>
      </w:r>
      <w:r>
        <w:rPr>
          <w:b/>
          <w:bCs/>
          <w:i/>
          <w:iCs/>
        </w:rPr>
        <w:t xml:space="preserve"> </w:t>
      </w:r>
      <w:r>
        <w:t xml:space="preserve">The</w:t>
      </w:r>
      <w:r>
        <w:t xml:space="preserve"> </w:t>
      </w:r>
      <w:r>
        <w:t xml:space="preserve">waste treatment sector includes solid waste and wastewater treatment.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1.6.3. Emissions projections</w:t>
      </w:r>
      <w:r>
        <w:t xml:space="preserve"> </w:t>
      </w:r>
      <w:r>
        <w:t xml:space="preserve">As described in the previous section, the non-land-related sectors show relatively low-</w:t>
      </w:r>
      <w:r>
        <w:t xml:space="preserve"> </w:t>
      </w:r>
      <w:r>
        <w:t xml:space="preserve">cost mitigation potentials, which translates into very close emission profiles across all</w:t>
      </w:r>
      <w:r>
        <w:t xml:space="preserve"> </w:t>
      </w:r>
      <w:r>
        <w:t xml:space="preserve">scenarios except S1 (see Table 13). The S1 scenario assumes a carbon value equal to zero</w:t>
      </w:r>
      <w:r>
        <w:t xml:space="preserve"> </w:t>
      </w:r>
      <w:r>
        <w:t xml:space="preserve">up to 2040. Therefore, in this scenario, the non-CO2 GHG emissions trajectory is the</w:t>
      </w:r>
      <w:r>
        <w:t xml:space="preserve"> </w:t>
      </w:r>
      <w:r>
        <w:t xml:space="preserve">emissions trajectory without additional mitigation (see Section 1.6.1) until 2040. The</w:t>
      </w:r>
      <w:r>
        <w:t xml:space="preserve"> </w:t>
      </w:r>
      <w:r>
        <w:t xml:space="preserve">level of non-CO2 GHG emissions in 2050 is the same across all scenarios (since the</w:t>
      </w:r>
      <w:r>
        <w:t xml:space="preserve"> </w:t>
      </w:r>
      <w:r>
        <w:t xml:space="preserve">carbon value assumed is also the same).</w:t>
      </w:r>
      <w:r>
        <w:br/>
      </w:r>
      <w:r>
        <w:t xml:space="preserve">The non-CO2 GHG emissions from the waste management sector in 2040 are projected</w:t>
      </w:r>
      <w:r>
        <w:t xml:space="preserve"> </w:t>
      </w:r>
      <w:r>
        <w:t xml:space="preserve">to be 42% lower than in 2015 in S1, and 54% lower in the other scenarios. In 2050,</w:t>
      </w:r>
      <w:r>
        <w:t xml:space="preserve"> </w:t>
      </w:r>
      <w:r>
        <w:t xml:space="preserve">emissions from the waste management sector are 73% lower than in 2015 in all</w:t>
      </w:r>
      <w:r>
        <w:t xml:space="preserve"> </w:t>
      </w:r>
      <w:r>
        <w:t xml:space="preserve">scenarios. In 2040, in S2, S3 and LIFE, the additional mitigation is achieved mainly</w:t>
      </w:r>
      <w:r>
        <w:t xml:space="preserve"> </w:t>
      </w:r>
      <w:r>
        <w:t xml:space="preserve">through the implementation of: a) source separation and anaerobic digestion with biogas</w:t>
      </w:r>
      <w:r>
        <w:t xml:space="preserve"> </w:t>
      </w:r>
      <w:r>
        <w:t xml:space="preserve">recovery to treat solid waste; and b) 2-stage treatment (anaerobic with biogas recovery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and then aerobic) combined with process optimisation to treat wastewater. In 2050,</w:t>
      </w:r>
      <w:r>
        <w:t xml:space="preserve"> </w:t>
      </w:r>
      <w:r>
        <w:t xml:space="preserve">energy recovery technologies are used in addition to the above-mentioned ones in all</w:t>
      </w:r>
      <w:r>
        <w:t xml:space="preserve"> </w:t>
      </w:r>
      <w:r>
        <w:t xml:space="preserve">scenarios.</w:t>
      </w:r>
      <w:r>
        <w:br/>
      </w:r>
      <w:r>
        <w:t xml:space="preserve">The non-CO2 GHG emissions from the energy and transport sector go down to 31</w:t>
      </w:r>
      <w:r>
        <w:t xml:space="preserve"> </w:t>
      </w:r>
      <w:r>
        <w:t xml:space="preserve">MtCO2-eq in S1 and 24 MtCO2-eq in the other scenarios in 2040, which means a</w:t>
      </w:r>
      <w:r>
        <w:t xml:space="preserve"> </w:t>
      </w:r>
      <w:r>
        <w:t xml:space="preserve">decrease by 71% and 78%, respectively, compared to 2015. In 2050, emissions are</w:t>
      </w:r>
      <w:r>
        <w:t xml:space="preserve"> </w:t>
      </w:r>
      <w:r>
        <w:t xml:space="preserve">projected to be 83% lower than in 2015 in all scenarios. This mitigation is largely driven</w:t>
      </w:r>
      <w:r>
        <w:t xml:space="preserve"> </w:t>
      </w:r>
      <w:r>
        <w:t xml:space="preserve">by the evolution of the energy system and the lower consumption of fossil fuels,</w:t>
      </w:r>
      <w:r>
        <w:t xml:space="preserve"> </w:t>
      </w:r>
      <w:r>
        <w:t xml:space="preserve">complemented in S2, S2 and LIFE by implementation of technologies to improve bunker</w:t>
      </w:r>
      <w:r>
        <w:t xml:space="preserve"> </w:t>
      </w:r>
      <w:r>
        <w:t xml:space="preserve">fuel use, leak detection and repair programs in gas networks, leakage control and gas</w:t>
      </w:r>
      <w:r>
        <w:t xml:space="preserve"> </w:t>
      </w:r>
      <w:r>
        <w:t xml:space="preserve">recovery in crude oil and natural gas production sites, oxidation of ventilation air</w:t>
      </w:r>
      <w:r>
        <w:t xml:space="preserve"> </w:t>
      </w:r>
      <w:r>
        <w:t xml:space="preserve">methane in coal mines, and flooding of abandoned coal mines.</w:t>
      </w:r>
      <w:r>
        <w:br/>
      </w:r>
      <w:r>
        <w:t xml:space="preserve">Non-CO2 GHG emissions from the heating and cooling sector are projected to decrease</w:t>
      </w:r>
      <w:r>
        <w:t xml:space="preserve"> </w:t>
      </w:r>
      <w:r>
        <w:t xml:space="preserve">to around 2.5 MtCO2-eq in S1 and to almost zero in the other scenarios in 2040, largely</w:t>
      </w:r>
      <w:r>
        <w:t xml:space="preserve"> </w:t>
      </w:r>
      <w:r>
        <w:t xml:space="preserve">driven by the impact of the proposal for a revised F-gas regulation (reflected already in</w:t>
      </w:r>
      <w:r>
        <w:t xml:space="preserve"> </w:t>
      </w:r>
      <w:r>
        <w:t xml:space="preserve">the S1 scenario, which assumes no additional mitigation). Emissions from this sector are</w:t>
      </w:r>
      <w:r>
        <w:t xml:space="preserve"> </w:t>
      </w:r>
      <w:r>
        <w:t xml:space="preserve">almost fully eliminated by 2050 in all scenarios. Finally, the non-CO2 GHG emissions</w:t>
      </w:r>
      <w:r>
        <w:t xml:space="preserve"> </w:t>
      </w:r>
      <w:r>
        <w:t xml:space="preserve">from industry and other sectors are projected to be around 13 MtCO2-eq in S1 and 5</w:t>
      </w:r>
      <w:r>
        <w:t xml:space="preserve"> </w:t>
      </w:r>
      <w:r>
        <w:t xml:space="preserve">MtCO2-eq in the other scenarios in 2040 (i.e., 50% and 82% less than in 2015,</w:t>
      </w:r>
      <w:r>
        <w:t xml:space="preserve"> </w:t>
      </w:r>
      <w:r>
        <w:t xml:space="preserve">respectively). In 2050, non-CO2 GHG emissions from this sector remain at around 5</w:t>
      </w:r>
      <w:r>
        <w:t xml:space="preserve"> </w:t>
      </w:r>
      <w:r>
        <w:t xml:space="preserve">MtCO2-eq in all scenarios.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Table 13: Non-CO2 GHG emissions from the non-land-related sectors</w:t>
      </w:r>
    </w:p>
    <w:p>
      <w:pPr>
        <w:pStyle w:val="BodyText"/>
      </w:pPr>
      <w:r>
        <w:t xml:space="preserve">Non-CO2 greenhouse gas emissions (MtCO2-eq)</w:t>
      </w:r>
      <w:r>
        <w:t xml:space="preserve"> </w:t>
      </w:r>
      <w:r>
        <w:t xml:space="preserve">Change in emissions (%)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2015-40</w:t>
      </w:r>
      <w:r>
        <w:t xml:space="preserve"> </w:t>
      </w:r>
      <w:r>
        <w:t xml:space="preserve">2015-50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S2, S3 &amp;</w:t>
      </w:r>
      <w:r>
        <w:t xml:space="preserve"> </w:t>
      </w:r>
      <w:r>
        <w:t xml:space="preserve">LIFE</w:t>
      </w:r>
      <w:r>
        <w:t xml:space="preserve"> </w:t>
      </w:r>
      <w:r>
        <w:t xml:space="preserve">S1, S2, S3</w:t>
      </w:r>
      <w:r>
        <w:t xml:space="preserve"> </w:t>
      </w:r>
      <w:r>
        <w:t xml:space="preserve">&amp; LIFE</w:t>
      </w:r>
      <w:r>
        <w:t xml:space="preserve"> </w:t>
      </w:r>
      <w:r>
        <w:t xml:space="preserve">S1</w:t>
      </w:r>
      <w:r>
        <w:t xml:space="preserve"> </w:t>
      </w:r>
      <w:r>
        <w:t xml:space="preserve">S2, S3 &amp;</w:t>
      </w:r>
      <w:r>
        <w:t xml:space="preserve"> </w:t>
      </w:r>
      <w:r>
        <w:t xml:space="preserve">LIFE</w:t>
      </w:r>
      <w:r>
        <w:t xml:space="preserve"> </w:t>
      </w:r>
      <w:r>
        <w:t xml:space="preserve">S1, S2,</w:t>
      </w:r>
      <w:r>
        <w:t xml:space="preserve"> </w:t>
      </w:r>
      <w:r>
        <w:t xml:space="preserve">S3 &amp; LIFE</w:t>
      </w:r>
      <w:r>
        <w:t xml:space="preserve"> </w:t>
      </w:r>
      <w:r>
        <w:t xml:space="preserve">Waste management*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145</w:t>
      </w:r>
      <w:r>
        <w:t xml:space="preserve"> </w:t>
      </w:r>
      <w:r>
        <w:t xml:space="preserve">109</w:t>
      </w:r>
      <w:r>
        <w:t xml:space="preserve"> </w:t>
      </w:r>
      <w:r>
        <w:t xml:space="preserve">59</w:t>
      </w:r>
      <w:r>
        <w:t xml:space="preserve"> </w:t>
      </w:r>
      <w:r>
        <w:t xml:space="preserve">51</w:t>
      </w:r>
      <w:r>
        <w:t xml:space="preserve"> </w:t>
      </w:r>
      <w:r>
        <w:t xml:space="preserve">28</w:t>
      </w:r>
      <w:r>
        <w:t xml:space="preserve"> </w:t>
      </w:r>
      <w:r>
        <w:t xml:space="preserve">-46%</w:t>
      </w:r>
      <w:r>
        <w:t xml:space="preserve"> </w:t>
      </w:r>
      <w:r>
        <w:t xml:space="preserve">-53%</w:t>
      </w:r>
      <w:r>
        <w:t xml:space="preserve"> </w:t>
      </w:r>
      <w:r>
        <w:t xml:space="preserve">-74%</w:t>
      </w:r>
      <w:r>
        <w:t xml:space="preserve"> </w:t>
      </w:r>
      <w:r>
        <w:t xml:space="preserve">N2O</w:t>
      </w:r>
      <w:r>
        <w:t xml:space="preserve"> </w:t>
      </w:r>
      <w:r>
        <w:t xml:space="preserve">10</w:t>
      </w:r>
      <w:r>
        <w:t xml:space="preserve"> </w:t>
      </w:r>
      <w:r>
        <w:t xml:space="preserve">9.2</w:t>
      </w:r>
      <w:r>
        <w:t xml:space="preserve"> </w:t>
      </w:r>
      <w:r>
        <w:t xml:space="preserve">9.1</w:t>
      </w:r>
      <w:r>
        <w:t xml:space="preserve"> </w:t>
      </w:r>
      <w:r>
        <w:t xml:space="preserve">4.2</w:t>
      </w:r>
      <w:r>
        <w:t xml:space="preserve"> </w:t>
      </w:r>
      <w:r>
        <w:t xml:space="preserve">3.8</w:t>
      </w:r>
      <w:r>
        <w:t xml:space="preserve"> </w:t>
      </w:r>
      <w:r>
        <w:t xml:space="preserve">-1%</w:t>
      </w:r>
      <w:r>
        <w:t xml:space="preserve"> </w:t>
      </w:r>
      <w:r>
        <w:t xml:space="preserve">-54%</w:t>
      </w:r>
      <w:r>
        <w:t xml:space="preserve"> </w:t>
      </w:r>
      <w:r>
        <w:t xml:space="preserve">-59%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155</w:t>
      </w:r>
      <w:r>
        <w:t xml:space="preserve"> </w:t>
      </w:r>
      <w:r>
        <w:t xml:space="preserve">118</w:t>
      </w:r>
      <w:r>
        <w:t xml:space="preserve"> </w:t>
      </w:r>
      <w:r>
        <w:t xml:space="preserve">68</w:t>
      </w:r>
      <w:r>
        <w:t xml:space="preserve"> </w:t>
      </w:r>
      <w:r>
        <w:t xml:space="preserve">55</w:t>
      </w:r>
      <w:r>
        <w:t xml:space="preserve"> </w:t>
      </w:r>
      <w:r>
        <w:t xml:space="preserve">32</w:t>
      </w:r>
      <w:r>
        <w:t xml:space="preserve"> </w:t>
      </w:r>
      <w:r>
        <w:t xml:space="preserve">-42%</w:t>
      </w:r>
      <w:r>
        <w:t xml:space="preserve"> </w:t>
      </w:r>
      <w:r>
        <w:t xml:space="preserve">-54%</w:t>
      </w:r>
      <w:r>
        <w:t xml:space="preserve"> </w:t>
      </w:r>
      <w:r>
        <w:t xml:space="preserve">-73%</w:t>
      </w:r>
      <w:r>
        <w:t xml:space="preserve"> </w:t>
      </w:r>
      <w:r>
        <w:t xml:space="preserve">Energy and transport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110</w:t>
      </w:r>
      <w:r>
        <w:t xml:space="preserve"> </w:t>
      </w:r>
      <w:r>
        <w:t xml:space="preserve">86</w:t>
      </w:r>
      <w:r>
        <w:t xml:space="preserve"> </w:t>
      </w:r>
      <w:r>
        <w:t xml:space="preserve">20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  <w:r>
        <w:t xml:space="preserve"> </w:t>
      </w:r>
      <w:r>
        <w:t xml:space="preserve">-76%</w:t>
      </w:r>
      <w:r>
        <w:t xml:space="preserve"> </w:t>
      </w:r>
      <w:r>
        <w:t xml:space="preserve">-84%</w:t>
      </w:r>
      <w:r>
        <w:t xml:space="preserve"> </w:t>
      </w:r>
      <w:r>
        <w:t xml:space="preserve">-88%</w:t>
      </w:r>
      <w:r>
        <w:t xml:space="preserve"> </w:t>
      </w:r>
      <w:r>
        <w:t xml:space="preserve">N2O</w:t>
      </w:r>
      <w:r>
        <w:t xml:space="preserve"> </w:t>
      </w:r>
      <w:r>
        <w:t xml:space="preserve">24</w:t>
      </w:r>
      <w:r>
        <w:t xml:space="preserve"> </w:t>
      </w:r>
      <w:r>
        <w:t xml:space="preserve">23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7.9</w:t>
      </w:r>
      <w:r>
        <w:t xml:space="preserve"> </w:t>
      </w:r>
      <w:r>
        <w:t xml:space="preserve">-52%</w:t>
      </w:r>
      <w:r>
        <w:t xml:space="preserve"> </w:t>
      </w:r>
      <w:r>
        <w:t xml:space="preserve">-53%</w:t>
      </w:r>
      <w:r>
        <w:t xml:space="preserve"> </w:t>
      </w:r>
      <w:r>
        <w:t xml:space="preserve">-66%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135</w:t>
      </w:r>
      <w:r>
        <w:t xml:space="preserve"> </w:t>
      </w:r>
      <w:r>
        <w:t xml:space="preserve">109</w:t>
      </w:r>
      <w:r>
        <w:t xml:space="preserve"> </w:t>
      </w:r>
      <w:r>
        <w:t xml:space="preserve">31</w:t>
      </w:r>
      <w:r>
        <w:t xml:space="preserve"> </w:t>
      </w:r>
      <w:r>
        <w:t xml:space="preserve">24</w:t>
      </w:r>
      <w:r>
        <w:t xml:space="preserve"> </w:t>
      </w:r>
      <w:r>
        <w:t xml:space="preserve">18</w:t>
      </w:r>
      <w:r>
        <w:t xml:space="preserve"> </w:t>
      </w:r>
      <w:r>
        <w:t xml:space="preserve">-71%</w:t>
      </w:r>
      <w:r>
        <w:t xml:space="preserve"> </w:t>
      </w:r>
      <w:r>
        <w:t xml:space="preserve">-78%</w:t>
      </w:r>
      <w:r>
        <w:t xml:space="preserve"> </w:t>
      </w:r>
      <w:r>
        <w:t xml:space="preserve">-83%</w:t>
      </w:r>
      <w:r>
        <w:t xml:space="preserve"> </w:t>
      </w:r>
      <w:r>
        <w:t xml:space="preserve">Heating and cooling</w:t>
      </w:r>
    </w:p>
    <w:p>
      <w:pPr>
        <w:pStyle w:val="BodyText"/>
      </w:pPr>
      <w:r>
        <w:t xml:space="preserve">F-gases</w:t>
      </w:r>
      <w:r>
        <w:t xml:space="preserve"> </w:t>
      </w:r>
      <w:r>
        <w:t xml:space="preserve">43</w:t>
      </w:r>
      <w:r>
        <w:t xml:space="preserve"> </w:t>
      </w:r>
      <w:r>
        <w:t xml:space="preserve">76</w:t>
      </w:r>
      <w:r>
        <w:t xml:space="preserve"> </w:t>
      </w:r>
      <w:r>
        <w:t xml:space="preserve">2.6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-97%</w:t>
      </w:r>
      <w:r>
        <w:t xml:space="preserve"> </w:t>
      </w:r>
      <w:r>
        <w:t xml:space="preserve">-100%</w:t>
      </w:r>
      <w:r>
        <w:t xml:space="preserve"> </w:t>
      </w:r>
      <w:r>
        <w:t xml:space="preserve">-100%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43</w:t>
      </w:r>
      <w:r>
        <w:t xml:space="preserve"> </w:t>
      </w:r>
      <w:r>
        <w:t xml:space="preserve">76</w:t>
      </w:r>
      <w:r>
        <w:t xml:space="preserve"> </w:t>
      </w:r>
      <w:r>
        <w:t xml:space="preserve">2.6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-97%</w:t>
      </w:r>
      <w:r>
        <w:t xml:space="preserve"> </w:t>
      </w:r>
      <w:r>
        <w:t xml:space="preserve">-100%</w:t>
      </w:r>
      <w:r>
        <w:t xml:space="preserve"> </w:t>
      </w:r>
      <w:r>
        <w:t xml:space="preserve">-100%</w:t>
      </w:r>
      <w:r>
        <w:t xml:space="preserve"> </w:t>
      </w:r>
      <w:r>
        <w:t xml:space="preserve">Industry and other</w:t>
      </w:r>
    </w:p>
    <w:p>
      <w:pPr>
        <w:pStyle w:val="BodyText"/>
      </w:pPr>
      <w:r>
        <w:t xml:space="preserve">N2O</w:t>
      </w:r>
      <w:r>
        <w:t xml:space="preserve"> </w:t>
      </w:r>
      <w:r>
        <w:t xml:space="preserve">48</w:t>
      </w:r>
      <w:r>
        <w:t xml:space="preserve"> </w:t>
      </w:r>
      <w:r>
        <w:t xml:space="preserve">8.3</w:t>
      </w:r>
      <w:r>
        <w:t xml:space="preserve"> </w:t>
      </w:r>
      <w:r>
        <w:t xml:space="preserve">7.2</w:t>
      </w:r>
      <w:r>
        <w:t xml:space="preserve"> </w:t>
      </w:r>
      <w:r>
        <w:t xml:space="preserve">3.7</w:t>
      </w:r>
      <w:r>
        <w:t xml:space="preserve"> </w:t>
      </w:r>
      <w:r>
        <w:t xml:space="preserve">4.0</w:t>
      </w:r>
      <w:r>
        <w:t xml:space="preserve"> </w:t>
      </w:r>
      <w:r>
        <w:t xml:space="preserve">-13%</w:t>
      </w:r>
      <w:r>
        <w:t xml:space="preserve"> </w:t>
      </w:r>
      <w:r>
        <w:t xml:space="preserve">-55%</w:t>
      </w:r>
      <w:r>
        <w:t xml:space="preserve"> </w:t>
      </w:r>
      <w:r>
        <w:t xml:space="preserve">-52%</w:t>
      </w:r>
      <w:r>
        <w:t xml:space="preserve"> </w:t>
      </w:r>
      <w:r>
        <w:t xml:space="preserve">F-gases</w:t>
      </w:r>
      <w:r>
        <w:t xml:space="preserve"> </w:t>
      </w:r>
      <w:r>
        <w:t xml:space="preserve">28</w:t>
      </w:r>
      <w:r>
        <w:t xml:space="preserve"> </w:t>
      </w:r>
      <w:r>
        <w:t xml:space="preserve">18</w:t>
      </w:r>
      <w:r>
        <w:t xml:space="preserve"> </w:t>
      </w:r>
      <w:r>
        <w:t xml:space="preserve">6.1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-67%</w:t>
      </w:r>
      <w:r>
        <w:t xml:space="preserve"> </w:t>
      </w:r>
      <w:r>
        <w:t xml:space="preserve">-94%</w:t>
      </w:r>
      <w:r>
        <w:t xml:space="preserve"> </w:t>
      </w:r>
      <w:r>
        <w:t xml:space="preserve">-96%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76</w:t>
      </w:r>
      <w:r>
        <w:t xml:space="preserve"> </w:t>
      </w:r>
      <w:r>
        <w:t xml:space="preserve">27</w:t>
      </w:r>
      <w:r>
        <w:t xml:space="preserve"> </w:t>
      </w:r>
      <w:r>
        <w:t xml:space="preserve">13</w:t>
      </w:r>
      <w:r>
        <w:t xml:space="preserve"> </w:t>
      </w:r>
      <w:r>
        <w:t xml:space="preserve">4.7</w:t>
      </w:r>
      <w:r>
        <w:t xml:space="preserve"> </w:t>
      </w:r>
      <w:r>
        <w:t xml:space="preserve">4.7</w:t>
      </w:r>
      <w:r>
        <w:t xml:space="preserve"> </w:t>
      </w:r>
      <w:r>
        <w:t xml:space="preserve">-50%</w:t>
      </w:r>
      <w:r>
        <w:t xml:space="preserve"> </w:t>
      </w:r>
      <w:r>
        <w:t xml:space="preserve">-82%</w:t>
      </w:r>
      <w:r>
        <w:t xml:space="preserve"> </w:t>
      </w:r>
      <w:r>
        <w:t xml:space="preserve">-82%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255</w:t>
      </w:r>
      <w:r>
        <w:t xml:space="preserve"> </w:t>
      </w:r>
      <w:r>
        <w:t xml:space="preserve">196</w:t>
      </w:r>
      <w:r>
        <w:t xml:space="preserve"> </w:t>
      </w:r>
      <w:r>
        <w:t xml:space="preserve">80</w:t>
      </w:r>
      <w:r>
        <w:t xml:space="preserve"> </w:t>
      </w:r>
      <w:r>
        <w:t xml:space="preserve">64</w:t>
      </w:r>
      <w:r>
        <w:t xml:space="preserve"> </w:t>
      </w:r>
      <w:r>
        <w:t xml:space="preserve">38</w:t>
      </w:r>
      <w:r>
        <w:t xml:space="preserve"> </w:t>
      </w:r>
      <w:r>
        <w:t xml:space="preserve">-59%</w:t>
      </w:r>
      <w:r>
        <w:t xml:space="preserve"> </w:t>
      </w:r>
      <w:r>
        <w:t xml:space="preserve">-67%</w:t>
      </w:r>
      <w:r>
        <w:t xml:space="preserve"> </w:t>
      </w:r>
      <w:r>
        <w:t xml:space="preserve">-80%</w:t>
      </w:r>
      <w:r>
        <w:t xml:space="preserve"> </w:t>
      </w:r>
      <w:r>
        <w:t xml:space="preserve">N2O</w:t>
      </w:r>
      <w:r>
        <w:t xml:space="preserve"> </w:t>
      </w:r>
      <w:r>
        <w:t xml:space="preserve">83</w:t>
      </w:r>
      <w:r>
        <w:t xml:space="preserve"> </w:t>
      </w:r>
      <w:r>
        <w:t xml:space="preserve">41</w:t>
      </w:r>
      <w:r>
        <w:t xml:space="preserve"> </w:t>
      </w:r>
      <w:r>
        <w:t xml:space="preserve">27</w:t>
      </w:r>
      <w:r>
        <w:t xml:space="preserve"> </w:t>
      </w:r>
      <w:r>
        <w:t xml:space="preserve">19</w:t>
      </w:r>
      <w:r>
        <w:t xml:space="preserve"> </w:t>
      </w:r>
      <w:r>
        <w:t xml:space="preserve">16</w:t>
      </w:r>
      <w:r>
        <w:t xml:space="preserve"> </w:t>
      </w:r>
      <w:r>
        <w:t xml:space="preserve">-33%</w:t>
      </w:r>
      <w:r>
        <w:t xml:space="preserve"> </w:t>
      </w:r>
      <w:r>
        <w:t xml:space="preserve">-54%</w:t>
      </w:r>
      <w:r>
        <w:t xml:space="preserve"> </w:t>
      </w:r>
      <w:r>
        <w:t xml:space="preserve">-61%</w:t>
      </w:r>
      <w:r>
        <w:t xml:space="preserve"> </w:t>
      </w:r>
      <w:r>
        <w:t xml:space="preserve">F-gases</w:t>
      </w:r>
      <w:r>
        <w:t xml:space="preserve"> </w:t>
      </w:r>
      <w:r>
        <w:t xml:space="preserve">71</w:t>
      </w:r>
      <w:r>
        <w:t xml:space="preserve"> </w:t>
      </w:r>
      <w:r>
        <w:t xml:space="preserve">94</w:t>
      </w:r>
      <w:r>
        <w:t xml:space="preserve"> </w:t>
      </w:r>
      <w:r>
        <w:t xml:space="preserve">8.7</w:t>
      </w:r>
      <w:r>
        <w:t xml:space="preserve"> </w:t>
      </w:r>
      <w:r>
        <w:t xml:space="preserve">1.2</w:t>
      </w:r>
      <w:r>
        <w:t xml:space="preserve"> </w:t>
      </w:r>
      <w:r>
        <w:t xml:space="preserve">0.8</w:t>
      </w:r>
      <w:r>
        <w:t xml:space="preserve"> </w:t>
      </w:r>
      <w:r>
        <w:t xml:space="preserve">-91%</w:t>
      </w:r>
      <w:r>
        <w:t xml:space="preserve"> </w:t>
      </w:r>
      <w:r>
        <w:t xml:space="preserve">-99%</w:t>
      </w:r>
      <w:r>
        <w:t xml:space="preserve"> </w:t>
      </w:r>
      <w:r>
        <w:t xml:space="preserve">-99%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409</w:t>
      </w:r>
      <w:r>
        <w:t xml:space="preserve"> </w:t>
      </w:r>
      <w:r>
        <w:t xml:space="preserve">330</w:t>
      </w:r>
      <w:r>
        <w:t xml:space="preserve"> </w:t>
      </w:r>
      <w:r>
        <w:t xml:space="preserve">116</w:t>
      </w:r>
      <w:r>
        <w:t xml:space="preserve"> </w:t>
      </w:r>
      <w:r>
        <w:t xml:space="preserve">84</w:t>
      </w:r>
      <w:r>
        <w:t xml:space="preserve"> </w:t>
      </w:r>
      <w:r>
        <w:t xml:space="preserve">55</w:t>
      </w:r>
      <w:r>
        <w:t xml:space="preserve"> </w:t>
      </w:r>
      <w:r>
        <w:t xml:space="preserve">-65%</w:t>
      </w:r>
      <w:r>
        <w:t xml:space="preserve"> </w:t>
      </w:r>
      <w:r>
        <w:t xml:space="preserve">-74%</w:t>
      </w:r>
      <w:r>
        <w:t xml:space="preserve"> </w:t>
      </w:r>
      <w:r>
        <w:t xml:space="preserve">-83%</w:t>
      </w:r>
    </w:p>
    <w:p>
      <w:pPr>
        <w:pStyle w:val="BodyText"/>
      </w:pPr>
      <w:r>
        <w:t xml:space="preserve">Note: *The waste management sector includes solid waste and wastewater treatment.</w:t>
      </w:r>
      <w:r>
        <w:br/>
      </w:r>
      <w:r>
        <w:t xml:space="preserve">Source: GAINS.</w:t>
      </w:r>
      <w:r>
        <w:t xml:space="preserve"> </w:t>
      </w:r>
      <w:r>
        <w:t xml:space="preserve">1.7.</w:t>
      </w:r>
      <w:r>
        <w:t xml:space="preserve"> </w:t>
      </w:r>
      <w:r>
        <w:t xml:space="preserve">Agriculture</w:t>
      </w:r>
      <w:r>
        <w:t xml:space="preserve"> </w:t>
      </w:r>
      <w:r>
        <w:t xml:space="preserve">1.7.1. Introduction</w:t>
      </w:r>
      <w:r>
        <w:t xml:space="preserve"> </w:t>
      </w:r>
      <w:r>
        <w:t xml:space="preserve">Emissions in the agricultural sector declined since 1990 by 23% with an increase in outut</w:t>
      </w:r>
      <w:r>
        <w:t xml:space="preserve"> </w:t>
      </w:r>
      <w:r>
        <w:t xml:space="preserve">efficicency (i.e., lower emissions per unit of output), but remained stable over the last 10</w:t>
      </w:r>
      <w:r>
        <w:t xml:space="preserve"> </w:t>
      </w:r>
      <w:r>
        <w:t xml:space="preserve">years (see Figure 80). This relative stability in emissions also applies to livestock</w:t>
      </w:r>
      <w:r>
        <w:t xml:space="preserve"> </w:t>
      </w:r>
      <w:r>
        <w:t xml:space="preserve">emissions, which throughout the average 2019-2021 compared to 10 years ago only</w:t>
      </w:r>
      <w:r>
        <w:t xml:space="preserve"> </w:t>
      </w:r>
      <w:r>
        <w:t xml:space="preserve">reduced emissions by around 1%. Since 1990, livestock emissions consistently make up</w:t>
      </w:r>
      <w:r>
        <w:t xml:space="preserve"> </w:t>
      </w:r>
      <w:r>
        <w:t xml:space="preserve">around 65% of all emissions in the agriculture sector. Emissions from agricultural soil</w:t>
      </w:r>
      <w:r>
        <w:t xml:space="preserve"> </w:t>
      </w:r>
      <w:r>
        <w:t xml:space="preserve">management increased in the last 10 years by about 4% (on a three-year average) and</w:t>
      </w:r>
      <w:r>
        <w:t xml:space="preserve"> </w:t>
      </w:r>
      <w:r>
        <w:t xml:space="preserve">make up around 30% of all emissions in the agriculture sector.</w:t>
      </w:r>
      <w:r>
        <w:br/>
      </w:r>
      <w:r>
        <w:t xml:space="preserve">Although agricultural GHG emissions changed very little at EU level in the past, the</w:t>
      </w:r>
      <w:r>
        <w:t xml:space="preserve"> </w:t>
      </w:r>
      <w:r>
        <w:t xml:space="preserve">trend shows considerable variation between Member States, with some decreasing or</w:t>
      </w:r>
      <w:r>
        <w:t xml:space="preserve"> </w:t>
      </w:r>
      <w:r>
        <w:t xml:space="preserve">increasing by about 20%, which highlights the dynamic of emissions from agriculture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and the room for additional emission reduction in some Member States in relation to their</w:t>
      </w:r>
      <w:r>
        <w:t xml:space="preserve"> </w:t>
      </w:r>
      <w:r>
        <w:t xml:space="preserve">specific emission profiles and sectorial context (138). It is important to note that the</w:t>
      </w:r>
      <w:r>
        <w:t xml:space="preserve"> </w:t>
      </w:r>
      <w:r>
        <w:t xml:space="preserve">reduction of uncertainty in the GHG inventories in the agricultural sector, which does not</w:t>
      </w:r>
      <w:r>
        <w:t xml:space="preserve"> </w:t>
      </w:r>
      <w:r>
        <w:t xml:space="preserve">fully capture the implementation of emission reduction practices at farm level, remains a</w:t>
      </w:r>
      <w:r>
        <w:t xml:space="preserve"> </w:t>
      </w:r>
      <w:r>
        <w:t xml:space="preserve">significant challenge.</w:t>
      </w:r>
      <w:r>
        <w:t xml:space="preserve"> </w:t>
      </w:r>
      <w:r>
        <w:t xml:space="preserve">Figure 80: Emissions from Agriculture in the EU by sector</w:t>
      </w:r>
    </w:p>
    <w:p>
      <w:pPr>
        <w:pStyle w:val="BodyText"/>
      </w:pPr>
      <w:r>
        <w:t xml:space="preserve">Note: Emissions based on UNFCCC categories. ‘Livestock’ depicts category 3.1 (3.A+3.B) ‘enteric fermentation’</w:t>
      </w:r>
      <w:r>
        <w:t xml:space="preserve"> </w:t>
      </w:r>
      <w:r>
        <w:t xml:space="preserve">3.A, ‘manure management’ 3.B, ‘agricultural soils’ 3.D. ‘Other’ summarises emissions from 3.C Rice Cultivation,</w:t>
      </w:r>
      <w:r>
        <w:t xml:space="preserve"> </w:t>
      </w:r>
      <w:r>
        <w:t xml:space="preserve">3.F - Field Burning of Agricultural Residues, 3.G – Liming, 3.H - Urea Application, 3.I - Other Carbon-containing</w:t>
      </w:r>
      <w:r>
        <w:t xml:space="preserve"> </w:t>
      </w:r>
      <w:r>
        <w:t xml:space="preserve">Fertilisers, 3.J - Other agriculture emissions.</w:t>
      </w:r>
      <w:r>
        <w:br/>
      </w:r>
      <w:r>
        <w:t xml:space="preserve">Source: UNFCCC 2023.</w:t>
      </w:r>
    </w:p>
    <w:p>
      <w:pPr>
        <w:pStyle w:val="BodyText"/>
      </w:pPr>
      <w:r>
        <w:t xml:space="preserve">Opinions on whether the land sector should do more to reduce GHG emissions were</w:t>
      </w:r>
      <w:r>
        <w:t xml:space="preserve"> </w:t>
      </w:r>
      <w:r>
        <w:t xml:space="preserve">divided among stakeholders responding to the Public Consultation questionnaire. On a 5-</w:t>
      </w:r>
      <w:r>
        <w:t xml:space="preserve"> </w:t>
      </w:r>
      <w:r>
        <w:t xml:space="preserve">point scale from ‘can reduce little more’ (1) to ‘can reduce a lot more’ (5), on average all</w:t>
      </w:r>
      <w:r>
        <w:t xml:space="preserve"> </w:t>
      </w:r>
      <w:r>
        <w:t xml:space="preserve">respondents found that the land sector could do somewhat more to reduce emissions</w:t>
      </w:r>
      <w:r>
        <w:t xml:space="preserve"> </w:t>
      </w:r>
      <w:r>
        <w:t xml:space="preserve">(Average: 3.96). But civil society organisations (Average: 4.59) and academic/research</w:t>
      </w:r>
      <w:r>
        <w:t xml:space="preserve"> </w:t>
      </w:r>
      <w:r>
        <w:t xml:space="preserve">institutions (Average: 4.28) find that the land sector could contribute much more, while</w:t>
      </w:r>
      <w:r>
        <w:t xml:space="preserve"> </w:t>
      </w:r>
      <w:r>
        <w:t xml:space="preserve">SME’s, EU citizens and public authorities assessed the sector’s potential for further</w:t>
      </w:r>
      <w:r>
        <w:t xml:space="preserve"> </w:t>
      </w:r>
      <w:r>
        <w:t xml:space="preserve">reduction less positive (Average: 3.53 to 3.81). This divided assessment was also</w:t>
      </w:r>
      <w:r>
        <w:t xml:space="preserve"> </w:t>
      </w:r>
      <w:r>
        <w:t xml:space="preserve">reflected in the question on which sector would achieve climate neutrality first. While</w:t>
      </w:r>
      <w:r>
        <w:t xml:space="preserve"> </w:t>
      </w:r>
      <w:r>
        <w:t xml:space="preserve">about 22% of the respondents believed that the land sector will be the first one to achieve</w:t>
      </w:r>
      <w:r>
        <w:t xml:space="preserve"> </w:t>
      </w:r>
      <w:r>
        <w:t xml:space="preserve">climate neutrality, 30% believed that it will be the last sector, a division presumably due</w:t>
      </w:r>
      <w:r>
        <w:t xml:space="preserve"> </w:t>
      </w:r>
      <w:r>
        <w:t xml:space="preserve">to different expectations about the potential of nature-based removals and the potential to</w:t>
      </w:r>
      <w:r>
        <w:t xml:space="preserve"> </w:t>
      </w:r>
      <w:r>
        <w:t xml:space="preserve">reduce agricultural emissions.</w:t>
      </w:r>
    </w:p>
    <w:p>
      <w:pPr>
        <w:pStyle w:val="Compact"/>
        <w:numPr>
          <w:ilvl w:val="0"/>
          <w:numId w:val="1064"/>
        </w:numPr>
      </w:pPr>
      <w:r>
        <w:t xml:space="preserve">European Environment Agency, ‘Agricultural emissions and projected emissions by EU Member</w:t>
      </w:r>
      <w:r>
        <w:t xml:space="preserve"> </w:t>
      </w:r>
      <w:r>
        <w:t xml:space="preserve">State’, https://www.eea.europa.eu/ds_resolveuid/KPQBZ3Y6T9 , 2022.</w:t>
      </w:r>
      <w:r>
        <w:br/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MtCO2-eq</w:t>
      </w:r>
      <w:r>
        <w:t xml:space="preserve"> </w:t>
      </w:r>
      <w:r>
        <w:t xml:space="preserve">Agricultural Soils</w:t>
      </w:r>
      <w:r>
        <w:t xml:space="preserve"> </w:t>
      </w:r>
      <w:r>
        <w:t xml:space="preserve">Other</w:t>
      </w:r>
      <w:r>
        <w:t xml:space="preserve"> </w:t>
      </w:r>
      <w:r>
        <w:t xml:space="preserve">Manure Management</w:t>
      </w:r>
      <w:r>
        <w:t xml:space="preserve"> </w:t>
      </w:r>
      <w:r>
        <w:t xml:space="preserve">Enteric Fermentation</w:t>
      </w:r>
      <w:r>
        <w:t xml:space="preserve"> </w:t>
      </w:r>
      <w:r>
        <w:t xml:space="preserve">Livestock emissions</w:t>
      </w:r>
    </w:p>
    <w:p>
      <w:pPr>
        <w:pStyle w:val="FirstParagraph"/>
      </w:pPr>
      <w:r>
        <w:t xml:space="preserve">108</w:t>
      </w:r>
    </w:p>
    <w:p>
      <w:pPr>
        <w:pStyle w:val="BodyText"/>
      </w:pPr>
      <w:r>
        <w:t xml:space="preserve">1.7.2. Activity</w:t>
      </w:r>
      <w:r>
        <w:t xml:space="preserve"> </w:t>
      </w:r>
      <w:r>
        <w:t xml:space="preserve">1.7.2.1.Mitigation options in the food system</w:t>
      </w:r>
      <w:r>
        <w:t xml:space="preserve"> </w:t>
      </w:r>
      <w:r>
        <w:t xml:space="preserve">Agricultural and forest land are the two primary users of land in the EU. A conversion of</w:t>
      </w:r>
      <w:r>
        <w:t xml:space="preserve"> </w:t>
      </w:r>
      <w:r>
        <w:t xml:space="preserve">agricultural land has impacts on GHG emissions when forests or grasslands are converted</w:t>
      </w:r>
      <w:r>
        <w:t xml:space="preserve"> </w:t>
      </w:r>
      <w:r>
        <w:t xml:space="preserve">into croplands and carbon stored in vegetation and soil is released into the atmosphere.</w:t>
      </w:r>
      <w:r>
        <w:t xml:space="preserve"> </w:t>
      </w:r>
      <w:r>
        <w:t xml:space="preserve">However, current trends show a positive trend with a slow decline of cropland and a slow</w:t>
      </w:r>
      <w:r>
        <w:t xml:space="preserve"> </w:t>
      </w:r>
      <w:r>
        <w:t xml:space="preserve">increase of forest land.</w:t>
      </w:r>
      <w:r>
        <w:br/>
      </w:r>
      <w:r>
        <w:t xml:space="preserve">Implementing sustainable land management practices in agriculture, such as agroforestry,</w:t>
      </w:r>
      <w:r>
        <w:t xml:space="preserve"> </w:t>
      </w:r>
      <w:r>
        <w:t xml:space="preserve">conservation agriculture practices, and proper land-use planning, can help minimise</w:t>
      </w:r>
      <w:r>
        <w:t xml:space="preserve"> </w:t>
      </w:r>
      <w:r>
        <w:t xml:space="preserve">impacts of land use change and deforestation and thus preserving carbon stocks.</w:t>
      </w:r>
      <w:r>
        <w:t xml:space="preserve"> </w:t>
      </w:r>
      <w:r>
        <w:t xml:space="preserve">Promoting carbon farming practices under the Common Agricultural Policy (CAP) and</w:t>
      </w:r>
      <w:r>
        <w:t xml:space="preserve"> </w:t>
      </w:r>
      <w:r>
        <w:t xml:space="preserve">other EU and national programmes with financial incentives to farmers and foresters can</w:t>
      </w:r>
      <w:r>
        <w:t xml:space="preserve"> </w:t>
      </w:r>
      <w:r>
        <w:t xml:space="preserve">enhance practices such as afforestation, reforestation, agroforestry, conservation</w:t>
      </w:r>
      <w:r>
        <w:t xml:space="preserve"> </w:t>
      </w:r>
      <w:r>
        <w:t xml:space="preserve">agriculture practices and soil protection, appropriate peatland management, and</w:t>
      </w:r>
      <w:r>
        <w:t xml:space="preserve"> </w:t>
      </w:r>
      <w:r>
        <w:t xml:space="preserve">sustainable and precision farming, which contribute to carbon removals with the potential</w:t>
      </w:r>
      <w:r>
        <w:t xml:space="preserve"> </w:t>
      </w:r>
      <w:r>
        <w:t xml:space="preserve">to offset agricultural emissions. Throughout a combination of mandatory and voluntatry</w:t>
      </w:r>
      <w:r>
        <w:t xml:space="preserve"> </w:t>
      </w:r>
      <w:r>
        <w:t xml:space="preserve">interventions, Member States planned significative support to farmers in the approved</w:t>
      </w:r>
      <w:r>
        <w:t xml:space="preserve"> </w:t>
      </w:r>
      <w:r>
        <w:t xml:space="preserve">Common Agricultural Policy Strategic Planning Regulation, for the uptake of carbon</w:t>
      </w:r>
      <w:r>
        <w:t xml:space="preserve"> </w:t>
      </w:r>
      <w:r>
        <w:t xml:space="preserve">farming practices, protection of carbon in soil and reduction of emissions.</w:t>
      </w:r>
      <w:r>
        <w:t xml:space="preserve"> </w:t>
      </w:r>
      <w:r>
        <w:t xml:space="preserve">Livestock production, particularly from ruminant animals like cows, sheep, and goats, is</w:t>
      </w:r>
      <w:r>
        <w:t xml:space="preserve"> </w:t>
      </w:r>
      <w:r>
        <w:t xml:space="preserve">a significant contributor to GHG emissions in the EU’s agriculture sector. Ruminant</w:t>
      </w:r>
      <w:r>
        <w:t xml:space="preserve"> </w:t>
      </w:r>
      <w:r>
        <w:t xml:space="preserve">animals produce methane through enteric fermentation, a natural digestive process,</w:t>
      </w:r>
      <w:r>
        <w:t xml:space="preserve"> </w:t>
      </w:r>
      <w:r>
        <w:t xml:space="preserve">responsible for roughly 38% of emissions in the agriculture sector. Additionally, the</w:t>
      </w:r>
      <w:r>
        <w:t xml:space="preserve"> </w:t>
      </w:r>
      <w:r>
        <w:t xml:space="preserve">management of manure from livestock releases methane and nitrous oxide and is</w:t>
      </w:r>
      <w:r>
        <w:t xml:space="preserve"> </w:t>
      </w:r>
      <w:r>
        <w:t xml:space="preserve">responsible for about 13% of emissions throughout the last 10 years (139). Implementing</w:t>
      </w:r>
      <w:r>
        <w:t xml:space="preserve"> </w:t>
      </w:r>
      <w:r>
        <w:t xml:space="preserve">practices such as optimised fodder, feed additives, more favourable animal genetics (140),</w:t>
      </w:r>
      <w:r>
        <w:t xml:space="preserve"> </w:t>
      </w:r>
      <w:r>
        <w:t xml:space="preserve">and improved herd management help reduce enteric fermentation and, consequently,</w:t>
      </w:r>
      <w:r>
        <w:t xml:space="preserve"> </w:t>
      </w:r>
      <w:r>
        <w:t xml:space="preserve">methane emissions from the livestock. Anareobic digestion of manure and other biomass</w:t>
      </w:r>
      <w:r>
        <w:t xml:space="preserve"> </w:t>
      </w:r>
      <w:r>
        <w:t xml:space="preserve">does not only mitigate emissions but also provides a new source of income for farmers</w:t>
      </w:r>
      <w:r>
        <w:t xml:space="preserve"> </w:t>
      </w:r>
      <w:r>
        <w:t xml:space="preserve">(since it produces biogas, which can be recovered and used for energy production or</w:t>
      </w:r>
      <w:r>
        <w:t xml:space="preserve"> </w:t>
      </w:r>
      <w:r>
        <w:t xml:space="preserve">other purposes) and can help to prevent excessive nutrient losses.</w:t>
      </w:r>
      <w:r>
        <w:t xml:space="preserve"> </w:t>
      </w:r>
      <w:r>
        <w:t xml:space="preserve">Nitrogen fertilisers are widely used in agriculture to enhance crop production. However,</w:t>
      </w:r>
      <w:r>
        <w:t xml:space="preserve"> </w:t>
      </w:r>
      <w:r>
        <w:t xml:space="preserve">the excessive or inefficient application of nitrogen fertilisers leads to the release of N2O</w:t>
      </w:r>
      <w:r>
        <w:t xml:space="preserve"> </w:t>
      </w:r>
      <w:r>
        <w:t xml:space="preserve">into the atmosphere and losses of other nitrogen components to water and atmosphere.</w:t>
      </w:r>
      <w:r>
        <w:t xml:space="preserve"> </w:t>
      </w:r>
      <w:r>
        <w:t xml:space="preserve">Utilisation of precision agriculture techniques (141), such as site-specific fertiliser</w:t>
      </w:r>
      <w:r>
        <w:t xml:space="preserve"> </w:t>
      </w:r>
      <w:r>
        <w:t xml:space="preserve">management with variable rate distribution techniques, can help optimise fertiliser</w:t>
      </w:r>
    </w:p>
    <w:p>
      <w:pPr>
        <w:pStyle w:val="Compact"/>
        <w:numPr>
          <w:ilvl w:val="0"/>
          <w:numId w:val="1065"/>
        </w:numPr>
      </w:pPr>
      <w:r>
        <w:t xml:space="preserve">UNFCCC inventory data 2023</w:t>
      </w:r>
    </w:p>
    <w:p>
      <w:pPr>
        <w:pStyle w:val="Compact"/>
        <w:numPr>
          <w:ilvl w:val="0"/>
          <w:numId w:val="1065"/>
        </w:numPr>
      </w:pPr>
      <w:r>
        <w:t xml:space="preserve">Wall, E., Simm, G., &amp; Moran, D. (2010). Developing breeding schemes to assist mitigation of</w:t>
      </w:r>
      <w:r>
        <w:t xml:space="preserve"> </w:t>
      </w:r>
      <w:r>
        <w:t xml:space="preserve">greenhouse gas emissions. Animal, 4(3), 366-376.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for overview on precision agriculture technologies: Balafoutis, A.; Beck, B.; Fountas, S.; Vangeyte, J.;</w:t>
      </w:r>
      <w:r>
        <w:t xml:space="preserve"> </w:t>
      </w:r>
      <w:r>
        <w:t xml:space="preserve">Wal, T.V.d.; Soto, I.; Gómez-Barbero, M.; Barnes, A.; Eory, V. Precision Agriculture Technologies</w:t>
      </w:r>
      <w:r>
        <w:t xml:space="preserve"> </w:t>
      </w:r>
      <w:r>
        <w:t xml:space="preserve">Positively Contributing to GHG Emissions Mitigation, Farm Productivity and Economics.</w:t>
      </w:r>
      <w:r>
        <w:t xml:space="preserve"> </w:t>
      </w:r>
      <w:r>
        <w:t xml:space="preserve">Sustainability 2017, 9, 1339.</w:t>
      </w:r>
    </w:p>
    <w:p>
      <w:pPr>
        <w:pStyle w:val="FirstParagraph"/>
      </w:pPr>
      <w:r>
        <w:t xml:space="preserve">109</w:t>
      </w:r>
    </w:p>
    <w:p>
      <w:pPr>
        <w:pStyle w:val="BodyText"/>
      </w:pPr>
      <w:r>
        <w:t xml:space="preserve">application and minimise nitrogen losses, reducing N2O emissions. Moreover, the use of</w:t>
      </w:r>
      <w:r>
        <w:t xml:space="preserve"> </w:t>
      </w:r>
      <w:r>
        <w:t xml:space="preserve">N2O stabilisers (142), inhibitors and nitrogen in more complex formulation (such as in</w:t>
      </w:r>
      <w:r>
        <w:t xml:space="preserve"> </w:t>
      </w:r>
      <w:r>
        <w:t xml:space="preserve">organic fertilisers) can enhance fertiliser efficiency and reduce nitrogen losses, ultimately</w:t>
      </w:r>
      <w:r>
        <w:t xml:space="preserve"> </w:t>
      </w:r>
      <w:r>
        <w:t xml:space="preserve">lowering nitrous oxide emissions. With regard to nutrients and the objective to reduce</w:t>
      </w:r>
      <w:r>
        <w:t xml:space="preserve"> </w:t>
      </w:r>
      <w:r>
        <w:t xml:space="preserve">nutrient losses within the EU (143), implementing precision nutrient management and</w:t>
      </w:r>
      <w:r>
        <w:t xml:space="preserve"> </w:t>
      </w:r>
      <w:r>
        <w:t xml:space="preserve">optimising the use of organic fertiliser improves the nutrient cycle and provides co-</w:t>
      </w:r>
      <w:r>
        <w:t xml:space="preserve"> </w:t>
      </w:r>
      <w:r>
        <w:t xml:space="preserve">benefits for environmental protection.</w:t>
      </w:r>
      <w:r>
        <w:br/>
      </w:r>
      <w:r>
        <w:t xml:space="preserve">It’s worth noting that the effectiveness and feasibility of these mitigation options depends</w:t>
      </w:r>
      <w:r>
        <w:t xml:space="preserve"> </w:t>
      </w:r>
      <w:r>
        <w:t xml:space="preserve">on local conditions, farm-scale factors, and policy support. Ongoing research and</w:t>
      </w:r>
      <w:r>
        <w:t xml:space="preserve"> </w:t>
      </w:r>
      <w:r>
        <w:t xml:space="preserve">innovation play a crucial role in further developing and implementing these technologies</w:t>
      </w:r>
      <w:r>
        <w:t xml:space="preserve"> </w:t>
      </w:r>
      <w:r>
        <w:t xml:space="preserve">to achieve sustainable agricultural practices with reduced emissions.</w:t>
      </w:r>
      <w:r>
        <w:t xml:space="preserve"> </w:t>
      </w:r>
      <w:r>
        <w:t xml:space="preserve">Importantly, action addressing primary agriculture is necessary to drive down emissions</w:t>
      </w:r>
      <w:r>
        <w:t xml:space="preserve"> </w:t>
      </w:r>
      <w:r>
        <w:t xml:space="preserve">from the food system. But for the EU to achieve climate neutrality in 2050, the food</w:t>
      </w:r>
      <w:r>
        <w:t xml:space="preserve"> </w:t>
      </w:r>
      <w:r>
        <w:t xml:space="preserve">system needs to take action along the entire value chain, which goes beyond primary</w:t>
      </w:r>
      <w:r>
        <w:t xml:space="preserve"> </w:t>
      </w:r>
      <w:r>
        <w:t xml:space="preserve">agriculture and includes secondary agriculture (144), retail, and consumption (145). In other</w:t>
      </w:r>
      <w:r>
        <w:t xml:space="preserve"> </w:t>
      </w:r>
      <w:r>
        <w:t xml:space="preserve">words, the adoption of certain practices and technologies can reduce GHG emissions</w:t>
      </w:r>
      <w:r>
        <w:t xml:space="preserve"> </w:t>
      </w:r>
      <w:r>
        <w:t xml:space="preserve">from agriculture, but reducing food loss and food waste, dietary shifts away from animal</w:t>
      </w:r>
      <w:r>
        <w:t xml:space="preserve"> </w:t>
      </w:r>
      <w:r>
        <w:t xml:space="preserve">protein and use of land resources for nature-based mitigation solutions is unavoidable to</w:t>
      </w:r>
      <w:r>
        <w:t xml:space="preserve"> </w:t>
      </w:r>
      <w:r>
        <w:t xml:space="preserve">get to climate neutrality (146).</w:t>
      </w:r>
      <w:r>
        <w:br/>
      </w:r>
      <w:r>
        <w:t xml:space="preserve">1.7.2.2.Sustainable Agriculture and bioeconomy</w:t>
      </w:r>
      <w:r>
        <w:t xml:space="preserve"> </w:t>
      </w:r>
      <w:r>
        <w:t xml:space="preserve">A living and functioning environment is vital for a functioning and resilient food system.</w:t>
      </w:r>
      <w:r>
        <w:t xml:space="preserve"> </w:t>
      </w:r>
      <w:r>
        <w:t xml:space="preserve">Agriculture needs pollinators, healthy soils and functioning ecosystems. A more</w:t>
      </w:r>
      <w:r>
        <w:t xml:space="preserve"> </w:t>
      </w:r>
      <w:r>
        <w:t xml:space="preserve">sustainable agricultural production will increase resilience and protect the food system in</w:t>
      </w:r>
      <w:r>
        <w:t xml:space="preserve"> </w:t>
      </w:r>
      <w:r>
        <w:t xml:space="preserve">the long term. But sustainable agricultural practices may reduce agricultural intensity and</w:t>
      </w:r>
      <w:r>
        <w:t xml:space="preserve"> </w:t>
      </w:r>
      <w:r>
        <w:t xml:space="preserve">agricultural output, which in turn may affect economic income in the sector. It is</w:t>
      </w:r>
      <w:r>
        <w:t xml:space="preserve"> </w:t>
      </w:r>
      <w:r>
        <w:t xml:space="preserve">therefore important to ensure adequate support and discuss new business models, such as</w:t>
      </w:r>
      <w:r>
        <w:t xml:space="preserve"> </w:t>
      </w:r>
      <w:r>
        <w:t xml:space="preserve">the provision of biogenic carbon as industrial feedstock and the remuneration of</w:t>
      </w:r>
      <w:r>
        <w:t xml:space="preserve"> </w:t>
      </w:r>
      <w:r>
        <w:t xml:space="preserve">ecosystem services as additional income opportunities for European farmers (see Annex</w:t>
      </w:r>
      <w:r>
        <w:t xml:space="preserve"> </w:t>
      </w:r>
      <w:r>
        <w:t xml:space="preserve">9 for more details).</w:t>
      </w:r>
    </w:p>
    <w:p>
      <w:pPr>
        <w:pStyle w:val="Compact"/>
        <w:numPr>
          <w:ilvl w:val="0"/>
          <w:numId w:val="1066"/>
        </w:numPr>
      </w:pPr>
      <w:r>
        <w:t xml:space="preserve">Panchasara, H.; Samrat, N.H.; Islam, N. Greenhouse Gas Emissions Trends and Mitigation Measures</w:t>
      </w:r>
      <w:r>
        <w:t xml:space="preserve"> </w:t>
      </w:r>
      <w:r>
        <w:t xml:space="preserve">in Australian Agriculture Sector—A Review. Agriculture 2021, 11, 85.</w:t>
      </w:r>
    </w:p>
    <w:p>
      <w:pPr>
        <w:pStyle w:val="Compact"/>
        <w:numPr>
          <w:ilvl w:val="0"/>
          <w:numId w:val="1066"/>
        </w:numPr>
      </w:pPr>
      <w:r>
        <w:t xml:space="preserve">COM(2020) 381 final.</w:t>
      </w:r>
    </w:p>
    <w:p>
      <w:pPr>
        <w:pStyle w:val="Compact"/>
        <w:numPr>
          <w:ilvl w:val="0"/>
          <w:numId w:val="1066"/>
        </w:numPr>
      </w:pPr>
      <w:r>
        <w:t xml:space="preserve">Secondary agriculture is defined as processing and adding value to the basic agriculture commodities</w:t>
      </w:r>
      <w:r>
        <w:t xml:space="preserve"> </w:t>
      </w:r>
      <w:r>
        <w:t xml:space="preserve">(O’Shea et al. Dietary fibre and phytochemical characteristics of fruit and vegetable by-products and</w:t>
      </w:r>
      <w:r>
        <w:t xml:space="preserve"> </w:t>
      </w:r>
      <w:r>
        <w:t xml:space="preserve">their recent applications as novel ingredients in food products. Innov Food Sci Emerg Technol 2012,</w:t>
      </w:r>
      <w:r>
        <w:t xml:space="preserve"> </w:t>
      </w:r>
      <w:r>
        <w:t xml:space="preserve">16).</w:t>
      </w:r>
    </w:p>
    <w:p>
      <w:pPr>
        <w:pStyle w:val="Compact"/>
        <w:numPr>
          <w:ilvl w:val="0"/>
          <w:numId w:val="1066"/>
        </w:numPr>
      </w:pPr>
      <w:r>
        <w:t xml:space="preserve">Mc Kinsey &amp; Company, ‘The agricultural transition: Building a sustainable future’, 2023.</w:t>
      </w:r>
    </w:p>
    <w:p>
      <w:pPr>
        <w:pStyle w:val="Compact"/>
        <w:numPr>
          <w:ilvl w:val="0"/>
          <w:numId w:val="1066"/>
        </w:numPr>
      </w:pPr>
      <w:r>
        <w:t xml:space="preserve">Ibid.</w:t>
      </w:r>
    </w:p>
    <w:p>
      <w:pPr>
        <w:pStyle w:val="FirstParagraph"/>
      </w:pPr>
      <w:r>
        <w:t xml:space="preserve">110</w:t>
      </w:r>
    </w:p>
    <w:p>
      <w:pPr>
        <w:pStyle w:val="BodyText"/>
      </w:pPr>
      <w:r>
        <w:t xml:space="preserve">1.7.3. Evolution of emissions without additional mitigation measures</w:t>
      </w:r>
      <w:r>
        <w:t xml:space="preserve"> </w:t>
      </w:r>
      <w:r>
        <w:t xml:space="preserve">1.7.3.1.S1, S2 and S3 scenarios</w:t>
      </w:r>
      <w:r>
        <w:br/>
      </w:r>
      <w:r>
        <w:t xml:space="preserve">In this impact assessment, the concept of “emissions without additional mitigation” in the</w:t>
      </w:r>
      <w:r>
        <w:t xml:space="preserve"> </w:t>
      </w:r>
      <w:r>
        <w:t xml:space="preserve">agriculture sector refers to the emissions trajectory resulting from applying a carbon</w:t>
      </w:r>
      <w:r>
        <w:t xml:space="preserve"> </w:t>
      </w:r>
      <w:r>
        <w:t xml:space="preserve">value equal to zero to non-CO2 GHG emissions up to 2050. Thus, this emissions</w:t>
      </w:r>
      <w:r>
        <w:t xml:space="preserve"> </w:t>
      </w:r>
      <w:r>
        <w:t xml:space="preserve">trajectory results solely from the combination of two main types of drivers for emissions</w:t>
      </w:r>
      <w:r>
        <w:t xml:space="preserve"> </w:t>
      </w:r>
      <w:r>
        <w:t xml:space="preserve">reductions: a) agriculture policy as reflected in the EU Agricultural Outlook 2022 (147);</w:t>
      </w:r>
      <w:r>
        <w:t xml:space="preserve"> </w:t>
      </w:r>
      <w:r>
        <w:t xml:space="preserve">and b) relevant existing and proposed legislation, particularly the proposal for a revised</w:t>
      </w:r>
      <w:r>
        <w:t xml:space="preserve"> </w:t>
      </w:r>
      <w:r>
        <w:t xml:space="preserve">Industrial Emissions Directive (148) (see Annex 11). The “emissions without additional</w:t>
      </w:r>
      <w:r>
        <w:t xml:space="preserve"> </w:t>
      </w:r>
      <w:r>
        <w:t xml:space="preserve">mitigation” do not consider any other policies that would enable the implementation of</w:t>
      </w:r>
      <w:r>
        <w:t xml:space="preserve"> </w:t>
      </w:r>
      <w:r>
        <w:t xml:space="preserve">extra practices and technologies.</w:t>
      </w:r>
      <w:r>
        <w:br/>
      </w:r>
      <w:r>
        <w:t xml:space="preserve">In the S1, S2 and S3 scenarios, the GHG emissions without additional mitigation from</w:t>
      </w:r>
      <w:r>
        <w:t xml:space="preserve"> </w:t>
      </w:r>
      <w:r>
        <w:t xml:space="preserve">the agriculture sector are 351 MtCO2-eq in 2040 and 347 MtCO2-eq in 2050 (including</w:t>
      </w:r>
      <w:r>
        <w:t xml:space="preserve"> </w:t>
      </w:r>
      <w:r>
        <w:t xml:space="preserve">all greenhouse gases), which implies a 9% reduction by 2040 and a 10% reduction by</w:t>
      </w:r>
      <w:r>
        <w:t xml:space="preserve"> </w:t>
      </w:r>
      <w:r>
        <w:t xml:space="preserve">2050 relative to 2015 levels (see Table 14). It should be noted that, in all scenarios, there</w:t>
      </w:r>
      <w:r>
        <w:t xml:space="preserve"> </w:t>
      </w:r>
      <w:r>
        <w:t xml:space="preserve">exists significant additional mitigation potential through different practices and</w:t>
      </w:r>
      <w:r>
        <w:t xml:space="preserve"> </w:t>
      </w:r>
      <w:r>
        <w:t xml:space="preserve">technological solutions. This additional mitigation potential is discussed in Section 1.7.4.</w:t>
      </w:r>
      <w:r>
        <w:br/>
      </w:r>
      <w:r>
        <w:t xml:space="preserve">Table 14: GHG emissions in agriculture without additional mitigation in S1, S2, S3</w:t>
      </w:r>
    </w:p>
    <w:p>
      <w:pPr>
        <w:pStyle w:val="BodyText"/>
      </w:pPr>
      <w:r>
        <w:t xml:space="preserve">GREENHOUSE GAS EMISSIONS (MTCO2-EQ)</w:t>
      </w:r>
      <w:r>
        <w:t xml:space="preserve"> </w:t>
      </w:r>
      <w:r>
        <w:t xml:space="preserve">CHANGE IN EMISSIONS (%)</w:t>
      </w:r>
    </w:p>
    <w:p>
      <w:pPr>
        <w:pStyle w:val="BodyText"/>
      </w:pPr>
      <w:r>
        <w:t xml:space="preserve">2005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2015-30</w:t>
      </w:r>
      <w:r>
        <w:t xml:space="preserve"> </w:t>
      </w:r>
      <w:r>
        <w:t xml:space="preserve">2015-40</w:t>
      </w:r>
      <w:r>
        <w:t xml:space="preserve"> </w:t>
      </w:r>
      <w:r>
        <w:t xml:space="preserve">2015-50</w:t>
      </w:r>
      <w:r>
        <w:t xml:space="preserve"> </w:t>
      </w:r>
      <w:r>
        <w:t xml:space="preserve">Agriculture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242</w:t>
      </w:r>
      <w:r>
        <w:t xml:space="preserve"> </w:t>
      </w:r>
      <w:r>
        <w:t xml:space="preserve">237</w:t>
      </w:r>
      <w:r>
        <w:t xml:space="preserve"> </w:t>
      </w:r>
      <w:r>
        <w:t xml:space="preserve">223</w:t>
      </w:r>
      <w:r>
        <w:t xml:space="preserve"> </w:t>
      </w:r>
      <w:r>
        <w:t xml:space="preserve">214</w:t>
      </w:r>
      <w:r>
        <w:t xml:space="preserve"> </w:t>
      </w:r>
      <w:r>
        <w:t xml:space="preserve">213</w:t>
      </w:r>
      <w:r>
        <w:t xml:space="preserve"> </w:t>
      </w:r>
      <w:r>
        <w:t xml:space="preserve">-6%</w:t>
      </w:r>
      <w:r>
        <w:t xml:space="preserve"> </w:t>
      </w:r>
      <w:r>
        <w:t xml:space="preserve">-10%</w:t>
      </w:r>
      <w:r>
        <w:t xml:space="preserve"> </w:t>
      </w:r>
      <w:r>
        <w:t xml:space="preserve">-10%</w:t>
      </w:r>
      <w:r>
        <w:t xml:space="preserve"> </w:t>
      </w:r>
      <w:r>
        <w:t xml:space="preserve">N2O</w:t>
      </w:r>
      <w:r>
        <w:t xml:space="preserve"> </w:t>
      </w:r>
      <w:r>
        <w:t xml:space="preserve">138</w:t>
      </w:r>
      <w:r>
        <w:t xml:space="preserve"> </w:t>
      </w:r>
      <w:r>
        <w:t xml:space="preserve">138</w:t>
      </w:r>
      <w:r>
        <w:t xml:space="preserve"> </w:t>
      </w:r>
      <w:r>
        <w:t xml:space="preserve">128</w:t>
      </w:r>
      <w:r>
        <w:t xml:space="preserve"> </w:t>
      </w:r>
      <w:r>
        <w:t xml:space="preserve">127</w:t>
      </w:r>
      <w:r>
        <w:t xml:space="preserve"> </w:t>
      </w:r>
      <w:r>
        <w:t xml:space="preserve">124</w:t>
      </w:r>
      <w:r>
        <w:t xml:space="preserve"> </w:t>
      </w:r>
      <w:r>
        <w:t xml:space="preserve">-7%</w:t>
      </w:r>
      <w:r>
        <w:t xml:space="preserve"> </w:t>
      </w:r>
      <w:r>
        <w:t xml:space="preserve">-8%</w:t>
      </w:r>
      <w:r>
        <w:t xml:space="preserve"> </w:t>
      </w:r>
      <w:r>
        <w:t xml:space="preserve">-10%</w:t>
      </w:r>
      <w:r>
        <w:t xml:space="preserve"> </w:t>
      </w:r>
      <w:r>
        <w:t xml:space="preserve">CO2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390</w:t>
      </w:r>
      <w:r>
        <w:t xml:space="preserve"> </w:t>
      </w:r>
      <w:r>
        <w:t xml:space="preserve">385</w:t>
      </w:r>
      <w:r>
        <w:t xml:space="preserve"> </w:t>
      </w:r>
      <w:r>
        <w:t xml:space="preserve">361</w:t>
      </w:r>
      <w:r>
        <w:t xml:space="preserve"> </w:t>
      </w:r>
      <w:r>
        <w:t xml:space="preserve">351</w:t>
      </w:r>
      <w:r>
        <w:t xml:space="preserve"> </w:t>
      </w:r>
      <w:r>
        <w:t xml:space="preserve">347</w:t>
      </w:r>
      <w:r>
        <w:t xml:space="preserve"> </w:t>
      </w:r>
      <w:r>
        <w:t xml:space="preserve">-6%</w:t>
      </w:r>
      <w:r>
        <w:t xml:space="preserve"> </w:t>
      </w:r>
      <w:r>
        <w:t xml:space="preserve">-9%</w:t>
      </w:r>
      <w:r>
        <w:t xml:space="preserve"> </w:t>
      </w:r>
      <w:r>
        <w:t xml:space="preserve">-10%</w:t>
      </w:r>
    </w:p>
    <w:p>
      <w:pPr>
        <w:pStyle w:val="BodyText"/>
      </w:pPr>
      <w:r>
        <w:t xml:space="preserve">Source: GAINS.</w:t>
      </w:r>
      <w:r>
        <w:t xml:space="preserve"> </w:t>
      </w:r>
      <w:r>
        <w:t xml:space="preserve">1.7.3.2.LIFE scenario</w:t>
      </w:r>
      <w:r>
        <w:t xml:space="preserve"> </w:t>
      </w:r>
      <w:r>
        <w:t xml:space="preserve">LIFE considers a more sustainable lifestyle guided by consumer climate-friendy choices</w:t>
      </w:r>
      <w:r>
        <w:t xml:space="preserve"> </w:t>
      </w:r>
      <w:r>
        <w:t xml:space="preserve">and a more efficient use of the resources. Besides the impact of the existing policy</w:t>
      </w:r>
      <w:r>
        <w:t xml:space="preserve"> </w:t>
      </w:r>
      <w:r>
        <w:t xml:space="preserve">framework, LIFE assumes changes in the food system in terms of dietary changes, food</w:t>
      </w:r>
      <w:r>
        <w:t xml:space="preserve"> </w:t>
      </w:r>
      <w:r>
        <w:t xml:space="preserve">waste reduction and a gradual implementation by 2040 of the objectives of the Farm to</w:t>
      </w:r>
      <w:r>
        <w:t xml:space="preserve"> </w:t>
      </w:r>
      <w:r>
        <w:t xml:space="preserve">Fork Strategy (149). This leads to changes in sectoral activity (notably in livestock of</w:t>
      </w:r>
      <w:r>
        <w:t xml:space="preserve"> </w:t>
      </w:r>
      <w:r>
        <w:t xml:space="preserve">cattle and other animals as well as in use of manure and mineral fertilisers) compared to</w:t>
      </w:r>
      <w:r>
        <w:t xml:space="preserve"> </w:t>
      </w:r>
      <w:r>
        <w:t xml:space="preserve">the main scenarios (S1, S2 and S3).</w:t>
      </w:r>
    </w:p>
    <w:p>
      <w:pPr>
        <w:pStyle w:val="Compact"/>
        <w:numPr>
          <w:ilvl w:val="0"/>
          <w:numId w:val="1067"/>
        </w:numPr>
      </w:pPr>
      <w:r>
        <w:t xml:space="preserve">The Agricultural Outlook 2022 is assumed to reflect the Common Agricultural Policy at the time of</w:t>
      </w:r>
      <w:r>
        <w:t xml:space="preserve"> </w:t>
      </w:r>
      <w:r>
        <w:t xml:space="preserve">publication in 2022.; European Commission, DG Agriculture and Rural Development, ‘EU</w:t>
      </w:r>
      <w:r>
        <w:t xml:space="preserve"> </w:t>
      </w:r>
      <w:r>
        <w:t xml:space="preserve">agricultural outlook for markets, income and environment, 2022-2032’, Brussels, 2022.</w:t>
      </w:r>
    </w:p>
    <w:p>
      <w:pPr>
        <w:pStyle w:val="Compact"/>
        <w:numPr>
          <w:ilvl w:val="0"/>
          <w:numId w:val="1067"/>
        </w:numPr>
      </w:pPr>
      <w:r>
        <w:t xml:space="preserve">COM(2022) 156 final. Note that this impact assessment takes into account the changes made to the</w:t>
      </w:r>
      <w:r>
        <w:t xml:space="preserve"> </w:t>
      </w:r>
      <w:r>
        <w:t xml:space="preserve">European Commission’s proposal during the co-decision process up to July 2023.</w:t>
      </w:r>
    </w:p>
    <w:p>
      <w:pPr>
        <w:pStyle w:val="Compact"/>
        <w:numPr>
          <w:ilvl w:val="0"/>
          <w:numId w:val="1067"/>
        </w:numPr>
      </w:pPr>
      <w:r>
        <w:t xml:space="preserve">COM(2020) 381 final.</w:t>
      </w:r>
    </w:p>
    <w:p>
      <w:pPr>
        <w:pStyle w:val="FirstParagraph"/>
      </w:pPr>
      <w:r>
        <w:t xml:space="preserve">111</w:t>
      </w:r>
    </w:p>
    <w:p>
      <w:pPr>
        <w:pStyle w:val="BodyText"/>
      </w:pPr>
      <w:r>
        <w:t xml:space="preserve">As a result, assuming no deployment of additional mitigation practices and technologies,</w:t>
      </w:r>
      <w:r>
        <w:t xml:space="preserve"> </w:t>
      </w:r>
      <w:r>
        <w:t xml:space="preserve">the GHG emissions from the agriculture sector are lower in LIFE than in the other</w:t>
      </w:r>
      <w:r>
        <w:t xml:space="preserve"> </w:t>
      </w:r>
      <w:r>
        <w:t xml:space="preserve">scenarios (around 80 MtCO2-eq less, both in 2040 and 2050). More specifically, the</w:t>
      </w:r>
      <w:r>
        <w:t xml:space="preserve"> </w:t>
      </w:r>
      <w:r>
        <w:t xml:space="preserve">level of emissions in LIFE is projected to be around 271 MtCO2-eq in 2040 and 269</w:t>
      </w:r>
      <w:r>
        <w:t xml:space="preserve"> </w:t>
      </w:r>
      <w:r>
        <w:t xml:space="preserve">MtCO2-eq in 2050 (i.e., 30% lower than in 2015 in both years), as shown in Table 15.</w:t>
      </w:r>
      <w:r>
        <w:t xml:space="preserve"> </w:t>
      </w:r>
      <w:r>
        <w:t xml:space="preserve">Note that both CH4 and N2O emissions are lower than in scenarios S1, S2 and S3; for</w:t>
      </w:r>
      <w:r>
        <w:t xml:space="preserve"> </w:t>
      </w:r>
      <w:r>
        <w:t xml:space="preserve">instance, in 2040, CH4 emissions are 48 MtCO2-eq (22%) lower, while N2O emissions</w:t>
      </w:r>
      <w:r>
        <w:t xml:space="preserve"> </w:t>
      </w:r>
      <w:r>
        <w:t xml:space="preserve">are 32 MtCO2-eq (25%) lower.</w:t>
      </w:r>
      <w:r>
        <w:t xml:space="preserve"> </w:t>
      </w:r>
      <w:r>
        <w:t xml:space="preserve">Table 15: GHG emissions in the agriculture without additional mitigation in LIFE</w:t>
      </w:r>
    </w:p>
    <w:p>
      <w:pPr>
        <w:pStyle w:val="BodyText"/>
      </w:pPr>
      <w:r>
        <w:t xml:space="preserve">GREENHOUSE GAS EMISSIONS</w:t>
      </w:r>
      <w:r>
        <w:br/>
      </w:r>
      <w:r>
        <w:t xml:space="preserve">(MTCO2-EQ)</w:t>
      </w:r>
      <w:r>
        <w:t xml:space="preserve"> </w:t>
      </w:r>
      <w:r>
        <w:t xml:space="preserve">CHANGE IN EMISSIONS</w:t>
      </w:r>
      <w:r>
        <w:br/>
      </w:r>
      <w:r>
        <w:t xml:space="preserve">(%)</w:t>
      </w:r>
      <w:r>
        <w:t xml:space="preserve"> </w:t>
      </w:r>
      <w:r>
        <w:t xml:space="preserve">DIFFERENCE COMPARED TO</w:t>
      </w:r>
      <w:r>
        <w:t xml:space="preserve"> </w:t>
      </w:r>
      <w:r>
        <w:t xml:space="preserve">S1, S2 &amp; S3 (MTCO2-EQ)</w:t>
      </w:r>
      <w:r>
        <w:t xml:space="preserve"> </w:t>
      </w:r>
      <w:r>
        <w:t xml:space="preserve">2015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2015-40</w:t>
      </w:r>
      <w:r>
        <w:t xml:space="preserve"> </w:t>
      </w:r>
      <w:r>
        <w:t xml:space="preserve">2015-50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Agriculture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237</w:t>
      </w:r>
      <w:r>
        <w:t xml:space="preserve"> </w:t>
      </w:r>
      <w:r>
        <w:t xml:space="preserve">166</w:t>
      </w:r>
      <w:r>
        <w:t xml:space="preserve"> </w:t>
      </w:r>
      <w:r>
        <w:t xml:space="preserve">167</w:t>
      </w:r>
      <w:r>
        <w:t xml:space="preserve"> </w:t>
      </w:r>
      <w:r>
        <w:t xml:space="preserve">-30%</w:t>
      </w:r>
      <w:r>
        <w:t xml:space="preserve"> </w:t>
      </w:r>
      <w:r>
        <w:t xml:space="preserve">-29%</w:t>
      </w:r>
      <w:r>
        <w:t xml:space="preserve"> </w:t>
      </w:r>
      <w:r>
        <w:t xml:space="preserve">-48</w:t>
      </w:r>
      <w:r>
        <w:t xml:space="preserve"> </w:t>
      </w:r>
      <w:r>
        <w:t xml:space="preserve">-46</w:t>
      </w:r>
      <w:r>
        <w:t xml:space="preserve"> </w:t>
      </w:r>
      <w:r>
        <w:t xml:space="preserve">N2O</w:t>
      </w:r>
      <w:r>
        <w:t xml:space="preserve"> </w:t>
      </w:r>
      <w:r>
        <w:t xml:space="preserve">138</w:t>
      </w:r>
      <w:r>
        <w:t xml:space="preserve"> </w:t>
      </w:r>
      <w:r>
        <w:t xml:space="preserve">95</w:t>
      </w:r>
      <w:r>
        <w:t xml:space="preserve"> </w:t>
      </w:r>
      <w:r>
        <w:t xml:space="preserve">92</w:t>
      </w:r>
      <w:r>
        <w:t xml:space="preserve"> </w:t>
      </w:r>
      <w:r>
        <w:t xml:space="preserve">-31%</w:t>
      </w:r>
      <w:r>
        <w:t xml:space="preserve"> </w:t>
      </w:r>
      <w:r>
        <w:t xml:space="preserve">-33%</w:t>
      </w:r>
      <w:r>
        <w:t xml:space="preserve"> </w:t>
      </w:r>
      <w:r>
        <w:t xml:space="preserve">-32</w:t>
      </w:r>
      <w:r>
        <w:t xml:space="preserve"> </w:t>
      </w:r>
      <w:r>
        <w:t xml:space="preserve">-32</w:t>
      </w:r>
      <w:r>
        <w:t xml:space="preserve"> </w:t>
      </w:r>
      <w:r>
        <w:t xml:space="preserve">CO2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385</w:t>
      </w:r>
      <w:r>
        <w:t xml:space="preserve"> </w:t>
      </w:r>
      <w:r>
        <w:t xml:space="preserve">271</w:t>
      </w:r>
      <w:r>
        <w:t xml:space="preserve"> </w:t>
      </w:r>
      <w:r>
        <w:t xml:space="preserve">269</w:t>
      </w:r>
      <w:r>
        <w:t xml:space="preserve"> </w:t>
      </w:r>
      <w:r>
        <w:t xml:space="preserve">-30%</w:t>
      </w:r>
      <w:r>
        <w:t xml:space="preserve"> </w:t>
      </w:r>
      <w:r>
        <w:t xml:space="preserve">-30%</w:t>
      </w:r>
      <w:r>
        <w:t xml:space="preserve"> </w:t>
      </w:r>
      <w:r>
        <w:t xml:space="preserve">-80</w:t>
      </w:r>
      <w:r>
        <w:t xml:space="preserve"> </w:t>
      </w:r>
      <w:r>
        <w:t xml:space="preserve">-78</w:t>
      </w:r>
    </w:p>
    <w:p>
      <w:pPr>
        <w:pStyle w:val="BodyText"/>
      </w:pPr>
      <w:r>
        <w:t xml:space="preserve">Source: GAINS.</w:t>
      </w:r>
      <w:r>
        <w:t xml:space="preserve"> </w:t>
      </w:r>
      <w:r>
        <w:t xml:space="preserve">1.7.4. Mitigation potential for non-CO2 GHG emissions</w:t>
      </w:r>
      <w:r>
        <w:t xml:space="preserve"> </w:t>
      </w:r>
      <w:r>
        <w:t xml:space="preserve">The GAINS model provides marginal abatement cost (150) curves (MACC) for non-CO2</w:t>
      </w:r>
      <w:r>
        <w:t xml:space="preserve"> </w:t>
      </w:r>
      <w:r>
        <w:t xml:space="preserve">GHG emissions corresponding to the agriculture sector, specified per gas and per type of</w:t>
      </w:r>
      <w:r>
        <w:t xml:space="preserve"> </w:t>
      </w:r>
      <w:r>
        <w:t xml:space="preserve">source, coming on top of the “emissions without additional mitigation” described in</w:t>
      </w:r>
      <w:r>
        <w:t xml:space="preserve"> </w:t>
      </w:r>
      <w:r>
        <w:t xml:space="preserve">Section 1.7.3. Note that the S1, S2 and S3 scenarios are assumed to share the same</w:t>
      </w:r>
      <w:r>
        <w:t xml:space="preserve"> </w:t>
      </w:r>
      <w:r>
        <w:t xml:space="preserve">MACCs, whereas LIFE has scenario-specific MACCs. Figure 81 shows the MACC</w:t>
      </w:r>
      <w:r>
        <w:t xml:space="preserve"> </w:t>
      </w:r>
      <w:r>
        <w:t xml:space="preserve">applicable to the agriculture sector in 2040 in the different scenarios.</w:t>
      </w:r>
      <w:r>
        <w:t xml:space="preserve"> </w:t>
      </w:r>
      <w:r>
        <w:t xml:space="preserve">For the S1, S2 and S3 scenarios, the maximum abatement potential is estimated to be 83</w:t>
      </w:r>
      <w:r>
        <w:t xml:space="preserve"> </w:t>
      </w:r>
      <w:r>
        <w:t xml:space="preserve">MtCO2-eq in 2040, which would bring total non-CO2 GHG emissions down to 258</w:t>
      </w:r>
      <w:r>
        <w:t xml:space="preserve"> </w:t>
      </w:r>
      <w:r>
        <w:t xml:space="preserve">MtCO2-eq (i.e., a level 31% lower than in 2015). A bit more than 25% of this mitigation</w:t>
      </w:r>
      <w:r>
        <w:t xml:space="preserve"> </w:t>
      </w:r>
      <w:r>
        <w:t xml:space="preserve">potential may be tapped at near-zero cost (151), mainly by introducing breeding through</w:t>
      </w:r>
      <w:r>
        <w:t xml:space="preserve"> </w:t>
      </w:r>
      <w:r>
        <w:t xml:space="preserve">selection to enhance productivity, fertility and longevity, and farm-scale anaerobic</w:t>
      </w:r>
      <w:r>
        <w:t xml:space="preserve"> </w:t>
      </w:r>
      <w:r>
        <w:t xml:space="preserve">digestion with biogas recovery, which reduce CH4 emissions. Almost 40% of the</w:t>
      </w:r>
      <w:r>
        <w:t xml:space="preserve"> </w:t>
      </w:r>
      <w:r>
        <w:t xml:space="preserve">maximum mitigation potential could be reached at a marginal abatement cost lower than</w:t>
      </w:r>
      <w:r>
        <w:t xml:space="preserve"> </w:t>
      </w:r>
      <w:r>
        <w:t xml:space="preserve">20 EUR/tCO2-eq, mainly by using feeding additives that reduce CH4 emissions in</w:t>
      </w:r>
      <w:r>
        <w:t xml:space="preserve"> </w:t>
      </w:r>
      <w:r>
        <w:t xml:space="preserve">addition to the near-zero-cost mitigation options. Finally, around 85% of the maximum</w:t>
      </w:r>
      <w:r>
        <w:t xml:space="preserve"> </w:t>
      </w:r>
      <w:r>
        <w:t xml:space="preserve">mitigation potential can be achieved with a marginal cost lower than 140 EUR/tCO2-eq,</w:t>
      </w:r>
      <w:r>
        <w:t xml:space="preserve"> </w:t>
      </w:r>
      <w:r>
        <w:t xml:space="preserve">mostly by scaling up the use of various mitigation options to reduce N2O emissions</w:t>
      </w:r>
      <w:r>
        <w:t xml:space="preserve"> </w:t>
      </w:r>
      <w:r>
        <w:t xml:space="preserve">(such as nitrification inhibitors and variable rate technology) on top of the options</w:t>
      </w:r>
      <w:r>
        <w:t xml:space="preserve"> </w:t>
      </w:r>
      <w:r>
        <w:t xml:space="preserve">mentioned above.</w:t>
      </w:r>
    </w:p>
    <w:p>
      <w:pPr>
        <w:pStyle w:val="Compact"/>
        <w:numPr>
          <w:ilvl w:val="0"/>
          <w:numId w:val="1068"/>
        </w:numPr>
      </w:pPr>
      <w:r>
        <w:t xml:space="preserve">Marginal abatement costs are defined using the opportunity cost approach.</w:t>
      </w:r>
    </w:p>
    <w:p>
      <w:pPr>
        <w:pStyle w:val="Compact"/>
        <w:numPr>
          <w:ilvl w:val="0"/>
          <w:numId w:val="1068"/>
        </w:numPr>
      </w:pPr>
      <w:r>
        <w:t xml:space="preserve">Note that even in cases where marginal abatement costs are nearly zero, policy intervention is often</w:t>
      </w:r>
      <w:r>
        <w:t xml:space="preserve"> </w:t>
      </w:r>
      <w:r>
        <w:t xml:space="preserve">needed to overcome market barriers, lack of information and split incentives.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In LIFE, starting with lower emissions than in the S1, S2 and S3 scenarios, the additional</w:t>
      </w:r>
      <w:r>
        <w:t xml:space="preserve"> </w:t>
      </w:r>
      <w:r>
        <w:t xml:space="preserve">mitigation potential for non-CO2 GHG emissions stemming from the deployment of</w:t>
      </w:r>
      <w:r>
        <w:t xml:space="preserve"> </w:t>
      </w:r>
      <w:r>
        <w:t xml:space="preserve">extra mitigation practices and technologies is estimated to be still 64 MtCO2-eq in 2040.</w:t>
      </w:r>
      <w:r>
        <w:t xml:space="preserve"> </w:t>
      </w:r>
      <w:r>
        <w:t xml:space="preserve">Fully reaching this potential would reduce total non-CO2 GHG emissions from the</w:t>
      </w:r>
      <w:r>
        <w:t xml:space="preserve"> </w:t>
      </w:r>
      <w:r>
        <w:t xml:space="preserve">agriculture sector to 198 MtCO2-eq in that year, which implies a 47% reduction relative</w:t>
      </w:r>
      <w:r>
        <w:t xml:space="preserve"> </w:t>
      </w:r>
      <w:r>
        <w:t xml:space="preserve">to 2015.</w:t>
      </w:r>
      <w:r>
        <w:t xml:space="preserve"> </w:t>
      </w:r>
      <w:r>
        <w:t xml:space="preserve">Figure 81: MACC of the agriculture sector in 2040 per scenario</w:t>
      </w:r>
    </w:p>
    <w:p>
      <w:pPr>
        <w:pStyle w:val="BodyText"/>
      </w:pPr>
      <w:r>
        <w:t xml:space="preserve">Note: Marginal abatement costs are expressed in constant EUR 2015.</w:t>
      </w:r>
      <w:r>
        <w:t xml:space="preserve"> </w:t>
      </w:r>
      <w:r>
        <w:t xml:space="preserve">Source: GAINS.</w:t>
      </w:r>
    </w:p>
    <w:p>
      <w:pPr>
        <w:pStyle w:val="BodyText"/>
      </w:pPr>
      <w:r>
        <w:t xml:space="preserve">By analysing the additional mitigation potential separately for each gas, one can see that</w:t>
      </w:r>
      <w:r>
        <w:t xml:space="preserve"> </w:t>
      </w:r>
      <w:r>
        <w:t xml:space="preserve">most of the mitigation potential associated to CH4 emissions may be tapped at a</w:t>
      </w:r>
      <w:r>
        <w:t xml:space="preserve"> </w:t>
      </w:r>
      <w:r>
        <w:t xml:space="preserve">relatively low marginal cost; instead, in the case of N2O emissions, higher marginal costs</w:t>
      </w:r>
      <w:r>
        <w:t xml:space="preserve"> </w:t>
      </w:r>
      <w:r>
        <w:t xml:space="preserve">are observed (see Table 16 and Table 17).</w:t>
      </w:r>
      <w:r>
        <w:br/>
      </w:r>
      <w:r>
        <w:t xml:space="preserve">For CH4, the abatement potential is mostly linked to mitigation options to reduce</w:t>
      </w:r>
      <w:r>
        <w:t xml:space="preserve"> </w:t>
      </w:r>
      <w:r>
        <w:t xml:space="preserve">livestock emissions, with a small contribution from mitigation options to reduce</w:t>
      </w:r>
      <w:r>
        <w:t xml:space="preserve"> </w:t>
      </w:r>
      <w:r>
        <w:t xml:space="preserve">emissions from rice cultivation and other activities (see Figure 82 and Figure 83). In</w:t>
      </w:r>
      <w:r>
        <w:t xml:space="preserve"> </w:t>
      </w:r>
      <w:r>
        <w:t xml:space="preserve">2040, the total maximum additional potential to reduce CH4 emissions is 38 MtCO2-eq</w:t>
      </w:r>
      <w:r>
        <w:t xml:space="preserve"> </w:t>
      </w:r>
      <w:r>
        <w:t xml:space="preserve">in the three main scenarios (30 MtCO2-eq in LIFE, which starts from lower emissions).</w:t>
      </w:r>
      <w:r>
        <w:t xml:space="preserve"> </w:t>
      </w:r>
      <w:r>
        <w:t xml:space="preserve">Around 57% of this potential would be accessible at near-zero marginal abatement cost</w:t>
      </w:r>
      <w:r>
        <w:t xml:space="preserve"> </w:t>
      </w:r>
      <w:r>
        <w:t xml:space="preserve">(mainly through breeding through selection to enhance productivity, fertility and</w:t>
      </w:r>
      <w:r>
        <w:t xml:space="preserve"> </w:t>
      </w:r>
      <w:r>
        <w:t xml:space="preserve">longevity, and farm-scale anaerobic digestion with biogas recovery), and 90% could be</w:t>
      </w:r>
      <w:r>
        <w:t xml:space="preserve"> </w:t>
      </w:r>
      <w:r>
        <w:t xml:space="preserve">achieved at a marginal cost lower than 35 EUR/tCO2-eq (by including feeding additives).</w:t>
      </w:r>
      <w:r>
        <w:t xml:space="preserve"> </w:t>
      </w:r>
      <w:r>
        <w:t xml:space="preserve">For N2O, the abatement potential is entirely linked to mitigation practices and</w:t>
      </w:r>
      <w:r>
        <w:t xml:space="preserve"> </w:t>
      </w:r>
      <w:r>
        <w:t xml:space="preserve">technologies to reduce emissions from agricultural soils, such as nitrification inhibitors</w:t>
      </w:r>
      <w:r>
        <w:t xml:space="preserve"> </w:t>
      </w:r>
      <w:r>
        <w:t xml:space="preserve">and variable rate technology. In 2040, the maximum additional potential to reduce N2O</w:t>
      </w:r>
      <w:r>
        <w:t xml:space="preserve"> </w:t>
      </w:r>
      <w:r>
        <w:t xml:space="preserve">emissions is 44 MtCO2-eq in the three main scenarios (34 MtCO2-eq in LIFE, starting</w:t>
      </w:r>
      <w:r>
        <w:t xml:space="preserve"> </w:t>
      </w:r>
      <w:r>
        <w:t xml:space="preserve">from lower emissions). Around 32% of this potential could be reached at a marginal cost</w:t>
      </w:r>
      <w:r>
        <w:t xml:space="preserve"> </w:t>
      </w:r>
      <w:r>
        <w:t xml:space="preserve">between 25 and 50 EUR/tCO2-eq, while 75% could be reached at a marginal cost below</w:t>
      </w:r>
      <w:r>
        <w:t xml:space="preserve"> </w:t>
      </w:r>
      <w:r>
        <w:t xml:space="preserve">140 EUR/tCO2-eq and 95% could be reached at a marginal cost below 190</w:t>
      </w:r>
      <w:r>
        <w:t xml:space="preserve"> </w:t>
      </w:r>
      <w:r>
        <w:t xml:space="preserve">EUR/tCO2-eq.</w:t>
      </w:r>
      <w:r>
        <w:br/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Marginal abatement cost (EUR/tCO2-eq)</w:t>
      </w:r>
      <w:r>
        <w:t xml:space="preserve"> </w:t>
      </w:r>
      <w:r>
        <w:t xml:space="preserve">Reduction in non-CO2 GHG emissions (MtCO2-eq)</w:t>
      </w:r>
      <w:r>
        <w:t xml:space="preserve"> </w:t>
      </w:r>
      <w:r>
        <w:t xml:space="preserve">LIFE</w:t>
      </w:r>
      <w:r>
        <w:t xml:space="preserve"> </w:t>
      </w:r>
      <w:r>
        <w:t xml:space="preserve">S1, S2, S3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Figure 82: MACC of the agriculture sector in 2040 in S1, S2 and S3 (by gas and area of</w:t>
      </w:r>
      <w:r>
        <w:t xml:space="preserve"> </w:t>
      </w:r>
      <w:r>
        <w:t xml:space="preserve">application)</w:t>
      </w:r>
    </w:p>
    <w:p>
      <w:pPr>
        <w:pStyle w:val="BodyText"/>
      </w:pPr>
      <w:r>
        <w:t xml:space="preserve">Note: The MACCs include all non-CO2 greenhouse gases. Marginal abatement costs are expressed in constant</w:t>
      </w:r>
      <w:r>
        <w:t xml:space="preserve"> </w:t>
      </w:r>
      <w:r>
        <w:t xml:space="preserve">EUR 2015.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Figure 83: MACC of the agriculture sector in 2040 in LIFE (by gas and area of application)</w:t>
      </w:r>
    </w:p>
    <w:p>
      <w:pPr>
        <w:pStyle w:val="BodyText"/>
      </w:pPr>
      <w:r>
        <w:t xml:space="preserve">Note: The MACCs include all non-CO2 greenhouse gases. Marginal abatement costs are expressed in constant</w:t>
      </w:r>
      <w:r>
        <w:t xml:space="preserve"> </w:t>
      </w:r>
      <w:r>
        <w:t xml:space="preserve">EUR 2015.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Marginal abatement cost (EUR/tCO2-eq)</w:t>
      </w:r>
      <w:r>
        <w:t xml:space="preserve"> </w:t>
      </w:r>
      <w:r>
        <w:t xml:space="preserve">Reduction in non-CO2 GHG emissions (MtCO2-eq)</w:t>
      </w:r>
      <w:r>
        <w:t xml:space="preserve"> </w:t>
      </w:r>
      <w:r>
        <w:t xml:space="preserve">CH4 (Livestock)</w:t>
      </w:r>
      <w:r>
        <w:t xml:space="preserve"> </w:t>
      </w:r>
      <w:r>
        <w:t xml:space="preserve">CH4 (Rice cultivation</w:t>
      </w:r>
      <w:r>
        <w:t xml:space="preserve"> </w:t>
      </w:r>
      <w:r>
        <w:t xml:space="preserve">and other)</w:t>
      </w:r>
      <w:r>
        <w:t xml:space="preserve"> </w:t>
      </w:r>
      <w:r>
        <w:t xml:space="preserve">N2O (Agricultural</w:t>
      </w:r>
      <w:r>
        <w:t xml:space="preserve"> </w:t>
      </w:r>
      <w:r>
        <w:t xml:space="preserve">soils)</w:t>
      </w:r>
      <w:r>
        <w:t xml:space="preserve"> </w:t>
      </w:r>
      <w:r>
        <w:t xml:space="preserve">All sources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Marginal abatement cost (EUR/tCO2-eq)</w:t>
      </w:r>
      <w:r>
        <w:t xml:space="preserve"> </w:t>
      </w:r>
      <w:r>
        <w:t xml:space="preserve">Reduction in non-CO2 GHG emissions (MtCO2-eq)</w:t>
      </w:r>
      <w:r>
        <w:t xml:space="preserve"> </w:t>
      </w:r>
      <w:r>
        <w:t xml:space="preserve">CH4 (Livestock)</w:t>
      </w:r>
      <w:r>
        <w:t xml:space="preserve"> </w:t>
      </w:r>
      <w:r>
        <w:t xml:space="preserve">CH4 (Rice cultivation</w:t>
      </w:r>
      <w:r>
        <w:t xml:space="preserve"> </w:t>
      </w:r>
      <w:r>
        <w:t xml:space="preserve">and other)</w:t>
      </w:r>
      <w:r>
        <w:t xml:space="preserve"> </w:t>
      </w:r>
      <w:r>
        <w:t xml:space="preserve">N2O (Agricultural</w:t>
      </w:r>
      <w:r>
        <w:t xml:space="preserve"> </w:t>
      </w:r>
      <w:r>
        <w:t xml:space="preserve">soils)</w:t>
      </w:r>
      <w:r>
        <w:t xml:space="preserve"> </w:t>
      </w:r>
      <w:r>
        <w:t xml:space="preserve">All sources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Table 16: Mitigation potential in the agriculture sector in S1, S2 and S3</w:t>
      </w:r>
    </w:p>
    <w:p>
      <w:pPr>
        <w:pStyle w:val="BodyText"/>
      </w:pPr>
      <w:r>
        <w:t xml:space="preserve">Marginal abatement cost for non-CO2 GHG emissions (EUR/tCO2-eq)**</w:t>
      </w:r>
      <w:r>
        <w:t xml:space="preserve"> </w:t>
      </w:r>
      <w:r>
        <w:t xml:space="preserve">0*</w:t>
      </w:r>
      <w:r>
        <w:t xml:space="preserve"> </w:t>
      </w:r>
      <w:r>
        <w:t xml:space="preserve">0.1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300</w:t>
      </w:r>
      <w:r>
        <w:t xml:space="preserve"> </w:t>
      </w:r>
      <w:r>
        <w:t xml:space="preserve">Max</w:t>
      </w:r>
      <w:r>
        <w:t xml:space="preserve"> </w:t>
      </w:r>
      <w:r>
        <w:t xml:space="preserve">Emissions mitigation in 2040</w:t>
      </w:r>
      <w:r>
        <w:t xml:space="preserve"> </w:t>
      </w:r>
      <w:r>
        <w:t xml:space="preserve">(MtCO2-eq)</w:t>
      </w:r>
    </w:p>
    <w:p>
      <w:pPr>
        <w:pStyle w:val="BodyText"/>
      </w:pPr>
      <w:r>
        <w:t xml:space="preserve">CH4 (Livestock)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  <w:r>
        <w:t xml:space="preserve"> </w:t>
      </w:r>
      <w:r>
        <w:t xml:space="preserve">34</w:t>
      </w:r>
      <w:r>
        <w:t xml:space="preserve"> </w:t>
      </w:r>
      <w:r>
        <w:t xml:space="preserve">35</w:t>
      </w:r>
      <w:r>
        <w:t xml:space="preserve"> </w:t>
      </w:r>
      <w:r>
        <w:t xml:space="preserve">36</w:t>
      </w:r>
      <w:r>
        <w:t xml:space="preserve"> </w:t>
      </w:r>
      <w:r>
        <w:t xml:space="preserve">37</w:t>
      </w:r>
      <w:r>
        <w:t xml:space="preserve"> </w:t>
      </w:r>
      <w:r>
        <w:t xml:space="preserve">CH4 (Rice cultivation and other)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N2O (Agricultural soils)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25</w:t>
      </w:r>
      <w:r>
        <w:t xml:space="preserve"> </w:t>
      </w:r>
      <w:r>
        <w:t xml:space="preserve">42</w:t>
      </w:r>
      <w:r>
        <w:t xml:space="preserve"> </w:t>
      </w:r>
      <w:r>
        <w:t xml:space="preserve">44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50</w:t>
      </w:r>
      <w:r>
        <w:t xml:space="preserve"> </w:t>
      </w:r>
      <w:r>
        <w:t xml:space="preserve">62</w:t>
      </w:r>
      <w:r>
        <w:t xml:space="preserve"> </w:t>
      </w:r>
      <w:r>
        <w:t xml:space="preserve">81</w:t>
      </w:r>
      <w:r>
        <w:t xml:space="preserve"> </w:t>
      </w:r>
      <w:r>
        <w:t xml:space="preserve">83</w:t>
      </w:r>
      <w:r>
        <w:t xml:space="preserve"> </w:t>
      </w:r>
      <w:r>
        <w:t xml:space="preserve">Share of maximum mitigation</w:t>
      </w:r>
      <w:r>
        <w:t xml:space="preserve"> </w:t>
      </w:r>
      <w:r>
        <w:t xml:space="preserve">potential achieved in 2040 (%)</w:t>
      </w:r>
    </w:p>
    <w:p>
      <w:pPr>
        <w:pStyle w:val="BodyText"/>
      </w:pPr>
      <w:r>
        <w:t xml:space="preserve">CH4 (Livestock)</w:t>
      </w:r>
      <w:r>
        <w:t xml:space="preserve"> </w:t>
      </w:r>
      <w:r>
        <w:t xml:space="preserve">0%</w:t>
      </w:r>
      <w:r>
        <w:t xml:space="preserve"> </w:t>
      </w:r>
      <w:r>
        <w:t xml:space="preserve">57%</w:t>
      </w:r>
      <w:r>
        <w:t xml:space="preserve"> </w:t>
      </w:r>
      <w:r>
        <w:t xml:space="preserve">59%</w:t>
      </w:r>
      <w:r>
        <w:t xml:space="preserve"> </w:t>
      </w:r>
      <w:r>
        <w:t xml:space="preserve">92%</w:t>
      </w:r>
      <w:r>
        <w:t xml:space="preserve"> </w:t>
      </w:r>
      <w:r>
        <w:t xml:space="preserve">97%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CH4 (Rice cultivation and other)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94%</w:t>
      </w:r>
      <w:r>
        <w:t xml:space="preserve"> </w:t>
      </w:r>
      <w:r>
        <w:t xml:space="preserve">94%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N2O (Agricultural soils)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32%</w:t>
      </w:r>
      <w:r>
        <w:t xml:space="preserve"> </w:t>
      </w:r>
      <w:r>
        <w:t xml:space="preserve">57%</w:t>
      </w:r>
      <w:r>
        <w:t xml:space="preserve"> </w:t>
      </w:r>
      <w:r>
        <w:t xml:space="preserve">95%</w:t>
      </w:r>
      <w:r>
        <w:t xml:space="preserve"> </w:t>
      </w:r>
      <w:r>
        <w:t xml:space="preserve">100%</w:t>
      </w:r>
      <w:r>
        <w:t xml:space="preserve"> </w:t>
      </w:r>
      <w:r>
        <w:t xml:space="preserve">Total</w:t>
      </w:r>
      <w:r>
        <w:t xml:space="preserve"> </w:t>
      </w:r>
      <w:r>
        <w:t xml:space="preserve">0%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60%</w:t>
      </w:r>
      <w:r>
        <w:t xml:space="preserve"> </w:t>
      </w:r>
      <w:r>
        <w:t xml:space="preserve">76%</w:t>
      </w:r>
      <w:r>
        <w:t xml:space="preserve"> </w:t>
      </w:r>
      <w:r>
        <w:t xml:space="preserve">97%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Note: *In this table, the non-CO2 GHG emissions at zero marginal abatement cost correspond to the emissions</w:t>
      </w:r>
      <w:r>
        <w:t xml:space="preserve"> </w:t>
      </w:r>
      <w:r>
        <w:t xml:space="preserve">without additional mitigation in 2040. **Marginal abatement costs are expressed in constant EUR 2015.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Table 17: Mitigation potential in the agriculture sector in LIFE</w:t>
      </w:r>
    </w:p>
    <w:p>
      <w:pPr>
        <w:pStyle w:val="BodyText"/>
      </w:pPr>
      <w:r>
        <w:t xml:space="preserve">Marginal abatement cost for non-CO2 GHG emissions (EUR/tCO2-eq)</w:t>
      </w:r>
      <w:r>
        <w:t xml:space="preserve"> </w:t>
      </w:r>
      <w:r>
        <w:t xml:space="preserve">0*</w:t>
      </w:r>
      <w:r>
        <w:t xml:space="preserve"> </w:t>
      </w:r>
      <w:r>
        <w:t xml:space="preserve">0.1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300</w:t>
      </w:r>
      <w:r>
        <w:t xml:space="preserve"> </w:t>
      </w:r>
      <w:r>
        <w:t xml:space="preserve">Max</w:t>
      </w:r>
      <w:r>
        <w:t xml:space="preserve"> </w:t>
      </w:r>
      <w:r>
        <w:t xml:space="preserve">Emissions mitigation in 2040</w:t>
      </w:r>
      <w:r>
        <w:t xml:space="preserve"> </w:t>
      </w:r>
      <w:r>
        <w:t xml:space="preserve">(MtCO2-eq)</w:t>
      </w:r>
    </w:p>
    <w:p>
      <w:pPr>
        <w:pStyle w:val="BodyText"/>
      </w:pPr>
      <w:r>
        <w:t xml:space="preserve">CH4 (Livestock)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26</w:t>
      </w:r>
      <w:r>
        <w:t xml:space="preserve"> </w:t>
      </w:r>
      <w:r>
        <w:t xml:space="preserve">27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CH4 (Rice cultivation and other)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N2O (Agricultural soils)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</w:t>
      </w:r>
      <w:r>
        <w:t xml:space="preserve"> </w:t>
      </w:r>
      <w:r>
        <w:t xml:space="preserve">19</w:t>
      </w:r>
      <w:r>
        <w:t xml:space="preserve"> </w:t>
      </w:r>
      <w:r>
        <w:t xml:space="preserve">32</w:t>
      </w:r>
      <w:r>
        <w:t xml:space="preserve"> </w:t>
      </w:r>
      <w:r>
        <w:t xml:space="preserve">34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39</w:t>
      </w:r>
      <w:r>
        <w:t xml:space="preserve"> </w:t>
      </w:r>
      <w:r>
        <w:t xml:space="preserve">48</w:t>
      </w:r>
      <w:r>
        <w:t xml:space="preserve"> </w:t>
      </w:r>
      <w:r>
        <w:t xml:space="preserve">62</w:t>
      </w:r>
      <w:r>
        <w:t xml:space="preserve"> </w:t>
      </w:r>
      <w:r>
        <w:t xml:space="preserve">64</w:t>
      </w:r>
      <w:r>
        <w:t xml:space="preserve"> </w:t>
      </w:r>
      <w:r>
        <w:t xml:space="preserve">Share of maximum mitigation</w:t>
      </w:r>
      <w:r>
        <w:t xml:space="preserve"> </w:t>
      </w:r>
      <w:r>
        <w:t xml:space="preserve">potential achieved in 2040 (%)</w:t>
      </w:r>
    </w:p>
    <w:p>
      <w:pPr>
        <w:pStyle w:val="BodyText"/>
      </w:pPr>
      <w:r>
        <w:t xml:space="preserve">CH4 (Livestock)</w:t>
      </w:r>
      <w:r>
        <w:t xml:space="preserve"> </w:t>
      </w:r>
      <w:r>
        <w:t xml:space="preserve">0%</w:t>
      </w:r>
      <w:r>
        <w:t xml:space="preserve"> </w:t>
      </w:r>
      <w:r>
        <w:t xml:space="preserve">56%</w:t>
      </w:r>
      <w:r>
        <w:t xml:space="preserve"> </w:t>
      </w:r>
      <w:r>
        <w:t xml:space="preserve">58%</w:t>
      </w:r>
      <w:r>
        <w:t xml:space="preserve"> </w:t>
      </w:r>
      <w:r>
        <w:t xml:space="preserve">93%</w:t>
      </w:r>
      <w:r>
        <w:t xml:space="preserve"> </w:t>
      </w:r>
      <w:r>
        <w:t xml:space="preserve">97%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CH4 (Rice cultivation and other)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94%</w:t>
      </w:r>
      <w:r>
        <w:t xml:space="preserve"> </w:t>
      </w:r>
      <w:r>
        <w:t xml:space="preserve">94%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N2O (Agricultural soils)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32%</w:t>
      </w:r>
      <w:r>
        <w:t xml:space="preserve"> </w:t>
      </w:r>
      <w:r>
        <w:t xml:space="preserve">56%</w:t>
      </w:r>
      <w:r>
        <w:t xml:space="preserve"> </w:t>
      </w:r>
      <w:r>
        <w:t xml:space="preserve">96%</w:t>
      </w:r>
      <w:r>
        <w:t xml:space="preserve"> </w:t>
      </w:r>
      <w:r>
        <w:t xml:space="preserve">100%</w:t>
      </w:r>
      <w:r>
        <w:t xml:space="preserve"> </w:t>
      </w:r>
      <w:r>
        <w:t xml:space="preserve">Total</w:t>
      </w:r>
      <w:r>
        <w:t xml:space="preserve"> </w:t>
      </w:r>
      <w:r>
        <w:t xml:space="preserve">0%</w:t>
      </w:r>
      <w:r>
        <w:t xml:space="preserve"> </w:t>
      </w:r>
      <w:r>
        <w:t xml:space="preserve">26%</w:t>
      </w:r>
      <w:r>
        <w:t xml:space="preserve"> </w:t>
      </w:r>
      <w:r>
        <w:t xml:space="preserve">27%</w:t>
      </w:r>
      <w:r>
        <w:t xml:space="preserve"> </w:t>
      </w:r>
      <w:r>
        <w:t xml:space="preserve">61%</w:t>
      </w:r>
      <w:r>
        <w:t xml:space="preserve"> </w:t>
      </w:r>
      <w:r>
        <w:t xml:space="preserve">75%</w:t>
      </w:r>
      <w:r>
        <w:t xml:space="preserve"> </w:t>
      </w:r>
      <w:r>
        <w:t xml:space="preserve">98%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Note: *In this table, the non-CO2 GHG emissions at zero marginal abatement cost correspond to the emissions</w:t>
      </w:r>
      <w:r>
        <w:t xml:space="preserve"> </w:t>
      </w:r>
      <w:r>
        <w:t xml:space="preserve">without additional mitigation in 2040. Marginal abatement costs are expressed in constant EUR 2015.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1.7.5. GHG emissions projections</w:t>
      </w:r>
      <w:r>
        <w:t xml:space="preserve"> </w:t>
      </w:r>
      <w:r>
        <w:t xml:space="preserve">This section presents the agriculture GHG emissions trajectory in each scenario.</w:t>
      </w:r>
      <w:r>
        <w:br/>
      </w:r>
      <w:r>
        <w:t xml:space="preserve">Currently, almost all GHG emissions from agriculture that are not related to energy</w:t>
      </w:r>
      <w:r>
        <w:t xml:space="preserve"> </w:t>
      </w:r>
      <w:r>
        <w:t xml:space="preserve">consumption (i.e., all category 3 of the UNFCCC inventory) are CH4 and N2O emissions</w:t>
      </w:r>
      <w:r>
        <w:t xml:space="preserve"> </w:t>
      </w:r>
      <w:r>
        <w:t xml:space="preserve">(see Table 18 and Figure 84). CO2 emissions included in category 3 are very small and</w:t>
      </w:r>
      <w:r>
        <w:t xml:space="preserve"> </w:t>
      </w:r>
      <w:r>
        <w:t xml:space="preserve">are assumed to remain constant at historical level (10 MtCO2). CO2 emissions from</w:t>
      </w:r>
      <w:r>
        <w:t xml:space="preserve"> </w:t>
      </w:r>
      <w:r>
        <w:t xml:space="preserve">agriculture related to energy consumption (i.e., those included in category 1 of the</w:t>
      </w:r>
      <w:r>
        <w:t xml:space="preserve"> </w:t>
      </w:r>
      <w:r>
        <w:t xml:space="preserve">UNFCCC inventory) are not analysed in this section, but in Section 1.1.3.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The S1 scenario assumes that no additional mitigation measures are deployed by 2040. In</w:t>
      </w:r>
      <w:r>
        <w:t xml:space="preserve"> </w:t>
      </w:r>
      <w:r>
        <w:t xml:space="preserve">the S2 scenario, reductions take place, mostly through the deployment by 2040 of</w:t>
      </w:r>
      <w:r>
        <w:t xml:space="preserve"> </w:t>
      </w:r>
      <w:r>
        <w:t xml:space="preserve">technologies reducing CH4 emissions (such as feeding additives, farm-scale anaerobic</w:t>
      </w:r>
      <w:r>
        <w:t xml:space="preserve"> </w:t>
      </w:r>
      <w:r>
        <w:t xml:space="preserve">digestion with biogas recovery, and breeding through selection to enhance productivity,</w:t>
      </w:r>
      <w:r>
        <w:t xml:space="preserve"> </w:t>
      </w:r>
      <w:r>
        <w:t xml:space="preserve">fertility and longevity), while technologies to reduce N2O emissions from agriculture are</w:t>
      </w:r>
      <w:r>
        <w:t xml:space="preserve"> </w:t>
      </w:r>
      <w:r>
        <w:t xml:space="preserve">only partially deployed in 2040. S3 and LIFE assume the full deployment of all</w:t>
      </w:r>
      <w:r>
        <w:t xml:space="preserve"> </w:t>
      </w:r>
      <w:r>
        <w:t xml:space="preserve">additional mitigation measures (including nitrification inhibitors, variable rate technology</w:t>
      </w:r>
      <w:r>
        <w:t xml:space="preserve"> </w:t>
      </w:r>
      <w:r>
        <w:t xml:space="preserve">and restoring drained organic soils) by 2040, thus contributing to the overall net GHG</w:t>
      </w:r>
      <w:r>
        <w:t xml:space="preserve"> </w:t>
      </w:r>
      <w:r>
        <w:t xml:space="preserve">reductions. In modelling terms, the extra mitigation to the baseline is realised through the</w:t>
      </w:r>
      <w:r>
        <w:t xml:space="preserve"> </w:t>
      </w:r>
      <w:r>
        <w:t xml:space="preserve">application of a “carbon value” to GHG emissions applied to the sector (see Annex 6 and</w:t>
      </w:r>
      <w:r>
        <w:t xml:space="preserve"> </w:t>
      </w:r>
      <w:r>
        <w:t xml:space="preserve">previous section on mitigation potential in the sector).</w:t>
      </w:r>
      <w:r>
        <w:br/>
      </w:r>
      <w:r>
        <w:t xml:space="preserve">Figure 84: GHG emissions from agriculture by gas</w:t>
      </w:r>
    </w:p>
    <w:p>
      <w:pPr>
        <w:pStyle w:val="BodyText"/>
      </w:pPr>
      <w:r>
        <w:t xml:space="preserve">Note: *In the S1 and S2 scenarios, emissions in 2050 are equal to those in the S3 scenario. **CO2 emissions</w:t>
      </w:r>
      <w:r>
        <w:t xml:space="preserve"> </w:t>
      </w:r>
      <w:r>
        <w:t xml:space="preserve">include only emissions in category 3 (“Agriculture”).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The amount of GHG emissions (152) generated by the agriculture sector in 2040 is</w:t>
      </w:r>
      <w:r>
        <w:t xml:space="preserve"> </w:t>
      </w:r>
      <w:r>
        <w:t xml:space="preserve">projected to be 351 MtCO2-eq in S1 (9% lower than in 2015), 302 MtCO2-eq in S2</w:t>
      </w:r>
      <w:r>
        <w:t xml:space="preserve"> </w:t>
      </w:r>
      <w:r>
        <w:t xml:space="preserve">(22% lower than in 2015), and 271 MtCO2-eq in S3 (30% lower than in 2015) (see Table</w:t>
      </w:r>
      <w:r>
        <w:t xml:space="preserve"> </w:t>
      </w:r>
      <w:r>
        <w:t xml:space="preserve">18). LIFE, which combines a different evolution of the food system and the application</w:t>
      </w:r>
      <w:r>
        <w:t xml:space="preserve"> </w:t>
      </w:r>
      <w:r>
        <w:t xml:space="preserve">of technologies, shows a much lower level of emissions (209 MtCO2-eq, i.e., 46% lower</w:t>
      </w:r>
      <w:r>
        <w:t xml:space="preserve"> </w:t>
      </w:r>
      <w:r>
        <w:t xml:space="preserve">than in 2015). In 2050, GHG emissions are projected to reach 249 MtCO2-eq (a 35%</w:t>
      </w:r>
      <w:r>
        <w:t xml:space="preserve"> </w:t>
      </w:r>
      <w:r>
        <w:t xml:space="preserve">reduction relative to 2015) in the three main scenarios, and 194 MtCO2-eq in LIFE (a</w:t>
      </w:r>
      <w:r>
        <w:t xml:space="preserve"> </w:t>
      </w:r>
      <w:r>
        <w:t xml:space="preserve">50% decrease compared to 2015).</w:t>
      </w:r>
    </w:p>
    <w:p>
      <w:pPr>
        <w:pStyle w:val="Compact"/>
        <w:numPr>
          <w:ilvl w:val="0"/>
          <w:numId w:val="1069"/>
        </w:numPr>
      </w:pPr>
      <w:r>
        <w:t xml:space="preserve">Including CO2, CH4 and N2O emissions in category 3 of the UNFCCC inventory.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S3*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CO2</w:t>
      </w:r>
      <w:r>
        <w:t xml:space="preserve"> </w:t>
      </w:r>
      <w:r>
        <w:t xml:space="preserve">N2O</w:t>
      </w:r>
      <w:r>
        <w:t xml:space="preserve"> </w:t>
      </w:r>
      <w:r>
        <w:t xml:space="preserve">CH4</w:t>
      </w:r>
    </w:p>
    <w:p>
      <w:pPr>
        <w:pStyle w:val="FirstParagraph"/>
      </w:pPr>
      <w:r>
        <w:t xml:space="preserve">116</w:t>
      </w:r>
    </w:p>
    <w:p>
      <w:pPr>
        <w:pStyle w:val="BodyText"/>
      </w:pPr>
      <w:r>
        <w:t xml:space="preserve">Table 18: GHG emissions from the agriculture sector (by gas and type of source)</w:t>
      </w:r>
    </w:p>
    <w:p>
      <w:pPr>
        <w:pStyle w:val="BodyText"/>
      </w:pPr>
      <w:r>
        <w:t xml:space="preserve">Greenhouse gas emissions (MtCO2-eq)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S3*</w:t>
      </w:r>
      <w:r>
        <w:t xml:space="preserve"> </w:t>
      </w:r>
      <w:r>
        <w:t xml:space="preserve">LIFE</w:t>
      </w:r>
      <w:r>
        <w:t xml:space="preserve"> </w:t>
      </w:r>
      <w:r>
        <w:t xml:space="preserve">Disaggregated per gas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237</w:t>
      </w:r>
      <w:r>
        <w:t xml:space="preserve"> </w:t>
      </w:r>
      <w:r>
        <w:t xml:space="preserve">223</w:t>
      </w:r>
      <w:r>
        <w:t xml:space="preserve"> </w:t>
      </w:r>
      <w:r>
        <w:t xml:space="preserve">214</w:t>
      </w:r>
      <w:r>
        <w:t xml:space="preserve"> </w:t>
      </w:r>
      <w:r>
        <w:t xml:space="preserve">179</w:t>
      </w:r>
      <w:r>
        <w:t xml:space="preserve"> </w:t>
      </w:r>
      <w:r>
        <w:t xml:space="preserve">176</w:t>
      </w:r>
      <w:r>
        <w:t xml:space="preserve"> </w:t>
      </w:r>
      <w:r>
        <w:t xml:space="preserve">137</w:t>
      </w:r>
      <w:r>
        <w:t xml:space="preserve"> </w:t>
      </w:r>
      <w:r>
        <w:t xml:space="preserve">162</w:t>
      </w:r>
      <w:r>
        <w:t xml:space="preserve"> </w:t>
      </w:r>
      <w:r>
        <w:t xml:space="preserve">127</w:t>
      </w:r>
      <w:r>
        <w:t xml:space="preserve"> </w:t>
      </w:r>
      <w:r>
        <w:t xml:space="preserve">N2O</w:t>
      </w:r>
      <w:r>
        <w:t xml:space="preserve"> </w:t>
      </w:r>
      <w:r>
        <w:t xml:space="preserve">138</w:t>
      </w:r>
      <w:r>
        <w:t xml:space="preserve"> </w:t>
      </w:r>
      <w:r>
        <w:t xml:space="preserve">128</w:t>
      </w:r>
      <w:r>
        <w:t xml:space="preserve"> </w:t>
      </w:r>
      <w:r>
        <w:t xml:space="preserve">127</w:t>
      </w:r>
      <w:r>
        <w:t xml:space="preserve"> </w:t>
      </w:r>
      <w:r>
        <w:t xml:space="preserve">113</w:t>
      </w:r>
      <w:r>
        <w:t xml:space="preserve"> </w:t>
      </w:r>
      <w:r>
        <w:t xml:space="preserve">85</w:t>
      </w:r>
      <w:r>
        <w:t xml:space="preserve"> </w:t>
      </w:r>
      <w:r>
        <w:t xml:space="preserve">63</w:t>
      </w:r>
      <w:r>
        <w:t xml:space="preserve"> </w:t>
      </w:r>
      <w:r>
        <w:t xml:space="preserve">77</w:t>
      </w:r>
      <w:r>
        <w:t xml:space="preserve"> </w:t>
      </w:r>
      <w:r>
        <w:t xml:space="preserve">57</w:t>
      </w:r>
      <w:r>
        <w:t xml:space="preserve"> </w:t>
      </w:r>
      <w:r>
        <w:t xml:space="preserve">CO2**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Total (all gases)</w:t>
      </w:r>
      <w:r>
        <w:t xml:space="preserve"> </w:t>
      </w:r>
      <w:r>
        <w:t xml:space="preserve">385</w:t>
      </w:r>
      <w:r>
        <w:t xml:space="preserve"> </w:t>
      </w:r>
      <w:r>
        <w:t xml:space="preserve">361</w:t>
      </w:r>
      <w:r>
        <w:t xml:space="preserve"> </w:t>
      </w:r>
      <w:r>
        <w:t xml:space="preserve">351</w:t>
      </w:r>
      <w:r>
        <w:t xml:space="preserve"> </w:t>
      </w:r>
      <w:r>
        <w:t xml:space="preserve">302</w:t>
      </w:r>
      <w:r>
        <w:t xml:space="preserve"> </w:t>
      </w:r>
      <w:r>
        <w:t xml:space="preserve">271</w:t>
      </w:r>
      <w:r>
        <w:t xml:space="preserve"> </w:t>
      </w:r>
      <w:r>
        <w:t xml:space="preserve">209</w:t>
      </w:r>
      <w:r>
        <w:t xml:space="preserve"> </w:t>
      </w:r>
      <w:r>
        <w:t xml:space="preserve">249</w:t>
      </w:r>
      <w:r>
        <w:t xml:space="preserve"> </w:t>
      </w:r>
      <w:r>
        <w:t xml:space="preserve">194</w:t>
      </w:r>
      <w:r>
        <w:t xml:space="preserve"> </w:t>
      </w:r>
      <w:r>
        <w:t xml:space="preserve">Disaggregated per type of source</w:t>
      </w:r>
    </w:p>
    <w:p>
      <w:pPr>
        <w:pStyle w:val="BodyText"/>
      </w:pPr>
      <w:r>
        <w:t xml:space="preserve">Livestock</w:t>
      </w:r>
      <w:r>
        <w:t xml:space="preserve"> </w:t>
      </w:r>
      <w:r>
        <w:t xml:space="preserve">244</w:t>
      </w:r>
      <w:r>
        <w:t xml:space="preserve"> </w:t>
      </w:r>
      <w:r>
        <w:t xml:space="preserve">230</w:t>
      </w:r>
      <w:r>
        <w:t xml:space="preserve"> </w:t>
      </w:r>
      <w:r>
        <w:t xml:space="preserve">221</w:t>
      </w:r>
      <w:r>
        <w:t xml:space="preserve"> </w:t>
      </w:r>
      <w:r>
        <w:t xml:space="preserve">188</w:t>
      </w:r>
      <w:r>
        <w:t xml:space="preserve"> </w:t>
      </w:r>
      <w:r>
        <w:t xml:space="preserve">185</w:t>
      </w:r>
      <w:r>
        <w:t xml:space="preserve"> </w:t>
      </w:r>
      <w:r>
        <w:t xml:space="preserve">143</w:t>
      </w:r>
      <w:r>
        <w:t xml:space="preserve"> </w:t>
      </w:r>
      <w:r>
        <w:t xml:space="preserve">171</w:t>
      </w:r>
      <w:r>
        <w:t xml:space="preserve"> </w:t>
      </w:r>
      <w:r>
        <w:t xml:space="preserve">134</w:t>
      </w:r>
      <w:r>
        <w:t xml:space="preserve"> </w:t>
      </w:r>
      <w:r>
        <w:t xml:space="preserve">Agricultural soils</w:t>
      </w:r>
      <w:r>
        <w:t xml:space="preserve"> </w:t>
      </w:r>
      <w:r>
        <w:t xml:space="preserve">127</w:t>
      </w:r>
      <w:r>
        <w:t xml:space="preserve"> </w:t>
      </w:r>
      <w:r>
        <w:t xml:space="preserve">118</w:t>
      </w:r>
      <w:r>
        <w:t xml:space="preserve"> </w:t>
      </w:r>
      <w:r>
        <w:t xml:space="preserve">116</w:t>
      </w:r>
      <w:r>
        <w:t xml:space="preserve"> </w:t>
      </w:r>
      <w:r>
        <w:t xml:space="preserve">102</w:t>
      </w:r>
      <w:r>
        <w:t xml:space="preserve"> </w:t>
      </w:r>
      <w:r>
        <w:t xml:space="preserve">74</w:t>
      </w:r>
      <w:r>
        <w:t xml:space="preserve"> </w:t>
      </w:r>
      <w:r>
        <w:t xml:space="preserve">55</w:t>
      </w:r>
      <w:r>
        <w:t xml:space="preserve"> </w:t>
      </w:r>
      <w:r>
        <w:t xml:space="preserve">66</w:t>
      </w:r>
      <w:r>
        <w:t xml:space="preserve"> </w:t>
      </w:r>
      <w:r>
        <w:t xml:space="preserve">49</w:t>
      </w:r>
      <w:r>
        <w:t xml:space="preserve"> </w:t>
      </w:r>
      <w:r>
        <w:t xml:space="preserve">Other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Total (all sources)</w:t>
      </w:r>
      <w:r>
        <w:t xml:space="preserve"> </w:t>
      </w:r>
      <w:r>
        <w:t xml:space="preserve">385</w:t>
      </w:r>
      <w:r>
        <w:t xml:space="preserve"> </w:t>
      </w:r>
      <w:r>
        <w:t xml:space="preserve">361</w:t>
      </w:r>
      <w:r>
        <w:t xml:space="preserve"> </w:t>
      </w:r>
      <w:r>
        <w:t xml:space="preserve">351</w:t>
      </w:r>
      <w:r>
        <w:t xml:space="preserve"> </w:t>
      </w:r>
      <w:r>
        <w:t xml:space="preserve">302</w:t>
      </w:r>
      <w:r>
        <w:t xml:space="preserve"> </w:t>
      </w:r>
      <w:r>
        <w:t xml:space="preserve">271</w:t>
      </w:r>
      <w:r>
        <w:t xml:space="preserve"> </w:t>
      </w:r>
      <w:r>
        <w:t xml:space="preserve">209</w:t>
      </w:r>
      <w:r>
        <w:t xml:space="preserve"> </w:t>
      </w:r>
      <w:r>
        <w:t xml:space="preserve">249</w:t>
      </w:r>
      <w:r>
        <w:t xml:space="preserve"> </w:t>
      </w:r>
      <w:r>
        <w:t xml:space="preserve">194</w:t>
      </w:r>
    </w:p>
    <w:p>
      <w:pPr>
        <w:pStyle w:val="BodyText"/>
      </w:pPr>
      <w:r>
        <w:t xml:space="preserve">Note: *In the S1 and S2 scenarios, emissions in 2050 are equal to those in the S3 scenario. **CO2 emissions</w:t>
      </w:r>
      <w:r>
        <w:t xml:space="preserve"> </w:t>
      </w:r>
      <w:r>
        <w:t xml:space="preserve">include only emissions in category 3 (“Agriculture”).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The analysis of emissions per type of source shows that, in 2040, GHG emissions caused</w:t>
      </w:r>
      <w:r>
        <w:t xml:space="preserve"> </w:t>
      </w:r>
      <w:r>
        <w:t xml:space="preserve">by livestock (which are mostly CH4 emissions (153)) are projected to be 221 MtCO2-eq</w:t>
      </w:r>
      <w:r>
        <w:t xml:space="preserve"> </w:t>
      </w:r>
      <w:r>
        <w:t xml:space="preserve">(10% lower than in 2015) in the S1 scenario, 188 MtCO2-eq (23% lower than in 2015) in</w:t>
      </w:r>
      <w:r>
        <w:t xml:space="preserve"> </w:t>
      </w:r>
      <w:r>
        <w:t xml:space="preserve">the S2 scenario, and 185 MtCO2-eq (24% lower than in 2015) in the S3 scenario (see</w:t>
      </w:r>
      <w:r>
        <w:t xml:space="preserve"> </w:t>
      </w:r>
      <w:r>
        <w:t xml:space="preserve">Table 18 and Figure 85). In 2050, GHG emissions from livestock are 171 MtCO2-eq</w:t>
      </w:r>
      <w:r>
        <w:t xml:space="preserve"> </w:t>
      </w:r>
      <w:r>
        <w:t xml:space="preserve">(i.e., 30% lower than in 2015) in these three scenarios. These emissions reductions</w:t>
      </w:r>
      <w:r>
        <w:t xml:space="preserve"> </w:t>
      </w:r>
      <w:r>
        <w:t xml:space="preserve">(compared to 2015) are achieved mainly by implementing the following technologies: a)</w:t>
      </w:r>
      <w:r>
        <w:t xml:space="preserve"> </w:t>
      </w:r>
      <w:r>
        <w:t xml:space="preserve">breeding through selection to enhance productivity, fertility and longevity; b) farm-scale</w:t>
      </w:r>
      <w:r>
        <w:t xml:space="preserve"> </w:t>
      </w:r>
      <w:r>
        <w:t xml:space="preserve">anaerobic digestion with biogas recovery; and c) feed additives. Note that, in the S1</w:t>
      </w:r>
      <w:r>
        <w:t xml:space="preserve"> </w:t>
      </w:r>
      <w:r>
        <w:t xml:space="preserve">scenario, these technologies are only deployed after 2040.</w:t>
      </w:r>
      <w:r>
        <w:br/>
      </w:r>
      <w:r>
        <w:t xml:space="preserve">In addition to the implementation of these technologies, LIFE assumes changes in</w:t>
      </w:r>
      <w:r>
        <w:t xml:space="preserve"> </w:t>
      </w:r>
      <w:r>
        <w:t xml:space="preserve">sectoral activity compared to the other scenarios (notably, a decrease in livestock leading</w:t>
      </w:r>
      <w:r>
        <w:t xml:space="preserve"> </w:t>
      </w:r>
      <w:r>
        <w:t xml:space="preserve">to a lower production of manure). As a result, GHG emissions caused by livestock</w:t>
      </w:r>
      <w:r>
        <w:t xml:space="preserve"> </w:t>
      </w:r>
      <w:r>
        <w:t xml:space="preserve">decrease further: they are projected to be 143 MtCO2-eq in 2040 (i.e., 41% lower than in</w:t>
      </w:r>
      <w:r>
        <w:t xml:space="preserve"> </w:t>
      </w:r>
      <w:r>
        <w:t xml:space="preserve">2015) and 134 MtCO2-eq in 2050 (i.e., 45% lower than in 2015).</w:t>
      </w:r>
      <w:r>
        <w:br/>
      </w:r>
      <w:r>
        <w:t xml:space="preserve">GHG emissions from agricultural soils (which are entirely N2O emissions (154)) are</w:t>
      </w:r>
      <w:r>
        <w:t xml:space="preserve"> </w:t>
      </w:r>
      <w:r>
        <w:t xml:space="preserve">projected to be 116 MtCO2-eq in S1 (8% lower than in 2015), 102 MtCO2-eq (19%</w:t>
      </w:r>
      <w:r>
        <w:t xml:space="preserve"> </w:t>
      </w:r>
      <w:r>
        <w:t xml:space="preserve">lower than in 2015) in the S2 scenario, and 74 MtCO2-eq (42% lower than in 2015) in S3</w:t>
      </w:r>
      <w:r>
        <w:t xml:space="preserve"> </w:t>
      </w:r>
      <w:r>
        <w:t xml:space="preserve">in 2040 (see Table 18 and Figure 85). In 2050, emissions from agricultural soils are 66</w:t>
      </w:r>
      <w:r>
        <w:t xml:space="preserve"> </w:t>
      </w:r>
      <w:r>
        <w:t xml:space="preserve">MtCO2-eq (48% lower than in 2015) in these three scenarios. These emissions reductions</w:t>
      </w:r>
      <w:r>
        <w:t xml:space="preserve"> </w:t>
      </w:r>
      <w:r>
        <w:t xml:space="preserve">(compared to 2015) are achieved mainly through the large-scale implementation of</w:t>
      </w:r>
    </w:p>
    <w:p>
      <w:pPr>
        <w:pStyle w:val="Compact"/>
        <w:numPr>
          <w:ilvl w:val="0"/>
          <w:numId w:val="1070"/>
        </w:numPr>
      </w:pPr>
      <w:r>
        <w:t xml:space="preserve">According to the UNFCCC inventory, around 93% of the GHG emissions from livestock in the EU in</w:t>
      </w:r>
      <w:r>
        <w:t xml:space="preserve"> </w:t>
      </w:r>
      <w:r>
        <w:t xml:space="preserve">2021 were CH4 emissions, whereas the remainder (7%) were N2O emissions.</w:t>
      </w:r>
    </w:p>
    <w:p>
      <w:pPr>
        <w:pStyle w:val="Compact"/>
        <w:numPr>
          <w:ilvl w:val="0"/>
          <w:numId w:val="1070"/>
        </w:numPr>
      </w:pPr>
      <w:r>
        <w:t xml:space="preserve">According to the UNFCCC inventory, 100% of the GHG emissions from agricultural soils in the EU</w:t>
      </w:r>
      <w:r>
        <w:t xml:space="preserve"> </w:t>
      </w:r>
      <w:r>
        <w:t xml:space="preserve">in 2021 were N2O emissions.</w:t>
      </w:r>
    </w:p>
    <w:p>
      <w:pPr>
        <w:pStyle w:val="FirstParagraph"/>
      </w:pPr>
      <w:r>
        <w:t xml:space="preserve">117</w:t>
      </w:r>
    </w:p>
    <w:p>
      <w:pPr>
        <w:pStyle w:val="BodyText"/>
      </w:pPr>
      <w:r>
        <w:t xml:space="preserve">technologies to improve fertiliser application (notably, nitrification inhibitors and</w:t>
      </w:r>
      <w:r>
        <w:t xml:space="preserve"> </w:t>
      </w:r>
      <w:r>
        <w:t xml:space="preserve">variable rate technology) and by restoring drained organic soils. The S1 scenario assumes</w:t>
      </w:r>
      <w:r>
        <w:t xml:space="preserve"> </w:t>
      </w:r>
      <w:r>
        <w:t xml:space="preserve">that these technologies are only deployed after 2040 (see Annex 6).</w:t>
      </w:r>
      <w:r>
        <w:br/>
      </w:r>
      <w:r>
        <w:t xml:space="preserve">In addition to the implementation of these technologies, LIFE assumes changes in</w:t>
      </w:r>
      <w:r>
        <w:t xml:space="preserve"> </w:t>
      </w:r>
      <w:r>
        <w:t xml:space="preserve">sectoral activity compared to the other scenarios, with a decrease in the use of mineral</w:t>
      </w:r>
      <w:r>
        <w:t xml:space="preserve"> </w:t>
      </w:r>
      <w:r>
        <w:t xml:space="preserve">fertilisers. Consequently, GHG emissions from agricultural soils decrease further: they</w:t>
      </w:r>
      <w:r>
        <w:t xml:space="preserve"> </w:t>
      </w:r>
      <w:r>
        <w:t xml:space="preserve">are projected to be 55 MtCO2-eq in 2040 (57% lower than in 2015) and 49 MtCO2-eq in</w:t>
      </w:r>
      <w:r>
        <w:t xml:space="preserve"> </w:t>
      </w:r>
      <w:r>
        <w:t xml:space="preserve">2050 (62% lower than in 2015).</w:t>
      </w:r>
      <w:r>
        <w:t xml:space="preserve"> </w:t>
      </w:r>
      <w:r>
        <w:t xml:space="preserve">Figure 85: GHG emissions from agriculture by type of source</w:t>
      </w:r>
    </w:p>
    <w:p>
      <w:pPr>
        <w:pStyle w:val="BodyText"/>
      </w:pPr>
      <w:r>
        <w:t xml:space="preserve">Note: GHG emissions include CO2 (category 3), CH4 and N2O emissions. *In the S1 and S2 scenarios, emissions</w:t>
      </w:r>
      <w:r>
        <w:t xml:space="preserve"> </w:t>
      </w:r>
      <w:r>
        <w:t xml:space="preserve">in 2050 are equal to those in the S3 scenario.</w:t>
      </w:r>
      <w:r>
        <w:t xml:space="preserve"> </w:t>
      </w:r>
      <w:r>
        <w:t xml:space="preserve">Source: GAINS.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S3*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Other</w:t>
      </w:r>
      <w:r>
        <w:t xml:space="preserve"> </w:t>
      </w:r>
      <w:r>
        <w:t xml:space="preserve">Agricultural</w:t>
      </w:r>
      <w:r>
        <w:t xml:space="preserve"> </w:t>
      </w:r>
      <w:r>
        <w:t xml:space="preserve">soils</w:t>
      </w:r>
      <w:r>
        <w:t xml:space="preserve"> </w:t>
      </w:r>
      <w:r>
        <w:t xml:space="preserve">Livestock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1.8.</w:t>
      </w:r>
      <w:r>
        <w:t xml:space="preserve"> </w:t>
      </w:r>
      <w:r>
        <w:t xml:space="preserve">LULUCF</w:t>
      </w:r>
      <w:r>
        <w:br/>
      </w:r>
      <w:r>
        <w:t xml:space="preserve">1.8.1. Introduction</w:t>
      </w:r>
      <w:r>
        <w:t xml:space="preserve"> </w:t>
      </w:r>
      <w:r>
        <w:t xml:space="preserve">Figure 86 shows the evolution of the EU LULUCF net removals over 1990-2021. They</w:t>
      </w:r>
      <w:r>
        <w:t xml:space="preserve"> </w:t>
      </w:r>
      <w:r>
        <w:t xml:space="preserve">have been on average about -325 MtCO2-eq between 1990 and 2016, and declining since,</w:t>
      </w:r>
      <w:r>
        <w:t xml:space="preserve"> </w:t>
      </w:r>
      <w:r>
        <w:t xml:space="preserve">down to -230 MtCO2-eq in 2021.</w:t>
      </w:r>
    </w:p>
    <w:p>
      <w:pPr>
        <w:pStyle w:val="BodyText"/>
      </w:pPr>
      <w:r>
        <w:t xml:space="preserve">Figure 86: Historical LULUCF emissions, removals and net carbon removals</w:t>
      </w:r>
    </w:p>
    <w:p>
      <w:pPr>
        <w:pStyle w:val="BodyText"/>
      </w:pPr>
      <w:r>
        <w:t xml:space="preserve">Source: UNFCCC 2023</w:t>
      </w:r>
      <w:r>
        <w:t xml:space="preserve"> </w:t>
      </w:r>
      <w:r>
        <w:t xml:space="preserve">The LULUCF sector generates emissions from wetland, cropland, and grassland,</w:t>
      </w:r>
      <w:r>
        <w:t xml:space="preserve"> </w:t>
      </w:r>
      <w:r>
        <w:t xml:space="preserve">settlements and other land (69 MtCO2-eq in 2021), which are counterbalanced with</w:t>
      </w:r>
      <w:r>
        <w:t xml:space="preserve"> </w:t>
      </w:r>
      <w:r>
        <w:t xml:space="preserve">removals from forest land (-281 MtCO2) and through harvested wood products</w:t>
      </w:r>
      <w:r>
        <w:t xml:space="preserve"> </w:t>
      </w:r>
      <w:r>
        <w:t xml:space="preserve">(-47 MtCO2).</w:t>
      </w:r>
      <w:r>
        <w:br/>
      </w:r>
      <w:r>
        <w:t xml:space="preserve">The different categories show relatively stable development for settlements and other</w:t>
      </w:r>
      <w:r>
        <w:t xml:space="preserve"> </w:t>
      </w:r>
      <w:r>
        <w:t xml:space="preserve">land as well as wetland with changes below 10% throughout the average 2019-2021</w:t>
      </w:r>
      <w:r>
        <w:t xml:space="preserve"> </w:t>
      </w:r>
      <w:r>
        <w:t xml:space="preserve">compared to 10 years before. Cropland emissions (-44%) and grassland emissions (-36%)</w:t>
      </w:r>
      <w:r>
        <w:t xml:space="preserve"> </w:t>
      </w:r>
      <w:r>
        <w:t xml:space="preserve">decreased considerably and removals from harvested wood products increased at the</w:t>
      </w:r>
      <w:r>
        <w:t xml:space="preserve"> </w:t>
      </w:r>
      <w:r>
        <w:t xml:space="preserve">same time (+26%). However, in absolute terms the change in these sectors plays a minor</w:t>
      </w:r>
      <w:r>
        <w:t xml:space="preserve"> </w:t>
      </w:r>
      <w:r>
        <w:t xml:space="preserve">role with a total change of -38 MtCO2-eq. The changes in forest land are the decisive</w:t>
      </w:r>
      <w:r>
        <w:t xml:space="preserve"> </w:t>
      </w:r>
      <w:r>
        <w:t xml:space="preserve">factor for the change in the net LULUCF net removal with a change of -34% in the last</w:t>
      </w:r>
      <w:r>
        <w:t xml:space="preserve"> </w:t>
      </w:r>
      <w:r>
        <w:t xml:space="preserve">ten years of about -148 MtCO2-eq (average 2019-2021 compared to 10 years before).</w:t>
      </w:r>
      <w:r>
        <w:t xml:space="preserve"> </w:t>
      </w:r>
      <w:r>
        <w:t xml:space="preserve">Ageing forests, increased wood harvest for material and energy purposes, as well as</w:t>
      </w:r>
      <w:r>
        <w:t xml:space="preserve"> </w:t>
      </w:r>
      <w:r>
        <w:t xml:space="preserve">impacts of climate change and natural hazards are responsible for the variations of the</w:t>
      </w:r>
      <w:r>
        <w:t xml:space="preserve"> </w:t>
      </w:r>
      <w:r>
        <w:t xml:space="preserve">carbon removals from forests (155) (156) (157).</w:t>
      </w:r>
    </w:p>
    <w:p>
      <w:pPr>
        <w:pStyle w:val="Compact"/>
        <w:numPr>
          <w:ilvl w:val="0"/>
          <w:numId w:val="1071"/>
        </w:numPr>
      </w:pPr>
      <w:r>
        <w:t xml:space="preserve">JRC, ‘Biomass production, supply, uses and flows in the European Union’, JRC Science for policy report, 2023.</w:t>
      </w:r>
    </w:p>
    <w:p>
      <w:pPr>
        <w:pStyle w:val="Compact"/>
        <w:numPr>
          <w:ilvl w:val="0"/>
          <w:numId w:val="1071"/>
        </w:numPr>
      </w:pPr>
      <w:r>
        <w:t xml:space="preserve">ICOS ERIC, ‘Forest carbon sinks under pressure’ Fluxes - The European Greenhouse Gas Bulletin Volume 2:</w:t>
      </w:r>
      <w:r>
        <w:t xml:space="preserve"> </w:t>
      </w:r>
      <w:r>
        <w:t xml:space="preserve">Nature-based solutions for net zero. ICOS ERIC, 2023. https://doi.org/10.18160/99JW-2D3S</w:t>
      </w:r>
    </w:p>
    <w:p>
      <w:pPr>
        <w:pStyle w:val="Compact"/>
        <w:numPr>
          <w:ilvl w:val="0"/>
          <w:numId w:val="1071"/>
        </w:numPr>
      </w:pPr>
      <w:r>
        <w:t xml:space="preserve">Ceccherini, G., Duveiller, G., Grassi, G. et al. Abrupt increase in harvested forest area over Europe after 2015.</w:t>
      </w:r>
      <w:r>
        <w:t xml:space="preserve"> </w:t>
      </w:r>
      <w:r>
        <w:t xml:space="preserve">Nature 583, 72–77 (2020). https://doi.org/10.1038/s41586-020-2438-y</w:t>
      </w:r>
    </w:p>
    <w:p>
      <w:pPr>
        <w:pStyle w:val="Compact"/>
        <w:numPr>
          <w:ilvl w:val="0"/>
          <w:numId w:val="1072"/>
        </w:numPr>
      </w:pPr>
      <w:r>
        <w:t xml:space="preserve">600</w:t>
      </w:r>
    </w:p>
    <w:p>
      <w:pPr>
        <w:pStyle w:val="Compact"/>
        <w:numPr>
          <w:ilvl w:val="0"/>
          <w:numId w:val="1072"/>
        </w:numPr>
      </w:pPr>
      <w:r>
        <w:t xml:space="preserve">500</w:t>
      </w:r>
    </w:p>
    <w:p>
      <w:pPr>
        <w:pStyle w:val="Compact"/>
        <w:numPr>
          <w:ilvl w:val="0"/>
          <w:numId w:val="1072"/>
        </w:numPr>
      </w:pPr>
      <w:r>
        <w:t xml:space="preserve">400</w:t>
      </w:r>
    </w:p>
    <w:p>
      <w:pPr>
        <w:pStyle w:val="Compact"/>
        <w:numPr>
          <w:ilvl w:val="0"/>
          <w:numId w:val="1072"/>
        </w:numPr>
      </w:pPr>
      <w:r>
        <w:t xml:space="preserve">300</w:t>
      </w:r>
    </w:p>
    <w:p>
      <w:pPr>
        <w:pStyle w:val="Compact"/>
        <w:numPr>
          <w:ilvl w:val="0"/>
          <w:numId w:val="1072"/>
        </w:numPr>
      </w:pPr>
      <w:r>
        <w:t xml:space="preserve">200</w:t>
      </w:r>
    </w:p>
    <w:p>
      <w:pPr>
        <w:pStyle w:val="Compact"/>
        <w:numPr>
          <w:ilvl w:val="0"/>
          <w:numId w:val="1072"/>
        </w:numPr>
      </w:pP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MtCO2-eq</w:t>
      </w:r>
      <w:r>
        <w:t xml:space="preserve"> </w:t>
      </w:r>
      <w:r>
        <w:t xml:space="preserve">Grassland</w:t>
      </w:r>
      <w:r>
        <w:t xml:space="preserve"> </w:t>
      </w:r>
      <w:r>
        <w:t xml:space="preserve">Cropland</w:t>
      </w:r>
      <w:r>
        <w:t xml:space="preserve"> </w:t>
      </w:r>
      <w:r>
        <w:t xml:space="preserve">Wetland</w:t>
      </w:r>
      <w:r>
        <w:t xml:space="preserve"> </w:t>
      </w:r>
      <w:r>
        <w:t xml:space="preserve">Settlements and</w:t>
      </w:r>
      <w:r>
        <w:t xml:space="preserve"> </w:t>
      </w:r>
      <w:r>
        <w:t xml:space="preserve">Other land</w:t>
      </w:r>
      <w:r>
        <w:t xml:space="preserve"> </w:t>
      </w:r>
      <w:r>
        <w:t xml:space="preserve">Harvested Wood</w:t>
      </w:r>
      <w:r>
        <w:t xml:space="preserve"> </w:t>
      </w:r>
      <w:r>
        <w:t xml:space="preserve">Products</w:t>
      </w:r>
      <w:r>
        <w:t xml:space="preserve"> </w:t>
      </w:r>
      <w:r>
        <w:t xml:space="preserve">Forest land</w:t>
      </w:r>
      <w:r>
        <w:t xml:space="preserve"> </w:t>
      </w:r>
      <w:r>
        <w:t xml:space="preserve">Net LULUCF Sink</w:t>
      </w:r>
    </w:p>
    <w:p>
      <w:pPr>
        <w:pStyle w:val="FirstParagraph"/>
      </w:pPr>
      <w:r>
        <w:t xml:space="preserve">119</w:t>
      </w:r>
    </w:p>
    <w:p>
      <w:pPr>
        <w:pStyle w:val="BodyText"/>
      </w:pPr>
      <w:r>
        <w:t xml:space="preserve">1.8.2. Activity</w:t>
      </w:r>
      <w:r>
        <w:t xml:space="preserve"> </w:t>
      </w:r>
      <w:r>
        <w:t xml:space="preserve">1.8.2.1.Bioenergy demand</w:t>
      </w:r>
      <w:r>
        <w:br/>
      </w:r>
      <w:r>
        <w:t xml:space="preserve">The size of the LULUCF net removals is related to the use of biomass and particularly to</w:t>
      </w:r>
      <w:r>
        <w:t xml:space="preserve"> </w:t>
      </w:r>
      <w:r>
        <w:t xml:space="preserve">the consumption of woody biomass. An important driver for the biomass demand is</w:t>
      </w:r>
      <w:r>
        <w:t xml:space="preserve"> </w:t>
      </w:r>
      <w:r>
        <w:t xml:space="preserve">bioenergy, which made up 22% of the total biomass uses in 2015 (158). Furthermore, 49%</w:t>
      </w:r>
      <w:r>
        <w:t xml:space="preserve"> </w:t>
      </w:r>
      <w:r>
        <w:t xml:space="preserve">of woody biomass went directly or indirectly into bioenergy in 2015 (159), underlining the</w:t>
      </w:r>
      <w:r>
        <w:t xml:space="preserve"> </w:t>
      </w:r>
      <w:r>
        <w:t xml:space="preserve">strong relation of bioenergy and LULUCF net removals.</w:t>
      </w:r>
      <w:r>
        <w:br/>
      </w:r>
      <w:r>
        <w:t xml:space="preserve">The modelling exercise shows final demand for bioenergy (160) in 2040 being only</w:t>
      </w:r>
      <w:r>
        <w:t xml:space="preserve"> </w:t>
      </w:r>
      <w:r>
        <w:t xml:space="preserve">sightly higher than in 2021 in scenarios S2 and S3, and lower in scenario S1 (see Figure</w:t>
      </w:r>
      <w:r>
        <w:t xml:space="preserve"> </w:t>
      </w:r>
      <w:r>
        <w:t xml:space="preserve">87).</w:t>
      </w:r>
      <w:r>
        <w:br/>
      </w:r>
      <w:r>
        <w:t xml:space="preserve">Figure 87: Final bioenergy demand by sector and scenario</w:t>
      </w:r>
    </w:p>
    <w:p>
      <w:pPr>
        <w:pStyle w:val="BodyText"/>
      </w:pPr>
      <w:r>
        <w:t xml:space="preserve">Note: Graph includes consumption of waste for energy purposes. ‘Industry’ includes energy sector. ‘Buildings’</w:t>
      </w:r>
      <w:r>
        <w:t xml:space="preserve"> </w:t>
      </w:r>
      <w:r>
        <w:t xml:space="preserve">cover household buildings, services, and agriculture.</w:t>
      </w:r>
      <w:r>
        <w:br/>
      </w:r>
      <w:r>
        <w:t xml:space="preserve">Source: 2015 and 2021 from Eurostat, projections from PRIMES</w:t>
      </w:r>
      <w:r>
        <w:t xml:space="preserve"> </w:t>
      </w:r>
      <w:r>
        <w:t xml:space="preserve">However, consumption shifts across sectors. Demand for (mostly solid) biomass for</w:t>
      </w:r>
      <w:r>
        <w:t xml:space="preserve"> </w:t>
      </w:r>
      <w:r>
        <w:t xml:space="preserve">heating reduces strongly in buildings (by about 20 Mtoe, due to energy efficiency gains</w:t>
      </w:r>
      <w:r>
        <w:t xml:space="preserve"> </w:t>
      </w:r>
      <w:r>
        <w:t xml:space="preserve">and electrification of the sector), as well as in electricity and district heating (notably in</w:t>
      </w:r>
      <w:r>
        <w:t xml:space="preserve"> </w:t>
      </w:r>
      <w:r>
        <w:t xml:space="preserve">S1), compared to 2021. Conversely, the demand for (liquid) biofuels develops</w:t>
      </w:r>
      <w:r>
        <w:t xml:space="preserve"> </w:t>
      </w:r>
      <w:r>
        <w:t xml:space="preserve">significantly in aviation and maritime in 2040 by respectively about 15 Mtoe and 20</w:t>
      </w:r>
      <w:r>
        <w:t xml:space="preserve"> </w:t>
      </w:r>
      <w:r>
        <w:t xml:space="preserve">Mtoe. After 2040, bioenergy demand decreases across all scenarios, which is driven</w:t>
      </w:r>
    </w:p>
    <w:p>
      <w:pPr>
        <w:pStyle w:val="Compact"/>
        <w:numPr>
          <w:ilvl w:val="0"/>
          <w:numId w:val="1073"/>
        </w:numPr>
      </w:pPr>
      <w:r>
        <w:t xml:space="preserve">JRC, ‘Biomass production, supply, uses and flows in the European Union’, JRC Science for policy report, 2023.</w:t>
      </w:r>
    </w:p>
    <w:p>
      <w:pPr>
        <w:pStyle w:val="Compact"/>
        <w:numPr>
          <w:ilvl w:val="0"/>
          <w:numId w:val="1073"/>
        </w:numPr>
      </w:pPr>
      <w:r>
        <w:t xml:space="preserve">Camia, A., Giuntoli, J., Jonsson, K., Robert, N., Cazzaniga, N., Jasinevičius, G., Avitabile, V., Grassi, G., Barredo</w:t>
      </w:r>
      <w:r>
        <w:t xml:space="preserve"> </w:t>
      </w:r>
      <w:r>
        <w:t xml:space="preserve">Cano, J.I. and Mubareka, S., The use of woody biomass for energy production in the EU, EUR 30548 EN,</w:t>
      </w:r>
      <w:r>
        <w:t xml:space="preserve"> </w:t>
      </w:r>
      <w:r>
        <w:t xml:space="preserve">Publications Office of the European Union, Luxembourg, 2020, ISBN 978-92-76-27867-2, doi:10.2760/831621,</w:t>
      </w:r>
      <w:r>
        <w:t xml:space="preserve"> </w:t>
      </w:r>
      <w:r>
        <w:t xml:space="preserve">JRC122719.</w:t>
      </w:r>
    </w:p>
    <w:p>
      <w:pPr>
        <w:pStyle w:val="Compact"/>
        <w:numPr>
          <w:ilvl w:val="0"/>
          <w:numId w:val="1073"/>
        </w:numPr>
      </w:pPr>
      <w:r>
        <w:t xml:space="preserve">“Final” demand for bioenergy includes here bioenergy used in final energy consumption sectors (industry,</w:t>
      </w:r>
      <w:r>
        <w:t xml:space="preserve"> </w:t>
      </w:r>
      <w:r>
        <w:t xml:space="preserve">transport, buildings, agriculture, services), in international aviation and maritime and as input to the electiricity</w:t>
      </w:r>
      <w:r>
        <w:t xml:space="preserve"> </w:t>
      </w:r>
      <w:r>
        <w:t xml:space="preserve">and district heating. It does not consider transformation process losses to produce biofuels, biogas or biomethane.</w:t>
      </w:r>
    </w:p>
    <w:p>
      <w:pPr>
        <w:pStyle w:val="FirstParagraph"/>
      </w:pP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2015 2021 2030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Aviation</w:t>
      </w:r>
      <w:r>
        <w:t xml:space="preserve"> </w:t>
      </w:r>
      <w:r>
        <w:t xml:space="preserve">Maritime transport</w:t>
      </w:r>
      <w:r>
        <w:t xml:space="preserve"> </w:t>
      </w:r>
      <w:r>
        <w:t xml:space="preserve">Buildings</w:t>
      </w:r>
      <w:r>
        <w:t xml:space="preserve"> </w:t>
      </w:r>
      <w:r>
        <w:t xml:space="preserve">Industry</w:t>
      </w:r>
      <w:r>
        <w:t xml:space="preserve"> </w:t>
      </w:r>
      <w:r>
        <w:t xml:space="preserve">Electricity and</w:t>
      </w:r>
      <w:r>
        <w:t xml:space="preserve"> </w:t>
      </w:r>
      <w:r>
        <w:t xml:space="preserve">District heating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notably by reduced demand in road transport where it gets close to zero in a context of</w:t>
      </w:r>
      <w:r>
        <w:t xml:space="preserve"> </w:t>
      </w:r>
      <w:r>
        <w:t xml:space="preserve">electrification of the vehicles fleet and, although to a lesser extent, in industry where it</w:t>
      </w:r>
      <w:r>
        <w:t xml:space="preserve"> </w:t>
      </w:r>
      <w:r>
        <w:t xml:space="preserve">gets to levels observed in 2015.</w:t>
      </w:r>
      <w:r>
        <w:t xml:space="preserve"> </w:t>
      </w:r>
      <w:r>
        <w:t xml:space="preserve">Net imports of bioenergy (including solid biomass, waste, and liquid biofuels) are limited</w:t>
      </w:r>
      <w:r>
        <w:t xml:space="preserve"> </w:t>
      </w:r>
      <w:r>
        <w:t xml:space="preserve">to 10-13 Mtoe in 2040 before reducing by 2050, against 9 Mtoe in 2021.</w:t>
      </w:r>
      <w:r>
        <w:t xml:space="preserve"> </w:t>
      </w:r>
      <w:r>
        <w:t xml:space="preserve">The evolution of bioenergy demand by 2040 towards an increasing role of second</w:t>
      </w:r>
      <w:r>
        <w:t xml:space="preserve"> </w:t>
      </w:r>
      <w:r>
        <w:t xml:space="preserve">generation biofuels converts into higher domestic feedstock supply from lignocellulosic</w:t>
      </w:r>
      <w:r>
        <w:t xml:space="preserve"> </w:t>
      </w:r>
      <w:r>
        <w:t xml:space="preserve">crops (both annual and perennial), while food crops decline. Bioenergy from agriculture</w:t>
      </w:r>
      <w:r>
        <w:t xml:space="preserve"> </w:t>
      </w:r>
      <w:r>
        <w:t xml:space="preserve">residues is expected to also increase reflecting an improved mobilisation of their</w:t>
      </w:r>
      <w:r>
        <w:t xml:space="preserve"> </w:t>
      </w:r>
      <w:r>
        <w:t xml:space="preserve">potential, including manure. S1 shows lower biomass supply needs than S2 and S3 by</w:t>
      </w:r>
      <w:r>
        <w:t xml:space="preserve"> </w:t>
      </w:r>
      <w:r>
        <w:t xml:space="preserve">2040, reflecting a lower recourse to bioenergy in electricity production and district</w:t>
      </w:r>
      <w:r>
        <w:t xml:space="preserve"> </w:t>
      </w:r>
      <w:r>
        <w:t xml:space="preserve">heating. Woody biomass for bioenergy shows a limited increase to about 25 Mtoe for</w:t>
      </w:r>
      <w:r>
        <w:t xml:space="preserve"> </w:t>
      </w:r>
      <w:r>
        <w:t xml:space="preserve">stemwood (161) and 20 Mtoe for forest residues in 2040, in a context of increasing use of</w:t>
      </w:r>
      <w:r>
        <w:t xml:space="preserve"> </w:t>
      </w:r>
      <w:r>
        <w:t xml:space="preserve">secondary residues and used wood from consumers within the waste category. This has</w:t>
      </w:r>
      <w:r>
        <w:t xml:space="preserve"> </w:t>
      </w:r>
      <w:r>
        <w:t xml:space="preserve">very important implications for the forest sink because primary woody biomass for</w:t>
      </w:r>
      <w:r>
        <w:t xml:space="preserve"> </w:t>
      </w:r>
      <w:r>
        <w:t xml:space="preserve">bioenergy decreases the carbon pool and the LULUCF net removals. Therefore, an</w:t>
      </w:r>
      <w:r>
        <w:t xml:space="preserve"> </w:t>
      </w:r>
      <w:r>
        <w:t xml:space="preserve">increasing use of secondary woody biomass from other uses (bark, secondary residues</w:t>
      </w:r>
      <w:r>
        <w:t xml:space="preserve"> </w:t>
      </w:r>
      <w:r>
        <w:t xml:space="preserve">from material production, recovered post-consumer wood), which substitutes woody</w:t>
      </w:r>
      <w:r>
        <w:t xml:space="preserve"> </w:t>
      </w:r>
      <w:r>
        <w:t xml:space="preserve">biomass coming directly from forests, has an alleviating effect on the LULUCF net</w:t>
      </w:r>
      <w:r>
        <w:t xml:space="preserve"> </w:t>
      </w:r>
      <w:r>
        <w:t xml:space="preserve">removals. In 2040 wood plantations for energy use start to develop and stay stable in size</w:t>
      </w:r>
      <w:r>
        <w:t xml:space="preserve"> </w:t>
      </w:r>
      <w:r>
        <w:t xml:space="preserve">in 2050, which also buffers the required harvest removals for energy use.</w:t>
      </w:r>
      <w:r>
        <w:br/>
      </w:r>
      <w:r>
        <w:t xml:space="preserve">The total domestic feedstock for bioenergy and waste (including manure) peaks in 2040,</w:t>
      </w:r>
      <w:r>
        <w:t xml:space="preserve"> </w:t>
      </w:r>
      <w:r>
        <w:t xml:space="preserve">ranging from about 210 Mtoe in S1 to just above 230 Mtoe in S2 and S3. By 2050 the</w:t>
      </w:r>
      <w:r>
        <w:t xml:space="preserve"> </w:t>
      </w:r>
      <w:r>
        <w:t xml:space="preserve">feedstock supply decreases to a level ranging between 200 Mtoe (S3) and 215 Mtoe (S1).</w:t>
      </w:r>
      <w:r>
        <w:t xml:space="preserve"> </w:t>
      </w:r>
      <w:r>
        <w:t xml:space="preserve">(162)</w:t>
      </w:r>
    </w:p>
    <w:p>
      <w:pPr>
        <w:pStyle w:val="Compact"/>
        <w:numPr>
          <w:ilvl w:val="0"/>
          <w:numId w:val="1074"/>
        </w:numPr>
      </w:pPr>
      <w:r>
        <w:t xml:space="preserve">Forest stemwood for bioenergy can be defined as fuelwood and usually consists of roundwood of</w:t>
      </w:r>
      <w:r>
        <w:t xml:space="preserve"> </w:t>
      </w:r>
      <w:r>
        <w:t xml:space="preserve">quality that is in general not suitable for other purposes. It is harvested directly from forests.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Future analyses may assume other supply levels of biomass to stay within the sustainability</w:t>
      </w:r>
      <w:r>
        <w:t xml:space="preserve"> </w:t>
      </w:r>
      <w:r>
        <w:t xml:space="preserve">boundaries, in view of the on-going scientific debate.</w:t>
      </w:r>
    </w:p>
    <w:p>
      <w:pPr>
        <w:pStyle w:val="FirstParagraph"/>
      </w:pPr>
      <w:r>
        <w:t xml:space="preserve">121</w:t>
      </w:r>
    </w:p>
    <w:p>
      <w:pPr>
        <w:pStyle w:val="BodyText"/>
      </w:pPr>
      <w:r>
        <w:t xml:space="preserve">Figure 88: Domestic supply of feedstock for bioenergy and waste</w:t>
      </w:r>
    </w:p>
    <w:p>
      <w:pPr>
        <w:pStyle w:val="BodyText"/>
      </w:pPr>
      <w:r>
        <w:t xml:space="preserve">Note: ‘Lignocellulosic crops’ includes short rotation coppice and lignocellulosic grass. Manure is included in</w:t>
      </w:r>
      <w:r>
        <w:t xml:space="preserve"> </w:t>
      </w:r>
      <w:r>
        <w:t xml:space="preserve">’Waste’.</w:t>
      </w:r>
      <w:r>
        <w:br/>
      </w:r>
      <w:r>
        <w:t xml:space="preserve">Source: PRIMES, GLOBIOM</w:t>
      </w:r>
      <w:r>
        <w:t xml:space="preserve"> </w:t>
      </w:r>
      <w:r>
        <w:t xml:space="preserve">As shown in section 1.1.2, scenario S3 requires more industrial carbon removals by</w:t>
      </w:r>
      <w:r>
        <w:t xml:space="preserve"> </w:t>
      </w:r>
      <w:r>
        <w:t xml:space="preserve">2040. This scenario may require higher biomass use for BECCS if the deployment of the</w:t>
      </w:r>
      <w:r>
        <w:t xml:space="preserve"> </w:t>
      </w:r>
      <w:r>
        <w:t xml:space="preserve">other key identified option to generate industrial removals, DACCS, would remain</w:t>
      </w:r>
      <w:r>
        <w:t xml:space="preserve"> </w:t>
      </w:r>
      <w:r>
        <w:t xml:space="preserve">limited in the coming 15 years. Section 1.8.4 below provides a sensitivity analysis on the</w:t>
      </w:r>
      <w:r>
        <w:t xml:space="preserve"> </w:t>
      </w:r>
      <w:r>
        <w:t xml:space="preserve">impact of a higher need for biomass on the LULUCF net removals.</w:t>
      </w:r>
      <w:r>
        <w:br/>
      </w:r>
      <w:r>
        <w:t xml:space="preserve">1.8.2.2. Bioeconomy demand</w:t>
      </w:r>
      <w:r>
        <w:t xml:space="preserve"> </w:t>
      </w:r>
      <w:r>
        <w:t xml:space="preserve">Beyond bioenergy, the role of bioeconomy at large will have impacts on the future</w:t>
      </w:r>
      <w:r>
        <w:t xml:space="preserve"> </w:t>
      </w:r>
      <w:r>
        <w:t xml:space="preserve">LULUCF net removals. Notably, a change from short-term to long-term harvested wood</w:t>
      </w:r>
      <w:r>
        <w:t xml:space="preserve"> </w:t>
      </w:r>
      <w:r>
        <w:t xml:space="preserve">products will increase the temporary carbon stock and lead to a temporary increase in the</w:t>
      </w:r>
      <w:r>
        <w:t xml:space="preserve"> </w:t>
      </w:r>
      <w:r>
        <w:t xml:space="preserve">net removals. Hence, whether biomass from harvests is used for long-term harvested</w:t>
      </w:r>
      <w:r>
        <w:t xml:space="preserve"> </w:t>
      </w:r>
      <w:r>
        <w:t xml:space="preserve">wood products such as furniture or woody elements in buildings or whether it is used for</w:t>
      </w:r>
      <w:r>
        <w:t xml:space="preserve"> </w:t>
      </w:r>
      <w:r>
        <w:t xml:space="preserve">bioplastics, paper or single-use products is important as it has implications on the size of</w:t>
      </w:r>
      <w:r>
        <w:t xml:space="preserve"> </w:t>
      </w:r>
      <w:r>
        <w:t xml:space="preserve">the temporary sink from harvested wood products. Annex 9 discusses the need for</w:t>
      </w:r>
      <w:r>
        <w:t xml:space="preserve"> </w:t>
      </w:r>
      <w:r>
        <w:t xml:space="preserve">healthy nature and a sustainable bioeconomy in view of maintaining and enhancing the</w:t>
      </w:r>
      <w:r>
        <w:t xml:space="preserve"> </w:t>
      </w:r>
      <w:r>
        <w:t xml:space="preserve">LULUCF net removals and other nature services.</w:t>
      </w:r>
      <w:r>
        <w:br/>
      </w:r>
      <w:r>
        <w:t xml:space="preserve">1.8.2.3. Harvest of wood and forest increment</w:t>
      </w:r>
      <w:r>
        <w:t xml:space="preserve"> </w:t>
      </w:r>
      <w:r>
        <w:t xml:space="preserve">The European forests play a decisive role for the EU LULUCF carbon net removals, as</w:t>
      </w:r>
      <w:r>
        <w:t xml:space="preserve"> </w:t>
      </w:r>
      <w:r>
        <w:t xml:space="preserve">the share from forest land makes up nearly 90% of all carbon removals from the</w:t>
      </w:r>
      <w:r>
        <w:t xml:space="preserve"> </w:t>
      </w:r>
      <w:r>
        <w:t xml:space="preserve">LULUCF sector (see Figure 86). The ‘forest sink’ depends on the gross annual increment</w:t>
      </w:r>
      <w:r>
        <w:t xml:space="preserve"> </w:t>
      </w:r>
      <w:r>
        <w:t xml:space="preserve">of a forest, the natural mortality and fellings (harvest and logging residues) (163). Hence,</w:t>
      </w:r>
      <w:r>
        <w:t xml:space="preserve"> </w:t>
      </w:r>
      <w:r>
        <w:t xml:space="preserve">the demand for woody biomass and the corresponding harvest and overall forest</w:t>
      </w:r>
      <w:r>
        <w:t xml:space="preserve"> </w:t>
      </w:r>
      <w:r>
        <w:t xml:space="preserve">management has a direct impact on the forest sink.</w:t>
      </w:r>
    </w:p>
    <w:p>
      <w:pPr>
        <w:pStyle w:val="Compact"/>
        <w:numPr>
          <w:ilvl w:val="0"/>
          <w:numId w:val="1075"/>
        </w:numPr>
      </w:pPr>
      <w:r>
        <w:t xml:space="preserve">Korosuo, A. et al., ‘The role of forests in the EU climate policy: are we on the right track?’, Carbon</w:t>
      </w:r>
      <w:r>
        <w:t xml:space="preserve"> </w:t>
      </w:r>
      <w:r>
        <w:t xml:space="preserve">Balance and Management, 18, 15, 2023.</w:t>
      </w:r>
      <w:r>
        <w:br/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220</w:t>
      </w:r>
      <w:r>
        <w:t xml:space="preserve"> </w:t>
      </w:r>
      <w:r>
        <w:t xml:space="preserve">240</w:t>
      </w:r>
      <w:r>
        <w:t xml:space="preserve"> </w:t>
      </w:r>
      <w:r>
        <w:t xml:space="preserve">260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2015 2021 2030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Paper and pulp residues</w:t>
      </w:r>
      <w:r>
        <w:t xml:space="preserve"> </w:t>
      </w:r>
      <w:r>
        <w:t xml:space="preserve">Forest residues</w:t>
      </w:r>
      <w:r>
        <w:t xml:space="preserve"> </w:t>
      </w:r>
      <w:r>
        <w:t xml:space="preserve">Forest stemwood</w:t>
      </w:r>
      <w:r>
        <w:t xml:space="preserve"> </w:t>
      </w:r>
      <w:r>
        <w:t xml:space="preserve">Agriculture residues</w:t>
      </w:r>
      <w:r>
        <w:t xml:space="preserve"> </w:t>
      </w:r>
      <w:r>
        <w:t xml:space="preserve">Food crops</w:t>
      </w:r>
      <w:r>
        <w:t xml:space="preserve"> </w:t>
      </w:r>
      <w:r>
        <w:t xml:space="preserve">Lignocellulosic crops</w:t>
      </w:r>
      <w:r>
        <w:t xml:space="preserve"> </w:t>
      </w:r>
      <w:r>
        <w:t xml:space="preserve">Waste</w:t>
      </w:r>
    </w:p>
    <w:p>
      <w:pPr>
        <w:pStyle w:val="FirstParagraph"/>
      </w:pPr>
      <w:r>
        <w:t xml:space="preserve">122</w:t>
      </w:r>
    </w:p>
    <w:p>
      <w:pPr>
        <w:pStyle w:val="BodyText"/>
      </w:pPr>
      <w:r>
        <w:t xml:space="preserve">Figure 89 shows the evolution of wood harvest by 2050. Wood production increased</w:t>
      </w:r>
      <w:r>
        <w:t xml:space="preserve"> </w:t>
      </w:r>
      <w:r>
        <w:t xml:space="preserve">significantly since the beginning of this century to satisfy the increasing demand for</w:t>
      </w:r>
      <w:r>
        <w:t xml:space="preserve"> </w:t>
      </w:r>
      <w:r>
        <w:t xml:space="preserve">woody biomass (164). Compared to 2015, total harvest of wood is expected to be higher in</w:t>
      </w:r>
      <w:r>
        <w:t xml:space="preserve"> </w:t>
      </w:r>
      <w:r>
        <w:t xml:space="preserve">2040 (ranging from 17% in S1 to 19% in S3), and then decline by 2050. The increase is</w:t>
      </w:r>
      <w:r>
        <w:t xml:space="preserve"> </w:t>
      </w:r>
      <w:r>
        <w:t xml:space="preserve">driven by harvest for elevating demand of biomass for material uses, combined with an</w:t>
      </w:r>
      <w:r>
        <w:t xml:space="preserve"> </w:t>
      </w:r>
      <w:r>
        <w:t xml:space="preserve">improved exploitation of secondary residues used for energy purposes, while direct</w:t>
      </w:r>
      <w:r>
        <w:t xml:space="preserve"> </w:t>
      </w:r>
      <w:r>
        <w:t xml:space="preserve">harvest for energy uses is expected to be similar to 2015 or slightly lower (for S1) in</w:t>
      </w:r>
      <w:r>
        <w:t xml:space="preserve"> </w:t>
      </w:r>
      <w:r>
        <w:t xml:space="preserve">2040 before declining by 2050.</w:t>
      </w:r>
      <w:r>
        <w:br/>
      </w:r>
      <w:r>
        <w:t xml:space="preserve">Figure 89: Harvest of wood for energy and non-energy use</w:t>
      </w:r>
    </w:p>
    <w:p>
      <w:pPr>
        <w:pStyle w:val="BodyText"/>
      </w:pPr>
      <w:r>
        <w:t xml:space="preserve">Note: “Secondary residues used for energy use” are forest residues that were initially harvested for material use</w:t>
      </w:r>
      <w:r>
        <w:t xml:space="preserve"> </w:t>
      </w:r>
      <w:r>
        <w:t xml:space="preserve">(e.g., from the production of sawnwood) but then used for energy production.</w:t>
      </w:r>
      <w:r>
        <w:br/>
      </w:r>
      <w:r>
        <w:t xml:space="preserve">Source: GLOBIOM</w:t>
      </w:r>
      <w:r>
        <w:t xml:space="preserve"> </w:t>
      </w:r>
      <w:r>
        <w:t xml:space="preserve">The gross annual increment of a forest is the second important factor that determines the</w:t>
      </w:r>
      <w:r>
        <w:t xml:space="preserve"> </w:t>
      </w:r>
      <w:r>
        <w:t xml:space="preserve">forest carbon sink. As an important development, the productivity of the managed forests</w:t>
      </w:r>
      <w:r>
        <w:t xml:space="preserve"> </w:t>
      </w:r>
      <w:r>
        <w:t xml:space="preserve">has peaked, given recent forest management strategies, and given the fact that the</w:t>
      </w:r>
      <w:r>
        <w:t xml:space="preserve"> </w:t>
      </w:r>
      <w:r>
        <w:t xml:space="preserve">increase of the biomass stock in the EU has slowed down in recent years (165). The slower</w:t>
      </w:r>
      <w:r>
        <w:t xml:space="preserve"> </w:t>
      </w:r>
      <w:r>
        <w:t xml:space="preserve">increase of growth productivity (i.e., the annual increment of the forests) is due to the age</w:t>
      </w:r>
      <w:r>
        <w:t xml:space="preserve"> </w:t>
      </w:r>
      <w:r>
        <w:t xml:space="preserve">structure of the forests, which show a slower growing rate at higher ages. As shown in</w:t>
      </w:r>
      <w:r>
        <w:t xml:space="preserve"> </w:t>
      </w:r>
      <w:r>
        <w:t xml:space="preserve">Figure 90, forest increment of managed forest is projected to reach its maximum around</w:t>
      </w:r>
      <w:r>
        <w:t xml:space="preserve"> </w:t>
      </w:r>
      <w:r>
        <w:t xml:space="preserve">2030 for S1 and around 2040 for S2 and S3 and will then slowly decline. The difference</w:t>
      </w:r>
      <w:r>
        <w:t xml:space="preserve"> </w:t>
      </w:r>
      <w:r>
        <w:t xml:space="preserve">in forest increment between the scenarios in 2040 is caused by different carbon values to</w:t>
      </w:r>
      <w:r>
        <w:t xml:space="preserve"> </w:t>
      </w:r>
      <w:r>
        <w:t xml:space="preserve">cover mitigation costs, which incentivize improved forest management and afforestation</w:t>
      </w:r>
      <w:r>
        <w:t xml:space="preserve"> </w:t>
      </w:r>
      <w:r>
        <w:t xml:space="preserve">in S2 and S3 (see section 1.8.3). In 2050 S1, S2 and S3 use equal carbon values, resulting</w:t>
      </w:r>
      <w:r>
        <w:t xml:space="preserve"> </w:t>
      </w:r>
      <w:r>
        <w:t xml:space="preserve">in the same forest increment. For LIFE the trend looks more optimistic, because a</w:t>
      </w:r>
      <w:r>
        <w:t xml:space="preserve"> </w:t>
      </w:r>
      <w:r>
        <w:t xml:space="preserve">significant share of new land is used for afforestation, which leads to a greater forest</w:t>
      </w:r>
      <w:r>
        <w:t xml:space="preserve"> </w:t>
      </w:r>
      <w:r>
        <w:t xml:space="preserve">increment compared to S2 and S3. In 2050 the discrepancy to the other scenarios</w:t>
      </w:r>
      <w:r>
        <w:t xml:space="preserve"> </w:t>
      </w:r>
      <w:r>
        <w:t xml:space="preserve">becomes even bigger, because additionally afforested trees achieve high growth rates.</w:t>
      </w:r>
    </w:p>
    <w:p>
      <w:pPr>
        <w:pStyle w:val="Compact"/>
        <w:numPr>
          <w:ilvl w:val="0"/>
          <w:numId w:val="1076"/>
        </w:numPr>
      </w:pPr>
      <w:r>
        <w:t xml:space="preserve">JRC, ‘Biomass production, supply, uses and flows in the European Union’, JRC Science for policy report, 2023.</w:t>
      </w:r>
    </w:p>
    <w:p>
      <w:pPr>
        <w:pStyle w:val="Compact"/>
        <w:numPr>
          <w:ilvl w:val="0"/>
          <w:numId w:val="1076"/>
        </w:numPr>
      </w:pPr>
      <w:r>
        <w:t xml:space="preserve">JRC, ‘Biomass production, supply, uses and flows in the European Union’, JRC Science for policy report, 2023.</w:t>
      </w:r>
      <w:r>
        <w:t xml:space="preserve"> </w:t>
      </w:r>
      <w:r>
        <w:t xml:space="preserve">0</w:t>
      </w:r>
      <w:r>
        <w:t xml:space="preserve"> </w:t>
      </w:r>
      <w:r>
        <w:t xml:space="preserve">100,000</w:t>
      </w:r>
      <w:r>
        <w:t xml:space="preserve"> </w:t>
      </w:r>
      <w:r>
        <w:t xml:space="preserve">200,000</w:t>
      </w:r>
      <w:r>
        <w:t xml:space="preserve"> </w:t>
      </w:r>
      <w:r>
        <w:t xml:space="preserve">300,000</w:t>
      </w:r>
      <w:r>
        <w:t xml:space="preserve"> </w:t>
      </w:r>
      <w:r>
        <w:t xml:space="preserve">400,000</w:t>
      </w:r>
      <w:r>
        <w:t xml:space="preserve"> </w:t>
      </w:r>
      <w:r>
        <w:t xml:space="preserve">500,000</w:t>
      </w:r>
      <w:r>
        <w:t xml:space="preserve"> </w:t>
      </w:r>
      <w:r>
        <w:t xml:space="preserve">600,000</w:t>
      </w:r>
      <w:r>
        <w:t xml:space="preserve"> </w:t>
      </w:r>
      <w:r>
        <w:t xml:space="preserve">700,000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2000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tm3</w:t>
      </w:r>
      <w:r>
        <w:t xml:space="preserve"> </w:t>
      </w:r>
      <w:r>
        <w:t xml:space="preserve">Harvest of wood for</w:t>
      </w:r>
      <w:r>
        <w:t xml:space="preserve"> </w:t>
      </w:r>
      <w:r>
        <w:t xml:space="preserve">non-energy use</w:t>
      </w:r>
      <w:r>
        <w:t xml:space="preserve"> </w:t>
      </w:r>
      <w:r>
        <w:t xml:space="preserve">Secondary residues for</w:t>
      </w:r>
      <w:r>
        <w:t xml:space="preserve"> </w:t>
      </w:r>
      <w:r>
        <w:t xml:space="preserve">energy use</w:t>
      </w:r>
      <w:r>
        <w:t xml:space="preserve"> </w:t>
      </w:r>
      <w:r>
        <w:t xml:space="preserve">Harvest of wood for</w:t>
      </w:r>
      <w:r>
        <w:t xml:space="preserve"> </w:t>
      </w:r>
      <w:r>
        <w:t xml:space="preserve">energy use only</w:t>
      </w:r>
    </w:p>
    <w:p>
      <w:pPr>
        <w:pStyle w:val="FirstParagraph"/>
      </w:pPr>
      <w:r>
        <w:t xml:space="preserve">123</w:t>
      </w:r>
    </w:p>
    <w:p>
      <w:pPr>
        <w:pStyle w:val="BodyText"/>
      </w:pPr>
      <w:r>
        <w:t xml:space="preserve">Figure 90: Total forest increment of managed forests per year and scenario in EU</w:t>
      </w:r>
    </w:p>
    <w:p>
      <w:pPr>
        <w:pStyle w:val="BodyText"/>
      </w:pPr>
      <w:r>
        <w:t xml:space="preserve">Note: The graph depicts the forest increment projections per year for S1, S2, S3 and LIFE. The forest increment</w:t>
      </w:r>
      <w:r>
        <w:t xml:space="preserve"> </w:t>
      </w:r>
      <w:r>
        <w:t xml:space="preserve">does not take natural disturbances or climate change and CO2 fertilisation effects into account.</w:t>
      </w:r>
      <w:r>
        <w:br/>
      </w:r>
      <w:r>
        <w:t xml:space="preserve">Source: GLOBIOM</w:t>
      </w:r>
      <w:r>
        <w:t xml:space="preserve"> </w:t>
      </w:r>
      <w:r>
        <w:t xml:space="preserve">1.8.2.4.Land use</w:t>
      </w:r>
      <w:r>
        <w:br/>
      </w:r>
      <w:r>
        <w:t xml:space="preserve">The distribution of land for different uses impacts GHG emissions and carbon removals</w:t>
      </w:r>
      <w:r>
        <w:t xml:space="preserve"> </w:t>
      </w:r>
      <w:r>
        <w:t xml:space="preserve">from land but is also influencing the functioning of habitats and ecosystems which play a</w:t>
      </w:r>
      <w:r>
        <w:t xml:space="preserve"> </w:t>
      </w:r>
      <w:r>
        <w:t xml:space="preserve">vital role for biodiversity and climate. The use of land is under high competition in the</w:t>
      </w:r>
      <w:r>
        <w:t xml:space="preserve"> </w:t>
      </w:r>
      <w:r>
        <w:t xml:space="preserve">EU to supply land for food, production of materials, bioenergy, housing and</w:t>
      </w:r>
      <w:r>
        <w:t xml:space="preserve"> </w:t>
      </w:r>
      <w:r>
        <w:t xml:space="preserve">infrastructures, ecosystem services and other purposes. A change in land use for example</w:t>
      </w:r>
      <w:r>
        <w:t xml:space="preserve"> </w:t>
      </w:r>
      <w:r>
        <w:t xml:space="preserve">by reducing the land for settlements or changing land used dedicated to fodder activities</w:t>
      </w:r>
      <w:r>
        <w:t xml:space="preserve"> </w:t>
      </w:r>
      <w:r>
        <w:t xml:space="preserve">for carbon farming activities would reduce emissions or enhance carbon removals and</w:t>
      </w:r>
      <w:r>
        <w:t xml:space="preserve"> </w:t>
      </w:r>
      <w:r>
        <w:t xml:space="preserve">thus have a positive impact on the net removals.</w:t>
      </w:r>
      <w:r>
        <w:t xml:space="preserve"> </w:t>
      </w:r>
      <w:r>
        <w:t xml:space="preserve">Figure 91 provides an overview of the historic evolution of the land use until 2020.</w:t>
      </w:r>
      <w:r>
        <w:t xml:space="preserve"> </w:t>
      </w:r>
      <w:r>
        <w:t xml:space="preserve">Overall, the share of land use between different sectors appears very stable with a slow</w:t>
      </w:r>
      <w:r>
        <w:t xml:space="preserve"> </w:t>
      </w:r>
      <w:r>
        <w:t xml:space="preserve">increase in managed forest land (+4 Mha) and land for settlements (+3 Mha) and a</w:t>
      </w:r>
      <w:r>
        <w:t xml:space="preserve"> </w:t>
      </w:r>
      <w:r>
        <w:t xml:space="preserve">simultaneous decline of cropland (-7 Mha). The area for settlements has been steadily</w:t>
      </w:r>
      <w:r>
        <w:t xml:space="preserve"> </w:t>
      </w:r>
      <w:r>
        <w:t xml:space="preserve">increasing until today, which is associated with additional emissions.</w:t>
      </w:r>
      <w:r>
        <w:br/>
      </w:r>
      <w:r>
        <w:t xml:space="preserve">600,000</w:t>
      </w:r>
      <w:r>
        <w:t xml:space="preserve"> </w:t>
      </w:r>
      <w:r>
        <w:t xml:space="preserve">650,000</w:t>
      </w:r>
      <w:r>
        <w:t xml:space="preserve"> </w:t>
      </w:r>
      <w:r>
        <w:t xml:space="preserve">700,000</w:t>
      </w:r>
      <w:r>
        <w:t xml:space="preserve"> </w:t>
      </w:r>
      <w:r>
        <w:t xml:space="preserve">750,000</w:t>
      </w:r>
      <w:r>
        <w:t xml:space="preserve"> </w:t>
      </w:r>
      <w:r>
        <w:t xml:space="preserve">800,000</w:t>
      </w:r>
      <w:r>
        <w:t xml:space="preserve"> </w:t>
      </w:r>
      <w:r>
        <w:t xml:space="preserve">850,000</w:t>
      </w:r>
      <w:r>
        <w:t xml:space="preserve"> </w:t>
      </w:r>
      <w:r>
        <w:t xml:space="preserve">900,000</w:t>
      </w:r>
      <w:r>
        <w:t xml:space="preserve"> </w:t>
      </w:r>
      <w:r>
        <w:t xml:space="preserve">2000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Tm3</w:t>
      </w:r>
      <w:r>
        <w:t xml:space="preserve"> </w:t>
      </w:r>
      <w:r>
        <w:t xml:space="preserve">historical</w:t>
      </w:r>
      <w:r>
        <w:t xml:space="preserve"> </w:t>
      </w:r>
      <w:r>
        <w:t xml:space="preserve">2030 LULUCF target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Figure 91: Evolution of land use in EU by category</w:t>
      </w:r>
    </w:p>
    <w:p>
      <w:pPr>
        <w:pStyle w:val="BodyText"/>
      </w:pPr>
      <w:r>
        <w:t xml:space="preserve">Note: Evolution of land use by land use category from 2000 until 2020.</w:t>
      </w:r>
      <w:r>
        <w:br/>
      </w:r>
      <w:r>
        <w:t xml:space="preserve">Source: UNFCCC 2023, GLOBIOM</w:t>
      </w:r>
      <w:r>
        <w:t xml:space="preserve"> </w:t>
      </w:r>
      <w:r>
        <w:t xml:space="preserve">From 2020 onwards the different scenarios comprise different developments of land use</w:t>
      </w:r>
      <w:r>
        <w:t xml:space="preserve"> </w:t>
      </w:r>
      <w:r>
        <w:t xml:space="preserve">(see Figure 92), although the absolute overall land use changes compared to today remain</w:t>
      </w:r>
      <w:r>
        <w:t xml:space="preserve"> </w:t>
      </w:r>
      <w:r>
        <w:t xml:space="preserve">small in relative terms, which range from 5 Mha (S1) to 9 Mha in S2 and S3 and 12 Mha</w:t>
      </w:r>
      <w:r>
        <w:t xml:space="preserve"> </w:t>
      </w:r>
      <w:r>
        <w:t xml:space="preserve">in LIFE, which corresponds to 1-3% of the total land.</w:t>
      </w:r>
      <w:r>
        <w:br/>
      </w:r>
      <w:r>
        <w:t xml:space="preserve">Figure 92: Changes in land use between 2020 and 2040 by scenario</w:t>
      </w:r>
    </w:p>
    <w:p>
      <w:pPr>
        <w:pStyle w:val="BodyText"/>
      </w:pPr>
      <w:r>
        <w:t xml:space="preserve">Source: GLOBIOM</w:t>
      </w:r>
      <w:r>
        <w:t xml:space="preserve"> </w:t>
      </w:r>
      <w:r>
        <w:t xml:space="preserve">Next to the assumed growing land take by settlements (+2 Mha), the land use changes in</w:t>
      </w:r>
      <w:r>
        <w:t xml:space="preserve"> </w:t>
      </w:r>
      <w:r>
        <w:t xml:space="preserve">the scenarios are driven by actions to enhance the LULUCF net removals (166) and</w:t>
      </w:r>
      <w:r>
        <w:t xml:space="preserve"> </w:t>
      </w:r>
      <w:r>
        <w:t xml:space="preserve">changes on energy demand in S2 and S3, which decrease grassland and other natural land</w:t>
      </w:r>
    </w:p>
    <w:p>
      <w:pPr>
        <w:pStyle w:val="Compact"/>
        <w:numPr>
          <w:ilvl w:val="0"/>
          <w:numId w:val="1077"/>
        </w:numPr>
      </w:pPr>
      <w:r>
        <w:t xml:space="preserve">The scenarios assume a marginal mitigation cost covered for additional nature-based removals of</w:t>
      </w:r>
      <w:r>
        <w:t xml:space="preserve"> </w:t>
      </w:r>
      <w:r>
        <w:t xml:space="preserve">EUR 50 for S2, S3, LIFE and no mitigation costs covered in S1. For details see Annex 6, section 3.2.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2000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Mha</w:t>
      </w:r>
      <w:r>
        <w:t xml:space="preserve"> </w:t>
      </w:r>
      <w:r>
        <w:t xml:space="preserve">Wetlands</w:t>
      </w:r>
      <w:r>
        <w:t xml:space="preserve"> </w:t>
      </w:r>
      <w:r>
        <w:t xml:space="preserve">Forest Land</w:t>
      </w:r>
      <w:r>
        <w:t xml:space="preserve"> </w:t>
      </w:r>
      <w:r>
        <w:t xml:space="preserve">Cropland</w:t>
      </w:r>
      <w:r>
        <w:t xml:space="preserve"> </w:t>
      </w:r>
      <w:r>
        <w:t xml:space="preserve">Grassland and other natural</w:t>
      </w:r>
      <w:r>
        <w:t xml:space="preserve"> </w:t>
      </w:r>
      <w:r>
        <w:t xml:space="preserve">land</w:t>
      </w:r>
      <w:r>
        <w:t xml:space="preserve"> </w:t>
      </w:r>
      <w:r>
        <w:t xml:space="preserve">Settlements and other land</w:t>
      </w:r>
      <w:r>
        <w:t xml:space="preserve"> </w:t>
      </w:r>
      <w:r>
        <w:t xml:space="preserve">-16</w:t>
      </w:r>
      <w:r>
        <w:t xml:space="preserve"> </w:t>
      </w:r>
      <w:r>
        <w:t xml:space="preserve">-12</w:t>
      </w:r>
      <w:r>
        <w:t xml:space="preserve"> </w:t>
      </w:r>
      <w:r>
        <w:t xml:space="preserve">-8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Mha</w:t>
      </w:r>
      <w:r>
        <w:t xml:space="preserve"> </w:t>
      </w:r>
      <w:r>
        <w:t xml:space="preserve">Wetlands</w:t>
      </w:r>
      <w:r>
        <w:t xml:space="preserve"> </w:t>
      </w:r>
      <w:r>
        <w:t xml:space="preserve">Forest Land</w:t>
      </w:r>
      <w:r>
        <w:t xml:space="preserve"> </w:t>
      </w:r>
      <w:r>
        <w:t xml:space="preserve">Cropland</w:t>
      </w:r>
      <w:r>
        <w:t xml:space="preserve"> </w:t>
      </w:r>
      <w:r>
        <w:t xml:space="preserve">Settlements and other</w:t>
      </w:r>
      <w:r>
        <w:t xml:space="preserve"> </w:t>
      </w:r>
      <w:r>
        <w:t xml:space="preserve">land</w:t>
      </w:r>
      <w:r>
        <w:t xml:space="preserve"> </w:t>
      </w:r>
      <w:r>
        <w:t xml:space="preserve">Grassland and other</w:t>
      </w:r>
      <w:r>
        <w:t xml:space="preserve"> </w:t>
      </w:r>
      <w:r>
        <w:t xml:space="preserve">natural land</w:t>
      </w:r>
    </w:p>
    <w:p>
      <w:pPr>
        <w:pStyle w:val="FirstParagraph"/>
      </w:pPr>
      <w:r>
        <w:t xml:space="preserve">125</w:t>
      </w:r>
    </w:p>
    <w:p>
      <w:pPr>
        <w:pStyle w:val="BodyText"/>
      </w:pPr>
      <w:r>
        <w:t xml:space="preserve">by 9.3 Mha in S2 and S3 and by 5.2 Mha in S1 (167). This shift translates for S2 and S3</w:t>
      </w:r>
      <w:r>
        <w:t xml:space="preserve"> </w:t>
      </w:r>
      <w:r>
        <w:t xml:space="preserve">into more land for forests (+4.9 Mha). Furthermore, additional nature-based removals to</w:t>
      </w:r>
      <w:r>
        <w:t xml:space="preserve"> </w:t>
      </w:r>
      <w:r>
        <w:t xml:space="preserve">increase the LULUCF net removal are implemented through restoration of wetlands,</w:t>
      </w:r>
      <w:r>
        <w:t xml:space="preserve"> </w:t>
      </w:r>
      <w:r>
        <w:t xml:space="preserve">which increase by 1.4 Mha in S2 and S3. Very limited land use changes occur in S1 due</w:t>
      </w:r>
      <w:r>
        <w:t xml:space="preserve"> </w:t>
      </w:r>
      <w:r>
        <w:t xml:space="preserve">to no incentives for additional nature-based removals and lower demand for second</w:t>
      </w:r>
      <w:r>
        <w:t xml:space="preserve"> </w:t>
      </w:r>
      <w:r>
        <w:t xml:space="preserve">generation lignocellulosic crops. In S2 and S3 about 1.2 Mha are converted into</w:t>
      </w:r>
      <w:r>
        <w:t xml:space="preserve"> </w:t>
      </w:r>
      <w:r>
        <w:t xml:space="preserve">additional cropland by 2040, while in S1 no additional cropland is converted. The</w:t>
      </w:r>
      <w:r>
        <w:t xml:space="preserve"> </w:t>
      </w:r>
      <w:r>
        <w:t xml:space="preserve">cropland in S2 and S3 increases by about 1% compared to 2020 and is still substantially</w:t>
      </w:r>
      <w:r>
        <w:t xml:space="preserve"> </w:t>
      </w:r>
      <w:r>
        <w:t xml:space="preserve">smaller than the total cropland area during the period of 2000 and 2015.</w:t>
      </w:r>
      <w:r>
        <w:br/>
      </w:r>
      <w:r>
        <w:t xml:space="preserve">Throughout the scenarios, financial incentives for nature-based removals have a higher</w:t>
      </w:r>
      <w:r>
        <w:t xml:space="preserve"> </w:t>
      </w:r>
      <w:r>
        <w:t xml:space="preserve">impact on land-use change than a limited use of lignocellulosic crops for bioenergy. Even</w:t>
      </w:r>
      <w:r>
        <w:t xml:space="preserve"> </w:t>
      </w:r>
      <w:r>
        <w:t xml:space="preserve">though from total cropland area, land for lignocellulosic crops requires 7 Mha in S1 and</w:t>
      </w:r>
      <w:r>
        <w:t xml:space="preserve"> </w:t>
      </w:r>
      <w:r>
        <w:t xml:space="preserve">10.6 Mha in S2 and S3, the overall land-use change impact from crops for biofuels on</w:t>
      </w:r>
      <w:r>
        <w:t xml:space="preserve"> </w:t>
      </w:r>
      <w:r>
        <w:t xml:space="preserve">total cropland is with an increase in cropland of about 1% relatively small (168). This is</w:t>
      </w:r>
      <w:r>
        <w:t xml:space="preserve"> </w:t>
      </w:r>
      <w:r>
        <w:t xml:space="preserve">because second-generation lignocellulosic crops replace in 2040 to a large extent</w:t>
      </w:r>
      <w:r>
        <w:t xml:space="preserve"> </w:t>
      </w:r>
      <w:r>
        <w:t xml:space="preserve">cropland from first generation food crops. Lignocellulosic crops for second generation</w:t>
      </w:r>
      <w:r>
        <w:t xml:space="preserve"> </w:t>
      </w:r>
      <w:r>
        <w:t xml:space="preserve">biofuels produce higher yields (169) and require less land for the same amount of</w:t>
      </w:r>
      <w:r>
        <w:t xml:space="preserve"> </w:t>
      </w:r>
      <w:r>
        <w:t xml:space="preserve">bioenergy (170).</w:t>
      </w:r>
      <w:r>
        <w:t xml:space="preserve"> </w:t>
      </w:r>
      <w:r>
        <w:t xml:space="preserve">LIFE has significant effects for agricultural land used for livestock and fodder. Because</w:t>
      </w:r>
      <w:r>
        <w:t xml:space="preserve"> </w:t>
      </w:r>
      <w:r>
        <w:t xml:space="preserve">less livestock and therefore less area for fodder is required, intensively managed</w:t>
      </w:r>
      <w:r>
        <w:t xml:space="preserve"> </w:t>
      </w:r>
      <w:r>
        <w:t xml:space="preserve">grassland and cropland from fodder production are abandoned and converted into natural</w:t>
      </w:r>
      <w:r>
        <w:t xml:space="preserve"> </w:t>
      </w:r>
      <w:r>
        <w:t xml:space="preserve">and set aside land partly covered with buffer stripes, hedges and other landscape</w:t>
      </w:r>
      <w:r>
        <w:t xml:space="preserve"> </w:t>
      </w:r>
      <w:r>
        <w:t xml:space="preserve">elements, extensive grassland, and forests. The additional natural land vegetation is</w:t>
      </w:r>
      <w:r>
        <w:t xml:space="preserve"> </w:t>
      </w:r>
      <w:r>
        <w:t xml:space="preserve">accounted in the grassland and other natural land category (171). In comparison to S2 and</w:t>
      </w:r>
      <w:r>
        <w:t xml:space="preserve"> </w:t>
      </w:r>
      <w:r>
        <w:t xml:space="preserve">S3, the change in the food system in LIFE lead to additional forest land (afforestation;</w:t>
      </w:r>
    </w:p>
    <w:p>
      <w:pPr>
        <w:pStyle w:val="Compact"/>
        <w:numPr>
          <w:ilvl w:val="0"/>
          <w:numId w:val="1078"/>
        </w:numPr>
      </w:pPr>
      <w:r>
        <w:t xml:space="preserve">‘Grassland and other natural land’ consists of managed pasture land, unmanaged grassland and</w:t>
      </w:r>
      <w:r>
        <w:t xml:space="preserve"> </w:t>
      </w:r>
      <w:r>
        <w:t xml:space="preserve">shrubland. The area of managed pasture land remains relatively stable within the category.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In 2040 total cropland remains unchanged in S1 and increases by 1.2 Mha in S2 and S3, because</w:t>
      </w:r>
      <w:r>
        <w:t xml:space="preserve"> </w:t>
      </w:r>
      <w:r>
        <w:t xml:space="preserve">around 80% of the required area for lignocellulosic crops comes from cropland currently used for first</w:t>
      </w:r>
      <w:r>
        <w:t xml:space="preserve"> </w:t>
      </w:r>
      <w:r>
        <w:t xml:space="preserve">generation biofuels (7.5 Mha) or other cropland (1.9 Mha). The total potential for lignocellulosic crops</w:t>
      </w:r>
      <w:r>
        <w:t xml:space="preserve"> </w:t>
      </w:r>
      <w:r>
        <w:t xml:space="preserve">is however limited. A higher use of biofuels for road transport, maritime transport and aviation than</w:t>
      </w:r>
      <w:r>
        <w:t xml:space="preserve"> </w:t>
      </w:r>
      <w:r>
        <w:t xml:space="preserve">displayed in the scenarios would have a much bigger impact on land use change or food production,</w:t>
      </w:r>
      <w:r>
        <w:t xml:space="preserve"> </w:t>
      </w:r>
      <w:r>
        <w:t xml:space="preserve">because no further areas from first generation lignocellulosic crops could be substituted.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Muylle, H., Van Hulle, S., De Vliegher, A., Baert, J., Van Bockstaele, E., &amp; Roldán-Ruiz, I., ‘Yield</w:t>
      </w:r>
      <w:r>
        <w:t xml:space="preserve"> </w:t>
      </w:r>
      <w:r>
        <w:t xml:space="preserve">and energy balance of annual and perennial lignocellulosic crops for bio-refinery use: a 4-year field</w:t>
      </w:r>
      <w:r>
        <w:t xml:space="preserve"> </w:t>
      </w:r>
      <w:r>
        <w:t xml:space="preserve">experiment in Belgium’, European Journal of Agronomy, 63, 62-70, 2015.</w:t>
      </w:r>
    </w:p>
    <w:p>
      <w:pPr>
        <w:pStyle w:val="Compact"/>
        <w:numPr>
          <w:ilvl w:val="0"/>
          <w:numId w:val="1078"/>
        </w:numPr>
      </w:pPr>
      <w:r>
        <w:t xml:space="preserve">Second-generation biofuel feedstocks often have a higher energy yield per unit of land and water</w:t>
      </w:r>
      <w:r>
        <w:t xml:space="preserve"> </w:t>
      </w:r>
      <w:r>
        <w:t xml:space="preserve">compared to first-generation crops, which means that more energy can be obtained from the same</w:t>
      </w:r>
      <w:r>
        <w:t xml:space="preserve"> </w:t>
      </w:r>
      <w:r>
        <w:t xml:space="preserve">amount of resources, making them more efficient in terms of land and water use. Moreover, these</w:t>
      </w:r>
      <w:r>
        <w:t xml:space="preserve"> </w:t>
      </w:r>
      <w:r>
        <w:t xml:space="preserve">feedstocks are typically non-food feedstocks from energy crops which do not directly compete with</w:t>
      </w:r>
      <w:r>
        <w:t xml:space="preserve"> </w:t>
      </w:r>
      <w:r>
        <w:t xml:space="preserve">food production and can also be produced on marginal lands; Antizar‐Ladislao, B., &amp; Turrion‐Gomez,</w:t>
      </w:r>
      <w:r>
        <w:t xml:space="preserve"> </w:t>
      </w:r>
      <w:r>
        <w:t xml:space="preserve">J. L. ‘Second‐generation biofuels and local bioenergy systems.’ Biofuels, Bioproducts and Biorefining:</w:t>
      </w:r>
      <w:r>
        <w:t xml:space="preserve"> </w:t>
      </w:r>
      <w:r>
        <w:t xml:space="preserve">Innovation for a sustainable economy, 2(5), 455-469, 2008.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Additional land available from fodder production and for livestock is becoming either afforested land</w:t>
      </w:r>
      <w:r>
        <w:t xml:space="preserve"> </w:t>
      </w:r>
      <w:r>
        <w:t xml:space="preserve">or abandoned land with buffer stripes, hedges or other natural vegetation. This abandoned land is</w:t>
      </w:r>
      <w:r>
        <w:t xml:space="preserve"> </w:t>
      </w:r>
      <w:r>
        <w:t xml:space="preserve">attributed here to the UNFCCC grassland sector which also includes shrubland, hence including some</w:t>
      </w:r>
      <w:r>
        <w:t xml:space="preserve"> </w:t>
      </w:r>
      <w:r>
        <w:t xml:space="preserve">woody vegetation. Some changes in LIFE occur within the grassland sector (from productive to</w:t>
      </w:r>
      <w:r>
        <w:t xml:space="preserve"> </w:t>
      </w:r>
      <w:r>
        <w:t xml:space="preserve">unproductive grasslands) and are therefore not visible as change in the overview on land use changes.</w:t>
      </w:r>
    </w:p>
    <w:p>
      <w:pPr>
        <w:pStyle w:val="FirstParagraph"/>
      </w:pPr>
      <w:r>
        <w:t xml:space="preserve">126</w:t>
      </w:r>
    </w:p>
    <w:p>
      <w:pPr>
        <w:pStyle w:val="BodyText"/>
      </w:pPr>
      <w:r>
        <w:t xml:space="preserve">+4.0 Mha), more high-diversity landscape features (172) which is natural land partly</w:t>
      </w:r>
      <w:r>
        <w:t xml:space="preserve"> </w:t>
      </w:r>
      <w:r>
        <w:t xml:space="preserve">covered with buffer stripes, hedges, fallow land or other natural vegetation (+6.8 Mha)</w:t>
      </w:r>
      <w:r>
        <w:t xml:space="preserve"> </w:t>
      </w:r>
      <w:r>
        <w:t xml:space="preserve">and rewetted organic soils (+0.3 Mha). LIFE produces land use changes which result in</w:t>
      </w:r>
      <w:r>
        <w:t xml:space="preserve"> </w:t>
      </w:r>
      <w:r>
        <w:t xml:space="preserve">less cropland (-7 Mha) and more grassland (+2.7 Mha) compared to S2 and S3.</w:t>
      </w:r>
      <w:r>
        <w:t xml:space="preserve"> </w:t>
      </w:r>
      <w:r>
        <w:t xml:space="preserve">Lignocellulosic crops require a total area of around 10.2 Mha in 2040. The increase in</w:t>
      </w:r>
      <w:r>
        <w:t xml:space="preserve"> </w:t>
      </w:r>
      <w:r>
        <w:t xml:space="preserve">wetlands is possible, because less fodder production and less requirement for agricultural</w:t>
      </w:r>
      <w:r>
        <w:t xml:space="preserve"> </w:t>
      </w:r>
      <w:r>
        <w:t xml:space="preserve">grassland reduce pressure on the food system and make land for rewetting of dried</w:t>
      </w:r>
      <w:r>
        <w:t xml:space="preserve"> </w:t>
      </w:r>
      <w:r>
        <w:t xml:space="preserve">organic soils cheaper.</w:t>
      </w:r>
      <w:r>
        <w:br/>
      </w:r>
      <w:r>
        <w:t xml:space="preserve">1.8.3. Options to increase the net LULUCF net removal</w:t>
      </w:r>
      <w:r>
        <w:br/>
      </w:r>
      <w:r>
        <w:t xml:space="preserve">As discussed in previous section 1.1 technical and nature-based carbon removals are an</w:t>
      </w:r>
      <w:r>
        <w:t xml:space="preserve"> </w:t>
      </w:r>
      <w:r>
        <w:t xml:space="preserve">essential part in each scenario to achieve net zero emissions in 2050. The share between</w:t>
      </w:r>
      <w:r>
        <w:t xml:space="preserve"> </w:t>
      </w:r>
      <w:r>
        <w:t xml:space="preserve">technical and nature-based removals may vary depending on the development of prices</w:t>
      </w:r>
      <w:r>
        <w:t xml:space="preserve"> </w:t>
      </w:r>
      <w:r>
        <w:t xml:space="preserve">for industrial carbon removal technologies, nature-based removal options and the</w:t>
      </w:r>
      <w:r>
        <w:t xml:space="preserve"> </w:t>
      </w:r>
      <w:r>
        <w:t xml:space="preserve">saturation effect of the land sink. Hence, although nature-based removals are expected to</w:t>
      </w:r>
      <w:r>
        <w:t xml:space="preserve"> </w:t>
      </w:r>
      <w:r>
        <w:t xml:space="preserve">make up the bigger share of carbon removals, it is not clear which options will be more</w:t>
      </w:r>
      <w:r>
        <w:t xml:space="preserve"> </w:t>
      </w:r>
      <w:r>
        <w:t xml:space="preserve">cost efficient at a certain point in time.</w:t>
      </w:r>
      <w:r>
        <w:t xml:space="preserve"> </w:t>
      </w:r>
      <w:r>
        <w:t xml:space="preserve">Nature-based removal options in the LULUCF sector include interventions in forests</w:t>
      </w:r>
      <w:r>
        <w:t xml:space="preserve"> </w:t>
      </w:r>
      <w:r>
        <w:t xml:space="preserve">(e.g., reduce deforestation and peatland degradation, afforestation, forest management,</w:t>
      </w:r>
      <w:r>
        <w:t xml:space="preserve"> </w:t>
      </w:r>
      <w:r>
        <w:t xml:space="preserve">peatland restoration) and agricultural soils (e.g., soil organic carbon management,</w:t>
      </w:r>
      <w:r>
        <w:t xml:space="preserve"> </w:t>
      </w:r>
      <w:r>
        <w:t xml:space="preserve">agroforestry) and have different mitigation potentials (173). The costs for different</w:t>
      </w:r>
      <w:r>
        <w:t xml:space="preserve"> </w:t>
      </w:r>
      <w:r>
        <w:t xml:space="preserve">mitigation options are specified as a yearly price per ton CO2-eq, which are required for</w:t>
      </w:r>
      <w:r>
        <w:t xml:space="preserve"> </w:t>
      </w:r>
      <w:r>
        <w:t xml:space="preserve">the implementation of a certain option. Throughout the public consultation, respondents</w:t>
      </w:r>
      <w:r>
        <w:t xml:space="preserve"> </w:t>
      </w:r>
      <w:r>
        <w:t xml:space="preserve">rated ‘afforestation, reforestation and forest restoration’ as the most relevant solution for</w:t>
      </w:r>
      <w:r>
        <w:t xml:space="preserve"> </w:t>
      </w:r>
      <w:r>
        <w:t xml:space="preserve">limiting climate change (174) (Average: 4.44, on a 5-point scale form ‘very irrelevant’ (1)</w:t>
      </w:r>
      <w:r>
        <w:t xml:space="preserve"> </w:t>
      </w:r>
      <w:r>
        <w:t xml:space="preserve">to ‘very relevant’ (5)), which illustrates the perceived prominent role of forests for</w:t>
      </w:r>
      <w:r>
        <w:t xml:space="preserve"> </w:t>
      </w:r>
      <w:r>
        <w:t xml:space="preserve">climate action among both citizens and organisations. Though other nature-based</w:t>
      </w:r>
      <w:r>
        <w:t xml:space="preserve"> </w:t>
      </w:r>
      <w:r>
        <w:t xml:space="preserve">removals such as peatland restoration (rewetting, revegetating, and paludiculture)</w:t>
      </w:r>
      <w:r>
        <w:t xml:space="preserve"> </w:t>
      </w:r>
      <w:r>
        <w:t xml:space="preserve">(Average: 4.24) as well as Agroforestry and other soil management practices (Average</w:t>
      </w:r>
      <w:r>
        <w:t xml:space="preserve"> </w:t>
      </w:r>
      <w:r>
        <w:t xml:space="preserve">4.18) were rated second and third among the most relevant solutions for limiting climate</w:t>
      </w:r>
      <w:r>
        <w:t xml:space="preserve"> </w:t>
      </w:r>
      <w:r>
        <w:t xml:space="preserve">change. Thus, nature-based removals in the LULUCF sector are clearly well known and</w:t>
      </w:r>
      <w:r>
        <w:t xml:space="preserve"> </w:t>
      </w:r>
      <w:r>
        <w:t xml:space="preserve">seen as the most promising options throughout the portfolio of mitigation options.</w:t>
      </w:r>
      <w:r>
        <w:t xml:space="preserve"> </w:t>
      </w:r>
      <w:r>
        <w:t xml:space="preserve">For some nature-based removals to contribute to the long-term enhancement of the</w:t>
      </w:r>
      <w:r>
        <w:t xml:space="preserve"> </w:t>
      </w:r>
      <w:r>
        <w:t xml:space="preserve">LULUCF net removals is a slow process – one that should start now to maximise the</w:t>
      </w:r>
      <w:r>
        <w:t xml:space="preserve"> </w:t>
      </w:r>
      <w:r>
        <w:t xml:space="preserve">2050 carbon removal potential. However, other options, such as rewetting of peat- and</w:t>
      </w:r>
      <w:r>
        <w:t xml:space="preserve"> </w:t>
      </w:r>
      <w:r>
        <w:t xml:space="preserve">wetlands, quickly reduce emissions, when implemented. Therefore, the mitigation</w:t>
      </w:r>
    </w:p>
    <w:p>
      <w:pPr>
        <w:pStyle w:val="Compact"/>
        <w:numPr>
          <w:ilvl w:val="0"/>
          <w:numId w:val="1079"/>
        </w:numPr>
      </w:pPr>
      <w:r>
        <w:t xml:space="preserve">Resulting from the goal to return at least 10% of agricultural area under high-diversity landscape</w:t>
      </w:r>
      <w:r>
        <w:t xml:space="preserve"> </w:t>
      </w:r>
      <w:r>
        <w:t xml:space="preserve">features; see COM(2020) 380 final. A share of this natural land is formerly intensively managed</w:t>
      </w:r>
      <w:r>
        <w:t xml:space="preserve"> </w:t>
      </w:r>
      <w:r>
        <w:t xml:space="preserve">grassland which stays within the grassland category.</w:t>
      </w:r>
    </w:p>
    <w:p>
      <w:pPr>
        <w:pStyle w:val="Compact"/>
        <w:numPr>
          <w:ilvl w:val="0"/>
          <w:numId w:val="1079"/>
        </w:numPr>
      </w:pPr>
      <w:r>
        <w:t xml:space="preserve">For an overview of nature-based removals see: Roe, S., Streck, C., Beach, R., Busch, J., Chapman, M.,</w:t>
      </w:r>
      <w:r>
        <w:t xml:space="preserve"> </w:t>
      </w:r>
      <w:r>
        <w:t xml:space="preserve">Daioglou, V., Deppermann, A., Doelman, J., Emmet-Booth, J., Engelmann, J., Fricko, O., Frischmann,</w:t>
      </w:r>
      <w:r>
        <w:t xml:space="preserve"> </w:t>
      </w:r>
      <w:r>
        <w:t xml:space="preserve">C., Funk, J., Grassi, G., Griscom, B., Havlik, P., Hanssen, S., Humpenöder, F., Landholm, D., …</w:t>
      </w:r>
      <w:r>
        <w:t xml:space="preserve"> </w:t>
      </w:r>
      <w:r>
        <w:t xml:space="preserve">Lawrence, D., ‘Land-based measures to mitigate climate change: Potential and feasibility by country.’</w:t>
      </w:r>
      <w:r>
        <w:t xml:space="preserve"> </w:t>
      </w:r>
      <w:r>
        <w:t xml:space="preserve">Global Change Biology, 27, 6025–6058, 2021.</w:t>
      </w:r>
    </w:p>
    <w:p>
      <w:pPr>
        <w:pStyle w:val="Compact"/>
        <w:numPr>
          <w:ilvl w:val="0"/>
          <w:numId w:val="1079"/>
        </w:numPr>
      </w:pPr>
      <w:r>
        <w:t xml:space="preserve">Among a range of possible offered options (e.g., Peatland restoration, Agroforestry, BECCS,</w:t>
      </w:r>
      <w:r>
        <w:t xml:space="preserve"> </w:t>
      </w:r>
      <w:r>
        <w:t xml:space="preserve">Bioachar, DACCS, nuclear fusion, solar radiation modification)</w:t>
      </w:r>
    </w:p>
    <w:p>
      <w:pPr>
        <w:pStyle w:val="FirstParagraph"/>
      </w:pPr>
      <w:r>
        <w:t xml:space="preserve">127</w:t>
      </w:r>
    </w:p>
    <w:p>
      <w:pPr>
        <w:pStyle w:val="BodyText"/>
      </w:pPr>
      <w:r>
        <w:t xml:space="preserve">potential of rewetting drained organic soils is substantial already in 2030. Forest and</w:t>
      </w:r>
      <w:r>
        <w:t xml:space="preserve"> </w:t>
      </w:r>
      <w:r>
        <w:t xml:space="preserve">agriculture related options can also enhance the LULUCF net removal in the short term</w:t>
      </w:r>
      <w:r>
        <w:t xml:space="preserve"> </w:t>
      </w:r>
      <w:r>
        <w:t xml:space="preserve">but most of their potential plays out in 2040 and 2050. As shown in Figure 93, improved</w:t>
      </w:r>
      <w:r>
        <w:t xml:space="preserve"> </w:t>
      </w:r>
      <w:r>
        <w:t xml:space="preserve">forest management and afforestation, can provide a comparably large mitigation potential</w:t>
      </w:r>
      <w:r>
        <w:t xml:space="preserve"> </w:t>
      </w:r>
      <w:r>
        <w:t xml:space="preserve">already by 2030 and largely to a relatively low price of 20 €/tCO2-eq (175). Similarly,</w:t>
      </w:r>
      <w:r>
        <w:t xml:space="preserve"> </w:t>
      </w:r>
      <w:r>
        <w:t xml:space="preserve">solutions for agricultural land unfold to a large extent as early as 2030, though mitigation</w:t>
      </w:r>
      <w:r>
        <w:t xml:space="preserve"> </w:t>
      </w:r>
      <w:r>
        <w:t xml:space="preserve">costs are much more heterogeneous across the entire spectrum of mitigation options</w:t>
      </w:r>
      <w:r>
        <w:t xml:space="preserve"> </w:t>
      </w:r>
      <w:r>
        <w:t xml:space="preserve">available in the agriculture sector and range from 5 to 150 €/tCO2-eq. The potential of</w:t>
      </w:r>
      <w:r>
        <w:t xml:space="preserve"> </w:t>
      </w:r>
      <w:r>
        <w:t xml:space="preserve">avoided deforestation is declining and will be almost exhausted after 2050.</w:t>
      </w:r>
      <w:r>
        <w:t xml:space="preserve"> </w:t>
      </w:r>
      <w:r>
        <w:t xml:space="preserve">Rewetting of drained organic soils makes up about 30% of the total potential for</w:t>
      </w:r>
      <w:r>
        <w:t xml:space="preserve"> </w:t>
      </w:r>
      <w:r>
        <w:t xml:space="preserve">50 €/tCO2-eq or 100 €/tCO2-eq. It provides a high mitigation potential (176) (177) but also</w:t>
      </w:r>
      <w:r>
        <w:t xml:space="preserve"> </w:t>
      </w:r>
      <w:r>
        <w:t xml:space="preserve">requires substantial investment (178). It can be achieved by using appropriate forms of</w:t>
      </w:r>
      <w:r>
        <w:t xml:space="preserve"> </w:t>
      </w:r>
      <w:r>
        <w:t xml:space="preserve">agriculture management such as paludiculture or by completely taking the land out of</w:t>
      </w:r>
      <w:r>
        <w:t xml:space="preserve"> </w:t>
      </w:r>
      <w:r>
        <w:t xml:space="preserve">production. The elevation of water levels (i.e., ‘rewetting’) reduces emissions that stem</w:t>
      </w:r>
      <w:r>
        <w:t xml:space="preserve"> </w:t>
      </w:r>
      <w:r>
        <w:t xml:space="preserve">from the organic material in these soils. Notably, a high share of today’s drained</w:t>
      </w:r>
      <w:r>
        <w:t xml:space="preserve"> </w:t>
      </w:r>
      <w:r>
        <w:t xml:space="preserve">peatlands is used for agricultural purposes, which hampers the peatlands from being</w:t>
      </w:r>
      <w:r>
        <w:t xml:space="preserve"> </w:t>
      </w:r>
      <w:r>
        <w:t xml:space="preserve">rewetted. Thus, an important element for rewetting practices may be a compensation of</w:t>
      </w:r>
      <w:r>
        <w:t xml:space="preserve"> </w:t>
      </w:r>
      <w:r>
        <w:t xml:space="preserve">farmers and landowners when switching to other forms of agriculture (e.g., paludiculture)</w:t>
      </w:r>
      <w:r>
        <w:t xml:space="preserve"> </w:t>
      </w:r>
      <w:r>
        <w:t xml:space="preserve">or abandoning agricultural activity on these soils. Consequently, as shown in Figure 93,</w:t>
      </w:r>
      <w:r>
        <w:t xml:space="preserve"> </w:t>
      </w:r>
      <w:r>
        <w:t xml:space="preserve">mitigation options for organic soils unfold their potential mainly at costs between</w:t>
      </w:r>
      <w:r>
        <w:t xml:space="preserve"> </w:t>
      </w:r>
      <w:r>
        <w:t xml:space="preserve">50 €/tCO2-eq and 100 €/tCO2-eq.</w:t>
      </w:r>
    </w:p>
    <w:p>
      <w:pPr>
        <w:pStyle w:val="Compact"/>
        <w:numPr>
          <w:ilvl w:val="0"/>
          <w:numId w:val="1080"/>
        </w:numPr>
      </w:pPr>
      <w:r>
        <w:t xml:space="preserve">All mitigation costs to cover for nature-based removals in this section are expressed in EUR 2020</w:t>
      </w:r>
      <w:r>
        <w:t xml:space="preserve"> </w:t>
      </w:r>
      <w:r>
        <w:t xml:space="preserve">values.</w:t>
      </w:r>
      <w:r>
        <w:br/>
      </w:r>
    </w:p>
    <w:p>
      <w:pPr>
        <w:pStyle w:val="Compact"/>
        <w:numPr>
          <w:ilvl w:val="0"/>
          <w:numId w:val="1080"/>
        </w:numPr>
      </w:pPr>
      <w:r>
        <w:t xml:space="preserve">CH4 emissions on rewetted lands decrease the sink potential of active rewetting activities. CH4</w:t>
      </w:r>
      <w:r>
        <w:t xml:space="preserve"> </w:t>
      </w:r>
      <w:r>
        <w:t xml:space="preserve">emissions have been included, to avoid an overly optimistic assumption of the potential. However, a</w:t>
      </w:r>
      <w:r>
        <w:t xml:space="preserve"> </w:t>
      </w:r>
      <w:r>
        <w:t xml:space="preserve">high range of uncertainties still exist on CH4 emissions on rewetted lands and therefore the</w:t>
      </w:r>
      <w:r>
        <w:t xml:space="preserve"> </w:t>
      </w:r>
      <w:r>
        <w:t xml:space="preserve">sequestration potential needs to be interpreted with caution.</w:t>
      </w:r>
      <w:r>
        <w:br/>
      </w:r>
    </w:p>
    <w:p>
      <w:pPr>
        <w:pStyle w:val="Compact"/>
        <w:numPr>
          <w:ilvl w:val="0"/>
          <w:numId w:val="1080"/>
        </w:numPr>
      </w:pPr>
      <w:r>
        <w:t xml:space="preserve">Rewetting of drained peatlands overall reduces climate warming despite CH4 emissions. See for</w:t>
      </w:r>
      <w:r>
        <w:t xml:space="preserve"> </w:t>
      </w:r>
      <w:r>
        <w:t xml:space="preserve">details: Günther, A., Barthelmes, A., Huth, V. et al. ‘Prompt rewetting of drained peatlands reduces</w:t>
      </w:r>
      <w:r>
        <w:t xml:space="preserve"> </w:t>
      </w:r>
      <w:r>
        <w:t xml:space="preserve">climate warming despite methane emissions’, Nature Communications, 11, 1644, 2020.</w:t>
      </w:r>
    </w:p>
    <w:p>
      <w:pPr>
        <w:pStyle w:val="Compact"/>
        <w:numPr>
          <w:ilvl w:val="0"/>
          <w:numId w:val="1080"/>
        </w:numPr>
      </w:pPr>
      <w:r>
        <w:t xml:space="preserve">New assumptions on active rewetting and corresponding prices for land acquisition, active rewetting</w:t>
      </w:r>
      <w:r>
        <w:t xml:space="preserve"> </w:t>
      </w:r>
      <w:r>
        <w:t xml:space="preserve">and maintenance have been incorporated for this impact assessment.</w:t>
      </w:r>
    </w:p>
    <w:p>
      <w:pPr>
        <w:pStyle w:val="FirstParagraph"/>
      </w:pPr>
      <w:r>
        <w:t xml:space="preserve">128</w:t>
      </w:r>
    </w:p>
    <w:p>
      <w:pPr>
        <w:pStyle w:val="BodyText"/>
      </w:pPr>
      <w:r>
        <w:t xml:space="preserve">Figure 93: Mitigation potentials in LULUCF at different mitigation costs</w:t>
      </w:r>
    </w:p>
    <w:p>
      <w:pPr>
        <w:pStyle w:val="BodyText"/>
      </w:pPr>
      <w:r>
        <w:t xml:space="preserve">Note: Nature-based removals show mitigation (including sequestration) potential in MtCO2 by different</w:t>
      </w:r>
      <w:r>
        <w:t xml:space="preserve"> </w:t>
      </w:r>
      <w:r>
        <w:t xml:space="preserve">mitigation costs. Bars show the accumulated additional LULUCF net removal per year with the respective yearly</w:t>
      </w:r>
      <w:r>
        <w:t xml:space="preserve"> </w:t>
      </w:r>
      <w:r>
        <w:t xml:space="preserve">cost. Costs expressed in EUR2020.</w:t>
      </w:r>
      <w:r>
        <w:br/>
      </w:r>
      <w:r>
        <w:t xml:space="preserve">Source: GLOBIOM</w:t>
      </w:r>
      <w:r>
        <w:t xml:space="preserve"> </w:t>
      </w:r>
      <w:r>
        <w:t xml:space="preserve">Importantly, many nature-based removals also provide co-benefits for biodiversity as it</w:t>
      </w:r>
      <w:r>
        <w:t xml:space="preserve"> </w:t>
      </w:r>
      <w:r>
        <w:t xml:space="preserve">oftentimes involves a land-use change that can shelter diverse ecosystems and habitats</w:t>
      </w:r>
      <w:r>
        <w:t xml:space="preserve"> </w:t>
      </w:r>
      <w:r>
        <w:t xml:space="preserve">(as in the case of wetlands or when land is converted into primary forest land).</w:t>
      </w:r>
      <w:r>
        <w:br/>
      </w:r>
      <w:r>
        <w:t xml:space="preserve">The recently revised LULUCF Regulation sets out a target of -310 MtCO2-eq of net</w:t>
      </w:r>
      <w:r>
        <w:t xml:space="preserve"> </w:t>
      </w:r>
      <w:r>
        <w:t xml:space="preserve">removals (179) for the LULUCF sector in 2030 as well as corresponding targets for</w:t>
      </w:r>
      <w:r>
        <w:t xml:space="preserve"> </w:t>
      </w:r>
      <w:r>
        <w:t xml:space="preserve">Member States. The modelling results (see Figure 94) indicate that most mitigation</w:t>
      </w:r>
      <w:r>
        <w:t xml:space="preserve"> </w:t>
      </w:r>
      <w:r>
        <w:t xml:space="preserve">options to achieve this target, are available at low mitigation costs (0-20 €/tCO2-eq), but</w:t>
      </w:r>
      <w:r>
        <w:t xml:space="preserve"> </w:t>
      </w:r>
      <w:r>
        <w:t xml:space="preserve">some nature-based removals with mitigation costs between 40 and 50 €/tCO2-eq (180)</w:t>
      </w:r>
      <w:r>
        <w:t xml:space="preserve"> </w:t>
      </w:r>
      <w:r>
        <w:t xml:space="preserve">would be required. Implementing these nature-based removal options will also be</w:t>
      </w:r>
      <w:r>
        <w:t xml:space="preserve"> </w:t>
      </w:r>
      <w:r>
        <w:t xml:space="preserve">beneficial beyond 2030 since substantial LULUCF net removals will be required to offset</w:t>
      </w:r>
      <w:r>
        <w:t xml:space="preserve"> </w:t>
      </w:r>
      <w:r>
        <w:t xml:space="preserve">emissions from hard-to-abate sectors in 2040 and 2050.</w:t>
      </w:r>
    </w:p>
    <w:p>
      <w:pPr>
        <w:pStyle w:val="Compact"/>
        <w:numPr>
          <w:ilvl w:val="0"/>
          <w:numId w:val="1081"/>
        </w:numPr>
      </w:pPr>
      <w:r>
        <w:t xml:space="preserve">See LULUCF regulation: Regulation (EU) 2018/841 (amended by Regulation 2023/839)</w:t>
      </w:r>
    </w:p>
    <w:p>
      <w:pPr>
        <w:pStyle w:val="Compact"/>
        <w:numPr>
          <w:ilvl w:val="0"/>
          <w:numId w:val="1081"/>
        </w:numPr>
      </w:pPr>
      <w:r>
        <w:t xml:space="preserve">The Impact Assessment accompanying the proposal for a revised LULUCF Regulation indicated that</w:t>
      </w:r>
      <w:r>
        <w:t xml:space="preserve"> </w:t>
      </w:r>
      <w:r>
        <w:t xml:space="preserve">the target of -310 MtCO2-eq could be achieved at lower mitigation costs (5-10€/tCO2-eq), but the</w:t>
      </w:r>
      <w:r>
        <w:t xml:space="preserve"> </w:t>
      </w:r>
      <w:r>
        <w:t xml:space="preserve">starting point for those assumptions was the average LULUCF sink in 2016-2018 which was much</w:t>
      </w:r>
      <w:r>
        <w:t xml:space="preserve"> </w:t>
      </w:r>
      <w:r>
        <w:t xml:space="preserve">larger than the current trend of the LULUCF sink. More importantly, updated mitigation costs have</w:t>
      </w:r>
      <w:r>
        <w:t xml:space="preserve"> </w:t>
      </w:r>
      <w:r>
        <w:t xml:space="preserve">been taken into account in this impact assessment based on the latest scientific literature.</w:t>
      </w:r>
      <w:r>
        <w:br/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20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20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Euro/tCO2</w:t>
      </w:r>
      <w:r>
        <w:t xml:space="preserve"> </w:t>
      </w:r>
      <w:r>
        <w:t xml:space="preserve">Organic Soils</w:t>
      </w:r>
      <w:r>
        <w:t xml:space="preserve"> </w:t>
      </w:r>
      <w:r>
        <w:t xml:space="preserve">Agriculture Land</w:t>
      </w:r>
      <w:r>
        <w:t xml:space="preserve"> </w:t>
      </w:r>
      <w:r>
        <w:t xml:space="preserve">Afforestation</w:t>
      </w:r>
      <w:r>
        <w:t xml:space="preserve"> </w:t>
      </w:r>
      <w:r>
        <w:t xml:space="preserve">Forest Management</w:t>
      </w:r>
    </w:p>
    <w:p>
      <w:pPr>
        <w:pStyle w:val="FirstParagraph"/>
      </w:pPr>
      <w:r>
        <w:t xml:space="preserve">129</w:t>
      </w:r>
    </w:p>
    <w:p>
      <w:pPr>
        <w:pStyle w:val="BodyText"/>
      </w:pPr>
      <w:r>
        <w:t xml:space="preserve">Figure 94: LULUCF net carbon removal potential for different mitigation costs</w:t>
      </w:r>
    </w:p>
    <w:p>
      <w:pPr>
        <w:pStyle w:val="BodyText"/>
      </w:pPr>
      <w:r>
        <w:t xml:space="preserve">Note: Mitigation costs specify the price in Euro per tonne CO2-eq removed by different nature-based removal</w:t>
      </w:r>
      <w:r>
        <w:t xml:space="preserve"> </w:t>
      </w:r>
      <w:r>
        <w:t xml:space="preserve">options. The columns indicate the additional, marginal potential of nature-based mitigation available for the</w:t>
      </w:r>
      <w:r>
        <w:t xml:space="preserve"> </w:t>
      </w:r>
      <w:r>
        <w:t xml:space="preserve">respective prices. Costs expressed in EUR2020.</w:t>
      </w:r>
      <w:r>
        <w:br/>
      </w:r>
      <w:r>
        <w:t xml:space="preserve">Source: GLOBIOM</w:t>
      </w:r>
      <w:r>
        <w:t xml:space="preserve"> </w:t>
      </w:r>
      <w:r>
        <w:t xml:space="preserve">LIFE produces a consistently higher potential of carbon removals compared to S1, S2</w:t>
      </w:r>
      <w:r>
        <w:t xml:space="preserve"> </w:t>
      </w:r>
      <w:r>
        <w:t xml:space="preserve">and S3. This is because the agricultural area that is freed up in this scenario is expected to</w:t>
      </w:r>
      <w:r>
        <w:t xml:space="preserve"> </w:t>
      </w:r>
      <w:r>
        <w:t xml:space="preserve">be used in part for carbon farming activities.</w:t>
      </w:r>
      <w:r>
        <w:br/>
      </w:r>
      <w:r>
        <w:t xml:space="preserve">1.8.4. The LULUCF net removal</w:t>
      </w:r>
      <w:r>
        <w:t xml:space="preserve"> </w:t>
      </w:r>
      <w:r>
        <w:t xml:space="preserve">1.8.4.1.Analysis of the scenarios</w:t>
      </w:r>
      <w:r>
        <w:t xml:space="preserve"> </w:t>
      </w:r>
      <w:r>
        <w:t xml:space="preserve">The 2030 LULUCF target of -310 MtCO2-eq (181) is met by applying a carbon value of</w:t>
      </w:r>
      <w:r>
        <w:t xml:space="preserve"> </w:t>
      </w:r>
      <w:r>
        <w:t xml:space="preserve">50 €/tCO2-eq (182). The exact size of the future level of LULUCF net removals bears</w:t>
      </w:r>
      <w:r>
        <w:t xml:space="preserve"> </w:t>
      </w:r>
      <w:r>
        <w:t xml:space="preserve">many uncertainties, depending on the effect of future policy measures in the sector,</w:t>
      </w:r>
      <w:r>
        <w:t xml:space="preserve"> </w:t>
      </w:r>
      <w:r>
        <w:t xml:space="preserve">potential additional nature-based carbon removals through certification schemes, climate</w:t>
      </w:r>
      <w:r>
        <w:t xml:space="preserve"> </w:t>
      </w:r>
      <w:r>
        <w:t xml:space="preserve">change impacts, extreme events, biomass demands, resulting harvesting levels and other</w:t>
      </w:r>
      <w:r>
        <w:t xml:space="preserve"> </w:t>
      </w:r>
      <w:r>
        <w:t xml:space="preserve">factors. A range for the LULUCF net removals is introduced in the analysis to illustrate</w:t>
      </w:r>
      <w:r>
        <w:t xml:space="preserve"> </w:t>
      </w:r>
      <w:r>
        <w:t xml:space="preserve">this uncertainty for the period after 2030, by looking at three levels of net removals:</w:t>
      </w:r>
      <w:r>
        <w:t xml:space="preserve"> </w:t>
      </w:r>
      <w:r>
        <w:t xml:space="preserve">-</w:t>
      </w:r>
      <w:r>
        <w:t xml:space="preserve"> </w:t>
      </w:r>
      <w:r>
        <w:t xml:space="preserve">A ‘lower level’, showing a lower boundary for the LULUCF net removals, which</w:t>
      </w:r>
      <w:r>
        <w:t xml:space="preserve"> </w:t>
      </w:r>
      <w:r>
        <w:t xml:space="preserve">is technically implemented in the modelling by applying in the modelling a</w:t>
      </w:r>
      <w:r>
        <w:t xml:space="preserve"> </w:t>
      </w:r>
      <w:r>
        <w:t xml:space="preserve">carbon value of 0 €/tCO2-eq;</w:t>
      </w:r>
      <w:r>
        <w:br/>
      </w:r>
      <w:r>
        <w:t xml:space="preserve">-</w:t>
      </w:r>
      <w:r>
        <w:t xml:space="preserve"> </w:t>
      </w:r>
      <w:r>
        <w:t xml:space="preserve">A ‘central level’, showing the resulting net LULUCF removals when applying the</w:t>
      </w:r>
      <w:r>
        <w:t xml:space="preserve"> </w:t>
      </w:r>
      <w:r>
        <w:t xml:space="preserve">carbon value of 50 €/tCO2-eq necessary to meet the 2030 target;</w:t>
      </w:r>
    </w:p>
    <w:p>
      <w:pPr>
        <w:pStyle w:val="BodyText"/>
      </w:pPr>
      <w:r>
        <w:t xml:space="preserve">(181)Regulation (EU) 2018/841 (amended by Regulation 2023/839)</w:t>
      </w:r>
      <w:r>
        <w:t xml:space="preserve"> </w:t>
      </w:r>
      <w:r>
        <w:t xml:space="preserve">(182) In EUR 2020. The carbon value per tCO2-eq are calculated as a yearly cost for mitigation. In the</w:t>
      </w:r>
      <w:r>
        <w:t xml:space="preserve"> </w:t>
      </w:r>
      <w:r>
        <w:t xml:space="preserve">following only the marginal carbon values are specified, which means large shares of additional</w:t>
      </w:r>
      <w:r>
        <w:t xml:space="preserve"> </w:t>
      </w:r>
      <w:r>
        <w:t xml:space="preserve">nature-based removals are available at lower costs (see previous section for details).</w:t>
      </w:r>
      <w:r>
        <w:t xml:space="preserve"> </w:t>
      </w:r>
      <w:r>
        <w:t xml:space="preserve">-500</w:t>
      </w:r>
      <w:r>
        <w:t xml:space="preserve"> </w:t>
      </w:r>
      <w:r>
        <w:t xml:space="preserve">-450</w:t>
      </w:r>
      <w:r>
        <w:t xml:space="preserve"> </w:t>
      </w:r>
      <w:r>
        <w:t xml:space="preserve">-400</w:t>
      </w:r>
      <w:r>
        <w:t xml:space="preserve"> </w:t>
      </w:r>
      <w:r>
        <w:t xml:space="preserve">-350</w:t>
      </w:r>
      <w:r>
        <w:t xml:space="preserve"> </w:t>
      </w:r>
      <w:r>
        <w:t xml:space="preserve">-300</w:t>
      </w:r>
      <w:r>
        <w:t xml:space="preserve"> </w:t>
      </w:r>
      <w:r>
        <w:t xml:space="preserve">-250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200 €</w:t>
      </w:r>
      <w:r>
        <w:t xml:space="preserve"> </w:t>
      </w:r>
      <w:r>
        <w:t xml:space="preserve">150 €</w:t>
      </w:r>
      <w:r>
        <w:t xml:space="preserve"> </w:t>
      </w:r>
      <w:r>
        <w:t xml:space="preserve">100 €</w:t>
      </w:r>
      <w:r>
        <w:t xml:space="preserve"> </w:t>
      </w:r>
      <w:r>
        <w:t xml:space="preserve">50 €</w:t>
      </w:r>
      <w:r>
        <w:t xml:space="preserve"> </w:t>
      </w:r>
      <w:r>
        <w:t xml:space="preserve">20 €</w:t>
      </w:r>
      <w:r>
        <w:t xml:space="preserve"> </w:t>
      </w:r>
      <w:r>
        <w:t xml:space="preserve">10 €</w:t>
      </w:r>
      <w:r>
        <w:t xml:space="preserve"> </w:t>
      </w:r>
      <w:r>
        <w:t xml:space="preserve">0 €</w:t>
      </w:r>
    </w:p>
    <w:p>
      <w:pPr>
        <w:pStyle w:val="BodyText"/>
      </w:pPr>
      <w:r>
        <w:t xml:space="preserve">130</w:t>
      </w:r>
    </w:p>
    <w:p>
      <w:pPr>
        <w:pStyle w:val="Compact"/>
        <w:numPr>
          <w:ilvl w:val="0"/>
          <w:numId w:val="1082"/>
        </w:numPr>
      </w:pPr>
      <w:r>
        <w:t xml:space="preserve">An ‘upper level’, showing an upper boundary of the LULUCF net removals,</w:t>
      </w:r>
      <w:r>
        <w:t xml:space="preserve"> </w:t>
      </w:r>
      <w:r>
        <w:t xml:space="preserve">which is technically implemented in the modelling by applying a carbon value of</w:t>
      </w:r>
      <w:r>
        <w:t xml:space="preserve"> </w:t>
      </w:r>
      <w:r>
        <w:t xml:space="preserve">200 €/tCO2-eq (which translates into higher net removals than in the “central”</w:t>
      </w:r>
      <w:r>
        <w:t xml:space="preserve"> </w:t>
      </w:r>
      <w:r>
        <w:t xml:space="preserve">level).</w:t>
      </w:r>
      <w:r>
        <w:br/>
      </w:r>
      <w:r>
        <w:t xml:space="preserve">To calculate the overall net GHGs of the scenarios across the economy (see section 1.1),</w:t>
      </w:r>
      <w:r>
        <w:t xml:space="preserve"> </w:t>
      </w:r>
      <w:r>
        <w:t xml:space="preserve">the “Central” level of net LULUCF removals is applied for all scenarios in 2040 and</w:t>
      </w:r>
      <w:r>
        <w:t xml:space="preserve"> </w:t>
      </w:r>
      <w:r>
        <w:t xml:space="preserve">2050, except for S1 in 2040, which applies the “Lower level”.</w:t>
      </w:r>
      <w:r>
        <w:t xml:space="preserve"> </w:t>
      </w:r>
      <w:r>
        <w:t xml:space="preserve">Figure 95 provides an overview of the LULUCF emissions and removals and the</w:t>
      </w:r>
      <w:r>
        <w:t xml:space="preserve"> </w:t>
      </w:r>
      <w:r>
        <w:t xml:space="preserve">corresponding evolution of the central level as well as the range (i.e., lower and upper</w:t>
      </w:r>
      <w:r>
        <w:t xml:space="preserve"> </w:t>
      </w:r>
      <w:r>
        <w:t xml:space="preserve">level) of the LULUCF net removals for the different scenarios. The difference across</w:t>
      </w:r>
      <w:r>
        <w:t xml:space="preserve"> </w:t>
      </w:r>
      <w:r>
        <w:t xml:space="preserve">scenarios in terms of energy demand translate in differences into forest sink levels as</w:t>
      </w:r>
      <w:r>
        <w:t xml:space="preserve"> </w:t>
      </w:r>
      <w:r>
        <w:t xml:space="preserve">well as different emission levels in cropland. Carbon stored in harvested wood products,</w:t>
      </w:r>
      <w:r>
        <w:t xml:space="preserve"> </w:t>
      </w:r>
      <w:r>
        <w:t xml:space="preserve">and emissions from grassland, settlements and other land, as well as from drained</w:t>
      </w:r>
      <w:r>
        <w:t xml:space="preserve"> </w:t>
      </w:r>
      <w:r>
        <w:t xml:space="preserve">wetlands remain fairly similar across scenarios.</w:t>
      </w:r>
      <w:r>
        <w:br/>
      </w:r>
      <w:r>
        <w:t xml:space="preserve">S2, and S3 show very similar net removal levels in 2040 of about -320 MtCO2-eq. S1</w:t>
      </w:r>
      <w:r>
        <w:t xml:space="preserve"> </w:t>
      </w:r>
      <w:r>
        <w:t xml:space="preserve">shows much smaller net removals in 2040 of about -220 MtCO2-eq due to less nature-</w:t>
      </w:r>
      <w:r>
        <w:t xml:space="preserve"> </w:t>
      </w:r>
      <w:r>
        <w:t xml:space="preserve">based removals from cropland, grassland, and forest land. Furthermore, S2 and S3 show</w:t>
      </w:r>
      <w:r>
        <w:t xml:space="preserve"> </w:t>
      </w:r>
      <w:r>
        <w:t xml:space="preserve">higher removals from cropland due to more plantation of lignocellulosic crops in 2040</w:t>
      </w:r>
      <w:r>
        <w:t xml:space="preserve"> </w:t>
      </w:r>
      <w:r>
        <w:t xml:space="preserve">(183).</w:t>
      </w:r>
      <w:r>
        <w:br/>
      </w:r>
      <w:r>
        <w:t xml:space="preserve">2050 illustrates a general increase in the net removals across all scenarios by roughly 15</w:t>
      </w:r>
      <w:r>
        <w:t xml:space="preserve"> </w:t>
      </w:r>
      <w:r>
        <w:t xml:space="preserve">MtCO2-eq (S2, S3) to 120 MtCO2-eq (S1), reaching -330 to -340 MtCO2-eq. Despite this</w:t>
      </w:r>
      <w:r>
        <w:t xml:space="preserve"> </w:t>
      </w:r>
      <w:r>
        <w:t xml:space="preserve">average increase by 2050, the range illustrates that the net removal depends considerably</w:t>
      </w:r>
      <w:r>
        <w:t xml:space="preserve"> </w:t>
      </w:r>
      <w:r>
        <w:t xml:space="preserve">on the capacity of policies to safeguard the net removal to fall below the 2030 target or,</w:t>
      </w:r>
      <w:r>
        <w:t xml:space="preserve"> </w:t>
      </w:r>
      <w:r>
        <w:t xml:space="preserve">conversely, to deliver a stronger contribution towards climate neutrality up of about -</w:t>
      </w:r>
      <w:r>
        <w:t xml:space="preserve"> </w:t>
      </w:r>
      <w:r>
        <w:t xml:space="preserve">400 MtCO2-eq.</w:t>
      </w:r>
      <w:r>
        <w:br/>
      </w:r>
      <w:r>
        <w:t xml:space="preserve">LIFE produces a higher LULUCF net removal, because agricultural land is converted</w:t>
      </w:r>
      <w:r>
        <w:t xml:space="preserve"> </w:t>
      </w:r>
      <w:r>
        <w:t xml:space="preserve">into high-diversity landscape elements covered with buffer stripes, hedges and other</w:t>
      </w:r>
      <w:r>
        <w:t xml:space="preserve"> </w:t>
      </w:r>
      <w:r>
        <w:t xml:space="preserve">landscape elements or provided for carbon farming activity (afforestation) which allows</w:t>
      </w:r>
      <w:r>
        <w:t xml:space="preserve"> </w:t>
      </w:r>
      <w:r>
        <w:t xml:space="preserve">for a considerable increase in the forest sink (30 MtCO2-eq) and decreases net emissions</w:t>
      </w:r>
      <w:r>
        <w:t xml:space="preserve"> </w:t>
      </w:r>
      <w:r>
        <w:t xml:space="preserve">on agricultural land (15 MtCO2-eq). The net effect for the LULUCF net removal in LIFE</w:t>
      </w:r>
      <w:r>
        <w:t xml:space="preserve"> </w:t>
      </w:r>
      <w:r>
        <w:t xml:space="preserve">is approximately -45 MtCO2-eq.</w:t>
      </w:r>
    </w:p>
    <w:p>
      <w:pPr>
        <w:pStyle w:val="Compact"/>
        <w:numPr>
          <w:ilvl w:val="0"/>
          <w:numId w:val="1083"/>
        </w:numPr>
      </w:pPr>
      <w:r>
        <w:t xml:space="preserve">Lignocellulosic crops create a singular short-term sink effect, when being planted the first time. This</w:t>
      </w:r>
      <w:r>
        <w:t xml:space="preserve"> </w:t>
      </w:r>
      <w:r>
        <w:t xml:space="preserve">growing carbon stock is resulting in carbon removals in cropland starting by 2035 is fading out by</w:t>
      </w:r>
      <w:r>
        <w:t xml:space="preserve"> </w:t>
      </w:r>
      <w:r>
        <w:t xml:space="preserve">2050 when the carbon pool through these crops has been saturated and no additional carbon removal is</w:t>
      </w:r>
      <w:r>
        <w:t xml:space="preserve"> </w:t>
      </w:r>
      <w:r>
        <w:t xml:space="preserve">achieved. This temporary sink is therefore not a reliable source for the LULUCF sink in the long term.</w:t>
      </w:r>
      <w:r>
        <w:t xml:space="preserve"> </w:t>
      </w:r>
      <w:r>
        <w:t xml:space="preserve">S1 uses less lignocellulosic crops for biofuels compared to S2 and S3.</w:t>
      </w:r>
    </w:p>
    <w:p>
      <w:pPr>
        <w:pStyle w:val="FirstParagraph"/>
      </w:pPr>
      <w:r>
        <w:t xml:space="preserve">131</w:t>
      </w:r>
    </w:p>
    <w:p>
      <w:pPr>
        <w:pStyle w:val="BodyText"/>
      </w:pPr>
      <w:r>
        <w:t xml:space="preserve">Figure 95: LULUCF net removal emissions and removals</w:t>
      </w:r>
    </w:p>
    <w:p>
      <w:pPr>
        <w:pStyle w:val="BodyText"/>
      </w:pPr>
      <w:r>
        <w:t xml:space="preserve">Note: Emissions and removals include all GHG-emissions from the LULUCF sector and are reported in MtCO2-</w:t>
      </w:r>
      <w:r>
        <w:t xml:space="preserve"> </w:t>
      </w:r>
      <w:r>
        <w:t xml:space="preserve">eq. For the calculation of LULUCF net removals of the scenarios in 2040, S1 considers the “lower level”, while</w:t>
      </w:r>
      <w:r>
        <w:t xml:space="preserve"> </w:t>
      </w:r>
      <w:r>
        <w:t xml:space="preserve">S2 and S3 the “central level”. All scenarios consider the “central level” in 2050.</w:t>
      </w:r>
      <w:r>
        <w:t xml:space="preserve"> </w:t>
      </w:r>
      <w:r>
        <w:t xml:space="preserve">Source: UNFCCC 2023, GLOBIOM</w:t>
      </w:r>
      <w:r>
        <w:t xml:space="preserve"> </w:t>
      </w:r>
      <w:r>
        <w:t xml:space="preserve">The ESABCC analysis defines an environmental risk level of 400 MtCO2 per year as a</w:t>
      </w:r>
      <w:r>
        <w:t xml:space="preserve"> </w:t>
      </w:r>
      <w:r>
        <w:t xml:space="preserve">maximum net removals level by 2050 (184). All scenarios analysed in this impact</w:t>
      </w:r>
      <w:r>
        <w:t xml:space="preserve"> </w:t>
      </w:r>
      <w:r>
        <w:t xml:space="preserve">assessment stay below this environmental risk level.</w:t>
      </w:r>
      <w:r>
        <w:br/>
      </w:r>
      <w:r>
        <w:t xml:space="preserve">A complementary analysis scenario S2 was run with the JRC forest sector carbon model</w:t>
      </w:r>
      <w:r>
        <w:t xml:space="preserve"> </w:t>
      </w:r>
      <w:r>
        <w:t xml:space="preserve">(FSCM) to crossvalidate the level of the forest sink and the temporary sink of harvested</w:t>
      </w:r>
      <w:r>
        <w:t xml:space="preserve"> </w:t>
      </w:r>
      <w:r>
        <w:t xml:space="preserve">wood products (HWP), which are the main drivers of the LULUCF removals. The results</w:t>
      </w:r>
      <w:r>
        <w:t xml:space="preserve"> </w:t>
      </w:r>
      <w:r>
        <w:t xml:space="preserve">show similar results across both models for these two major carbon removals</w:t>
      </w:r>
      <w:r>
        <w:t xml:space="preserve"> </w:t>
      </w:r>
      <w:r>
        <w:t xml:space="preserve">categories (185) in the LULUCF sector throughout the period with somewhat higher</w:t>
      </w:r>
      <w:r>
        <w:t xml:space="preserve"> </w:t>
      </w:r>
      <w:r>
        <w:t xml:space="preserve">projections of net removals with the FSCM for 2040: FSCM projects -334 MtCO2-eq in</w:t>
      </w:r>
      <w:r>
        <w:t xml:space="preserve"> </w:t>
      </w:r>
      <w:r>
        <w:t xml:space="preserve">2030 (compared to -345 MtCO2-eq in GLOBIOM model), -331 MtCO2-eq in 2040</w:t>
      </w:r>
      <w:r>
        <w:t xml:space="preserve"> </w:t>
      </w:r>
      <w:r>
        <w:t xml:space="preserve">(compared to -298 MtCO2-eq in GLOBIOM model) and -347 MtCO2-eq in 2050</w:t>
      </w:r>
      <w:r>
        <w:t xml:space="preserve"> </w:t>
      </w:r>
      <w:r>
        <w:t xml:space="preserve">(compared to -333 MtCO2-eq in GLOBIOM model).</w:t>
      </w:r>
      <w:r>
        <w:br/>
      </w:r>
      <w:r>
        <w:t xml:space="preserve">1.8.4.2.Sensitivity of the LULUCF net removals to woody biomass use</w:t>
      </w:r>
      <w:r>
        <w:t xml:space="preserve"> </w:t>
      </w:r>
      <w:r>
        <w:t xml:space="preserve">The scenario S3 relies significantly more than S1 and S2 on industrial carbon removals</w:t>
      </w:r>
      <w:r>
        <w:t xml:space="preserve"> </w:t>
      </w:r>
      <w:r>
        <w:t xml:space="preserve">from DACCS and on e-fuels, two novel technologies with uncertain deployment</w:t>
      </w:r>
    </w:p>
    <w:p>
      <w:pPr>
        <w:pStyle w:val="Compact"/>
        <w:numPr>
          <w:ilvl w:val="0"/>
          <w:numId w:val="1084"/>
        </w:numPr>
      </w:pPr>
      <w:r>
        <w:t xml:space="preserve">This risk level was based on research by Pilli et al. (2022) who provide as a probable range of -100</w:t>
      </w:r>
      <w:r>
        <w:t xml:space="preserve"> </w:t>
      </w:r>
      <w:r>
        <w:t xml:space="preserve">to -400 MtCO2-eq for the LULUCF net removals in 2050 taking future climate change impacts based</w:t>
      </w:r>
      <w:r>
        <w:t xml:space="preserve"> </w:t>
      </w:r>
      <w:r>
        <w:t xml:space="preserve">on RCP 2.6 into account. Scenarios exceeding the upper bound of -400 MtCO2-eq may rely on</w:t>
      </w:r>
      <w:r>
        <w:t xml:space="preserve"> </w:t>
      </w:r>
      <w:r>
        <w:t xml:space="preserve">implausibly high LULUCF net removal levels.</w:t>
      </w:r>
    </w:p>
    <w:p>
      <w:pPr>
        <w:pStyle w:val="Compact"/>
        <w:numPr>
          <w:ilvl w:val="0"/>
          <w:numId w:val="1084"/>
        </w:numPr>
      </w:pPr>
      <w:r>
        <w:t xml:space="preserve">Carbon removals from Forest land and harvested wood products from both models are compared</w:t>
      </w:r>
      <w:r>
        <w:t xml:space="preserve"> </w:t>
      </w:r>
      <w:r>
        <w:t xml:space="preserve">against each other in an aggregated form because neither of the two subcomponents deviated</w:t>
      </w:r>
      <w:r>
        <w:t xml:space="preserve"> </w:t>
      </w:r>
      <w:r>
        <w:t xml:space="preserve">systematically from that aggregate. The numbers are missing emissions from other lands and do not</w:t>
      </w:r>
      <w:r>
        <w:t xml:space="preserve"> </w:t>
      </w:r>
      <w:r>
        <w:t xml:space="preserve">show the total LULUCF net removal. The GLOBIOM model numbers derive from the central level</w:t>
      </w:r>
      <w:r>
        <w:t xml:space="preserve"> </w:t>
      </w:r>
      <w:r>
        <w:t xml:space="preserve">LULUCF case with a carbon value of 50 €/tCO2, the JRC FSCM does not make these assumptions</w:t>
      </w:r>
      <w:r>
        <w:t xml:space="preserve"> </w:t>
      </w:r>
      <w:r>
        <w:t xml:space="preserve">and assumes a market-driven process.</w:t>
      </w:r>
      <w:r>
        <w:br/>
      </w:r>
      <w:r>
        <w:t xml:space="preserve">-500</w:t>
      </w:r>
      <w:r>
        <w:t xml:space="preserve"> </w:t>
      </w:r>
      <w:r>
        <w:t xml:space="preserve">-400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MtCO2-eq</w:t>
      </w:r>
      <w:r>
        <w:t xml:space="preserve"> </w:t>
      </w:r>
      <w:r>
        <w:t xml:space="preserve">Harvested Wood</w:t>
      </w:r>
      <w:r>
        <w:t xml:space="preserve"> </w:t>
      </w:r>
      <w:r>
        <w:t xml:space="preserve">Products</w:t>
      </w:r>
      <w:r>
        <w:t xml:space="preserve"> </w:t>
      </w:r>
      <w:r>
        <w:t xml:space="preserve">Forest land</w:t>
      </w:r>
      <w:r>
        <w:t xml:space="preserve"> </w:t>
      </w:r>
      <w:r>
        <w:t xml:space="preserve">Grassland</w:t>
      </w:r>
      <w:r>
        <w:t xml:space="preserve"> </w:t>
      </w:r>
      <w:r>
        <w:t xml:space="preserve">Cropland</w:t>
      </w:r>
      <w:r>
        <w:t xml:space="preserve"> </w:t>
      </w:r>
      <w:r>
        <w:t xml:space="preserve">Wetland</w:t>
      </w:r>
      <w:r>
        <w:t xml:space="preserve"> </w:t>
      </w:r>
      <w:r>
        <w:t xml:space="preserve">Settlements/ Other land</w:t>
      </w:r>
      <w:r>
        <w:t xml:space="preserve"> </w:t>
      </w:r>
      <w:r>
        <w:t xml:space="preserve">lower level</w:t>
      </w:r>
      <w:r>
        <w:t xml:space="preserve"> </w:t>
      </w:r>
      <w:r>
        <w:t xml:space="preserve">central level</w:t>
      </w:r>
    </w:p>
    <w:p>
      <w:pPr>
        <w:pStyle w:val="FirstParagraph"/>
      </w:pPr>
      <w:r>
        <w:t xml:space="preserve">132</w:t>
      </w:r>
    </w:p>
    <w:p>
      <w:pPr>
        <w:pStyle w:val="BodyText"/>
      </w:pPr>
      <w:r>
        <w:t xml:space="preserve">prospects, which could be substituted by biomass-based options (respectively BECCS</w:t>
      </w:r>
      <w:r>
        <w:t xml:space="preserve"> </w:t>
      </w:r>
      <w:r>
        <w:t xml:space="preserve">and 2nd generation biofuels).</w:t>
      </w:r>
      <w:r>
        <w:br/>
      </w:r>
      <w:r>
        <w:t xml:space="preserve">To assess the risks for LULUCF net removals from a higher uptake of biomass, a</w:t>
      </w:r>
      <w:r>
        <w:t xml:space="preserve"> </w:t>
      </w:r>
      <w:r>
        <w:t xml:space="preserve">sensitivity analysis was produced with the GLOBIOM model based on the scenario S3</w:t>
      </w:r>
      <w:r>
        <w:t xml:space="preserve"> </w:t>
      </w:r>
      <w:r>
        <w:t xml:space="preserve">simulating a higher demand of 20 Mtoe of woody biomass, to showcase the worst</w:t>
      </w:r>
      <w:r>
        <w:t xml:space="preserve"> </w:t>
      </w:r>
      <w:r>
        <w:t xml:space="preserve">possible impact on the LULUCF net removals. The increased demand of woody biomass</w:t>
      </w:r>
      <w:r>
        <w:t xml:space="preserve"> </w:t>
      </w:r>
      <w:r>
        <w:t xml:space="preserve">results in a decrease of the LULUCF net removals by around 100 MtCO2-eq in 2040, and</w:t>
      </w:r>
      <w:r>
        <w:t xml:space="preserve"> </w:t>
      </w:r>
      <w:r>
        <w:t xml:space="preserve">around 65 MtCO2-eq in 2050. However, if additional biomass would originate from other</w:t>
      </w:r>
      <w:r>
        <w:t xml:space="preserve"> </w:t>
      </w:r>
      <w:r>
        <w:t xml:space="preserve">sources such as secondary residues, used wood products, lignocellulosic crops, or other</w:t>
      </w:r>
      <w:r>
        <w:t xml:space="preserve"> </w:t>
      </w:r>
      <w:r>
        <w:t xml:space="preserve">waste, the impact on the sink would be much more limited. Still, the analysis shows that</w:t>
      </w:r>
      <w:r>
        <w:t xml:space="preserve"> </w:t>
      </w:r>
      <w:r>
        <w:t xml:space="preserve">the mitigation obtained from a high use of bioenergy, associated to for instance BECCS,</w:t>
      </w:r>
      <w:r>
        <w:t xml:space="preserve"> </w:t>
      </w:r>
      <w:r>
        <w:t xml:space="preserve">needs to be compared with the possible corresponding losses in the LULUCF net</w:t>
      </w:r>
      <w:r>
        <w:t xml:space="preserve"> </w:t>
      </w:r>
      <w:r>
        <w:t xml:space="preserve">removals (186) (187), depending on the biomass type.</w:t>
      </w:r>
      <w:r>
        <w:t xml:space="preserve"> </w:t>
      </w:r>
      <w:r>
        <w:t xml:space="preserve">1.8.5. Analysis of climate change impacts and CO2 fertilisation</w:t>
      </w:r>
      <w:r>
        <w:t xml:space="preserve"> </w:t>
      </w:r>
      <w:r>
        <w:t xml:space="preserve">Increasing climate change and GHG emissions have the potential to affect the LULUCF</w:t>
      </w:r>
      <w:r>
        <w:t xml:space="preserve"> </w:t>
      </w:r>
      <w:r>
        <w:t xml:space="preserve">sector, both in a negative (e.g., from lower rainfall, natural disturbances, extreme heat)</w:t>
      </w:r>
      <w:r>
        <w:t xml:space="preserve"> </w:t>
      </w:r>
      <w:r>
        <w:t xml:space="preserve">and beneficial way (e.g., from CO2 fertilisation, extended growing seasons) (188). What</w:t>
      </w:r>
      <w:r>
        <w:t xml:space="preserve"> </w:t>
      </w:r>
      <w:r>
        <w:t xml:space="preserve">remains certain however is that the forest net removals are threatened by climate impacts</w:t>
      </w:r>
      <w:r>
        <w:t xml:space="preserve"> </w:t>
      </w:r>
      <w:r>
        <w:t xml:space="preserve">and their future robustness is far from guaranteed. Hence, there exist large uncertainties</w:t>
      </w:r>
      <w:r>
        <w:t xml:space="preserve"> </w:t>
      </w:r>
      <w:r>
        <w:t xml:space="preserve">on the future capacity of the LULUCF net removal due to the complex impacts of both</w:t>
      </w:r>
      <w:r>
        <w:t xml:space="preserve"> </w:t>
      </w:r>
      <w:r>
        <w:t xml:space="preserve">human and natural drivers. Consequently, high uncertainties in current and future levels</w:t>
      </w:r>
      <w:r>
        <w:t xml:space="preserve"> </w:t>
      </w:r>
      <w:r>
        <w:t xml:space="preserve">of nature-based carbon removals mean that it may not be precisely known if the</w:t>
      </w:r>
      <w:r>
        <w:t xml:space="preserve"> </w:t>
      </w:r>
      <w:r>
        <w:t xml:space="preserve">LULUCF net removal is on track to match the required size in the scenarios (189). It is</w:t>
      </w:r>
      <w:r>
        <w:t xml:space="preserve"> </w:t>
      </w:r>
      <w:r>
        <w:t xml:space="preserve">important to stress that water availability plays a crucial role for EU’s forests. It appears</w:t>
      </w:r>
      <w:r>
        <w:t xml:space="preserve"> </w:t>
      </w:r>
      <w:r>
        <w:t xml:space="preserve">that impact of climate change on forest productivity depends strongly on water</w:t>
      </w:r>
      <w:r>
        <w:t xml:space="preserve"> </w:t>
      </w:r>
      <w:r>
        <w:t xml:space="preserve">availability (190) (191). While the impact of climate change on precipitation levels can be</w:t>
      </w:r>
    </w:p>
    <w:p>
      <w:pPr>
        <w:pStyle w:val="Compact"/>
        <w:numPr>
          <w:ilvl w:val="0"/>
          <w:numId w:val="1085"/>
        </w:numPr>
      </w:pPr>
      <w:r>
        <w:t xml:space="preserve">Because the model assumes only sustainable harvest, yearly harvesting levels cannot exceed the yearly</w:t>
      </w:r>
      <w:r>
        <w:t xml:space="preserve"> </w:t>
      </w:r>
      <w:r>
        <w:t xml:space="preserve">increment from growth. The higher bioenergy demand therefore leads to price feedbacks on biomass</w:t>
      </w:r>
      <w:r>
        <w:t xml:space="preserve"> </w:t>
      </w:r>
      <w:r>
        <w:t xml:space="preserve">for materials, leading to a decline in material demands for harvested wood products.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Merfort, L., et al., ‘Bioenergy-induced land-use-change emissions with sectorally fragmented policies’</w:t>
      </w:r>
      <w:r>
        <w:t xml:space="preserve"> </w:t>
      </w:r>
      <w:r>
        <w:t xml:space="preserve">Nature climate change, 2023</w:t>
      </w:r>
    </w:p>
    <w:p>
      <w:pPr>
        <w:pStyle w:val="Compact"/>
        <w:numPr>
          <w:ilvl w:val="0"/>
          <w:numId w:val="1085"/>
        </w:numPr>
      </w:pPr>
      <w:r>
        <w:t xml:space="preserve">It should be noted that the valence of an impact depends on different factors and therefore even natural</w:t>
      </w:r>
      <w:r>
        <w:t xml:space="preserve"> </w:t>
      </w:r>
      <w:r>
        <w:t xml:space="preserve">disturbances may have long-term beneficial effects for the sink. Thus, the listed examples only</w:t>
      </w:r>
      <w:r>
        <w:t xml:space="preserve"> </w:t>
      </w:r>
      <w:r>
        <w:t xml:space="preserve">illustrate the standard case.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Smith, S. M., Geden, O., Nemet, G., Gidden, M., Lamb, W. F., Powis, C., Bellamy, R., Callaghan, M.,</w:t>
      </w:r>
      <w:r>
        <w:t xml:space="preserve"> </w:t>
      </w:r>
      <w:r>
        <w:t xml:space="preserve">Cowie, A., Cox, E., Fuss, S., Gasser, T., Grassi, G., Greene, J., Lück, S., Mohan, A., Müller-Hansen,</w:t>
      </w:r>
      <w:r>
        <w:t xml:space="preserve"> </w:t>
      </w:r>
      <w:r>
        <w:t xml:space="preserve">F., Peters, G., Pratama, Y., Repke, T., Riahi, K., Schenuit, F., Steinhauser, J., Strefler, J., Valenzuela,</w:t>
      </w:r>
      <w:r>
        <w:t xml:space="preserve"> </w:t>
      </w:r>
      <w:r>
        <w:t xml:space="preserve">J. M., and Minx, J. C. (2023). The State of Carbon Dioxide Removal - 1st Edition. Available at:</w:t>
      </w:r>
      <w:r>
        <w:t xml:space="preserve"> </w:t>
      </w:r>
      <w:r>
        <w:t xml:space="preserve">https://www.stateofcdr.org</w:t>
      </w:r>
    </w:p>
    <w:p>
      <w:pPr>
        <w:pStyle w:val="Compact"/>
        <w:numPr>
          <w:ilvl w:val="0"/>
          <w:numId w:val="1085"/>
        </w:numPr>
      </w:pPr>
      <w:r>
        <w:t xml:space="preserve">Pastor, J., &amp; Post, W. M. (1988). Response of northern forests to CO2-induced climate change.</w:t>
      </w:r>
      <w:r>
        <w:t xml:space="preserve"> </w:t>
      </w:r>
      <w:r>
        <w:t xml:space="preserve">Nature, 334(6177), 55-58.</w:t>
      </w:r>
    </w:p>
    <w:p>
      <w:pPr>
        <w:pStyle w:val="Compact"/>
        <w:numPr>
          <w:ilvl w:val="0"/>
          <w:numId w:val="1085"/>
        </w:numPr>
      </w:pPr>
      <w:r>
        <w:t xml:space="preserve">Ruiz-Benito, P., Madrigal-Gonzalez, J., Ratcliffe, S., Coomes, D. A., Kändler, G., Lehtonen, A., … &amp;</w:t>
      </w:r>
      <w:r>
        <w:t xml:space="preserve"> </w:t>
      </w:r>
      <w:r>
        <w:t xml:space="preserve">Zavala, M. A. (2014). Stand structure and recent climate change constrain stand basal area change in</w:t>
      </w:r>
      <w:r>
        <w:t xml:space="preserve"> </w:t>
      </w:r>
      <w:r>
        <w:t xml:space="preserve">European forests: a comparison across boreal, temperate, and Mediterranean biomes. Ecosystems, 17,</w:t>
      </w:r>
      <w:r>
        <w:t xml:space="preserve"> </w:t>
      </w:r>
      <w:r>
        <w:t xml:space="preserve">1439-1454.</w:t>
      </w:r>
    </w:p>
    <w:p>
      <w:pPr>
        <w:pStyle w:val="FirstParagraph"/>
      </w:pPr>
      <w:r>
        <w:t xml:space="preserve">133</w:t>
      </w:r>
    </w:p>
    <w:p>
      <w:pPr>
        <w:pStyle w:val="BodyText"/>
      </w:pPr>
      <w:r>
        <w:t xml:space="preserve">modelled, it is difficult to assess the full impact of climate change on regional water</w:t>
      </w:r>
      <w:r>
        <w:t xml:space="preserve"> </w:t>
      </w:r>
      <w:r>
        <w:t xml:space="preserve">availability including groundwater levels because of high cascading uncertainties.</w:t>
      </w:r>
      <w:r>
        <w:t xml:space="preserve"> </w:t>
      </w:r>
      <w:r>
        <w:t xml:space="preserve">To assess these uncertainties, climate change impacts of different warming potentials</w:t>
      </w:r>
      <w:r>
        <w:t xml:space="preserve"> </w:t>
      </w:r>
      <w:r>
        <w:t xml:space="preserve">were modelled in GLOBIOM, taking different drivers such as an increase of CO2,</w:t>
      </w:r>
      <w:r>
        <w:t xml:space="preserve"> </w:t>
      </w:r>
      <w:r>
        <w:t xml:space="preserve">extended growing seasons, a higher frequency of natural disturbances and changing</w:t>
      </w:r>
      <w:r>
        <w:t xml:space="preserve"> </w:t>
      </w:r>
      <w:r>
        <w:t xml:space="preserve">precipitation levels into account (192). Starting from the evolution of LULUCF net</w:t>
      </w:r>
      <w:r>
        <w:t xml:space="preserve"> </w:t>
      </w:r>
      <w:r>
        <w:t xml:space="preserve">removals in absence of dedicated policies, two different representative concentration</w:t>
      </w:r>
      <w:r>
        <w:t xml:space="preserve"> </w:t>
      </w:r>
      <w:r>
        <w:t xml:space="preserve">pathways for GHG concentrations (RCPs) 2.6 and 7.0 are used to illustrate the range of</w:t>
      </w:r>
      <w:r>
        <w:t xml:space="preserve"> </w:t>
      </w:r>
      <w:r>
        <w:t xml:space="preserve">impacts through different levels of global warming (193), and four different climate</w:t>
      </w:r>
      <w:r>
        <w:t xml:space="preserve"> </w:t>
      </w:r>
      <w:r>
        <w:t xml:space="preserve">models were used per RCP to estimate the range of possible outcomes (194). Furthermore,</w:t>
      </w:r>
      <w:r>
        <w:t xml:space="preserve"> </w:t>
      </w:r>
      <w:r>
        <w:t xml:space="preserve">because the magnitude of the CO2 fertilisation effect on forest growth is still part of a</w:t>
      </w:r>
      <w:r>
        <w:t xml:space="preserve"> </w:t>
      </w:r>
      <w:r>
        <w:t xml:space="preserve">scientific debate (195) (196), the eight trajectories are assessed both with and without</w:t>
      </w:r>
      <w:r>
        <w:t xml:space="preserve"> </w:t>
      </w:r>
      <w:r>
        <w:t xml:space="preserve">persistent CO2-fertilisation. To illustrate the entire range of uncertainty, all 16 climate</w:t>
      </w:r>
      <w:r>
        <w:t xml:space="preserve"> </w:t>
      </w:r>
      <w:r>
        <w:t xml:space="preserve">impact trajectories entail an additional soil related range due to uncertainty of the to</w:t>
      </w:r>
      <w:r>
        <w:t xml:space="preserve"> </w:t>
      </w:r>
      <w:r>
        <w:t xml:space="preserve">heterotrophic respiration (i.e., soil, deadwood and litter decomposition rates), which vary</w:t>
      </w:r>
      <w:r>
        <w:t xml:space="preserve"> </w:t>
      </w:r>
      <w:r>
        <w:t xml:space="preserve">by different degrees of climate change (197).</w:t>
      </w:r>
      <w:r>
        <w:br/>
      </w:r>
      <w:r>
        <w:t xml:space="preserve">Even though climate change impacts vary on the different activities such as forest</w:t>
      </w:r>
      <w:r>
        <w:t xml:space="preserve"> </w:t>
      </w:r>
      <w:r>
        <w:t xml:space="preserve">management, cropland management, grassland management, and harvested wood</w:t>
      </w:r>
      <w:r>
        <w:t xml:space="preserve"> </w:t>
      </w:r>
      <w:r>
        <w:t xml:space="preserve">products the most severe impact is on forests and to a lesser extent on harvested wood</w:t>
      </w:r>
      <w:r>
        <w:t xml:space="preserve"> </w:t>
      </w:r>
      <w:r>
        <w:t xml:space="preserve">products. The impact on forest depends on several factors such as the species used in</w:t>
      </w:r>
      <w:r>
        <w:t xml:space="preserve"> </w:t>
      </w:r>
      <w:r>
        <w:t xml:space="preserve">forests, water availability in different regions, and CO2 fertilisation.</w:t>
      </w:r>
      <w:r>
        <w:br/>
      </w:r>
      <w:r>
        <w:t xml:space="preserve">Figure 96 shows a very wide range for the EU LULUCF net removal due to the effects of</w:t>
      </w:r>
      <w:r>
        <w:t xml:space="preserve"> </w:t>
      </w:r>
      <w:r>
        <w:t xml:space="preserve">climate change. The range shows a deviation from the standard projection in 2040 by 68</w:t>
      </w:r>
    </w:p>
    <w:p>
      <w:pPr>
        <w:pStyle w:val="Compact"/>
        <w:numPr>
          <w:ilvl w:val="0"/>
          <w:numId w:val="1086"/>
        </w:numPr>
      </w:pPr>
      <w:r>
        <w:t xml:space="preserve">As factors were considered climate change impacts (temperature, precipitation, vapor pressure</w:t>
      </w:r>
      <w:r>
        <w:t xml:space="preserve"> </w:t>
      </w:r>
      <w:r>
        <w:t xml:space="preserve">deficit), increased in damage of wood due to natural disturbances (wind damage, fire, and instect</w:t>
      </w:r>
      <w:r>
        <w:t xml:space="preserve"> </w:t>
      </w:r>
      <w:r>
        <w:t xml:space="preserve">damage) as well as CO2 fertilisation.</w:t>
      </w:r>
      <w:r>
        <w:br/>
      </w:r>
    </w:p>
    <w:p>
      <w:pPr>
        <w:pStyle w:val="Compact"/>
        <w:numPr>
          <w:ilvl w:val="0"/>
          <w:numId w:val="1086"/>
        </w:numPr>
      </w:pPr>
      <w:r>
        <w:t xml:space="preserve">RCP 2.6 is associated with a best estimate long-term temperature increase until 2100 of 1.8°C,</w:t>
      </w:r>
      <w:r>
        <w:t xml:space="preserve"> </w:t>
      </w:r>
      <w:r>
        <w:t xml:space="preserve">therefore assuming coordinated global action to keep climate change below 2.0°C. RCP 7.0 represents</w:t>
      </w:r>
      <w:r>
        <w:t xml:space="preserve"> </w:t>
      </w:r>
      <w:r>
        <w:t xml:space="preserve">a medium-to-high end of range of emissions and associated global warming, associated to a baseline</w:t>
      </w:r>
      <w:r>
        <w:t xml:space="preserve"> </w:t>
      </w:r>
      <w:r>
        <w:t xml:space="preserve">outcome rather than ambitious climate action on a global level and results in 3.6 °C long-term</w:t>
      </w:r>
      <w:r>
        <w:t xml:space="preserve"> </w:t>
      </w:r>
      <w:r>
        <w:t xml:space="preserve">temperature increase until 2100.</w:t>
      </w:r>
    </w:p>
    <w:p>
      <w:pPr>
        <w:pStyle w:val="Compact"/>
        <w:numPr>
          <w:ilvl w:val="0"/>
          <w:numId w:val="1086"/>
        </w:numPr>
      </w:pPr>
      <w:r>
        <w:t xml:space="preserve">UKESM1-0-LL - The UKESM1.0-N96ORCA1 climate model run by the Met Office Hadley Centre,</w:t>
      </w:r>
      <w:r>
        <w:t xml:space="preserve"> </w:t>
      </w:r>
      <w:r>
        <w:t xml:space="preserve">UK; IPSL-CM6A-LR - The IPSL-CM6A-LR climate model run by the Institute Pierre Simon Laplace,</w:t>
      </w:r>
      <w:r>
        <w:t xml:space="preserve"> </w:t>
      </w:r>
      <w:r>
        <w:t xml:space="preserve">France; GFDL-ESM4 - The GFDL-ESM4 climate model run by the National Oceanic and</w:t>
      </w:r>
      <w:r>
        <w:t xml:space="preserve"> </w:t>
      </w:r>
      <w:r>
        <w:t xml:space="preserve">Atmospheric Administration, Geophysical Fluid Dynamics Laboratory, USA; MPI-ESM1-2-HR - The</w:t>
      </w:r>
      <w:r>
        <w:t xml:space="preserve"> </w:t>
      </w:r>
      <w:r>
        <w:t xml:space="preserve">MPI-ESM1.2-HR climate model run by the Deutsches Klimarechenzentrum, Germany</w:t>
      </w:r>
      <w:r>
        <w:br/>
      </w:r>
    </w:p>
    <w:p>
      <w:pPr>
        <w:pStyle w:val="Compact"/>
        <w:numPr>
          <w:ilvl w:val="0"/>
          <w:numId w:val="1086"/>
        </w:numPr>
      </w:pPr>
      <w:r>
        <w:t xml:space="preserve">Jiang, M., Medlyn, B.E., Drake, J.E. et al., ‘The fate of carbon in a mature forest under carbon dioxide</w:t>
      </w:r>
      <w:r>
        <w:t xml:space="preserve"> </w:t>
      </w:r>
      <w:r>
        <w:t xml:space="preserve">enrichment’, Nature, 580, 227–231, 2020.</w:t>
      </w:r>
    </w:p>
    <w:p>
      <w:pPr>
        <w:pStyle w:val="Compact"/>
        <w:numPr>
          <w:ilvl w:val="0"/>
          <w:numId w:val="1086"/>
        </w:numPr>
      </w:pPr>
      <w:r>
        <w:t xml:space="preserve">Haverd, V., Smith, B., Canadell, J.G., Cuntz, M., Mikaloff‐Fletcher, S., Farquhar, G., Woodgate, W.,</w:t>
      </w:r>
      <w:r>
        <w:t xml:space="preserve"> </w:t>
      </w:r>
      <w:r>
        <w:t xml:space="preserve">Briggs, P.R. and Trudinger, C.M., ‘Higher than expected CO2 fertilization inferred from leaf to global</w:t>
      </w:r>
      <w:r>
        <w:t xml:space="preserve"> </w:t>
      </w:r>
      <w:r>
        <w:t xml:space="preserve">observations’, Global Change Biology, 26,4, 2390-2402, 2020.</w:t>
      </w:r>
    </w:p>
    <w:p>
      <w:pPr>
        <w:pStyle w:val="Compact"/>
        <w:numPr>
          <w:ilvl w:val="0"/>
          <w:numId w:val="1086"/>
        </w:numPr>
      </w:pPr>
      <w:r>
        <w:t xml:space="preserve">The uncertainty is caused by changes in mortality and foliage/root turnover rates, as well as the</w:t>
      </w:r>
      <w:r>
        <w:t xml:space="preserve"> </w:t>
      </w:r>
      <w:r>
        <w:t xml:space="preserve">influence of temperature and precipitation on the decomposition rates of these carbon pools. The</w:t>
      </w:r>
      <w:r>
        <w:t xml:space="preserve"> </w:t>
      </w:r>
      <w:r>
        <w:t xml:space="preserve">different climate change trajectories entail different rates of carbon input to the soil (due to changes in</w:t>
      </w:r>
      <w:r>
        <w:t xml:space="preserve"> </w:t>
      </w:r>
      <w:r>
        <w:t xml:space="preserve">forest dynamics) and different decomposition rates of deadwood, litter and soil carbon, resulting from</w:t>
      </w:r>
      <w:r>
        <w:t xml:space="preserve"> </w:t>
      </w:r>
      <w:r>
        <w:t xml:space="preserve">changes in temperature and precipitation.</w:t>
      </w:r>
    </w:p>
    <w:p>
      <w:pPr>
        <w:pStyle w:val="FirstParagraph"/>
      </w:pPr>
      <w:r>
        <w:t xml:space="preserve">134</w:t>
      </w:r>
    </w:p>
    <w:p>
      <w:pPr>
        <w:pStyle w:val="BodyText"/>
      </w:pPr>
      <w:r>
        <w:t xml:space="preserve">MtCO2-eq to the upper bound (maximum net removals level) and 111 MtCO2-eq to the</w:t>
      </w:r>
      <w:r>
        <w:t xml:space="preserve"> </w:t>
      </w:r>
      <w:r>
        <w:t xml:space="preserve">lower bound (minimum net removals level). In 2050 the unsecurity increases further,</w:t>
      </w:r>
      <w:r>
        <w:t xml:space="preserve"> </w:t>
      </w:r>
      <w:r>
        <w:t xml:space="preserve">resulting in a range with a deviation of 84 MtCO2-eq to the upper bound and 133</w:t>
      </w:r>
      <w:r>
        <w:t xml:space="preserve"> </w:t>
      </w:r>
      <w:r>
        <w:t xml:space="preserve">MtCO2-eq to the lower bound. Hence, depending on RCP, climate model and CO2</w:t>
      </w:r>
      <w:r>
        <w:t xml:space="preserve"> </w:t>
      </w:r>
      <w:r>
        <w:t xml:space="preserve">fertilisation, the analysis projects for 2050 a possible range of net removals between</w:t>
      </w:r>
      <w:r>
        <w:t xml:space="preserve"> </w:t>
      </w:r>
      <w:r>
        <w:t xml:space="preserve">roughly -70 MtCO2-eq and -290 MtCO2-eq (in absence of additional LULUCF policies).</w:t>
      </w:r>
      <w:r>
        <w:t xml:space="preserve"> </w:t>
      </w:r>
      <w:r>
        <w:t xml:space="preserve">The finding is corroborated by other analyses (198) and also roughly concurs with the</w:t>
      </w:r>
      <w:r>
        <w:t xml:space="preserve"> </w:t>
      </w:r>
      <w:r>
        <w:t xml:space="preserve">identified range of -100 to -400 MtCO2-eq for the LULUCF net removal by 2050, as</w:t>
      </w:r>
      <w:r>
        <w:t xml:space="preserve"> </w:t>
      </w:r>
      <w:r>
        <w:t xml:space="preserve">mentioned by the ESABCC, when taking future impacts of climate change into account.</w:t>
      </w:r>
      <w:r>
        <w:br/>
      </w:r>
      <w:r>
        <w:t xml:space="preserve">Figure 96: Estimated climate change impacts on LULUCF net removal in EU</w:t>
      </w:r>
    </w:p>
    <w:p>
      <w:pPr>
        <w:pStyle w:val="BodyText"/>
      </w:pPr>
      <w:r>
        <w:t xml:space="preserve">Note: The graph displays a model-based projection of the development of the LULUCF net removal in absence</w:t>
      </w:r>
      <w:r>
        <w:t xml:space="preserve"> </w:t>
      </w:r>
      <w:r>
        <w:t xml:space="preserve">of dedicated mitigation policies [lower level]. The historical trajectory shows the historical inventory data based</w:t>
      </w:r>
      <w:r>
        <w:t xml:space="preserve"> </w:t>
      </w:r>
      <w:r>
        <w:t xml:space="preserve">on UNFCCC 2023. and the ‘projection’ shows the trajectory of the LULUCF net removal without considering the</w:t>
      </w:r>
      <w:r>
        <w:t xml:space="preserve"> </w:t>
      </w:r>
      <w:r>
        <w:t xml:space="preserve">impact of climate change. The different 16 trajectories show RCP 2.6 vs. 7.0 (2) X different climate models (4)</w:t>
      </w:r>
      <w:r>
        <w:t xml:space="preserve"> </w:t>
      </w:r>
      <w:r>
        <w:t xml:space="preserve">X CO2 fertilisation vs. no fertilisation (2). The range illustrates the uncertainty due to climate change impacts</w:t>
      </w:r>
      <w:r>
        <w:t xml:space="preserve"> </w:t>
      </w:r>
      <w:r>
        <w:t xml:space="preserve">across all trajectories including uncertainty on carbon storage in soils.</w:t>
      </w:r>
      <w:r>
        <w:br/>
      </w:r>
      <w:r>
        <w:t xml:space="preserve">Source: GLOBIOM, UNFCCC 2023</w:t>
      </w:r>
      <w:r>
        <w:t xml:space="preserve"> </w:t>
      </w:r>
      <w:r>
        <w:t xml:space="preserve">Taking a closer look at the individual climate scenarios, one can see the important role of</w:t>
      </w:r>
      <w:r>
        <w:t xml:space="preserve"> </w:t>
      </w:r>
      <w:r>
        <w:t xml:space="preserve">CO2 fertilisation (199) and its potential impact on the EU-wide LULUCF net removals.</w:t>
      </w:r>
      <w:r>
        <w:t xml:space="preserve"> </w:t>
      </w:r>
      <w:r>
        <w:t xml:space="preserve">When considering no effect from CO2 fertilisation, all scenarios show a decline in the</w:t>
      </w:r>
      <w:r>
        <w:t xml:space="preserve"> </w:t>
      </w:r>
      <w:r>
        <w:t xml:space="preserve">LULUCF net removals. When including assumptions on effective CO2 fertilisation, the</w:t>
      </w:r>
    </w:p>
    <w:p>
      <w:pPr>
        <w:pStyle w:val="Compact"/>
        <w:numPr>
          <w:ilvl w:val="0"/>
          <w:numId w:val="1087"/>
        </w:numPr>
      </w:pPr>
      <w:r>
        <w:t xml:space="preserve">For example: Pilli, R., ‘The European Forest carbon budget under future climate conditions and</w:t>
      </w:r>
      <w:r>
        <w:t xml:space="preserve"> </w:t>
      </w:r>
      <w:r>
        <w:t xml:space="preserve">current management practices’, Biogeosciences, 19, 3263–3284, 2022.</w:t>
      </w:r>
    </w:p>
    <w:p>
      <w:pPr>
        <w:pStyle w:val="Compact"/>
        <w:numPr>
          <w:ilvl w:val="0"/>
          <w:numId w:val="1087"/>
        </w:numPr>
      </w:pPr>
      <w:r>
        <w:t xml:space="preserve">There is a high confidence among the scientific community of the existence of a positive effect of</w:t>
      </w:r>
      <w:r>
        <w:t xml:space="preserve"> </w:t>
      </w:r>
      <w:r>
        <w:t xml:space="preserve">CO2 fertilisation and extended growing seasons on forests. However, uncertainty remains on the on</w:t>
      </w:r>
      <w:r>
        <w:t xml:space="preserve"> </w:t>
      </w:r>
      <w:r>
        <w:t xml:space="preserve">the size of the effect, IPCC, Summary for Policymakers. In: Climate Change and Land: an IPCC</w:t>
      </w:r>
      <w:r>
        <w:t xml:space="preserve"> </w:t>
      </w:r>
      <w:r>
        <w:t xml:space="preserve">special report on climate change, desertification, land degradation, sustainable land management, food</w:t>
      </w:r>
      <w:r>
        <w:t xml:space="preserve"> </w:t>
      </w:r>
      <w:r>
        <w:t xml:space="preserve">security, and greenhouse gas fluxes in terrestrial ecosystems, 2019.</w:t>
      </w:r>
      <w:r>
        <w:br/>
      </w:r>
      <w:r>
        <w:t xml:space="preserve">-400</w:t>
      </w:r>
      <w:r>
        <w:t xml:space="preserve"> </w:t>
      </w:r>
      <w:r>
        <w:t xml:space="preserve">-350</w:t>
      </w:r>
      <w:r>
        <w:t xml:space="preserve"> </w:t>
      </w:r>
      <w:r>
        <w:t xml:space="preserve">-300</w:t>
      </w:r>
      <w:r>
        <w:t xml:space="preserve"> </w:t>
      </w:r>
      <w:r>
        <w:t xml:space="preserve">-250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2000 2005 2010 2015 2020 2025 2030 2035 2040 2045 2050</w:t>
      </w:r>
      <w:r>
        <w:t xml:space="preserve"> </w:t>
      </w:r>
      <w:r>
        <w:t xml:space="preserve">MtCO2-eq/yr)</w:t>
      </w:r>
      <w:r>
        <w:t xml:space="preserve"> </w:t>
      </w:r>
      <w:r>
        <w:t xml:space="preserve">Range</w:t>
      </w:r>
      <w:r>
        <w:t xml:space="preserve"> </w:t>
      </w:r>
      <w:r>
        <w:t xml:space="preserve">Projection</w:t>
      </w:r>
      <w:r>
        <w:t xml:space="preserve"> </w:t>
      </w:r>
      <w:r>
        <w:t xml:space="preserve">Historical</w:t>
      </w:r>
      <w:r>
        <w:t xml:space="preserve"> </w:t>
      </w:r>
      <w:r>
        <w:t xml:space="preserve">RCP2.6_CO2fert</w:t>
      </w:r>
      <w:r>
        <w:t xml:space="preserve"> </w:t>
      </w:r>
      <w:r>
        <w:t xml:space="preserve">RCP7.0_CO2fert</w:t>
      </w:r>
      <w:r>
        <w:t xml:space="preserve"> </w:t>
      </w:r>
      <w:r>
        <w:t xml:space="preserve">RCP2.6_noCO2fert</w:t>
      </w:r>
      <w:r>
        <w:t xml:space="preserve"> </w:t>
      </w:r>
      <w:r>
        <w:t xml:space="preserve">RCP7.0_noCO2fert</w:t>
      </w:r>
    </w:p>
    <w:p>
      <w:pPr>
        <w:pStyle w:val="FirstParagraph"/>
      </w:pPr>
      <w:r>
        <w:t xml:space="preserve">135</w:t>
      </w:r>
    </w:p>
    <w:p>
      <w:pPr>
        <w:pStyle w:val="BodyText"/>
      </w:pPr>
      <w:r>
        <w:t xml:space="preserve">scenarios show predominantly an increase in the LULUCF net removal in both RCPs.</w:t>
      </w:r>
      <w:r>
        <w:t xml:space="preserve"> </w:t>
      </w:r>
      <w:r>
        <w:t xml:space="preserve">This is because the fertilization effects of increased atmospheric CO2 lead on average to</w:t>
      </w:r>
      <w:r>
        <w:t xml:space="preserve"> </w:t>
      </w:r>
      <w:r>
        <w:t xml:space="preserve">an increase in forest productivity in future climate scenarios. Considering regional</w:t>
      </w:r>
      <w:r>
        <w:t xml:space="preserve"> </w:t>
      </w:r>
      <w:r>
        <w:t xml:space="preserve">variations in climate change effects, the highest gains occurred in the boreal zone,</w:t>
      </w:r>
      <w:r>
        <w:t xml:space="preserve"> </w:t>
      </w:r>
      <w:r>
        <w:t xml:space="preserve">especially central Sweden and Finland, as well as montane areas in central Europe.</w:t>
      </w:r>
      <w:r>
        <w:t xml:space="preserve"> </w:t>
      </w:r>
      <w:r>
        <w:t xml:space="preserve">Mediterranean forests displayed decreases in standing stocks compared to the reference</w:t>
      </w:r>
      <w:r>
        <w:t xml:space="preserve"> </w:t>
      </w:r>
      <w:r>
        <w:t xml:space="preserve">climate, due to the increase in aridity in the region, with lower precipitation and higher</w:t>
      </w:r>
      <w:r>
        <w:t xml:space="preserve"> </w:t>
      </w:r>
      <w:r>
        <w:t xml:space="preserve">temperatures. Hence, it should be noted that the CO2 fertilisation effect varies between</w:t>
      </w:r>
      <w:r>
        <w:t xml:space="preserve"> </w:t>
      </w:r>
      <w:r>
        <w:t xml:space="preserve">tree species and regions.</w:t>
      </w:r>
      <w:r>
        <w:t xml:space="preserve"> </w:t>
      </w:r>
      <w:r>
        <w:t xml:space="preserve">1.8.6. Impacts from simulated extreme events on the LULUCF net removal</w:t>
      </w:r>
      <w:r>
        <w:br/>
      </w:r>
      <w:r>
        <w:t xml:space="preserve">European forests are vulnerable to a variety of disturbances such as windstorms, forest</w:t>
      </w:r>
      <w:r>
        <w:t xml:space="preserve"> </w:t>
      </w:r>
      <w:r>
        <w:t xml:space="preserve">fires, pest attacks, and water scarcity. Climate change is closely linked to these</w:t>
      </w:r>
      <w:r>
        <w:t xml:space="preserve"> </w:t>
      </w:r>
      <w:r>
        <w:t xml:space="preserve">disturbances in Europe, making them more frequent and more severe (200). The hotter and</w:t>
      </w:r>
      <w:r>
        <w:t xml:space="preserve"> </w:t>
      </w:r>
      <w:r>
        <w:t xml:space="preserve">drier conditions in the future due to climate change, the more drought and fire</w:t>
      </w:r>
      <w:r>
        <w:t xml:space="preserve"> </w:t>
      </w:r>
      <w:r>
        <w:t xml:space="preserve">disturbances are expected to increase across Europe, especially in the Mediterranean</w:t>
      </w:r>
      <w:r>
        <w:t xml:space="preserve"> </w:t>
      </w:r>
      <w:r>
        <w:t xml:space="preserve">areas (201). The last decades brought a variety of extreme events with 2022 showing the</w:t>
      </w:r>
      <w:r>
        <w:t xml:space="preserve"> </w:t>
      </w:r>
      <w:r>
        <w:t xml:space="preserve">second largest wildfire burnt area on record in Europe with a total of 900 000 ha burnt</w:t>
      </w:r>
      <w:r>
        <w:t xml:space="preserve"> </w:t>
      </w:r>
      <w:r>
        <w:t xml:space="preserve">across EU countries (202) and unprecedented droughts since 2018 leading to large</w:t>
      </w:r>
      <w:r>
        <w:t xml:space="preserve"> </w:t>
      </w:r>
      <w:r>
        <w:t xml:space="preserve">outbreaks of bark beetles in Northern and Central Europe. Importantly, different regions</w:t>
      </w:r>
      <w:r>
        <w:t xml:space="preserve"> </w:t>
      </w:r>
      <w:r>
        <w:t xml:space="preserve">within the EU are not expected to be affected similarly by the same type of disturbances.</w:t>
      </w:r>
      <w:r>
        <w:t xml:space="preserve"> </w:t>
      </w:r>
      <w:r>
        <w:t xml:space="preserve">General hotspots of damage may be located in Scandinavia and mountain forests of</w:t>
      </w:r>
      <w:r>
        <w:t xml:space="preserve"> </w:t>
      </w:r>
      <w:r>
        <w:t xml:space="preserve">Central Europe, which are particularly exposed to the impacts of winter storms, leading</w:t>
      </w:r>
      <w:r>
        <w:t xml:space="preserve"> </w:t>
      </w:r>
      <w:r>
        <w:t xml:space="preserve">to higher risk of wind damage in forests (203). Modelling results also point to future</w:t>
      </w:r>
      <w:r>
        <w:t xml:space="preserve"> </w:t>
      </w:r>
      <w:r>
        <w:t xml:space="preserve">damage hotspots in Portugal, Spain, southern France and Greece corresponding to</w:t>
      </w:r>
      <w:r>
        <w:t xml:space="preserve"> </w:t>
      </w:r>
      <w:r>
        <w:t xml:space="preserve">regions with high wildfire activity in recent years. Annex 7 provides a more in-depth</w:t>
      </w:r>
      <w:r>
        <w:t xml:space="preserve"> </w:t>
      </w:r>
      <w:r>
        <w:t xml:space="preserve">analysis on how disturbances affect different regions.</w:t>
      </w:r>
      <w:r>
        <w:br/>
      </w:r>
      <w:r>
        <w:t xml:space="preserve">While climate change impacts including the increase of natural disturbances unfold their</w:t>
      </w:r>
      <w:r>
        <w:t xml:space="preserve"> </w:t>
      </w:r>
      <w:r>
        <w:t xml:space="preserve">detrimental effects evenly in the mid- and long-term, extreme wheather events have an</w:t>
      </w:r>
      <w:r>
        <w:t xml:space="preserve"> </w:t>
      </w:r>
      <w:r>
        <w:t xml:space="preserve">uneven and short-term impact on net removals from the LULUCF sector in general and</w:t>
      </w:r>
      <w:r>
        <w:t xml:space="preserve"> </w:t>
      </w:r>
      <w:r>
        <w:t xml:space="preserve">on the forest sink in particular. In other words, these exceptional events add an additional</w:t>
      </w:r>
      <w:r>
        <w:t xml:space="preserve"> </w:t>
      </w:r>
      <w:r>
        <w:t xml:space="preserve">layer of uncertainty on the evolution of forest stocks particularly for individual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To illustrate the potential impacts for the LULUCF net removal, the year 2035 is</w:t>
      </w:r>
      <w:r>
        <w:t xml:space="preserve"> </w:t>
      </w:r>
      <w:r>
        <w:t xml:space="preserve">simulated as a year with exceptional weather events resulting in a combination of fire,</w:t>
      </w:r>
      <w:r>
        <w:t xml:space="preserve"> </w:t>
      </w:r>
      <w:r>
        <w:t xml:space="preserve">wind and biotic damages that occur across different regions across the EU (see Figure</w:t>
      </w:r>
      <w:r>
        <w:t xml:space="preserve"> </w:t>
      </w:r>
      <w:r>
        <w:t xml:space="preserve">97).</w:t>
      </w:r>
    </w:p>
    <w:p>
      <w:pPr>
        <w:pStyle w:val="Compact"/>
        <w:numPr>
          <w:ilvl w:val="0"/>
          <w:numId w:val="1088"/>
        </w:numPr>
      </w:pPr>
      <w:r>
        <w:t xml:space="preserve">Seidl, R., Thom, D., Kautz, M., Martin-Benito, D., Peltoniemi, M., Vacchiano, G., … &amp; Reyer, C. P.,</w:t>
      </w:r>
      <w:r>
        <w:t xml:space="preserve"> </w:t>
      </w:r>
      <w:r>
        <w:t xml:space="preserve">‘Forest disturbances under climate change’, Nature climate change, 7(6), 395-402, 2017.</w:t>
      </w:r>
    </w:p>
    <w:p>
      <w:pPr>
        <w:pStyle w:val="Compact"/>
        <w:numPr>
          <w:ilvl w:val="0"/>
          <w:numId w:val="1088"/>
        </w:numPr>
      </w:pPr>
      <w:r>
        <w:t xml:space="preserve">Asensio, D., Zuccarini, P., Ogaya, R., Marañón-Jiménez, S., Sardans, J., &amp; Peñuelas, J., ‘Simulated</w:t>
      </w:r>
      <w:r>
        <w:t xml:space="preserve"> </w:t>
      </w:r>
      <w:r>
        <w:t xml:space="preserve">climate change and seasonal drought increase carbon and phosphorus demand in Mediterranean forest</w:t>
      </w:r>
      <w:r>
        <w:t xml:space="preserve"> </w:t>
      </w:r>
      <w:r>
        <w:t xml:space="preserve">soils’, Soil biology and biochemistryä, 163, 108424, 2021.</w:t>
      </w:r>
    </w:p>
    <w:p>
      <w:pPr>
        <w:pStyle w:val="Compact"/>
        <w:numPr>
          <w:ilvl w:val="0"/>
          <w:numId w:val="1088"/>
        </w:numPr>
      </w:pPr>
      <w:r>
        <w:t xml:space="preserve">Copernicus Climate Change Service, ‘European State of the Climate Summary 2022’, 2022.</w:t>
      </w:r>
    </w:p>
    <w:p>
      <w:pPr>
        <w:pStyle w:val="Compact"/>
        <w:numPr>
          <w:ilvl w:val="0"/>
          <w:numId w:val="1088"/>
        </w:numPr>
      </w:pPr>
      <w:r>
        <w:t xml:space="preserve">corroborating with the results (Laurila et al. 2021)</w:t>
      </w:r>
    </w:p>
    <w:p>
      <w:pPr>
        <w:pStyle w:val="FirstParagraph"/>
      </w:pPr>
      <w:r>
        <w:t xml:space="preserve">136</w:t>
      </w:r>
    </w:p>
    <w:p>
      <w:pPr>
        <w:pStyle w:val="BodyText"/>
      </w:pPr>
      <w:r>
        <w:t xml:space="preserve">Figure 97: Area coverage of simulated series of extreme events in 2035</w:t>
      </w:r>
    </w:p>
    <w:p>
      <w:pPr>
        <w:pStyle w:val="BodyText"/>
      </w:pPr>
      <w:r>
        <w:t xml:space="preserve">Note: The graph shows the distribution of the different disturbance agents (extreme fire, extreme wind and</w:t>
      </w:r>
      <w:r>
        <w:t xml:space="preserve"> </w:t>
      </w:r>
      <w:r>
        <w:t xml:space="preserve">extreme biotic disturbance) across the EU from the simulated extreme events.</w:t>
      </w:r>
      <w:r>
        <w:br/>
      </w:r>
      <w:r>
        <w:t xml:space="preserve">Source: GLOBIOM</w:t>
      </w:r>
      <w:r>
        <w:t xml:space="preserve"> </w:t>
      </w:r>
      <w:r>
        <w:t xml:space="preserve">To model the damage on forests, historically the worst wind, fire, and biotic events over</w:t>
      </w:r>
      <w:r>
        <w:t xml:space="preserve"> </w:t>
      </w:r>
      <w:r>
        <w:t xml:space="preserve">the period 1990-2020 for each disturbance agent were selected (204). The approximate</w:t>
      </w:r>
      <w:r>
        <w:t xml:space="preserve"> </w:t>
      </w:r>
      <w:r>
        <w:t xml:space="preserve">damage from these events (205) is simulated to affect the most vulnerable forest stands</w:t>
      </w:r>
      <w:r>
        <w:t xml:space="preserve"> </w:t>
      </w:r>
      <w:r>
        <w:t xml:space="preserve">across the EU (see Figure 97). In the simulation the Mediterranean region is strongly</w:t>
      </w:r>
      <w:r>
        <w:t xml:space="preserve"> </w:t>
      </w:r>
      <w:r>
        <w:t xml:space="preserve">affected by extreme fires, while large parts of central Europe are affected by extreme</w:t>
      </w:r>
      <w:r>
        <w:t xml:space="preserve"> </w:t>
      </w:r>
      <w:r>
        <w:t xml:space="preserve">wind and biotic events causing in total more than 300 000 000 m³ of forest damage. It is</w:t>
      </w:r>
      <w:r>
        <w:t xml:space="preserve"> </w:t>
      </w:r>
      <w:r>
        <w:t xml:space="preserve">important to note, that the model assumes that salvage logging and replanting of the</w:t>
      </w:r>
      <w:r>
        <w:t xml:space="preserve"> </w:t>
      </w:r>
      <w:r>
        <w:t xml:space="preserve">damaged trees occur the same year as the disturbance and that they predominantly affect</w:t>
      </w:r>
      <w:r>
        <w:t xml:space="preserve"> </w:t>
      </w:r>
      <w:r>
        <w:t xml:space="preserve">more vulnerable older and larger trees, which are then salvage logged to the extent</w:t>
      </w:r>
      <w:r>
        <w:t xml:space="preserve"> </w:t>
      </w:r>
      <w:r>
        <w:t xml:space="preserve">possible (206). Consequently, a partial compensation of the disturbance-induced forest</w:t>
      </w:r>
      <w:r>
        <w:t xml:space="preserve"> </w:t>
      </w:r>
      <w:r>
        <w:t xml:space="preserve">loss through reduced harvesting rates is assumed. Thus, the simulation entails the</w:t>
      </w:r>
      <w:r>
        <w:t xml:space="preserve"> </w:t>
      </w:r>
      <w:r>
        <w:t xml:space="preserve">assumption of an ideal environment for the recovery of the carbon pool and the LULUCF</w:t>
      </w:r>
    </w:p>
    <w:p>
      <w:pPr>
        <w:pStyle w:val="Compact"/>
        <w:numPr>
          <w:ilvl w:val="0"/>
          <w:numId w:val="1089"/>
        </w:numPr>
      </w:pPr>
      <w:r>
        <w:t xml:space="preserve">Patacca, M., Lindner, M., Lucas-Borja, M. E., Cordonnier, T., Fidej, G., Gardiner, B., Hauf, Y.,</w:t>
      </w:r>
      <w:r>
        <w:t xml:space="preserve"> </w:t>
      </w:r>
      <w:r>
        <w:t xml:space="preserve">Jasinevičius, G., Labonne, S., Linkevičius, E., Mahnken, M., Milanovic, S., Nabuurs, G.-J., Nagel, T.</w:t>
      </w:r>
      <w:r>
        <w:t xml:space="preserve"> </w:t>
      </w:r>
      <w:r>
        <w:t xml:space="preserve">A., Nikinmaa, L., Panyatov, M., Bercak, R., Seidl, R., Ostrogović Sever, M. Z. … Schelhaas, M.-J.</w:t>
      </w:r>
      <w:r>
        <w:t xml:space="preserve"> </w:t>
      </w:r>
      <w:r>
        <w:t xml:space="preserve">‘Significant increase in natural disturbance impacts on European forests since 1950’, Global Change</w:t>
      </w:r>
      <w:r>
        <w:t xml:space="preserve"> </w:t>
      </w:r>
      <w:r>
        <w:t xml:space="preserve">Biology, 29, 1359–1376, 2023.</w:t>
      </w:r>
    </w:p>
    <w:p>
      <w:pPr>
        <w:pStyle w:val="Compact"/>
        <w:numPr>
          <w:ilvl w:val="0"/>
          <w:numId w:val="1089"/>
        </w:numPr>
      </w:pPr>
      <w:r>
        <w:t xml:space="preserve">In total, 333,066,346 m³ of forest are damaged in the simulation, wind damages 228,520,374 m³, biotic</w:t>
      </w:r>
      <w:r>
        <w:t xml:space="preserve"> </w:t>
      </w:r>
      <w:r>
        <w:t xml:space="preserve">agents 77,828,111m³, and fire 26,717,862 m³ of forest wood.</w:t>
      </w:r>
      <w:r>
        <w:br/>
      </w:r>
    </w:p>
    <w:p>
      <w:pPr>
        <w:pStyle w:val="Compact"/>
        <w:numPr>
          <w:ilvl w:val="0"/>
          <w:numId w:val="1089"/>
        </w:numPr>
      </w:pPr>
      <w:r>
        <w:t xml:space="preserve">Disturbances usually damage older and larger trees, therefore, the extreme disturbance event</w:t>
      </w:r>
      <w:r>
        <w:t xml:space="preserve"> </w:t>
      </w:r>
      <w:r>
        <w:t xml:space="preserve">eliminates a considerable amount of older trees, shifting the age structure of the damaged forest and</w:t>
      </w:r>
      <w:r>
        <w:t xml:space="preserve"> </w:t>
      </w:r>
      <w:r>
        <w:t xml:space="preserve">enhancing forest regrowth. The model assumes that 86% of wood damaged by wind, 72% of wood</w:t>
      </w:r>
      <w:r>
        <w:t xml:space="preserve"> </w:t>
      </w:r>
      <w:r>
        <w:t xml:space="preserve">damaged by biotic and 54% of wood damaged by fire, is harvested. The rest of the damaged wood is</w:t>
      </w:r>
      <w:r>
        <w:t xml:space="preserve"> </w:t>
      </w:r>
      <w:r>
        <w:t xml:space="preserve">becoming deadwood and litter when disturbed by wind or biotic agents, while for wildfires about 10%</w:t>
      </w:r>
      <w:r>
        <w:t xml:space="preserve"> </w:t>
      </w:r>
      <w:r>
        <w:t xml:space="preserve">of merchantable wood and 22% of litter and deadwood are burnt.</w:t>
      </w:r>
    </w:p>
    <w:p>
      <w:pPr>
        <w:pStyle w:val="FirstParagraph"/>
      </w:pPr>
      <w:r>
        <w:t xml:space="preserve">137</w:t>
      </w:r>
    </w:p>
    <w:p>
      <w:pPr>
        <w:pStyle w:val="BodyText"/>
      </w:pPr>
      <w:r>
        <w:t xml:space="preserve">net removals. If these conditions are not met in a real event, the recovery of the LULUCF</w:t>
      </w:r>
      <w:r>
        <w:t xml:space="preserve"> </w:t>
      </w:r>
      <w:r>
        <w:t xml:space="preserve">net removals might significantly impeded. The extreme events will cascade not only to</w:t>
      </w:r>
      <w:r>
        <w:t xml:space="preserve"> </w:t>
      </w:r>
      <w:r>
        <w:t xml:space="preserve">the European forest carbon pool, but also to wood processing industry and markets, via</w:t>
      </w:r>
      <w:r>
        <w:t xml:space="preserve"> </w:t>
      </w:r>
      <w:r>
        <w:t xml:space="preserve">changes in wood supply and market shocks (207).</w:t>
      </w:r>
      <w:r>
        <w:t xml:space="preserve"> </w:t>
      </w:r>
      <w:r>
        <w:t xml:space="preserve">Figure 98: Estimated climate change impacts and extreme events on LULUCF net removal</w:t>
      </w:r>
    </w:p>
    <w:p>
      <w:pPr>
        <w:pStyle w:val="BodyText"/>
      </w:pPr>
      <w:r>
        <w:t xml:space="preserve">Note: The graph displays a model-based projection of the range of the LULUCF net removal under impacts</w:t>
      </w:r>
      <w:r>
        <w:t xml:space="preserve"> </w:t>
      </w:r>
      <w:r>
        <w:t xml:space="preserve">from climate change and simulated extreme events. The ‘historical’ trajectory shows the inventory data based</w:t>
      </w:r>
      <w:r>
        <w:t xml:space="preserve"> </w:t>
      </w:r>
      <w:r>
        <w:t xml:space="preserve">on UNFCCC 2023, the ‘projection’ shows the trajectory of the lower boundary of the LULUCF range (lower level</w:t>
      </w:r>
      <w:r>
        <w:t xml:space="preserve"> </w:t>
      </w:r>
      <w:r>
        <w:t xml:space="preserve">net removal) without impacts from climate change and extreme events. The different 16 trajectories show RCP</w:t>
      </w:r>
      <w:r>
        <w:t xml:space="preserve"> </w:t>
      </w:r>
      <w:r>
        <w:t xml:space="preserve">2.6 vs. 7.0 (2) X different climate models (4) X CO2 fertilisation vs. no fertilisation (2). The range illustrates the</w:t>
      </w:r>
      <w:r>
        <w:t xml:space="preserve"> </w:t>
      </w:r>
      <w:r>
        <w:t xml:space="preserve">range of uncertainty due to climate change impacts across all trajectories including uncertainty due to soil</w:t>
      </w:r>
      <w:r>
        <w:t xml:space="preserve"> </w:t>
      </w:r>
      <w:r>
        <w:t xml:space="preserve">carbon removals. In 2035 a series of extreme events is simulated to illustrate its impact on the LULUCF net</w:t>
      </w:r>
      <w:r>
        <w:t xml:space="preserve"> </w:t>
      </w:r>
      <w:r>
        <w:t xml:space="preserve">removal.</w:t>
      </w:r>
      <w:r>
        <w:br/>
      </w:r>
      <w:r>
        <w:t xml:space="preserve">Source: GLOBIOM, UNFCCC 2023</w:t>
      </w:r>
      <w:r>
        <w:t xml:space="preserve"> </w:t>
      </w:r>
      <w:r>
        <w:t xml:space="preserve">In Figure 98 the impacts of a series of possible extreme events in one year for the</w:t>
      </w:r>
      <w:r>
        <w:t xml:space="preserve"> </w:t>
      </w:r>
      <w:r>
        <w:t xml:space="preserve">LULUCF net removal are depicted through an uncertainty range that takes climate</w:t>
      </w:r>
      <w:r>
        <w:t xml:space="preserve"> </w:t>
      </w:r>
      <w:r>
        <w:t xml:space="preserve">change impacts into account. The net removal level of the LULUCF sector drops to a</w:t>
      </w:r>
      <w:r>
        <w:t xml:space="preserve"> </w:t>
      </w:r>
      <w:r>
        <w:t xml:space="preserve">range between -160 and +30 MtCO2-eq at the time of the disturbance but recovers</w:t>
      </w:r>
      <w:r>
        <w:t xml:space="preserve"> </w:t>
      </w:r>
      <w:r>
        <w:t xml:space="preserve">relatively quickly in the next 5 years (-105 to -265 MtCO2-eq). Over the next 15 years the</w:t>
      </w:r>
      <w:r>
        <w:t xml:space="preserve"> </w:t>
      </w:r>
      <w:r>
        <w:t xml:space="preserve">simulation provides a slightly higher range for the LULUCF net removals in 2050 (-130</w:t>
      </w:r>
      <w:r>
        <w:t xml:space="preserve"> </w:t>
      </w:r>
      <w:r>
        <w:t xml:space="preserve">to -330 MtCO2-eq) than a scenario without extreme events (-70 to -285 MtCO2-eq; see</w:t>
      </w:r>
      <w:r>
        <w:t xml:space="preserve"> </w:t>
      </w:r>
      <w:r>
        <w:t xml:space="preserve">previous section), because of the enhanced forest regrowth of younger trees and under</w:t>
      </w:r>
      <w:r>
        <w:t xml:space="preserve"> </w:t>
      </w:r>
      <w:r>
        <w:t xml:space="preserve">the assumption of immediate reforestation.</w:t>
      </w:r>
    </w:p>
    <w:p>
      <w:pPr>
        <w:pStyle w:val="Compact"/>
        <w:numPr>
          <w:ilvl w:val="0"/>
          <w:numId w:val="1090"/>
        </w:numPr>
      </w:pPr>
      <w:r>
        <w:t xml:space="preserve">Gardiner, B., Schuck, A. R. T., Schelhaas, M. J., Orazio, C., Blennow, K., &amp; Nicoll, B. (Eds.). ’Living</w:t>
      </w:r>
      <w:r>
        <w:t xml:space="preserve"> </w:t>
      </w:r>
      <w:r>
        <w:t xml:space="preserve">with storm damage to forests’, Vol. 3, pp. 129-p, Joensuu: European Forest Institute, 2013.</w:t>
      </w:r>
      <w:r>
        <w:t xml:space="preserve"> </w:t>
      </w:r>
      <w:r>
        <w:t xml:space="preserve">-400</w:t>
      </w:r>
      <w:r>
        <w:t xml:space="preserve"> </w:t>
      </w:r>
      <w:r>
        <w:t xml:space="preserve">-350</w:t>
      </w:r>
      <w:r>
        <w:t xml:space="preserve"> </w:t>
      </w:r>
      <w:r>
        <w:t xml:space="preserve">-300</w:t>
      </w:r>
      <w:r>
        <w:t xml:space="preserve"> </w:t>
      </w:r>
      <w:r>
        <w:t xml:space="preserve">-250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2000 2005 2010 2015 2020 2025 2030 2035 2040 2045 2050</w:t>
      </w:r>
      <w:r>
        <w:t xml:space="preserve"> </w:t>
      </w:r>
      <w:r>
        <w:t xml:space="preserve">MtCO2-eq/yr</w:t>
      </w:r>
      <w:r>
        <w:t xml:space="preserve"> </w:t>
      </w:r>
      <w:r>
        <w:t xml:space="preserve">Range</w:t>
      </w:r>
      <w:r>
        <w:t xml:space="preserve"> </w:t>
      </w:r>
      <w:r>
        <w:t xml:space="preserve">Projection</w:t>
      </w:r>
      <w:r>
        <w:t xml:space="preserve"> </w:t>
      </w:r>
      <w:r>
        <w:t xml:space="preserve">Historical</w:t>
      </w:r>
      <w:r>
        <w:t xml:space="preserve"> </w:t>
      </w:r>
      <w:r>
        <w:t xml:space="preserve">RCP2.6_CO2fert</w:t>
      </w:r>
      <w:r>
        <w:t xml:space="preserve"> </w:t>
      </w:r>
      <w:r>
        <w:t xml:space="preserve">RCP7.0_CO2fert</w:t>
      </w:r>
      <w:r>
        <w:t xml:space="preserve"> </w:t>
      </w:r>
      <w:r>
        <w:t xml:space="preserve">RCP2.6_noCO2fert</w:t>
      </w:r>
      <w:r>
        <w:t xml:space="preserve"> </w:t>
      </w:r>
      <w:r>
        <w:t xml:space="preserve">RCP7.0_noCO2fert</w:t>
      </w:r>
    </w:p>
    <w:p>
      <w:pPr>
        <w:pStyle w:val="FirstParagraph"/>
      </w:pPr>
      <w:r>
        <w:t xml:space="preserve">138</w:t>
      </w:r>
    </w:p>
    <w:p>
      <w:pPr>
        <w:pStyle w:val="BodyText"/>
      </w:pPr>
      <w:r>
        <w:t xml:space="preserve">However, it should be noted that the modelling of such extreme events is at an early stage</w:t>
      </w:r>
      <w:r>
        <w:t xml:space="preserve"> </w:t>
      </w:r>
      <w:r>
        <w:t xml:space="preserve">of development and assumptions on the severity of events, the share of wood that can be</w:t>
      </w:r>
      <w:r>
        <w:t xml:space="preserve"> </w:t>
      </w:r>
      <w:r>
        <w:t xml:space="preserve">harvested after the event and replace otherwise planned harvests, the speed of forest</w:t>
      </w:r>
      <w:r>
        <w:t xml:space="preserve"> </w:t>
      </w:r>
      <w:r>
        <w:t xml:space="preserve">recovery (i.e., cleaning and replanting), is critical for the outcome. For example, salvage</w:t>
      </w:r>
      <w:r>
        <w:t xml:space="preserve"> </w:t>
      </w:r>
      <w:r>
        <w:t xml:space="preserve">logging preparation for replanting and afforestation may take several years due to lack of</w:t>
      </w:r>
      <w:r>
        <w:t xml:space="preserve"> </w:t>
      </w:r>
      <w:r>
        <w:t xml:space="preserve">capacity, which will delay the forest recovery and consequently its capacity as a carbon</w:t>
      </w:r>
      <w:r>
        <w:t xml:space="preserve"> </w:t>
      </w:r>
      <w:r>
        <w:t xml:space="preserve">removal. Furthermore, the range of uncertainty illustrates, that even when taking properly</w:t>
      </w:r>
      <w:r>
        <w:t xml:space="preserve"> </w:t>
      </w:r>
      <w:r>
        <w:t xml:space="preserve">the development of the LULUCF net removal and climate change impacts into account,</w:t>
      </w:r>
      <w:r>
        <w:t xml:space="preserve"> </w:t>
      </w:r>
      <w:r>
        <w:t xml:space="preserve">disturbances can disrupt the net carbon removal levels for years.</w:t>
      </w:r>
      <w:r>
        <w:br/>
      </w:r>
      <w:r>
        <w:t xml:space="preserve">1.9.</w:t>
      </w:r>
      <w:r>
        <w:t xml:space="preserve"> </w:t>
      </w:r>
      <w:r>
        <w:t xml:space="preserve">Environmental and health impacts</w:t>
      </w:r>
      <w:r>
        <w:br/>
      </w:r>
      <w:r>
        <w:t xml:space="preserve">In addition to reducing GHG emissions, the different policy options directly or indirectly</w:t>
      </w:r>
      <w:r>
        <w:t xml:space="preserve"> </w:t>
      </w:r>
      <w:r>
        <w:t xml:space="preserve">affect other environmental indicators.</w:t>
      </w:r>
      <w:r>
        <w:br/>
      </w:r>
      <w:r>
        <w:t xml:space="preserve">Air quality is impacted in particular by the evolution of the energy and transport sector as</w:t>
      </w:r>
      <w:r>
        <w:t xml:space="preserve"> </w:t>
      </w:r>
      <w:r>
        <w:t xml:space="preserve">well as the agricultural sector. Changes in the LULUCF and agricultural sector influence</w:t>
      </w:r>
      <w:r>
        <w:t xml:space="preserve"> </w:t>
      </w:r>
      <w:r>
        <w:t xml:space="preserve">biodiversity and ecosystems, food security and the sustainable use of natural resources</w:t>
      </w:r>
      <w:r>
        <w:t xml:space="preserve"> </w:t>
      </w:r>
      <w:r>
        <w:t xml:space="preserve">such as water.</w:t>
      </w:r>
      <w:r>
        <w:br/>
      </w:r>
      <w:r>
        <w:t xml:space="preserve">1.9.1. Air quality</w:t>
      </w:r>
      <w:r>
        <w:t xml:space="preserve"> </w:t>
      </w:r>
      <w:r>
        <w:t xml:space="preserve">Clean air is essential to human health and sustaining the environment. Air quality has</w:t>
      </w:r>
      <w:r>
        <w:t xml:space="preserve"> </w:t>
      </w:r>
      <w:r>
        <w:t xml:space="preserve">improved in the EU over the past three decades as a result of joint efforts by the EU and</w:t>
      </w:r>
      <w:r>
        <w:t xml:space="preserve"> </w:t>
      </w:r>
      <w:r>
        <w:t xml:space="preserve">national, regional and local authorities in the Member States to reduce the adverse</w:t>
      </w:r>
      <w:r>
        <w:t xml:space="preserve"> </w:t>
      </w:r>
      <w:r>
        <w:t xml:space="preserve">impacts of air pollution. However, nowadays, around 300 000 premature deaths per year</w:t>
      </w:r>
      <w:r>
        <w:t xml:space="preserve"> </w:t>
      </w:r>
      <w:r>
        <w:t xml:space="preserve">and a significant number of diseases such as asthma, cardiovascular problems and lung</w:t>
      </w:r>
      <w:r>
        <w:t xml:space="preserve"> </w:t>
      </w:r>
      <w:r>
        <w:t xml:space="preserve">cancer, among others, are still attributable to air pollution (and especially to particulate</w:t>
      </w:r>
      <w:r>
        <w:t xml:space="preserve"> </w:t>
      </w:r>
      <w:r>
        <w:t xml:space="preserve">matter, nitrogen dioxide and ozone) (208). There is also increasing evidence that low air</w:t>
      </w:r>
      <w:r>
        <w:t xml:space="preserve"> </w:t>
      </w:r>
      <w:r>
        <w:t xml:space="preserve">quality may be associated with changes in the nervous system, cognitive decrements, and</w:t>
      </w:r>
      <w:r>
        <w:t xml:space="preserve"> </w:t>
      </w:r>
      <w:r>
        <w:t xml:space="preserve">dementia (209).</w:t>
      </w:r>
      <w:r>
        <w:br/>
      </w:r>
      <w:r>
        <w:t xml:space="preserve">Air pollution remains the most frequent environmental cause of early death in the EU,</w:t>
      </w:r>
      <w:r>
        <w:t xml:space="preserve"> </w:t>
      </w:r>
      <w:r>
        <w:t xml:space="preserve">and it disproportionally affects vulnerable groups such as children, elderly people and</w:t>
      </w:r>
      <w:r>
        <w:t xml:space="preserve"> </w:t>
      </w:r>
      <w:r>
        <w:t xml:space="preserve">persons with pre-existing conditions, as well as socioeconomically disadvantaged</w:t>
      </w:r>
      <w:r>
        <w:t xml:space="preserve"> </w:t>
      </w:r>
      <w:r>
        <w:t xml:space="preserve">groups (210). In addition, air pollution threatens the environment through acidification and</w:t>
      </w:r>
      <w:r>
        <w:t xml:space="preserve"> </w:t>
      </w:r>
      <w:r>
        <w:t xml:space="preserve">eutrophication, causing damage to natural ecosystems and crops. Currently,</w:t>
      </w:r>
      <w:r>
        <w:t xml:space="preserve"> </w:t>
      </w:r>
      <w:r>
        <w:t xml:space="preserve">eutrophication from deposition of nitrogen exceeds critical loads in two thirds of</w:t>
      </w:r>
      <w:r>
        <w:t xml:space="preserve"> </w:t>
      </w:r>
      <w:r>
        <w:t xml:space="preserve">ecosystem areas across the EU, with significant impact on biodiversity (211). This has a</w:t>
      </w:r>
      <w:r>
        <w:t xml:space="preserve"> </w:t>
      </w:r>
      <w:r>
        <w:t xml:space="preserve">direct impact on the health of ecosystems and can aggravate situations of nitrogen surplus</w:t>
      </w:r>
      <w:r>
        <w:t xml:space="preserve"> </w:t>
      </w:r>
      <w:r>
        <w:t xml:space="preserve">via water pollution. Furthermore, high ground-level ozone concentrations negatively</w:t>
      </w:r>
      <w:r>
        <w:t xml:space="preserve"> </w:t>
      </w:r>
      <w:r>
        <w:t xml:space="preserve">affect plant growth.</w:t>
      </w:r>
    </w:p>
    <w:p>
      <w:pPr>
        <w:pStyle w:val="Compact"/>
        <w:numPr>
          <w:ilvl w:val="0"/>
          <w:numId w:val="1091"/>
        </w:numPr>
      </w:pPr>
      <w:r>
        <w:t xml:space="preserve">European Environment Agency (2021). Air Quality in Europe 2021.</w:t>
      </w:r>
    </w:p>
    <w:p>
      <w:pPr>
        <w:pStyle w:val="Compact"/>
        <w:numPr>
          <w:ilvl w:val="0"/>
          <w:numId w:val="1091"/>
        </w:numPr>
      </w:pPr>
      <w:r>
        <w:t xml:space="preserve">United States Environmental Protection Agency (2022). Supplement to the 2019 Integrated Science</w:t>
      </w:r>
      <w:r>
        <w:t xml:space="preserve"> </w:t>
      </w:r>
      <w:r>
        <w:t xml:space="preserve">Assessment for Particulate Matter.</w:t>
      </w:r>
    </w:p>
    <w:p>
      <w:pPr>
        <w:pStyle w:val="Compact"/>
        <w:numPr>
          <w:ilvl w:val="0"/>
          <w:numId w:val="1091"/>
        </w:numPr>
      </w:pPr>
      <w:r>
        <w:t xml:space="preserve">European Environment Agency (2018). Unequal exposure and unequal impacts: social vulnerability to</w:t>
      </w:r>
      <w:r>
        <w:t xml:space="preserve"> </w:t>
      </w:r>
      <w:r>
        <w:t xml:space="preserve">air pollution, noise and extreme temperatures in Europe.</w:t>
      </w:r>
    </w:p>
    <w:p>
      <w:pPr>
        <w:pStyle w:val="Compact"/>
        <w:numPr>
          <w:ilvl w:val="0"/>
          <w:numId w:val="1091"/>
        </w:numPr>
      </w:pPr>
      <w:r>
        <w:t xml:space="preserve">COM(2022) 673 final (The Third Clean Air Outlook).</w:t>
      </w:r>
    </w:p>
    <w:p>
      <w:pPr>
        <w:pStyle w:val="FirstParagraph"/>
      </w:pPr>
      <w:r>
        <w:t xml:space="preserve">139</w:t>
      </w:r>
    </w:p>
    <w:p>
      <w:pPr>
        <w:pStyle w:val="BodyText"/>
      </w:pPr>
      <w:r>
        <w:t xml:space="preserve">Research to quantify the benefits of climate action associated with improved air quality</w:t>
      </w:r>
      <w:r>
        <w:t xml:space="preserve"> </w:t>
      </w:r>
      <w:r>
        <w:t xml:space="preserve">highlights the significant magnitude of such co-benefits (212). In general, the economic,</w:t>
      </w:r>
      <w:r>
        <w:t xml:space="preserve"> </w:t>
      </w:r>
      <w:r>
        <w:t xml:space="preserve">technological and societal transformations required to reduce GHG emissions in the EU</w:t>
      </w:r>
      <w:r>
        <w:t xml:space="preserve"> </w:t>
      </w:r>
      <w:r>
        <w:t xml:space="preserve">have positive impacts on air quality because they lead to lower energy consumption and a</w:t>
      </w:r>
      <w:r>
        <w:t xml:space="preserve"> </w:t>
      </w:r>
      <w:r>
        <w:t xml:space="preserve">shift to non-emitting renewable energy sources and to less polluting combustion fuels.</w:t>
      </w:r>
      <w:r>
        <w:t xml:space="preserve"> </w:t>
      </w:r>
      <w:r>
        <w:t xml:space="preserve">Therefore, these developments lead to lower emissions of pollutants such as fine</w:t>
      </w:r>
      <w:r>
        <w:t xml:space="preserve"> </w:t>
      </w:r>
      <w:r>
        <w:t xml:space="preserve">particulate matter with a diameter of 2.5 μm or less (PM2.5) and nitrogen oxides (NOx).</w:t>
      </w:r>
      <w:r>
        <w:t xml:space="preserve"> </w:t>
      </w:r>
      <w:r>
        <w:t xml:space="preserve">In addition, climate action will contribute to mitigate the increasing negative effects that</w:t>
      </w:r>
      <w:r>
        <w:t xml:space="preserve"> </w:t>
      </w:r>
      <w:r>
        <w:t xml:space="preserve">climate change itself has on air quality, due notably to heatwaves or wildfires (213).</w:t>
      </w:r>
      <w:r>
        <w:t xml:space="preserve"> </w:t>
      </w:r>
      <w:r>
        <w:t xml:space="preserve">The GAINS model has been used to produce projections of air pollutant emissions and</w:t>
      </w:r>
      <w:r>
        <w:t xml:space="preserve"> </w:t>
      </w:r>
      <w:r>
        <w:t xml:space="preserve">their impacts on public health and ecosystems for the decarbonisation pathways analysed</w:t>
      </w:r>
      <w:r>
        <w:t xml:space="preserve"> </w:t>
      </w:r>
      <w:r>
        <w:t xml:space="preserve">in this impact assessment (214). The combination of existing air pollution policies as well</w:t>
      </w:r>
      <w:r>
        <w:t xml:space="preserve"> </w:t>
      </w:r>
      <w:r>
        <w:t xml:space="preserve">as ambitious climate policies result in strong reductions of air pollutants by 2040. As</w:t>
      </w:r>
      <w:r>
        <w:t xml:space="preserve"> </w:t>
      </w:r>
      <w:r>
        <w:t xml:space="preserve">shown in Table 19, in scenarios S1, S2 and S3, primary PM2.5 emissions in the EU</w:t>
      </w:r>
      <w:r>
        <w:t xml:space="preserve"> </w:t>
      </w:r>
      <w:r>
        <w:t xml:space="preserve">decrease by 62% by 2040 compared to 2015 levels. Moreover, primary SO2, NOx, NH3</w:t>
      </w:r>
      <w:r>
        <w:t xml:space="preserve"> </w:t>
      </w:r>
      <w:r>
        <w:t xml:space="preserve">and VOC emissions decrease by 77%, 71%, 16% and 29%, respectively, over the same</w:t>
      </w:r>
      <w:r>
        <w:t xml:space="preserve"> </w:t>
      </w:r>
      <w:r>
        <w:t xml:space="preserve">period. Note, however, that the consumption of solid biomass, which still represents a</w:t>
      </w:r>
      <w:r>
        <w:t xml:space="preserve"> </w:t>
      </w:r>
      <w:r>
        <w:t xml:space="preserve">large share of renewable energy consumption in Europe, emits large amount of</w:t>
      </w:r>
      <w:r>
        <w:t xml:space="preserve"> </w:t>
      </w:r>
      <w:r>
        <w:t xml:space="preserve">particulate matter (PM2.5 and PM10), non-methane volatile organic compounds</w:t>
      </w:r>
      <w:r>
        <w:t xml:space="preserve"> </w:t>
      </w:r>
      <w:r>
        <w:t xml:space="preserve">(NMVOCs) and polycyclic aromatic hydrocarbons (PAHs) (215). In 2021, in the EU,</w:t>
      </w:r>
      <w:r>
        <w:t xml:space="preserve"> </w:t>
      </w:r>
      <w:r>
        <w:t xml:space="preserve">more than 60% of PM2.5 emissions were generated by the residential sector, showing the</w:t>
      </w:r>
      <w:r>
        <w:t xml:space="preserve"> </w:t>
      </w:r>
      <w:r>
        <w:t xml:space="preserve">large share of domestic heating (and, particularly, bioenergy) in fine particulate matter</w:t>
      </w:r>
      <w:r>
        <w:t xml:space="preserve"> </w:t>
      </w:r>
      <w:r>
        <w:t xml:space="preserve">emissions (216). Thanks to further electrification of heating needs and more energy</w:t>
      </w:r>
      <w:r>
        <w:t xml:space="preserve"> </w:t>
      </w:r>
      <w:r>
        <w:t xml:space="preserve">efficient buildings, the consumption of solid biomass in the residential sector is much</w:t>
      </w:r>
      <w:r>
        <w:t xml:space="preserve"> </w:t>
      </w:r>
      <w:r>
        <w:t xml:space="preserve">lower in 2040 than today in all analysed scenarios (see section 1.3.3 in this Annex). The</w:t>
      </w:r>
      <w:r>
        <w:t xml:space="preserve"> </w:t>
      </w:r>
      <w:r>
        <w:t xml:space="preserve">small differences in particulate matter emissions between scenarios are mainly due to</w:t>
      </w:r>
      <w:r>
        <w:t xml:space="preserve"> </w:t>
      </w:r>
      <w:r>
        <w:t xml:space="preserve">differences in solid biomass consumption.</w:t>
      </w:r>
      <w:r>
        <w:t xml:space="preserve"> </w:t>
      </w:r>
      <w:r>
        <w:t xml:space="preserve">Differences in air pollutant emissions between LIFE and the other scenarios stem from</w:t>
      </w:r>
      <w:r>
        <w:t xml:space="preserve"> </w:t>
      </w:r>
      <w:r>
        <w:t xml:space="preserve">significant differences in agricultural activity levels (i.e., reduction in livestock numbers</w:t>
      </w:r>
      <w:r>
        <w:t xml:space="preserve"> </w:t>
      </w:r>
      <w:r>
        <w:t xml:space="preserve">and fertiliser application in LIFE). The largest reduction is observed for NH3 emissions</w:t>
      </w:r>
      <w:r>
        <w:t xml:space="preserve"> </w:t>
      </w:r>
      <w:r>
        <w:t xml:space="preserve">(from livestock, manure management and mineral fertiliser application), but there are</w:t>
      </w:r>
      <w:r>
        <w:t xml:space="preserve"> </w:t>
      </w:r>
      <w:r>
        <w:t xml:space="preserve">also substantial reductions in NOx emissions (from the fertilisation of agricultural soils)</w:t>
      </w:r>
      <w:r>
        <w:t xml:space="preserve"> </w:t>
      </w:r>
      <w:r>
        <w:t xml:space="preserve">and VOC emissions (from manure). More specifically, in LIFE, in 2040, NH3 emissions</w:t>
      </w:r>
      <w:r>
        <w:t xml:space="preserve"> </w:t>
      </w:r>
      <w:r>
        <w:t xml:space="preserve">are 36% lower than in 2015 (i.e., the decrease is 20 percentage points higher than in the</w:t>
      </w:r>
      <w:r>
        <w:t xml:space="preserve"> </w:t>
      </w:r>
      <w:r>
        <w:t xml:space="preserve">S1, S2 and S3 scenarios), NOx emissions are 74% lower than in 2015 (i.e., the decrease</w:t>
      </w:r>
    </w:p>
    <w:p>
      <w:pPr>
        <w:pStyle w:val="Compact"/>
        <w:numPr>
          <w:ilvl w:val="0"/>
          <w:numId w:val="1092"/>
        </w:numPr>
      </w:pPr>
      <w:r>
        <w:t xml:space="preserve">Vandyck, T. et al. (2018). Air quality co-benefits for human health and agriculture counterbalance</w:t>
      </w:r>
      <w:r>
        <w:t xml:space="preserve"> </w:t>
      </w:r>
      <w:r>
        <w:t xml:space="preserve">costs to meet Paris Agreement pledges, Nature Communications, Vol. 9, No. 4939.</w:t>
      </w:r>
    </w:p>
    <w:p>
      <w:pPr>
        <w:pStyle w:val="Compact"/>
        <w:numPr>
          <w:ilvl w:val="0"/>
          <w:numId w:val="1092"/>
        </w:numPr>
      </w:pPr>
      <w:r>
        <w:t xml:space="preserve">World Meteorological Organization (2023). WMO Air Quality and Climate Bulletin, No 3, September</w:t>
      </w:r>
    </w:p>
    <w:p>
      <w:pPr>
        <w:pStyle w:val="Compact"/>
        <w:numPr>
          <w:ilvl w:val="0"/>
          <w:numId w:val="1094"/>
        </w:numPr>
      </w:pPr>
      <w:r>
        <w:t xml:space="preserve">Note that the methodology used in this impact assessment is similar to the one used in the Third Clean</w:t>
      </w:r>
      <w:r>
        <w:t xml:space="preserve"> </w:t>
      </w:r>
      <w:r>
        <w:t xml:space="preserve">Air Outlook (COM(2022) 673).</w:t>
      </w:r>
    </w:p>
    <w:p>
      <w:pPr>
        <w:pStyle w:val="Compact"/>
        <w:numPr>
          <w:ilvl w:val="0"/>
          <w:numId w:val="1094"/>
        </w:numPr>
      </w:pPr>
      <w:r>
        <w:t xml:space="preserve">European Environment Agency (2019). Renewable energy in Europe: key for climate objectives, but</w:t>
      </w:r>
      <w:r>
        <w:t xml:space="preserve"> </w:t>
      </w:r>
      <w:r>
        <w:t xml:space="preserve">air pollution needs attention.</w:t>
      </w:r>
    </w:p>
    <w:p>
      <w:pPr>
        <w:pStyle w:val="Compact"/>
        <w:numPr>
          <w:ilvl w:val="0"/>
          <w:numId w:val="1094"/>
        </w:numPr>
      </w:pPr>
      <w:r>
        <w:t xml:space="preserve">European Environment Agency. National air pollutant emissions data viewer 2005-2021 (online).</w:t>
      </w:r>
      <w:r>
        <w:t xml:space="preserve"> </w:t>
      </w:r>
      <w:r>
        <w:t xml:space="preserve">[Retrieved in August 2023.]</w:t>
      </w:r>
    </w:p>
    <w:p>
      <w:pPr>
        <w:pStyle w:val="FirstParagraph"/>
      </w:pPr>
      <w:r>
        <w:t xml:space="preserve">140</w:t>
      </w:r>
    </w:p>
    <w:p>
      <w:pPr>
        <w:pStyle w:val="BodyText"/>
      </w:pPr>
      <w:r>
        <w:t xml:space="preserve">is 3 pp higher than in the other scenarios) and VOC emissions are 33% lower than in</w:t>
      </w:r>
      <w:r>
        <w:t xml:space="preserve"> </w:t>
      </w:r>
      <w:r>
        <w:t xml:space="preserve">2015 (i.e., the decrease is 4 pp higher than in the other scenarios). A relatively small</w:t>
      </w:r>
      <w:r>
        <w:t xml:space="preserve"> </w:t>
      </w:r>
      <w:r>
        <w:t xml:space="preserve">reduction in primary PM2.5 emissions is also observed, due to lower crushing of bedding</w:t>
      </w:r>
      <w:r>
        <w:t xml:space="preserve"> </w:t>
      </w:r>
      <w:r>
        <w:t xml:space="preserve">material by livestock movements. The level of SO2 emissions is similar to that of the</w:t>
      </w:r>
      <w:r>
        <w:t xml:space="preserve"> </w:t>
      </w:r>
      <w:r>
        <w:t xml:space="preserve">other scenarios, since agriculture activities do not emit much SO2.</w:t>
      </w:r>
      <w:r>
        <w:t xml:space="preserve"> </w:t>
      </w:r>
      <w:r>
        <w:t xml:space="preserve">Table 19 also shows the positive impact that reducing air pollutant emissions has on</w:t>
      </w:r>
      <w:r>
        <w:t xml:space="preserve"> </w:t>
      </w:r>
      <w:r>
        <w:t xml:space="preserve">public health (217). In the S1, S2 and S3 scenarios, the number of premature deaths per</w:t>
      </w:r>
      <w:r>
        <w:t xml:space="preserve"> </w:t>
      </w:r>
      <w:r>
        <w:t xml:space="preserve">year caused by PM2.5 and ozone exposure in the EU drops by 58% in 2040 compared to</w:t>
      </w:r>
      <w:r>
        <w:t xml:space="preserve"> </w:t>
      </w:r>
      <w:r>
        <w:t xml:space="preserve">2015. This means around 270 000 less premature deaths per year in total. Furthermore,</w:t>
      </w:r>
      <w:r>
        <w:t xml:space="preserve"> </w:t>
      </w:r>
      <w:r>
        <w:t xml:space="preserve">the annual number of years of life lost due to PM2.5 and ozone (218) exposure decreases</w:t>
      </w:r>
      <w:r>
        <w:t xml:space="preserve"> </w:t>
      </w:r>
      <w:r>
        <w:t xml:space="preserve">by 55% (i.e., around 3.3 million years of life lost per year less) between 2015 and 2040.</w:t>
      </w:r>
      <w:r>
        <w:t xml:space="preserve"> </w:t>
      </w:r>
      <w:r>
        <w:t xml:space="preserve">In LIFE, the number of premature deaths per year goes down by 60% between 2015 and</w:t>
      </w:r>
      <w:r>
        <w:t xml:space="preserve"> </w:t>
      </w:r>
      <w:r>
        <w:t xml:space="preserve">2040 (which means 277 000 cases per year less), and the annual number of years of life</w:t>
      </w:r>
      <w:r>
        <w:t xml:space="preserve"> </w:t>
      </w:r>
      <w:r>
        <w:t xml:space="preserve">lost decreases by 57% (i.e., 3.4 million years of life lost per year less) over the same</w:t>
      </w:r>
      <w:r>
        <w:t xml:space="preserve"> </w:t>
      </w:r>
      <w:r>
        <w:t xml:space="preserve">period. This implies reductions in the annual number of premature deaths and years of</w:t>
      </w:r>
      <w:r>
        <w:t xml:space="preserve"> </w:t>
      </w:r>
      <w:r>
        <w:t xml:space="preserve">life lost between 2015 and 2040 that are 2 percentage points greater than in the other</w:t>
      </w:r>
      <w:r>
        <w:t xml:space="preserve"> </w:t>
      </w:r>
      <w:r>
        <w:t xml:space="preserve">scenarios.</w:t>
      </w:r>
      <w:r>
        <w:t xml:space="preserve"> </w:t>
      </w:r>
      <w:r>
        <w:t xml:space="preserve">The decrease in air pollutant emissions reduces the costs of air pollution control in the</w:t>
      </w:r>
      <w:r>
        <w:t xml:space="preserve"> </w:t>
      </w:r>
      <w:r>
        <w:t xml:space="preserve">EU. Table 19 shows that in 2040 these costs are EUR 25-27 billion lower than in 2015 in</w:t>
      </w:r>
      <w:r>
        <w:t xml:space="preserve"> </w:t>
      </w:r>
      <w:r>
        <w:t xml:space="preserve">the S1, S2, S3 scenarios, and EUR 27 billion lower than in 2015 in LIFE. There is a</w:t>
      </w:r>
      <w:r>
        <w:t xml:space="preserve"> </w:t>
      </w:r>
      <w:r>
        <w:t xml:space="preserve">reduction in air pollution control costs for the agricultural sector in LIFE compared to the</w:t>
      </w:r>
      <w:r>
        <w:t xml:space="preserve"> </w:t>
      </w:r>
      <w:r>
        <w:t xml:space="preserve">S2 scenario (EUR 1 billion less), since agricultural activity is lower. However, as the</w:t>
      </w:r>
      <w:r>
        <w:t xml:space="preserve"> </w:t>
      </w:r>
      <w:r>
        <w:t xml:space="preserve">main part of the air pollution control costs are associated with sectors other than</w:t>
      </w:r>
      <w:r>
        <w:t xml:space="preserve"> </w:t>
      </w:r>
      <w:r>
        <w:t xml:space="preserve">agriculture, the overall difference in control costs is relatively small.</w:t>
      </w:r>
      <w:r>
        <w:t xml:space="preserve"> </w:t>
      </w:r>
      <w:r>
        <w:t xml:space="preserve">Moreover, the reduction in mortality has been assessed economically using two methods:</w:t>
      </w:r>
      <w:r>
        <w:t xml:space="preserve"> </w:t>
      </w:r>
      <w:r>
        <w:t xml:space="preserve">Value of Statistical Life (VSL) and Value of a Life Year (VOLY). In this impact</w:t>
      </w:r>
      <w:r>
        <w:t xml:space="preserve"> </w:t>
      </w:r>
      <w:r>
        <w:t xml:space="preserve">assessment, the value of a statistical life is assumed to be EUR 4.36 million, and the</w:t>
      </w:r>
      <w:r>
        <w:t xml:space="preserve"> </w:t>
      </w:r>
      <w:r>
        <w:t xml:space="preserve">value of a life year is assumed to be EUR 114 722 (219). As shown in Table 19, in the S1,</w:t>
      </w:r>
      <w:r>
        <w:t xml:space="preserve"> </w:t>
      </w:r>
      <w:r>
        <w:t xml:space="preserve">S2 and S3 scenarios, in 2040, the premature mortality costs are EUR 1 046 to 1 051</w:t>
      </w:r>
      <w:r>
        <w:t xml:space="preserve"> </w:t>
      </w:r>
      <w:r>
        <w:t xml:space="preserve">billion lower compared to 2015 (i.e., a 61% reduction) if the VSL method is used, and</w:t>
      </w:r>
      <w:r>
        <w:t xml:space="preserve"> </w:t>
      </w:r>
      <w:r>
        <w:t xml:space="preserve">EUR 380 to 382 billion lower compared to 2015 (i.e., a 56% reduction) if the VOLY</w:t>
      </w:r>
      <w:r>
        <w:t xml:space="preserve"> </w:t>
      </w:r>
      <w:r>
        <w:t xml:space="preserve">method is used (220). In LIFE, the premature mortality costs are slightly lower because of</w:t>
      </w:r>
      <w:r>
        <w:t xml:space="preserve"> </w:t>
      </w:r>
      <w:r>
        <w:t xml:space="preserve">the decrease in PM2.5 emissions: EUR 1 077 billion lower in 2040 compared to 2015 if</w:t>
      </w:r>
    </w:p>
    <w:p>
      <w:pPr>
        <w:pStyle w:val="Compact"/>
        <w:numPr>
          <w:ilvl w:val="0"/>
          <w:numId w:val="1095"/>
        </w:numPr>
      </w:pPr>
      <w:r>
        <w:t xml:space="preserve">The analysis considers the direct effects of PM2.5 (full exposure range) and ozone on human health,</w:t>
      </w:r>
      <w:r>
        <w:t xml:space="preserve"> </w:t>
      </w:r>
      <w:r>
        <w:t xml:space="preserve">together with the indirect effects of NOx as precursors of particulate matter and ozone. However, the</w:t>
      </w:r>
      <w:r>
        <w:t xml:space="preserve"> </w:t>
      </w:r>
      <w:r>
        <w:t xml:space="preserve">direct effects of NO2 are not considered to avoid the risk of double counting, since there is conflicting</w:t>
      </w:r>
      <w:r>
        <w:t xml:space="preserve"> </w:t>
      </w:r>
      <w:r>
        <w:t xml:space="preserve">scientific evidence on the extent to which the health impacts of PM2.5 and NO2 overlap.</w:t>
      </w:r>
      <w:r>
        <w:br/>
      </w:r>
    </w:p>
    <w:p>
      <w:pPr>
        <w:pStyle w:val="Compact"/>
        <w:numPr>
          <w:ilvl w:val="0"/>
          <w:numId w:val="1095"/>
        </w:numPr>
      </w:pPr>
      <w:r>
        <w:t xml:space="preserve">Like the Third Clean Air Outlook, this impact assessment assumes that on average one year of life is</w:t>
      </w:r>
      <w:r>
        <w:t xml:space="preserve"> </w:t>
      </w:r>
      <w:r>
        <w:t xml:space="preserve">lost for each premature death caused by ozone exposure.</w:t>
      </w:r>
    </w:p>
    <w:p>
      <w:pPr>
        <w:pStyle w:val="Compact"/>
        <w:numPr>
          <w:ilvl w:val="0"/>
          <w:numId w:val="1095"/>
        </w:numPr>
      </w:pPr>
      <w:r>
        <w:t xml:space="preserve">In accordance with the premature mortality valuation methodology used in the Third Clean Air</w:t>
      </w:r>
      <w:r>
        <w:t xml:space="preserve"> </w:t>
      </w:r>
      <w:r>
        <w:t xml:space="preserve">Outlook (COM(2022) 673). Note that in the Third Clean Air Outlook the value of a statistical life and</w:t>
      </w:r>
      <w:r>
        <w:t xml:space="preserve"> </w:t>
      </w:r>
      <w:r>
        <w:t xml:space="preserve">the value of a life year are expressed in EUR 2015, whereas in this impact assessment these values are</w:t>
      </w:r>
      <w:r>
        <w:t xml:space="preserve"> </w:t>
      </w:r>
      <w:r>
        <w:t xml:space="preserve">expressed in EUR 2023.</w:t>
      </w:r>
    </w:p>
    <w:p>
      <w:pPr>
        <w:pStyle w:val="Compact"/>
        <w:numPr>
          <w:ilvl w:val="0"/>
          <w:numId w:val="1095"/>
        </w:numPr>
      </w:pPr>
      <w:r>
        <w:t xml:space="preserve">As indicated in the Third Clean Air Outlook (Annex to the Final Report, p. 122), premature mortality</w:t>
      </w:r>
      <w:r>
        <w:t xml:space="preserve"> </w:t>
      </w:r>
      <w:r>
        <w:t xml:space="preserve">caused by ozone exposure is considered only in the VOLY method, but not in the VSL method.</w:t>
      </w:r>
    </w:p>
    <w:p>
      <w:pPr>
        <w:pStyle w:val="FirstParagraph"/>
      </w:pPr>
      <w:r>
        <w:t xml:space="preserve">141</w:t>
      </w:r>
    </w:p>
    <w:p>
      <w:pPr>
        <w:pStyle w:val="BodyText"/>
      </w:pPr>
      <w:r>
        <w:t xml:space="preserve">the VSL method is used, and EUR 394 billion lower in 2040 relative to 2015 if the</w:t>
      </w:r>
      <w:r>
        <w:t xml:space="preserve"> </w:t>
      </w:r>
      <w:r>
        <w:t xml:space="preserve">VOLY method is used.</w:t>
      </w:r>
      <w:r>
        <w:br/>
      </w:r>
      <w:r>
        <w:t xml:space="preserve">Table 19: Air pollution emissions, impacts on public health and costs</w:t>
      </w:r>
    </w:p>
    <w:p>
      <w:pPr>
        <w:pStyle w:val="BodyText"/>
      </w:pPr>
      <w:r>
        <w:t xml:space="preserve">2015*</w:t>
      </w:r>
      <w:r>
        <w:t xml:space="preserve"> </w:t>
      </w:r>
      <w:r>
        <w:t xml:space="preserve">2040</w:t>
      </w:r>
      <w:r>
        <w:t xml:space="preserve"> </w:t>
      </w:r>
      <w:r>
        <w:t xml:space="preserve">Change 2015-2040</w:t>
      </w:r>
    </w:p>
    <w:p>
      <w:pPr>
        <w:pStyle w:val="BodyText"/>
      </w:pPr>
      <w:r>
        <w:t xml:space="preserve">S1, S2 &amp; S3</w:t>
      </w:r>
      <w:r>
        <w:t xml:space="preserve"> </w:t>
      </w:r>
      <w:r>
        <w:t xml:space="preserve">LIFE</w:t>
      </w:r>
      <w:r>
        <w:t xml:space="preserve"> </w:t>
      </w:r>
      <w:r>
        <w:t xml:space="preserve">S1, S2 &amp; S3</w:t>
      </w:r>
      <w:r>
        <w:t xml:space="preserve"> </w:t>
      </w:r>
      <w:r>
        <w:t xml:space="preserve">LIFE</w:t>
      </w:r>
      <w:r>
        <w:t xml:space="preserve"> </w:t>
      </w:r>
      <w:r>
        <w:t xml:space="preserve">Primary emissions</w:t>
      </w:r>
      <w:r>
        <w:t xml:space="preserve"> </w:t>
      </w:r>
      <w:r>
        <w:t xml:space="preserve">Air pollutant</w:t>
      </w:r>
      <w:r>
        <w:t xml:space="preserve"> </w:t>
      </w:r>
      <w:r>
        <w:t xml:space="preserve">emissions (kt)</w:t>
      </w:r>
    </w:p>
    <w:p>
      <w:pPr>
        <w:pStyle w:val="BodyText"/>
      </w:pPr>
      <w:r>
        <w:t xml:space="preserve">SO2</w:t>
      </w:r>
      <w:r>
        <w:t xml:space="preserve"> </w:t>
      </w:r>
      <w:r>
        <w:t xml:space="preserve">2316</w:t>
      </w:r>
      <w:r>
        <w:t xml:space="preserve"> </w:t>
      </w:r>
      <w:r>
        <w:t xml:space="preserve">525 to 529</w:t>
      </w:r>
      <w:r>
        <w:t xml:space="preserve"> </w:t>
      </w:r>
      <w:r>
        <w:t xml:space="preserve">529</w:t>
      </w:r>
      <w:r>
        <w:t xml:space="preserve"> </w:t>
      </w:r>
      <w:r>
        <w:t xml:space="preserve">-1787 to -1791</w:t>
      </w:r>
      <w:r>
        <w:t xml:space="preserve"> </w:t>
      </w:r>
      <w:r>
        <w:t xml:space="preserve">(-77.1% to -77.3%)</w:t>
      </w:r>
      <w:r>
        <w:t xml:space="preserve"> </w:t>
      </w:r>
      <w:r>
        <w:t xml:space="preserve">-1787</w:t>
      </w:r>
      <w:r>
        <w:t xml:space="preserve"> </w:t>
      </w:r>
      <w:r>
        <w:t xml:space="preserve">(-77.1%)</w:t>
      </w:r>
      <w:r>
        <w:t xml:space="preserve"> </w:t>
      </w:r>
      <w:r>
        <w:t xml:space="preserve">NOx</w:t>
      </w:r>
      <w:r>
        <w:t xml:space="preserve"> </w:t>
      </w:r>
      <w:r>
        <w:t xml:space="preserve">7392</w:t>
      </w:r>
      <w:r>
        <w:t xml:space="preserve"> </w:t>
      </w:r>
      <w:r>
        <w:t xml:space="preserve">2114 to 2140</w:t>
      </w:r>
      <w:r>
        <w:t xml:space="preserve"> </w:t>
      </w:r>
      <w:r>
        <w:t xml:space="preserve">1913</w:t>
      </w:r>
      <w:r>
        <w:t xml:space="preserve"> </w:t>
      </w:r>
      <w:r>
        <w:t xml:space="preserve">-5252 to -5277</w:t>
      </w:r>
      <w:r>
        <w:t xml:space="preserve"> </w:t>
      </w:r>
      <w:r>
        <w:t xml:space="preserve">(-71.1% to -71.4%)</w:t>
      </w:r>
      <w:r>
        <w:t xml:space="preserve"> </w:t>
      </w:r>
      <w:r>
        <w:t xml:space="preserve">-5478</w:t>
      </w:r>
      <w:r>
        <w:t xml:space="preserve"> </w:t>
      </w:r>
      <w:r>
        <w:t xml:space="preserve">(-74.1%)</w:t>
      </w:r>
      <w:r>
        <w:t xml:space="preserve"> </w:t>
      </w:r>
      <w:r>
        <w:t xml:space="preserve">PM2.5</w:t>
      </w:r>
      <w:r>
        <w:t xml:space="preserve"> </w:t>
      </w:r>
      <w:r>
        <w:t xml:space="preserve">1380</w:t>
      </w:r>
      <w:r>
        <w:t xml:space="preserve"> </w:t>
      </w:r>
      <w:r>
        <w:t xml:space="preserve">521 to 524</w:t>
      </w:r>
      <w:r>
        <w:t xml:space="preserve"> </w:t>
      </w:r>
      <w:r>
        <w:t xml:space="preserve">517</w:t>
      </w:r>
      <w:r>
        <w:t xml:space="preserve"> </w:t>
      </w:r>
      <w:r>
        <w:t xml:space="preserve">-857 to -859</w:t>
      </w:r>
      <w:r>
        <w:t xml:space="preserve"> </w:t>
      </w:r>
      <w:r>
        <w:t xml:space="preserve">(-62.1% to -62.2%)</w:t>
      </w:r>
      <w:r>
        <w:t xml:space="preserve"> </w:t>
      </w:r>
      <w:r>
        <w:t xml:space="preserve">-863</w:t>
      </w:r>
      <w:r>
        <w:t xml:space="preserve"> </w:t>
      </w:r>
      <w:r>
        <w:t xml:space="preserve">(-62.5%)</w:t>
      </w:r>
      <w:r>
        <w:t xml:space="preserve"> </w:t>
      </w:r>
      <w:r>
        <w:t xml:space="preserve">VOC</w:t>
      </w:r>
      <w:r>
        <w:t xml:space="preserve"> </w:t>
      </w:r>
      <w:r>
        <w:t xml:space="preserve">6362</w:t>
      </w:r>
      <w:r>
        <w:t xml:space="preserve"> </w:t>
      </w:r>
      <w:r>
        <w:t xml:space="preserve">4497 to 4503</w:t>
      </w:r>
      <w:r>
        <w:br/>
      </w:r>
      <w:r>
        <w:t xml:space="preserve">4259</w:t>
      </w:r>
      <w:r>
        <w:t xml:space="preserve"> </w:t>
      </w:r>
      <w:r>
        <w:t xml:space="preserve">-1860 to -1865</w:t>
      </w:r>
      <w:r>
        <w:t xml:space="preserve"> </w:t>
      </w:r>
      <w:r>
        <w:t xml:space="preserve">(-29.2% to -29.3%)</w:t>
      </w:r>
      <w:r>
        <w:t xml:space="preserve"> </w:t>
      </w:r>
      <w:r>
        <w:t xml:space="preserve">-2103</w:t>
      </w:r>
      <w:r>
        <w:t xml:space="preserve"> </w:t>
      </w:r>
      <w:r>
        <w:t xml:space="preserve">(-33.1%)</w:t>
      </w:r>
      <w:r>
        <w:t xml:space="preserve"> </w:t>
      </w:r>
      <w:r>
        <w:t xml:space="preserve">NH3</w:t>
      </w:r>
      <w:r>
        <w:t xml:space="preserve"> </w:t>
      </w:r>
      <w:r>
        <w:t xml:space="preserve">3690</w:t>
      </w:r>
      <w:r>
        <w:t xml:space="preserve"> </w:t>
      </w:r>
      <w:r>
        <w:t xml:space="preserve">3086 to 3091</w:t>
      </w:r>
      <w:r>
        <w:t xml:space="preserve"> </w:t>
      </w:r>
      <w:r>
        <w:t xml:space="preserve">2346</w:t>
      </w:r>
      <w:r>
        <w:t xml:space="preserve"> </w:t>
      </w:r>
      <w:r>
        <w:t xml:space="preserve">-599 to -604</w:t>
      </w:r>
      <w:r>
        <w:t xml:space="preserve"> </w:t>
      </w:r>
      <w:r>
        <w:t xml:space="preserve">(-16.2% to -16.4%)</w:t>
      </w:r>
      <w:r>
        <w:t xml:space="preserve"> </w:t>
      </w:r>
      <w:r>
        <w:t xml:space="preserve">-1345</w:t>
      </w:r>
      <w:r>
        <w:t xml:space="preserve"> </w:t>
      </w:r>
      <w:r>
        <w:t xml:space="preserve">(-36.4%)</w:t>
      </w:r>
      <w:r>
        <w:t xml:space="preserve"> </w:t>
      </w:r>
      <w:r>
        <w:t xml:space="preserve">Public health</w:t>
      </w:r>
      <w:r>
        <w:t xml:space="preserve"> </w:t>
      </w:r>
      <w:r>
        <w:t xml:space="preserve">Premature mortality</w:t>
      </w:r>
      <w:r>
        <w:t xml:space="preserve"> </w:t>
      </w:r>
      <w:r>
        <w:t xml:space="preserve">caused by PM2.5</w:t>
      </w:r>
      <w:r>
        <w:t xml:space="preserve"> </w:t>
      </w:r>
      <w:r>
        <w:t xml:space="preserve">exposure</w:t>
      </w:r>
    </w:p>
    <w:p>
      <w:pPr>
        <w:pStyle w:val="BodyText"/>
      </w:pPr>
      <w:r>
        <w:t xml:space="preserve">Expressed in 1000</w:t>
      </w:r>
      <w:r>
        <w:t xml:space="preserve"> </w:t>
      </w:r>
      <w:r>
        <w:t xml:space="preserve">cases/year</w:t>
      </w:r>
      <w:r>
        <w:t xml:space="preserve"> </w:t>
      </w:r>
      <w:r>
        <w:t xml:space="preserve">395</w:t>
      </w:r>
      <w:r>
        <w:t xml:space="preserve"> </w:t>
      </w:r>
      <w:r>
        <w:t xml:space="preserve">154 to 155</w:t>
      </w:r>
      <w:r>
        <w:t xml:space="preserve"> </w:t>
      </w:r>
      <w:r>
        <w:t xml:space="preserve">148</w:t>
      </w:r>
      <w:r>
        <w:t xml:space="preserve"> </w:t>
      </w:r>
      <w:r>
        <w:t xml:space="preserve">-240 to -241</w:t>
      </w:r>
      <w:r>
        <w:t xml:space="preserve"> </w:t>
      </w:r>
      <w:r>
        <w:t xml:space="preserve">(-60.7% to -61.0%)</w:t>
      </w:r>
      <w:r>
        <w:t xml:space="preserve"> </w:t>
      </w:r>
      <w:r>
        <w:t xml:space="preserve">-247</w:t>
      </w:r>
      <w:r>
        <w:t xml:space="preserve"> </w:t>
      </w:r>
      <w:r>
        <w:t xml:space="preserve">(-62.5%)</w:t>
      </w:r>
      <w:r>
        <w:t xml:space="preserve"> </w:t>
      </w:r>
      <w:r>
        <w:t xml:space="preserve">Expressed in million life</w:t>
      </w:r>
      <w:r>
        <w:t xml:space="preserve"> </w:t>
      </w:r>
      <w:r>
        <w:t xml:space="preserve">years lost/year</w:t>
      </w:r>
      <w:r>
        <w:t xml:space="preserve"> </w:t>
      </w:r>
      <w:r>
        <w:t xml:space="preserve">5.91</w:t>
      </w:r>
      <w:r>
        <w:t xml:space="preserve"> </w:t>
      </w:r>
      <w:r>
        <w:t xml:space="preserve">2.61 to 2.63</w:t>
      </w:r>
      <w:r>
        <w:t xml:space="preserve"> </w:t>
      </w:r>
      <w:r>
        <w:t xml:space="preserve">2.50</w:t>
      </w:r>
      <w:r>
        <w:t xml:space="preserve"> </w:t>
      </w:r>
      <w:r>
        <w:t xml:space="preserve">-3.28 to -3.30</w:t>
      </w:r>
      <w:r>
        <w:t xml:space="preserve"> </w:t>
      </w:r>
      <w:r>
        <w:t xml:space="preserve">(-55.6% to -55.8%)</w:t>
      </w:r>
      <w:r>
        <w:t xml:space="preserve"> </w:t>
      </w:r>
      <w:r>
        <w:t xml:space="preserve">-3.40</w:t>
      </w:r>
      <w:r>
        <w:t xml:space="preserve"> </w:t>
      </w:r>
      <w:r>
        <w:t xml:space="preserve">(-57.6%)</w:t>
      </w:r>
      <w:r>
        <w:t xml:space="preserve"> </w:t>
      </w:r>
      <w:r>
        <w:t xml:space="preserve">Premature mortality</w:t>
      </w:r>
      <w:r>
        <w:t xml:space="preserve"> </w:t>
      </w:r>
      <w:r>
        <w:t xml:space="preserve">caused by ozone</w:t>
      </w:r>
      <w:r>
        <w:t xml:space="preserve"> </w:t>
      </w:r>
      <w:r>
        <w:t xml:space="preserve">exposure</w:t>
      </w:r>
    </w:p>
    <w:p>
      <w:pPr>
        <w:pStyle w:val="BodyText"/>
      </w:pPr>
      <w:r>
        <w:t xml:space="preserve">Expressed in 1000</w:t>
      </w:r>
      <w:r>
        <w:t xml:space="preserve"> </w:t>
      </w:r>
      <w:r>
        <w:t xml:space="preserve">cases/year</w:t>
      </w:r>
      <w:r>
        <w:t xml:space="preserve"> </w:t>
      </w:r>
      <w:r>
        <w:t xml:space="preserve">71</w:t>
      </w:r>
      <w:r>
        <w:t xml:space="preserve"> </w:t>
      </w:r>
      <w:r>
        <w:t xml:space="preserve">42</w:t>
      </w:r>
      <w:r>
        <w:t xml:space="preserve"> </w:t>
      </w:r>
      <w:r>
        <w:t xml:space="preserve">40</w:t>
      </w:r>
      <w:r>
        <w:t xml:space="preserve"> </w:t>
      </w:r>
      <w:r>
        <w:t xml:space="preserve">-28</w:t>
      </w:r>
      <w:r>
        <w:t xml:space="preserve"> </w:t>
      </w:r>
      <w:r>
        <w:t xml:space="preserve">(-40.1% to -41.3%)</w:t>
      </w:r>
      <w:r>
        <w:t xml:space="preserve"> </w:t>
      </w:r>
      <w:r>
        <w:t xml:space="preserve">-30</w:t>
      </w:r>
      <w:r>
        <w:br/>
      </w:r>
      <w:r>
        <w:t xml:space="preserve">(-42.8%)</w:t>
      </w:r>
      <w:r>
        <w:t xml:space="preserve"> </w:t>
      </w:r>
      <w:r>
        <w:t xml:space="preserve">Expressed in million life</w:t>
      </w:r>
      <w:r>
        <w:t xml:space="preserve"> </w:t>
      </w:r>
      <w:r>
        <w:t xml:space="preserve">years lost/year</w:t>
      </w:r>
      <w:r>
        <w:t xml:space="preserve"> </w:t>
      </w:r>
      <w:r>
        <w:t xml:space="preserve">0.07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-0.03</w:t>
      </w:r>
      <w:r>
        <w:t xml:space="preserve"> </w:t>
      </w:r>
      <w:r>
        <w:t xml:space="preserve">(-40.1% to -41.3%)</w:t>
      </w:r>
      <w:r>
        <w:t xml:space="preserve"> </w:t>
      </w:r>
      <w:r>
        <w:t xml:space="preserve">-0.03</w:t>
      </w:r>
      <w:r>
        <w:br/>
      </w:r>
      <w:r>
        <w:t xml:space="preserve">(-42.8%)</w:t>
      </w:r>
      <w:r>
        <w:t xml:space="preserve"> </w:t>
      </w:r>
      <w:r>
        <w:t xml:space="preserve">Costs</w:t>
      </w:r>
      <w:r>
        <w:t xml:space="preserve"> </w:t>
      </w:r>
      <w:r>
        <w:t xml:space="preserve">Economic costs (EUR</w:t>
      </w:r>
      <w:r>
        <w:t xml:space="preserve"> </w:t>
      </w:r>
      <w:r>
        <w:t xml:space="preserve">2023 billion/year)</w:t>
      </w:r>
    </w:p>
    <w:p>
      <w:pPr>
        <w:pStyle w:val="BodyText"/>
      </w:pPr>
      <w:r>
        <w:t xml:space="preserve">Air pollution control**</w:t>
      </w:r>
      <w:r>
        <w:t xml:space="preserve"> </w:t>
      </w:r>
      <w:r>
        <w:t xml:space="preserve">83</w:t>
      </w:r>
      <w:r>
        <w:t xml:space="preserve"> </w:t>
      </w:r>
      <w:r>
        <w:t xml:space="preserve">56 to 58</w:t>
      </w:r>
      <w:r>
        <w:t xml:space="preserve"> </w:t>
      </w:r>
      <w:r>
        <w:t xml:space="preserve">56</w:t>
      </w:r>
      <w:r>
        <w:t xml:space="preserve"> </w:t>
      </w:r>
      <w:r>
        <w:t xml:space="preserve">-25 to -27</w:t>
      </w:r>
      <w:r>
        <w:t xml:space="preserve"> </w:t>
      </w:r>
      <w:r>
        <w:t xml:space="preserve">(-30.3% to -32.6%)</w:t>
      </w:r>
      <w:r>
        <w:t xml:space="preserve"> </w:t>
      </w:r>
      <w:r>
        <w:t xml:space="preserve">-27</w:t>
      </w:r>
      <w:r>
        <w:t xml:space="preserve"> </w:t>
      </w:r>
      <w:r>
        <w:t xml:space="preserve">(-32.4%)</w:t>
      </w:r>
      <w:r>
        <w:t xml:space="preserve"> </w:t>
      </w:r>
      <w:r>
        <w:t xml:space="preserve">Premature mortality</w:t>
      </w:r>
      <w:r>
        <w:t xml:space="preserve"> </w:t>
      </w:r>
      <w:r>
        <w:t xml:space="preserve">(VSL)***</w:t>
      </w:r>
      <w:r>
        <w:t xml:space="preserve"> </w:t>
      </w:r>
      <w:r>
        <w:t xml:space="preserve">1724</w:t>
      </w:r>
      <w:r>
        <w:t xml:space="preserve"> </w:t>
      </w:r>
      <w:r>
        <w:t xml:space="preserve">673 to 677</w:t>
      </w:r>
      <w:r>
        <w:t xml:space="preserve"> </w:t>
      </w:r>
      <w:r>
        <w:t xml:space="preserve">646</w:t>
      </w:r>
      <w:r>
        <w:t xml:space="preserve"> </w:t>
      </w:r>
      <w:r>
        <w:t xml:space="preserve">-1046 to -1051</w:t>
      </w:r>
      <w:r>
        <w:br/>
      </w:r>
      <w:r>
        <w:t xml:space="preserve">(-60.7% to -61.0%)</w:t>
      </w:r>
      <w:r>
        <w:t xml:space="preserve"> </w:t>
      </w:r>
      <w:r>
        <w:t xml:space="preserve">-1077</w:t>
      </w:r>
      <w:r>
        <w:t xml:space="preserve"> </w:t>
      </w:r>
      <w:r>
        <w:t xml:space="preserve">(-62.5%)</w:t>
      </w:r>
      <w:r>
        <w:t xml:space="preserve"> </w:t>
      </w:r>
      <w:r>
        <w:t xml:space="preserve">Premature mortality</w:t>
      </w:r>
      <w:r>
        <w:t xml:space="preserve"> </w:t>
      </w:r>
      <w:r>
        <w:t xml:space="preserve">(VOLY)****</w:t>
      </w:r>
      <w:r>
        <w:t xml:space="preserve"> </w:t>
      </w:r>
      <w:r>
        <w:t xml:space="preserve">686</w:t>
      </w:r>
      <w:r>
        <w:t xml:space="preserve"> </w:t>
      </w:r>
      <w:r>
        <w:t xml:space="preserve">304 to 306</w:t>
      </w:r>
      <w:r>
        <w:t xml:space="preserve"> </w:t>
      </w:r>
      <w:r>
        <w:t xml:space="preserve">292</w:t>
      </w:r>
      <w:r>
        <w:t xml:space="preserve"> </w:t>
      </w:r>
      <w:r>
        <w:t xml:space="preserve">-380 to -382</w:t>
      </w:r>
      <w:r>
        <w:br/>
      </w:r>
      <w:r>
        <w:t xml:space="preserve">(-55.6% to -55.8%)</w:t>
      </w:r>
      <w:r>
        <w:t xml:space="preserve"> </w:t>
      </w:r>
      <w:r>
        <w:t xml:space="preserve">-394</w:t>
      </w:r>
      <w:r>
        <w:t xml:space="preserve"> </w:t>
      </w:r>
      <w:r>
        <w:t xml:space="preserve">(-57.4%)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i/>
          <w:iCs/>
        </w:rPr>
        <w:t xml:space="preserve">Historical values for 2015 are slightly different than the ones reported in the Third Clean Air Outlook</w:t>
      </w:r>
      <w:r>
        <w:rPr>
          <w:i/>
          <w:iCs/>
        </w:rPr>
        <w:t xml:space="preserve"> </w:t>
      </w:r>
      <w:r>
        <w:rPr>
          <w:i/>
          <w:iCs/>
        </w:rPr>
        <w:t xml:space="preserve">because of a different emission scope as well as recent updates in the emission factors assumed by the GAINS</w:t>
      </w:r>
      <w:r>
        <w:rPr>
          <w:i/>
          <w:iCs/>
        </w:rPr>
        <w:t xml:space="preserve"> </w:t>
      </w:r>
      <w:r>
        <w:rPr>
          <w:i/>
          <w:iCs/>
        </w:rPr>
        <w:t xml:space="preserve">model.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Air pollution control costs are the costs associated with the measures/technologies employed in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control strategies of each scenario.</w:t>
      </w:r>
      <w:r>
        <w:rPr>
          <w:b/>
          <w:bCs/>
          <w:i/>
          <w:iCs/>
        </w:rPr>
        <w:t xml:space="preserve"> </w:t>
      </w:r>
      <w:r>
        <w:t xml:space="preserve">In accordance with the valuation methodology used in the Third Clean Air</w:t>
      </w:r>
      <w:r>
        <w:t xml:space="preserve"> </w:t>
      </w:r>
      <w:r>
        <w:t xml:space="preserve">Outlook, the value of a statistical life is assumed to be EUR 4.36 million (in EUR 2023), and the premature</w:t>
      </w:r>
      <w:r>
        <w:t xml:space="preserve"> </w:t>
      </w:r>
      <w:r>
        <w:t xml:space="preserve">mortality costs estimated using the VSL method do not consider premature deaths caused by ozone exposure.</w:t>
      </w:r>
      <w:r>
        <w:t xml:space="preserve"> </w:t>
      </w:r>
      <w:r>
        <w:t xml:space="preserve">****In accordance with the valuation methodology used in the Third Clean Air Outlook, the value of a life year is</w:t>
      </w:r>
      <w:r>
        <w:t xml:space="preserve"> </w:t>
      </w:r>
      <w:r>
        <w:t xml:space="preserve">assumed to be EUR 114 722 (in EUR 2023), and the premature mortality costs estimated using the VOLY</w:t>
      </w:r>
      <w:r>
        <w:t xml:space="preserve"> </w:t>
      </w:r>
      <w:r>
        <w:t xml:space="preserve">method consider premature deaths caused by ozone exposure.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Note that not all air pollution costs have been included in the quantitative analysis</w:t>
      </w:r>
      <w:r>
        <w:t xml:space="preserve"> </w:t>
      </w:r>
      <w:r>
        <w:t xml:space="preserve">presented in this section and shown in Table 19. Besides reducing premature mortality,</w:t>
      </w:r>
      <w:r>
        <w:t xml:space="preserve"> </w:t>
      </w:r>
      <w:r>
        <w:t xml:space="preserve">improving air quality also reduces morbidity (impact of diseases) caused by air pollution</w:t>
      </w:r>
      <w:r>
        <w:t xml:space="preserve"> </w:t>
      </w:r>
      <w:r>
        <w:t xml:space="preserve">(e.g., asthma). Consequently, improved air quality can reduce healthcare costs (due to</w:t>
      </w:r>
      <w:r>
        <w:t xml:space="preserve"> </w:t>
      </w:r>
      <w:r>
        <w:t xml:space="preserve">avoided hospital admissions, lower need for medication, etc.), as well as trigger</w:t>
      </w:r>
      <w:r>
        <w:t xml:space="preserve"> </w:t>
      </w:r>
      <w:r>
        <w:t xml:space="preserve">economic growth (by reducing employee absenteeism and increasing work productivity).</w:t>
      </w:r>
      <w:r>
        <w:t xml:space="preserve"> </w:t>
      </w:r>
      <w:r>
        <w:t xml:space="preserve">Furthermore, improved air quality increases crop yields and reduces damage to materials</w:t>
      </w:r>
      <w:r>
        <w:t xml:space="preserve"> </w:t>
      </w:r>
      <w:r>
        <w:t xml:space="preserve">and sensitive ecosystems. These co-benefits have not been quantified in this impact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assessment. However, regarding the last point, Table 20 shows the total ecosystem area</w:t>
      </w:r>
      <w:r>
        <w:t xml:space="preserve"> </w:t>
      </w:r>
      <w:r>
        <w:t xml:space="preserve">in the EU where acidification and eutrophication exceed critical loads harmful to these</w:t>
      </w:r>
      <w:r>
        <w:t xml:space="preserve"> </w:t>
      </w:r>
      <w:r>
        <w:t xml:space="preserve">ecosystems. The total area where acidification exceeds critical loads decreases by around</w:t>
      </w:r>
      <w:r>
        <w:t xml:space="preserve"> </w:t>
      </w:r>
      <w:r>
        <w:t xml:space="preserve">126 000 km2 between 2015 and 2040 in the S1, S2 and S3 scenarios (which means an</w:t>
      </w:r>
      <w:r>
        <w:t xml:space="preserve"> </w:t>
      </w:r>
      <w:r>
        <w:t xml:space="preserve">80% reduction). The largest part of this reduction involves forest areas. Note that</w:t>
      </w:r>
      <w:r>
        <w:t xml:space="preserve"> </w:t>
      </w:r>
      <w:r>
        <w:t xml:space="preserve">acidification is caused by atmospheric deposition of SO2, NOx and NH3. In addition, the</w:t>
      </w:r>
      <w:r>
        <w:t xml:space="preserve"> </w:t>
      </w:r>
      <w:r>
        <w:t xml:space="preserve">total ecosystem area where eutrophication exceeds critical loads decreases by 272 000 to</w:t>
      </w:r>
      <w:r>
        <w:t xml:space="preserve"> </w:t>
      </w:r>
      <w:r>
        <w:t xml:space="preserve">274 000 km2 between 2015 and 2040 in these scenarios (23.5% reduction). The</w:t>
      </w:r>
      <w:r>
        <w:t xml:space="preserve"> </w:t>
      </w:r>
      <w:r>
        <w:t xml:space="preserve">reduction in eutrophication effects is lower than the reduction in acidification effects (in</w:t>
      </w:r>
      <w:r>
        <w:t xml:space="preserve"> </w:t>
      </w:r>
      <w:r>
        <w:t xml:space="preserve">relative terms) because the primary source of eutrophication is NH3 leakage from</w:t>
      </w:r>
      <w:r>
        <w:t xml:space="preserve"> </w:t>
      </w:r>
      <w:r>
        <w:t xml:space="preserve">agricultural activities, and emissions of this air pollutant do not decrease as much as SO2</w:t>
      </w:r>
      <w:r>
        <w:t xml:space="preserve"> </w:t>
      </w:r>
      <w:r>
        <w:t xml:space="preserve">and NOx emissions, which are an important cause of acidification. In LIFE, the</w:t>
      </w:r>
      <w:r>
        <w:t xml:space="preserve"> </w:t>
      </w:r>
      <w:r>
        <w:t xml:space="preserve">ecosystem area in the EU affected by severe acidification and/or eutrophication decreases</w:t>
      </w:r>
      <w:r>
        <w:t xml:space="preserve"> </w:t>
      </w:r>
      <w:r>
        <w:t xml:space="preserve">more than in the other scenarios because of the lower NOx and NH3 emissions from</w:t>
      </w:r>
      <w:r>
        <w:t xml:space="preserve"> </w:t>
      </w:r>
      <w:r>
        <w:t xml:space="preserve">agricultural activities: the total area where acidification and eutrophication exceed critical</w:t>
      </w:r>
      <w:r>
        <w:t xml:space="preserve"> </w:t>
      </w:r>
      <w:r>
        <w:t xml:space="preserve">loads decreases by 88% (around 7 percentage points more than in the other scenarios)</w:t>
      </w:r>
      <w:r>
        <w:t xml:space="preserve"> </w:t>
      </w:r>
      <w:r>
        <w:t xml:space="preserve">and 36% (around 13 pp more than in the other scenarios), respectively, between 2015 and</w:t>
      </w:r>
      <w:r>
        <w:t xml:space="preserve"> </w:t>
      </w:r>
      <w:r>
        <w:t xml:space="preserve">2040.</w:t>
      </w:r>
      <w:r>
        <w:t xml:space="preserve"> </w:t>
      </w:r>
      <w:r>
        <w:t xml:space="preserve">Table 20: Area affected by acidification and eutrophication per scenario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2040</w:t>
      </w:r>
      <w:r>
        <w:t xml:space="preserve"> </w:t>
      </w:r>
      <w:r>
        <w:t xml:space="preserve">Change 2015-2040</w:t>
      </w:r>
    </w:p>
    <w:p>
      <w:pPr>
        <w:pStyle w:val="BodyText"/>
      </w:pPr>
      <w:r>
        <w:t xml:space="preserve">S1, S2 &amp; S3</w:t>
      </w:r>
      <w:r>
        <w:t xml:space="preserve"> </w:t>
      </w:r>
      <w:r>
        <w:t xml:space="preserve">LIFE</w:t>
      </w:r>
      <w:r>
        <w:t xml:space="preserve"> </w:t>
      </w:r>
      <w:r>
        <w:t xml:space="preserve">S1, S2 &amp; S3</w:t>
      </w:r>
      <w:r>
        <w:t xml:space="preserve"> </w:t>
      </w:r>
      <w:r>
        <w:t xml:space="preserve">LIFE</w:t>
      </w:r>
      <w:r>
        <w:t xml:space="preserve"> </w:t>
      </w:r>
      <w:r>
        <w:t xml:space="preserve">Acidification (1000 km2)</w:t>
      </w:r>
      <w:r>
        <w:t xml:space="preserve"> </w:t>
      </w:r>
      <w:r>
        <w:t xml:space="preserve">157</w:t>
      </w:r>
      <w:r>
        <w:t xml:space="preserve"> </w:t>
      </w:r>
      <w:r>
        <w:t xml:space="preserve">30.6 to 30.7</w:t>
      </w:r>
      <w:r>
        <w:t xml:space="preserve"> </w:t>
      </w:r>
      <w:r>
        <w:t xml:space="preserve">19.3</w:t>
      </w:r>
      <w:r>
        <w:t xml:space="preserve"> </w:t>
      </w:r>
      <w:r>
        <w:t xml:space="preserve">-126</w:t>
      </w:r>
      <w:r>
        <w:t xml:space="preserve"> </w:t>
      </w:r>
      <w:r>
        <w:t xml:space="preserve">(-80.4%)</w:t>
      </w:r>
      <w:r>
        <w:t xml:space="preserve"> </w:t>
      </w:r>
      <w:r>
        <w:t xml:space="preserve">-137</w:t>
      </w:r>
      <w:r>
        <w:br/>
      </w:r>
      <w:r>
        <w:t xml:space="preserve">(-87.7%)</w:t>
      </w:r>
      <w:r>
        <w:t xml:space="preserve"> </w:t>
      </w:r>
      <w:r>
        <w:t xml:space="preserve">Eutrophication (1000 km2)</w:t>
      </w:r>
      <w:r>
        <w:br/>
      </w:r>
      <w:r>
        <w:t xml:space="preserve">1164</w:t>
      </w:r>
      <w:r>
        <w:t xml:space="preserve"> </w:t>
      </w:r>
      <w:r>
        <w:t xml:space="preserve">890 to 892</w:t>
      </w:r>
      <w:r>
        <w:t xml:space="preserve"> </w:t>
      </w:r>
      <w:r>
        <w:t xml:space="preserve">742</w:t>
      </w:r>
      <w:r>
        <w:t xml:space="preserve"> </w:t>
      </w:r>
      <w:r>
        <w:t xml:space="preserve">-272 to -274</w:t>
      </w:r>
      <w:r>
        <w:br/>
      </w:r>
      <w:r>
        <w:t xml:space="preserve">(-23.4% to -23.5%)</w:t>
      </w:r>
      <w:r>
        <w:t xml:space="preserve"> </w:t>
      </w:r>
      <w:r>
        <w:t xml:space="preserve">-422</w:t>
      </w:r>
      <w:r>
        <w:br/>
      </w:r>
      <w:r>
        <w:t xml:space="preserve">(-36.3%)</w:t>
      </w:r>
    </w:p>
    <w:p>
      <w:pPr>
        <w:pStyle w:val="BodyText"/>
      </w:pPr>
      <w:r>
        <w:t xml:space="preserve">Note: The table shows the affected ecosystem area within the EU (expressed in 1000 km2) where acidification</w:t>
      </w:r>
      <w:r>
        <w:t xml:space="preserve"> </w:t>
      </w:r>
      <w:r>
        <w:t xml:space="preserve">or eutrophication exceed critical loads.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1.9.2. Biodiversity and ecosystems</w:t>
      </w:r>
      <w:r>
        <w:t xml:space="preserve"> </w:t>
      </w:r>
      <w:r>
        <w:t xml:space="preserve">Climate change is expected to have significant influences on biodiversity including</w:t>
      </w:r>
      <w:r>
        <w:t xml:space="preserve"> </w:t>
      </w:r>
      <w:r>
        <w:t xml:space="preserve">species-level reductions in range size and abundance (221) as it is one of the five main</w:t>
      </w:r>
      <w:r>
        <w:t xml:space="preserve"> </w:t>
      </w:r>
      <w:r>
        <w:t xml:space="preserve">drivers of global biodiversity loss, with change of land and sea use, direct exploitation,</w:t>
      </w:r>
      <w:r>
        <w:t xml:space="preserve"> </w:t>
      </w:r>
      <w:r>
        <w:t xml:space="preserve">pollution, and invasive alien species (222). For example, fire-prone areas are expected to</w:t>
      </w:r>
      <w:r>
        <w:t xml:space="preserve"> </w:t>
      </w:r>
      <w:r>
        <w:t xml:space="preserve">expand across Europe due to climate change threatening not only carbon sinks but also</w:t>
      </w:r>
      <w:r>
        <w:t xml:space="preserve"> </w:t>
      </w:r>
      <w:r>
        <w:t xml:space="preserve">biodiversity through habitat loss and fragmentation (223). At the same time, more</w:t>
      </w:r>
      <w:r>
        <w:t xml:space="preserve"> </w:t>
      </w:r>
      <w:r>
        <w:t xml:space="preserve">biodiverse forests may deliver more ecosystem services necessary for climate mitigation</w:t>
      </w:r>
      <w:r>
        <w:t xml:space="preserve"> </w:t>
      </w:r>
      <w:r>
        <w:t xml:space="preserve">and adaptation (224). In other words, making forest ecosystems more biodiverse can help</w:t>
      </w:r>
    </w:p>
    <w:p>
      <w:pPr>
        <w:pStyle w:val="Compact"/>
        <w:numPr>
          <w:ilvl w:val="0"/>
          <w:numId w:val="1096"/>
        </w:numPr>
      </w:pPr>
      <w:r>
        <w:t xml:space="preserve">Warren, R., VanDerWal, J., Price, J. et al. Quantifying the benefit of early climate change mitigation</w:t>
      </w:r>
      <w:r>
        <w:t xml:space="preserve"> </w:t>
      </w:r>
      <w:r>
        <w:t xml:space="preserve">in avoiding biodiversity loss. Nature Clim Change 3, 678–682 (2013)</w:t>
      </w:r>
    </w:p>
    <w:p>
      <w:pPr>
        <w:pStyle w:val="Compact"/>
        <w:numPr>
          <w:ilvl w:val="0"/>
          <w:numId w:val="1096"/>
        </w:numPr>
      </w:pPr>
      <w:r>
        <w:t xml:space="preserve">IPBES (2019) Global assessment report on biodiversity and ecosystem services of the</w:t>
      </w:r>
      <w:r>
        <w:t xml:space="preserve"> </w:t>
      </w:r>
      <w:r>
        <w:t xml:space="preserve">Intergovernmental Science-Policy Platform on Biodiversity and Ecosystem Services. Zenodo.</w:t>
      </w:r>
      <w:r>
        <w:t xml:space="preserve"> </w:t>
      </w:r>
      <w:r>
        <w:t xml:space="preserve">Available at: https://doi.org/10.5281/ZENODO.3831673.</w:t>
      </w:r>
    </w:p>
    <w:p>
      <w:pPr>
        <w:pStyle w:val="Compact"/>
        <w:numPr>
          <w:ilvl w:val="0"/>
          <w:numId w:val="1096"/>
        </w:numPr>
      </w:pPr>
      <w:r>
        <w:t xml:space="preserve">For more details on the complex interaction see IPCC AR6 WGII Chapter 13</w:t>
      </w:r>
    </w:p>
    <w:p>
      <w:pPr>
        <w:pStyle w:val="FirstParagraph"/>
      </w:pPr>
      <w:r>
        <w:t xml:space="preserve">143</w:t>
      </w:r>
    </w:p>
    <w:p>
      <w:pPr>
        <w:pStyle w:val="BodyText"/>
      </w:pPr>
      <w:r>
        <w:t xml:space="preserve">to increase their resilience against forest fires. Forest management practices like</w:t>
      </w:r>
      <w:r>
        <w:t xml:space="preserve"> </w:t>
      </w:r>
      <w:r>
        <w:t xml:space="preserve">monoculture plantations of fast-growing trees (eucalyptus, pines) are more prone to fires</w:t>
      </w:r>
      <w:r>
        <w:t xml:space="preserve"> </w:t>
      </w:r>
      <w:r>
        <w:t xml:space="preserve">(225) than biodiverse forests such as primary or old-growth forests (226). However, the</w:t>
      </w:r>
      <w:r>
        <w:t xml:space="preserve"> </w:t>
      </w:r>
      <w:r>
        <w:t xml:space="preserve">relationship goes both ways: an improved biodiversity and functioning ecosystems also</w:t>
      </w:r>
      <w:r>
        <w:t xml:space="preserve"> </w:t>
      </w:r>
      <w:r>
        <w:t xml:space="preserve">positively impact both climate mitigation and adaptation (227).</w:t>
      </w:r>
      <w:r>
        <w:t xml:space="preserve"> </w:t>
      </w:r>
      <w:r>
        <w:t xml:space="preserve">On a general level, limiting the magnitude of climate change via GHG mitigation is</w:t>
      </w:r>
      <w:r>
        <w:t xml:space="preserve"> </w:t>
      </w:r>
      <w:r>
        <w:t xml:space="preserve">necessary to preserve biodiversity and prevent further loss. More specifically, stringent</w:t>
      </w:r>
      <w:r>
        <w:t xml:space="preserve"> </w:t>
      </w:r>
      <w:r>
        <w:t xml:space="preserve">GHG mitigation that includes nature-based mitigation efforts can deliver a net benefit to</w:t>
      </w:r>
      <w:r>
        <w:t xml:space="preserve"> </w:t>
      </w:r>
      <w:r>
        <w:t xml:space="preserve">global biodiversity even if it comes at the cost of regional biodiversity loss in Europe.</w:t>
      </w:r>
      <w:r>
        <w:t xml:space="preserve"> </w:t>
      </w:r>
      <w:r>
        <w:t xml:space="preserve">But, in view of these potential losses, policies in EU should be be carefully designed to</w:t>
      </w:r>
      <w:r>
        <w:t xml:space="preserve"> </w:t>
      </w:r>
      <w:r>
        <w:t xml:space="preserve">conserve local biodiversity and to minimize the conversion of natural habitats (228). It is</w:t>
      </w:r>
      <w:r>
        <w:t xml:space="preserve"> </w:t>
      </w:r>
      <w:r>
        <w:t xml:space="preserve">therefore important to focus on the many nature-based removals for carbon removals,</w:t>
      </w:r>
      <w:r>
        <w:t xml:space="preserve"> </w:t>
      </w:r>
      <w:r>
        <w:t xml:space="preserve">which entail positive side-effects for biodiversity as they can provide new habitats and</w:t>
      </w:r>
      <w:r>
        <w:t xml:space="preserve"> </w:t>
      </w:r>
      <w:r>
        <w:t xml:space="preserve">ecosystems and to consider biodiversity impacts from nature-based removals that can</w:t>
      </w:r>
      <w:r>
        <w:t xml:space="preserve"> </w:t>
      </w:r>
      <w:r>
        <w:t xml:space="preserve">alter the habitat available for wildlife.</w:t>
      </w:r>
      <w:r>
        <w:t xml:space="preserve"> </w:t>
      </w:r>
      <w:r>
        <w:t xml:space="preserve">Modelling results showed that across all scenarios, overall species and habitats co-benefit</w:t>
      </w:r>
      <w:r>
        <w:t xml:space="preserve"> </w:t>
      </w:r>
      <w:r>
        <w:t xml:space="preserve">from nature-based removals, which proved to be the main driver of change while at the</w:t>
      </w:r>
      <w:r>
        <w:t xml:space="preserve"> </w:t>
      </w:r>
      <w:r>
        <w:t xml:space="preserve">same time providing additional carbon removals. Additional nature-based removals,</w:t>
      </w:r>
      <w:r>
        <w:t xml:space="preserve"> </w:t>
      </w:r>
      <w:r>
        <w:t xml:space="preserve">applied in S2 and S3, delivered clear benefits for the suitable habitat of species and</w:t>
      </w:r>
      <w:r>
        <w:t xml:space="preserve"> </w:t>
      </w:r>
      <w:r>
        <w:t xml:space="preserve">therefore biodiversity. The main factors for the improvement are afforestation, an</w:t>
      </w:r>
      <w:r>
        <w:t xml:space="preserve"> </w:t>
      </w:r>
      <w:r>
        <w:t xml:space="preserve">increase in deadwood in forests and intensification coupled with longer rotation time of</w:t>
      </w:r>
      <w:r>
        <w:t xml:space="preserve"> </w:t>
      </w:r>
      <w:r>
        <w:t xml:space="preserve">managed forests, and additional rewetting of peatlands. The impact of a second driver for</w:t>
      </w:r>
      <w:r>
        <w:t xml:space="preserve"> </w:t>
      </w:r>
      <w:r>
        <w:t xml:space="preserve">biodiversity, the increased biomass demand from lignocellulosic crops and forestry, had a</w:t>
      </w:r>
      <w:r>
        <w:t xml:space="preserve"> </w:t>
      </w:r>
      <w:r>
        <w:t xml:space="preserve">minor impact on biodiversity, resulting in statisticall non-significant differences between</w:t>
      </w:r>
      <w:r>
        <w:t xml:space="preserve"> </w:t>
      </w:r>
      <w:r>
        <w:t xml:space="preserve">the scenarios.</w:t>
      </w:r>
      <w:r>
        <w:br/>
      </w:r>
      <w:r>
        <w:t xml:space="preserve">On average the suitable habitat for European species increases by about 3% (S3) to 4%</w:t>
      </w:r>
      <w:r>
        <w:t xml:space="preserve"> </w:t>
      </w:r>
      <w:r>
        <w:t xml:space="preserve">(S2) in 2040 compared to 2020. For S1 the average suitable habitat declined slightly by</w:t>
      </w:r>
      <w:r>
        <w:t xml:space="preserve"> </w:t>
      </w:r>
      <w:r>
        <w:t xml:space="preserve">around 1% in 2040 compared to 2020 (229). The application of a carbon value to cover</w:t>
      </w:r>
      <w:r>
        <w:t xml:space="preserve"> </w:t>
      </w:r>
      <w:r>
        <w:t xml:space="preserve">mitigation costs in the land sector of up to 50 €/tCO2-eq in S2 and S3 results in small but</w:t>
      </w:r>
      <w:r>
        <w:t xml:space="preserve"> </w:t>
      </w:r>
      <w:r>
        <w:t xml:space="preserve">positive biodiversity trends although it is worth noting the large variations around the</w:t>
      </w:r>
    </w:p>
    <w:p>
      <w:pPr>
        <w:pStyle w:val="Compact"/>
        <w:numPr>
          <w:ilvl w:val="0"/>
          <w:numId w:val="1097"/>
        </w:numPr>
      </w:pPr>
      <w:r>
        <w:t xml:space="preserve">Pukkala, T. 2016. Which type of forest management provides most ecosystem services? Forest</w:t>
      </w:r>
      <w:r>
        <w:t xml:space="preserve"> </w:t>
      </w:r>
      <w:r>
        <w:t xml:space="preserve">Ecosystems 3:9; https://forestecosyst.springeropen.com/track/pdf/10.1186/s40663-016-0068-5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Barquín, J., L. Concostrina-Zubiri, I. Pérez-Silos, G. Hernández-Romero, A. Vélez-Martín, and J. M.</w:t>
      </w:r>
      <w:r>
        <w:t xml:space="preserve"> </w:t>
      </w:r>
      <w:r>
        <w:t xml:space="preserve">Álvarez-Martínez.</w:t>
      </w:r>
      <w:r>
        <w:t xml:space="preserve"> </w:t>
      </w:r>
      <w:r>
        <w:t xml:space="preserve">“Monoculture plantations fuel fires amid heat waves.”</w:t>
      </w:r>
      <w:r>
        <w:t xml:space="preserve"> </w:t>
      </w:r>
      <w:r>
        <w:t xml:space="preserve">Science 377, no. 6614</w:t>
      </w:r>
      <w:r>
        <w:t xml:space="preserve"> </w:t>
      </w:r>
      <w:r>
        <w:t xml:space="preserve">(2022): 1498-1498.</w:t>
      </w:r>
    </w:p>
    <w:p>
      <w:pPr>
        <w:pStyle w:val="Compact"/>
        <w:numPr>
          <w:ilvl w:val="0"/>
          <w:numId w:val="1097"/>
        </w:numPr>
      </w:pPr>
      <w:r>
        <w:t xml:space="preserve">Barredo, J.I., Mansuy, N. and Mubareka, S.B., Primary and old-growth forests are more resilient to</w:t>
      </w:r>
      <w:r>
        <w:t xml:space="preserve"> </w:t>
      </w:r>
      <w:r>
        <w:t xml:space="preserve">natural disturbances – Perspective on wildfires, European Commission, 2023, JRC133970.</w:t>
      </w:r>
    </w:p>
    <w:p>
      <w:pPr>
        <w:pStyle w:val="Compact"/>
        <w:numPr>
          <w:ilvl w:val="0"/>
          <w:numId w:val="1097"/>
        </w:numPr>
      </w:pPr>
      <w:r>
        <w:t xml:space="preserve">Pörtner, H.-O. et al. (2021) Scientific outcome of the IPBES-IPCC co-sponsored workshop on</w:t>
      </w:r>
      <w:r>
        <w:t xml:space="preserve"> </w:t>
      </w:r>
      <w:r>
        <w:t xml:space="preserve">biodiversity and climate change. Zenodo. Available at: https://doi.org/10.5281/ZENODO.5031995</w:t>
      </w:r>
    </w:p>
    <w:p>
      <w:pPr>
        <w:pStyle w:val="Compact"/>
        <w:numPr>
          <w:ilvl w:val="0"/>
          <w:numId w:val="1097"/>
        </w:numPr>
      </w:pPr>
      <w:r>
        <w:t xml:space="preserve">Ohashi, H., Hasegawa, T., Hirata, A. et al. Biodiversity can benefit from climate stabilization despite</w:t>
      </w:r>
      <w:r>
        <w:t xml:space="preserve"> </w:t>
      </w:r>
      <w:r>
        <w:t xml:space="preserve">adverse side effects of land-based mitigation. Nat Commun 10, 5240 (2019)</w:t>
      </w:r>
    </w:p>
    <w:p>
      <w:pPr>
        <w:pStyle w:val="Compact"/>
        <w:numPr>
          <w:ilvl w:val="0"/>
          <w:numId w:val="1097"/>
        </w:numPr>
      </w:pPr>
      <w:r>
        <w:t xml:space="preserve">Biodiversity impacts were calculated with GLOBIOM modelling framework. The biodiversity</w:t>
      </w:r>
      <w:r>
        <w:t xml:space="preserve"> </w:t>
      </w:r>
      <w:r>
        <w:t xml:space="preserve">indicator provides the average suitable habitat change since 2020, by assessing the suitability of a</w:t>
      </w:r>
      <w:r>
        <w:t xml:space="preserve"> </w:t>
      </w:r>
      <w:r>
        <w:t xml:space="preserve">habitat for each species. The indicator is based on a total set of 1033 species living across five land</w:t>
      </w:r>
      <w:r>
        <w:t xml:space="preserve"> </w:t>
      </w:r>
      <w:r>
        <w:t xml:space="preserve">categories.</w:t>
      </w:r>
    </w:p>
    <w:p>
      <w:pPr>
        <w:pStyle w:val="FirstParagraph"/>
      </w:pPr>
      <w:r>
        <w:t xml:space="preserve">144</w:t>
      </w:r>
    </w:p>
    <w:p>
      <w:pPr>
        <w:pStyle w:val="BodyText"/>
      </w:pPr>
      <w:r>
        <w:t xml:space="preserve">mean trend. In 2050, the average change in suitable habitat stays stable in S2 and S3 and</w:t>
      </w:r>
      <w:r>
        <w:t xml:space="preserve"> </w:t>
      </w:r>
      <w:r>
        <w:t xml:space="preserve">returns to 2020 levels for S1.</w:t>
      </w:r>
      <w:r>
        <w:br/>
      </w:r>
      <w:r>
        <w:t xml:space="preserve">In sum, the effects on biodiversity related to additional nature-based removals are</w:t>
      </w:r>
      <w:r>
        <w:t xml:space="preserve"> </w:t>
      </w:r>
      <w:r>
        <w:t xml:space="preserve">positive but small. However, the results also confirm the need to align climate and</w:t>
      </w:r>
      <w:r>
        <w:t xml:space="preserve"> </w:t>
      </w:r>
      <w:r>
        <w:t xml:space="preserve">environmental action in a co-beneficial way to obtain synergistic effects. Overall, on</w:t>
      </w:r>
      <w:r>
        <w:t xml:space="preserve"> </w:t>
      </w:r>
      <w:r>
        <w:t xml:space="preserve">biodiversity and ecosystems, the effects on suitable habitats in Europe in S1 to S3 need to</w:t>
      </w:r>
      <w:r>
        <w:t xml:space="preserve"> </w:t>
      </w:r>
      <w:r>
        <w:t xml:space="preserve">be complemented with the effects on acidification and eutrophication as shown in Table</w:t>
      </w:r>
      <w:r>
        <w:t xml:space="preserve"> </w:t>
      </w:r>
      <w:r>
        <w:t xml:space="preserve">20. The scenarios show a decline of affected area by 80% for acidification and 23.5% for</w:t>
      </w:r>
      <w:r>
        <w:t xml:space="preserve"> </w:t>
      </w:r>
      <w:r>
        <w:t xml:space="preserve">eutrophication in 2040, which provides a significant positive impact for ecosystems.</w:t>
      </w:r>
      <w:r>
        <w:br/>
      </w:r>
      <w:r>
        <w:t xml:space="preserve">LIFE evolves around a dietary change from consumers towards more healthy and</w:t>
      </w:r>
      <w:r>
        <w:t xml:space="preserve"> </w:t>
      </w:r>
      <w:r>
        <w:t xml:space="preserve">sustainable food consumption, the implementation of the Farm to Fork Strategy, and food</w:t>
      </w:r>
      <w:r>
        <w:t xml:space="preserve"> </w:t>
      </w:r>
      <w:r>
        <w:t xml:space="preserve">waste reduction (see Annex 6). Derived from the Farm to Fork Strategy and the</w:t>
      </w:r>
      <w:r>
        <w:t xml:space="preserve"> </w:t>
      </w:r>
      <w:r>
        <w:t xml:space="preserve">Biodiversity Strategy for 2030, the scenario produced some relevant outputs (230) which</w:t>
      </w:r>
      <w:r>
        <w:t xml:space="preserve"> </w:t>
      </w:r>
      <w:r>
        <w:t xml:space="preserve">have a beneficial impact on biodiversity as shown in Table 21.</w:t>
      </w:r>
      <w:r>
        <w:t xml:space="preserve"> </w:t>
      </w:r>
      <w:r>
        <w:t xml:space="preserve">Table 21: Overview of Farm to Fork objectives indicators in LIFE in 2040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Change to</w:t>
      </w:r>
      <w:r>
        <w:t xml:space="preserve"> </w:t>
      </w:r>
      <w:r>
        <w:t xml:space="preserve">2020</w:t>
      </w:r>
      <w:r>
        <w:t xml:space="preserve"> </w:t>
      </w:r>
      <w:r>
        <w:t xml:space="preserve">Change to</w:t>
      </w:r>
      <w:r>
        <w:t xml:space="preserve"> </w:t>
      </w:r>
      <w:r>
        <w:t xml:space="preserve">S1 - S3 in</w:t>
      </w:r>
      <w:r>
        <w:t xml:space="preserve"> </w:t>
      </w:r>
      <w:r>
        <w:t xml:space="preserve">2040</w:t>
      </w:r>
      <w:r>
        <w:t xml:space="preserve"> </w:t>
      </w:r>
      <w:r>
        <w:t xml:space="preserve">Nutrient surplus total [in 1000t]</w:t>
      </w:r>
      <w:r>
        <w:t xml:space="preserve"> </w:t>
      </w:r>
      <w:r>
        <w:t xml:space="preserve">5,504.794</w:t>
      </w:r>
      <w:r>
        <w:t xml:space="preserve"> </w:t>
      </w:r>
      <w:r>
        <w:t xml:space="preserve">-49%</w:t>
      </w:r>
      <w:r>
        <w:t xml:space="preserve"> </w:t>
      </w:r>
      <w:r>
        <w:t xml:space="preserve">-48%</w:t>
      </w:r>
      <w:r>
        <w:t xml:space="preserve"> </w:t>
      </w:r>
      <w:r>
        <w:t xml:space="preserve">Mineral fertilizer use</w:t>
      </w:r>
      <w:r>
        <w:t xml:space="preserve"> </w:t>
      </w:r>
      <w:r>
        <w:t xml:space="preserve">5,904</w:t>
      </w:r>
      <w:r>
        <w:t xml:space="preserve"> </w:t>
      </w:r>
      <w:r>
        <w:t xml:space="preserve">-41%</w:t>
      </w:r>
      <w:r>
        <w:t xml:space="preserve"> </w:t>
      </w:r>
      <w:r>
        <w:t xml:space="preserve">-44%</w:t>
      </w:r>
      <w:r>
        <w:t xml:space="preserve"> </w:t>
      </w:r>
      <w:r>
        <w:t xml:space="preserve">Chemical pesticide Use</w:t>
      </w:r>
      <w:r>
        <w:br/>
      </w:r>
      <w:r>
        <w:t xml:space="preserve">7307</w:t>
      </w:r>
      <w:r>
        <w:t xml:space="preserve"> </w:t>
      </w:r>
      <w:r>
        <w:t xml:space="preserve">-39%</w:t>
      </w:r>
      <w:r>
        <w:t xml:space="preserve"> </w:t>
      </w:r>
      <w:r>
        <w:t xml:space="preserve">-50%</w:t>
      </w:r>
      <w:r>
        <w:t xml:space="preserve"> </w:t>
      </w:r>
      <w:r>
        <w:t xml:space="preserve">High-diversity landscape features (Set aside and</w:t>
      </w:r>
      <w:r>
        <w:t xml:space="preserve"> </w:t>
      </w:r>
      <w:r>
        <w:t xml:space="preserve">fallow land) - Share of EU’s agricultural land</w:t>
      </w:r>
      <w:r>
        <w:br/>
      </w:r>
      <w:r>
        <w:t xml:space="preserve">14%</w:t>
      </w:r>
      <w:r>
        <w:t xml:space="preserve"> </w:t>
      </w:r>
      <w:r>
        <w:t xml:space="preserve">Share of EU’s agicultural land for organic agriculture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Source: CAPRI</w:t>
      </w:r>
      <w:r>
        <w:t xml:space="preserve"> </w:t>
      </w:r>
      <w:r>
        <w:t xml:space="preserve">Key factors in agriculture, such as the nutrient surplus, the amount of fertilizer and</w:t>
      </w:r>
      <w:r>
        <w:t xml:space="preserve"> </w:t>
      </w:r>
      <w:r>
        <w:t xml:space="preserve">pesticides applied, and the intensity of farming practices impact ecosystems and</w:t>
      </w:r>
      <w:r>
        <w:t xml:space="preserve"> </w:t>
      </w:r>
      <w:r>
        <w:t xml:space="preserve">biodiversity across different regions. Consequently, since LIFE has substantial impacts</w:t>
      </w:r>
      <w:r>
        <w:t xml:space="preserve"> </w:t>
      </w:r>
      <w:r>
        <w:t xml:space="preserve">on agricultural land and farming practices (Table 21), the changes also affect ecosystems</w:t>
      </w:r>
      <w:r>
        <w:t xml:space="preserve"> </w:t>
      </w:r>
      <w:r>
        <w:t xml:space="preserve">and biodiversity on these lands positively. Next to changes of farming practices, LIFE</w:t>
      </w:r>
      <w:r>
        <w:t xml:space="preserve"> </w:t>
      </w:r>
      <w:r>
        <w:t xml:space="preserve">shows a decline in livestock from cattle and other animals, which also leads to a</w:t>
      </w:r>
      <w:r>
        <w:t xml:space="preserve"> </w:t>
      </w:r>
      <w:r>
        <w:t xml:space="preserve">reduction in livestock density (Table 22). This reduction of livestock is due to the</w:t>
      </w:r>
      <w:r>
        <w:t xml:space="preserve"> </w:t>
      </w:r>
      <w:r>
        <w:t xml:space="preserve">declining demand for meat and dairy products, the implementation of the objective to</w:t>
      </w:r>
      <w:r>
        <w:t xml:space="preserve"> </w:t>
      </w:r>
      <w:r>
        <w:t xml:space="preserve">reduce nutrient losses by 50%, and to a limited extent to a reduction of food waste.</w:t>
      </w:r>
    </w:p>
    <w:p>
      <w:pPr>
        <w:pStyle w:val="Compact"/>
        <w:numPr>
          <w:ilvl w:val="0"/>
          <w:numId w:val="1098"/>
        </w:numPr>
      </w:pPr>
      <w:r>
        <w:t xml:space="preserve">The exact steering towards the different objectives from the Farm to Fork and Biodiversity strategy,</w:t>
      </w:r>
      <w:r>
        <w:t xml:space="preserve"> </w:t>
      </w:r>
      <w:r>
        <w:t xml:space="preserve">the dietary changes, as well as the targets for the food waste reduction in the modelling is technically</w:t>
      </w:r>
      <w:r>
        <w:t xml:space="preserve"> </w:t>
      </w:r>
      <w:r>
        <w:t xml:space="preserve">difficult, which results in the overfullfillment of some targets and missing the threshold for others in</w:t>
      </w:r>
      <w:r>
        <w:t xml:space="preserve"> </w:t>
      </w:r>
      <w:r>
        <w:t xml:space="preserve">the LIFE scenario.</w:t>
      </w:r>
    </w:p>
    <w:p>
      <w:pPr>
        <w:pStyle w:val="FirstParagraph"/>
      </w:pPr>
      <w:r>
        <w:t xml:space="preserve">145</w:t>
      </w:r>
    </w:p>
    <w:p>
      <w:pPr>
        <w:pStyle w:val="BodyText"/>
      </w:pPr>
      <w:r>
        <w:t xml:space="preserve">Table 22: Overview of LIFE outputs related to biodiversity in 2040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per ha</w:t>
      </w:r>
      <w:r>
        <w:t xml:space="preserve"> </w:t>
      </w:r>
      <w:r>
        <w:t xml:space="preserve">Change to</w:t>
      </w:r>
      <w:r>
        <w:t xml:space="preserve"> </w:t>
      </w:r>
      <w:r>
        <w:t xml:space="preserve">S1 - S3</w:t>
      </w:r>
      <w:r>
        <w:t xml:space="preserve"> </w:t>
      </w:r>
      <w:r>
        <w:t xml:space="preserve">Beef meat activities [in 1000 LSU]</w:t>
      </w:r>
      <w:r>
        <w:t xml:space="preserve"> </w:t>
      </w:r>
      <w:r>
        <w:t xml:space="preserve">7,877</w:t>
      </w:r>
    </w:p>
    <w:p>
      <w:pPr>
        <w:pStyle w:val="BodyText"/>
      </w:pPr>
      <w:r>
        <w:t xml:space="preserve">-49%</w:t>
      </w:r>
      <w:r>
        <w:t xml:space="preserve"> </w:t>
      </w:r>
      <w:r>
        <w:t xml:space="preserve">All Dairy [in 1000 LSU]</w:t>
      </w:r>
      <w:r>
        <w:t xml:space="preserve"> </w:t>
      </w:r>
      <w:r>
        <w:t xml:space="preserve">29,151</w:t>
      </w:r>
    </w:p>
    <w:p>
      <w:pPr>
        <w:pStyle w:val="BodyText"/>
      </w:pPr>
      <w:r>
        <w:t xml:space="preserve">-18%</w:t>
      </w:r>
      <w:r>
        <w:t xml:space="preserve"> </w:t>
      </w:r>
      <w:r>
        <w:t xml:space="preserve">Pigs, poultry, sheep [in 1000 LSU]</w:t>
      </w:r>
      <w:r>
        <w:t xml:space="preserve"> </w:t>
      </w:r>
      <w:r>
        <w:t xml:space="preserve">42,875</w:t>
      </w:r>
    </w:p>
    <w:p>
      <w:pPr>
        <w:pStyle w:val="BodyText"/>
      </w:pPr>
      <w:r>
        <w:t xml:space="preserve">-24%</w:t>
      </w:r>
      <w:r>
        <w:t xml:space="preserve"> </w:t>
      </w:r>
      <w:r>
        <w:t xml:space="preserve">All cattle activities [LSU/ha]</w:t>
      </w:r>
    </w:p>
    <w:p>
      <w:pPr>
        <w:pStyle w:val="BodyText"/>
      </w:pPr>
      <w:r>
        <w:t xml:space="preserve">0.23</w:t>
      </w:r>
      <w:r>
        <w:t xml:space="preserve"> </w:t>
      </w:r>
      <w:r>
        <w:t xml:space="preserve">-29%</w:t>
      </w:r>
      <w:r>
        <w:t xml:space="preserve"> </w:t>
      </w:r>
      <w:r>
        <w:t xml:space="preserve">Other (non-cattle) animals [LSU/ha]</w:t>
      </w:r>
      <w:r>
        <w:t xml:space="preserve"> </w:t>
      </w:r>
      <w:r>
        <w:t xml:space="preserve">0.26</w:t>
      </w:r>
      <w:r>
        <w:t xml:space="preserve"> </w:t>
      </w:r>
      <w:r>
        <w:t xml:space="preserve">-26%</w:t>
      </w:r>
      <w:r>
        <w:t xml:space="preserve"> </w:t>
      </w:r>
      <w:r>
        <w:t xml:space="preserve">Note: LSU indicates livestock units, either as ‘total’ in 1000t or ‘per ha’ kg/ha.</w:t>
      </w:r>
      <w:r>
        <w:br/>
      </w:r>
      <w:r>
        <w:t xml:space="preserve">Source: CAPRI</w:t>
      </w:r>
      <w:r>
        <w:t xml:space="preserve"> </w:t>
      </w:r>
      <w:r>
        <w:t xml:space="preserve">To assess biodiversity impacts on LIFE an indicator for biodiversity was necessary that</w:t>
      </w:r>
      <w:r>
        <w:t xml:space="preserve"> </w:t>
      </w:r>
      <w:r>
        <w:t xml:space="preserve">can account for impacts on agricultural land. The biodiversity impacts of the LIFE setting</w:t>
      </w:r>
      <w:r>
        <w:t xml:space="preserve"> </w:t>
      </w:r>
      <w:r>
        <w:t xml:space="preserve">uses the “BFP index” (Biodiversity-friendly farming practices), which assesses</w:t>
      </w:r>
      <w:r>
        <w:t xml:space="preserve"> </w:t>
      </w:r>
      <w:r>
        <w:t xml:space="preserve">biodiversity friendly practices and reflects the likelihood to find agricultural areas with a</w:t>
      </w:r>
      <w:r>
        <w:t xml:space="preserve"> </w:t>
      </w:r>
      <w:r>
        <w:t xml:space="preserve">high value for biodiversity and ecosystems in a region on NUTS 2 level (231). The total</w:t>
      </w:r>
      <w:r>
        <w:t xml:space="preserve"> </w:t>
      </w:r>
      <w:r>
        <w:t xml:space="preserve">index is an area weighted average of the partial indices for arable crops, permanent crops,</w:t>
      </w:r>
      <w:r>
        <w:t xml:space="preserve"> </w:t>
      </w:r>
      <w:r>
        <w:t xml:space="preserve">grassland and set aside / fallow land. In LIFE, this index increases by 14% compared to</w:t>
      </w:r>
      <w:r>
        <w:t xml:space="preserve"> </w:t>
      </w:r>
      <w:r>
        <w:t xml:space="preserve">the three scenarios, reaching on EU level up to about 71%. The estimated improvement</w:t>
      </w:r>
      <w:r>
        <w:t xml:space="preserve"> </w:t>
      </w:r>
      <w:r>
        <w:t xml:space="preserve">in biodiversity is mostly driven by three factors. Biodiversity on areas with arable crops</w:t>
      </w:r>
      <w:r>
        <w:t xml:space="preserve"> </w:t>
      </w:r>
      <w:r>
        <w:t xml:space="preserve">improves by about 20% due to the nutrient surplus reduction on the fields (232),</w:t>
      </w:r>
      <w:r>
        <w:t xml:space="preserve"> </w:t>
      </w:r>
      <w:r>
        <w:t xml:space="preserve">supplemented with reduced pesticide use. Areas with permanent crops benefit (38%),</w:t>
      </w:r>
      <w:r>
        <w:t xml:space="preserve"> </w:t>
      </w:r>
      <w:r>
        <w:t xml:space="preserve">mainly due to the reduction of pesticides, while lower nutrient surpluses are a secondary</w:t>
      </w:r>
      <w:r>
        <w:t xml:space="preserve"> </w:t>
      </w:r>
      <w:r>
        <w:t xml:space="preserve">driver here. Also managed grassland improves to a limited extent (3%), because the</w:t>
      </w:r>
      <w:r>
        <w:t xml:space="preserve"> </w:t>
      </w:r>
      <w:r>
        <w:t xml:space="preserve">stocking intensity of livestock units decreases, resulting in a substantial increase of</w:t>
      </w:r>
      <w:r>
        <w:t xml:space="preserve"> </w:t>
      </w:r>
      <w:r>
        <w:t xml:space="preserve">extensive use of grassland (see Table 23), while the pesticide reduction is less influential</w:t>
      </w:r>
      <w:r>
        <w:t xml:space="preserve"> </w:t>
      </w:r>
      <w:r>
        <w:t xml:space="preserve">on grassland.</w:t>
      </w:r>
      <w:r>
        <w:br/>
      </w:r>
      <w:r>
        <w:t xml:space="preserve">Table 23: Agricultural area change in 2040 by scenarios.</w:t>
      </w:r>
      <w:r>
        <w:t xml:space="preserve"> </w:t>
      </w:r>
      <w:r>
        <w:t xml:space="preserve">Area use [in 1000 ha]</w:t>
      </w:r>
      <w:r>
        <w:t xml:space="preserve"> </w:t>
      </w:r>
      <w:r>
        <w:t xml:space="preserve">S1 - S3</w:t>
      </w:r>
      <w:r>
        <w:t xml:space="preserve"> </w:t>
      </w:r>
      <w:r>
        <w:t xml:space="preserve">LIFE</w:t>
      </w:r>
      <w:r>
        <w:t xml:space="preserve"> </w:t>
      </w:r>
      <w:r>
        <w:t xml:space="preserve">Change</w:t>
      </w:r>
      <w:r>
        <w:t xml:space="preserve"> </w:t>
      </w:r>
      <w:r>
        <w:t xml:space="preserve">Utilized agricultural area</w:t>
      </w:r>
      <w:r>
        <w:t xml:space="preserve"> </w:t>
      </w:r>
      <w:r>
        <w:t xml:space="preserve">160,108</w:t>
      </w:r>
      <w:r>
        <w:t xml:space="preserve"> </w:t>
      </w:r>
      <w:r>
        <w:t xml:space="preserve">161,763</w:t>
      </w:r>
      <w:r>
        <w:t xml:space="preserve"> </w:t>
      </w:r>
      <w:r>
        <w:t xml:space="preserve">1%</w:t>
      </w:r>
      <w:r>
        <w:t xml:space="preserve"> </w:t>
      </w:r>
      <w:r>
        <w:t xml:space="preserve">Fodder activities</w:t>
      </w:r>
      <w:r>
        <w:t xml:space="preserve"> </w:t>
      </w:r>
      <w:r>
        <w:t xml:space="preserve">65,922</w:t>
      </w:r>
      <w:r>
        <w:t xml:space="preserve"> </w:t>
      </w:r>
      <w:r>
        <w:t xml:space="preserve">54,185</w:t>
      </w:r>
      <w:r>
        <w:t xml:space="preserve"> </w:t>
      </w:r>
      <w:r>
        <w:t xml:space="preserve">-18%</w:t>
      </w:r>
      <w:r>
        <w:t xml:space="preserve"> </w:t>
      </w:r>
      <w:r>
        <w:t xml:space="preserve">- of which: Gras and grazings intensive</w:t>
      </w:r>
      <w:r>
        <w:t xml:space="preserve"> </w:t>
      </w:r>
      <w:r>
        <w:t xml:space="preserve">23,872</w:t>
      </w:r>
      <w:r>
        <w:t xml:space="preserve"> </w:t>
      </w:r>
      <w:r>
        <w:t xml:space="preserve">5,174</w:t>
      </w:r>
      <w:r>
        <w:t xml:space="preserve"> </w:t>
      </w:r>
      <w:r>
        <w:t xml:space="preserve">-78%</w:t>
      </w:r>
      <w:r>
        <w:t xml:space="preserve"> </w:t>
      </w:r>
      <w:r>
        <w:t xml:space="preserve">- of which: Gras and grazings extensive</w:t>
      </w:r>
      <w:r>
        <w:t xml:space="preserve"> </w:t>
      </w:r>
      <w:r>
        <w:t xml:space="preserve">23,867</w:t>
      </w:r>
      <w:r>
        <w:t xml:space="preserve"> </w:t>
      </w:r>
      <w:r>
        <w:t xml:space="preserve">36,595</w:t>
      </w:r>
      <w:r>
        <w:t xml:space="preserve"> </w:t>
      </w:r>
      <w:r>
        <w:t xml:space="preserve">53%</w:t>
      </w:r>
      <w:r>
        <w:t xml:space="preserve"> </w:t>
      </w:r>
      <w:r>
        <w:t xml:space="preserve">Total set aside or rewetted land*</w:t>
      </w:r>
      <w:r>
        <w:t xml:space="preserve"> </w:t>
      </w:r>
      <w:r>
        <w:t xml:space="preserve">7,084</w:t>
      </w:r>
      <w:r>
        <w:t xml:space="preserve"> </w:t>
      </w:r>
      <w:r>
        <w:t xml:space="preserve">22,360</w:t>
      </w:r>
      <w:r>
        <w:t xml:space="preserve"> </w:t>
      </w:r>
      <w:r>
        <w:t xml:space="preserve">216%</w:t>
      </w:r>
      <w:r>
        <w:t xml:space="preserve"> </w:t>
      </w:r>
      <w:r>
        <w:t xml:space="preserve">*This includes fallow land set aside and rewetted cropland or grassland. The additional area is partly mobilized</w:t>
      </w:r>
      <w:r>
        <w:t xml:space="preserve"> </w:t>
      </w:r>
      <w:r>
        <w:t xml:space="preserve">by displacing agricultural crops and partly by converting other “unproductive” land.</w:t>
      </w:r>
      <w:r>
        <w:t xml:space="preserve"> </w:t>
      </w:r>
      <w:r>
        <w:t xml:space="preserve">Source: CAPRI</w:t>
      </w:r>
      <w:r>
        <w:t xml:space="preserve"> </w:t>
      </w:r>
      <w:r>
        <w:t xml:space="preserve">The third key driver for improved biodiversity friendliness would be the expansion of</w:t>
      </w:r>
      <w:r>
        <w:t xml:space="preserve"> </w:t>
      </w:r>
      <w:r>
        <w:t xml:space="preserve">areas for landscape elements such as hedges, buffer strips etc. The share of this set aside</w:t>
      </w:r>
    </w:p>
    <w:p>
      <w:pPr>
        <w:pStyle w:val="Compact"/>
        <w:numPr>
          <w:ilvl w:val="0"/>
          <w:numId w:val="1099"/>
        </w:numPr>
      </w:pPr>
      <w:r>
        <w:t xml:space="preserve">Using the ‘Biodiversity Friendly Practices’ (BFP), a biodiversity indicator capturing the likelihood to</w:t>
      </w:r>
      <w:r>
        <w:t xml:space="preserve"> </w:t>
      </w:r>
      <w:r>
        <w:t xml:space="preserve">find High Nature Value farmland in a region. Partial indices for different land use categories are</w:t>
      </w:r>
      <w:r>
        <w:t xml:space="preserve"> </w:t>
      </w:r>
      <w:r>
        <w:t xml:space="preserve">weighted according to their proportion of the total utilized agricultural area.</w:t>
      </w:r>
    </w:p>
    <w:p>
      <w:pPr>
        <w:pStyle w:val="Compact"/>
        <w:numPr>
          <w:ilvl w:val="0"/>
          <w:numId w:val="1099"/>
        </w:numPr>
      </w:pPr>
      <w:r>
        <w:t xml:space="preserve">The nutrient reduction through the farm to fork strategy aims to reduce nutrient losses by 50%. The</w:t>
      </w:r>
      <w:r>
        <w:t xml:space="preserve"> </w:t>
      </w:r>
      <w:r>
        <w:t xml:space="preserve">areas for arable crops make up almost 60% of the total farmland, therefore this partial index plays a</w:t>
      </w:r>
      <w:r>
        <w:t xml:space="preserve"> </w:t>
      </w:r>
      <w:r>
        <w:t xml:space="preserve">significant role.</w:t>
      </w:r>
    </w:p>
    <w:p>
      <w:pPr>
        <w:pStyle w:val="FirstParagraph"/>
      </w:pPr>
      <w:r>
        <w:t xml:space="preserve">146</w:t>
      </w:r>
    </w:p>
    <w:p>
      <w:pPr>
        <w:pStyle w:val="BodyText"/>
      </w:pPr>
      <w:r>
        <w:t xml:space="preserve">or fallow land would more than double to about 14.5 Mha in total. Figure 99 Shows the</w:t>
      </w:r>
      <w:r>
        <w:t xml:space="preserve"> </w:t>
      </w:r>
      <w:r>
        <w:t xml:space="preserve">regional biodiversity impacts through LIFE, indicating that the improvements are evenly</w:t>
      </w:r>
      <w:r>
        <w:t xml:space="preserve"> </w:t>
      </w:r>
      <w:r>
        <w:t xml:space="preserve">distributed across the EU, shifting particularly southern and eastern European regions</w:t>
      </w:r>
      <w:r>
        <w:t xml:space="preserve"> </w:t>
      </w:r>
      <w:r>
        <w:t xml:space="preserve">into a much more favourable state for biodiversity.</w:t>
      </w:r>
      <w:r>
        <w:t xml:space="preserve"> </w:t>
      </w:r>
      <w:r>
        <w:t xml:space="preserve">Figure 99: Biodiversity impacts from LIFE by region.</w:t>
      </w:r>
    </w:p>
    <w:p>
      <w:pPr>
        <w:pStyle w:val="BodyText"/>
      </w:pPr>
      <w:r>
        <w:t xml:space="preserve">Note: Results on the total BFP index in LIFE (right) against the default setting of the scenarios S1, S2 and S3</w:t>
      </w:r>
      <w:r>
        <w:t xml:space="preserve"> </w:t>
      </w:r>
      <w:r>
        <w:t xml:space="preserve">(left) in 2040 on NUTS 2 level. The Biodiversity Friendly Practices (BFP) indicator depicts the likelihood to find</w:t>
      </w:r>
      <w:r>
        <w:t xml:space="preserve"> </w:t>
      </w:r>
      <w:r>
        <w:t xml:space="preserve">High Nature Value farmland in a certain NUTS 2 region. The indicator ranges from red (17%-51%) to dark</w:t>
      </w:r>
      <w:r>
        <w:t xml:space="preserve"> </w:t>
      </w:r>
      <w:r>
        <w:t xml:space="preserve">green (&lt;100%).</w:t>
      </w:r>
      <w:r>
        <w:br/>
      </w:r>
      <w:r>
        <w:t xml:space="preserve">Source: CAPRI</w:t>
      </w:r>
      <w:r>
        <w:t xml:space="preserve"> </w:t>
      </w:r>
      <w:r>
        <w:t xml:space="preserve">1.9.3. Food security, animal welfare and health</w:t>
      </w:r>
      <w:r>
        <w:t xml:space="preserve"> </w:t>
      </w:r>
      <w:r>
        <w:t xml:space="preserve">The food system itself is not only contributing to climate change but is also highly</w:t>
      </w:r>
      <w:r>
        <w:t xml:space="preserve"> </w:t>
      </w:r>
      <w:r>
        <w:t xml:space="preserve">exposed to climate change itself, which jeopardises food security (233). Foodborne</w:t>
      </w:r>
      <w:r>
        <w:t xml:space="preserve"> </w:t>
      </w:r>
      <w:r>
        <w:t xml:space="preserve">diseases and an increase in extreme weather events are expected in the future under</w:t>
      </w:r>
      <w:r>
        <w:t xml:space="preserve"> </w:t>
      </w:r>
      <w:r>
        <w:t xml:space="preserve">altered climatic conditions, such as draughts and heavy rainfall, impacting the food</w:t>
      </w:r>
      <w:r>
        <w:t xml:space="preserve"> </w:t>
      </w:r>
      <w:r>
        <w:t xml:space="preserve">system and food safety. For Europe a combination of heats and droughts resulting from a</w:t>
      </w:r>
      <w:r>
        <w:t xml:space="preserve"> </w:t>
      </w:r>
      <w:r>
        <w:t xml:space="preserve">2°C to 3°C global warming level will lead to substantive agricultural production losses</w:t>
      </w:r>
      <w:r>
        <w:t xml:space="preserve"> </w:t>
      </w:r>
      <w:r>
        <w:t xml:space="preserve">for most European areas which will not be offset by possible gains; an effect that will</w:t>
      </w:r>
      <w:r>
        <w:t xml:space="preserve"> </w:t>
      </w:r>
      <w:r>
        <w:t xml:space="preserve">also affect the economic output from agriculture in the EU (234).</w:t>
      </w:r>
      <w:r>
        <w:br/>
      </w:r>
      <w:r>
        <w:t xml:space="preserve">Food security and sustainable and healthy diets are strongly interlinked (235). A</w:t>
      </w:r>
      <w:r>
        <w:t xml:space="preserve"> </w:t>
      </w:r>
      <w:r>
        <w:t xml:space="preserve">sustainable food system makes optimal use of natural resources. Dietary patterns with</w:t>
      </w:r>
      <w:r>
        <w:t xml:space="preserve"> </w:t>
      </w:r>
      <w:r>
        <w:t xml:space="preserve">high meat consumption require more energy, water and land resources. One hectare of</w:t>
      </w:r>
      <w:r>
        <w:t xml:space="preserve"> </w:t>
      </w:r>
      <w:r>
        <w:t xml:space="preserve">land may produce enough lamb or beef to feed one to two people, while the same hectare</w:t>
      </w:r>
    </w:p>
    <w:p>
      <w:pPr>
        <w:pStyle w:val="Compact"/>
        <w:numPr>
          <w:ilvl w:val="0"/>
          <w:numId w:val="1100"/>
        </w:numPr>
      </w:pPr>
      <w:r>
        <w:t xml:space="preserve">IPCC AR6 SPM</w:t>
      </w:r>
    </w:p>
    <w:p>
      <w:pPr>
        <w:pStyle w:val="Compact"/>
        <w:numPr>
          <w:ilvl w:val="0"/>
          <w:numId w:val="1100"/>
        </w:numPr>
      </w:pPr>
      <w:r>
        <w:t xml:space="preserve">IPCC AR6 WG II, 13</w:t>
      </w:r>
    </w:p>
    <w:p>
      <w:pPr>
        <w:pStyle w:val="Compact"/>
        <w:numPr>
          <w:ilvl w:val="0"/>
          <w:numId w:val="1100"/>
        </w:numPr>
      </w:pPr>
      <w:r>
        <w:t xml:space="preserve">Capone, R., et al., ‘Food System Sustainability and Food Security: Connecting the Dots.’, Journal of</w:t>
      </w:r>
      <w:r>
        <w:t xml:space="preserve"> </w:t>
      </w:r>
      <w:r>
        <w:t xml:space="preserve">Food Security, 2, 1, 13-22, 2014.</w:t>
      </w:r>
    </w:p>
    <w:p>
      <w:pPr>
        <w:pStyle w:val="FirstParagraph"/>
      </w:pPr>
      <w:r>
        <w:t xml:space="preserve">147</w:t>
      </w:r>
    </w:p>
    <w:p>
      <w:pPr>
        <w:pStyle w:val="BodyText"/>
      </w:pPr>
      <w:r>
        <w:t xml:space="preserve">can produce rice or potatoes for 19 to 22 people per annum (236). Thus, because livestock</w:t>
      </w:r>
      <w:r>
        <w:t xml:space="preserve"> </w:t>
      </w:r>
      <w:r>
        <w:t xml:space="preserve">farming demands extensive land use, a decrease of animal-based products in human diets</w:t>
      </w:r>
      <w:r>
        <w:t xml:space="preserve"> </w:t>
      </w:r>
      <w:r>
        <w:t xml:space="preserve">would reduce demand for feed and make more land available for growing human food.</w:t>
      </w:r>
      <w:r>
        <w:t xml:space="preserve"> </w:t>
      </w:r>
      <w:r>
        <w:t xml:space="preserve">Today, more than 50% of EU’s use of cereals goes into animal feed (237). Reducing the</w:t>
      </w:r>
      <w:r>
        <w:t xml:space="preserve"> </w:t>
      </w:r>
      <w:r>
        <w:t xml:space="preserve">demand of cereals for animal feed would contribute to strengthen strategic autonomy in</w:t>
      </w:r>
      <w:r>
        <w:t xml:space="preserve"> </w:t>
      </w:r>
      <w:r>
        <w:t xml:space="preserve">the food sector and thereby enhance food security.</w:t>
      </w:r>
      <w:r>
        <w:br/>
      </w:r>
      <w:r>
        <w:t xml:space="preserve">However, a closer look at the net production of agricultural products (see Table 24: )</w:t>
      </w:r>
      <w:r>
        <w:t xml:space="preserve"> </w:t>
      </w:r>
      <w:r>
        <w:t xml:space="preserve">shows that LIFE with its shift towards healthier diets and a reduction of food waste not</w:t>
      </w:r>
      <w:r>
        <w:t xml:space="preserve"> </w:t>
      </w:r>
      <w:r>
        <w:t xml:space="preserve">only decreases demand for food but also decreases livestock herds and agricultural area</w:t>
      </w:r>
      <w:r>
        <w:t xml:space="preserve"> </w:t>
      </w:r>
      <w:r>
        <w:t xml:space="preserve">related to animal products (see Table 22; Table 23), but also net production of animal</w:t>
      </w:r>
      <w:r>
        <w:t xml:space="preserve"> </w:t>
      </w:r>
      <w:r>
        <w:t xml:space="preserve">based and many other agricultural products. In part this is due to market adjustments due</w:t>
      </w:r>
      <w:r>
        <w:t xml:space="preserve"> </w:t>
      </w:r>
      <w:r>
        <w:t xml:space="preserve">to declining demand but partly this is also reflecting the desired move to less intensive</w:t>
      </w:r>
      <w:r>
        <w:t xml:space="preserve"> </w:t>
      </w:r>
      <w:r>
        <w:t xml:space="preserve">production systems with higher shares of organic agriculture, lower pesticide use, and</w:t>
      </w:r>
      <w:r>
        <w:t xml:space="preserve"> </w:t>
      </w:r>
      <w:r>
        <w:t xml:space="preserve">nutrient surpluses and some additional agricultural area taken out of production in view</w:t>
      </w:r>
      <w:r>
        <w:t xml:space="preserve"> </w:t>
      </w:r>
      <w:r>
        <w:t xml:space="preserve">of biodiversity targets. On a global perspective it is important to mention that only the</w:t>
      </w:r>
      <w:r>
        <w:t xml:space="preserve"> </w:t>
      </w:r>
      <w:r>
        <w:t xml:space="preserve">combination of supply side measures through the Farm to Fork objectives, together with</w:t>
      </w:r>
      <w:r>
        <w:t xml:space="preserve"> </w:t>
      </w:r>
      <w:r>
        <w:t xml:space="preserve">demand side measures (i.e., dietary shift and food waste reduction) result in a mutual</w:t>
      </w:r>
      <w:r>
        <w:t xml:space="preserve"> </w:t>
      </w:r>
      <w:r>
        <w:t xml:space="preserve">decline of production and demand, which does not jeopardise global food security.</w:t>
      </w:r>
      <w:r>
        <w:t xml:space="preserve"> </w:t>
      </w:r>
      <w:r>
        <w:t xml:space="preserve">Table 24: Net production of agricultural outputs in 2040 by scenarios</w:t>
      </w:r>
      <w:r>
        <w:t xml:space="preserve"> </w:t>
      </w:r>
      <w:r>
        <w:t xml:space="preserve">Net production [in 1000 t]</w:t>
      </w:r>
      <w:r>
        <w:t xml:space="preserve"> </w:t>
      </w:r>
      <w:r>
        <w:t xml:space="preserve">S1, S2, S3</w:t>
      </w:r>
      <w:r>
        <w:t xml:space="preserve"> </w:t>
      </w:r>
      <w:r>
        <w:t xml:space="preserve">LIFE</w:t>
      </w:r>
      <w:r>
        <w:t xml:space="preserve"> </w:t>
      </w:r>
      <w:r>
        <w:t xml:space="preserve">Change</w:t>
      </w:r>
      <w:r>
        <w:t xml:space="preserve"> </w:t>
      </w:r>
      <w:r>
        <w:t xml:space="preserve">Feed energy input</w:t>
      </w:r>
      <w:r>
        <w:t xml:space="preserve"> </w:t>
      </w:r>
      <w:r>
        <w:t xml:space="preserve">704,146,368</w:t>
      </w:r>
      <w:r>
        <w:t xml:space="preserve"> </w:t>
      </w:r>
      <w:r>
        <w:t xml:space="preserve">563,934,976</w:t>
      </w:r>
      <w:r>
        <w:t xml:space="preserve"> </w:t>
      </w:r>
      <w:r>
        <w:t xml:space="preserve">-20%</w:t>
      </w:r>
      <w:r>
        <w:t xml:space="preserve"> </w:t>
      </w:r>
      <w:r>
        <w:t xml:space="preserve">Cereals</w:t>
      </w:r>
      <w:r>
        <w:t xml:space="preserve"> </w:t>
      </w:r>
      <w:r>
        <w:t xml:space="preserve">267,900</w:t>
      </w:r>
      <w:r>
        <w:t xml:space="preserve"> </w:t>
      </w:r>
      <w:r>
        <w:t xml:space="preserve">214,751</w:t>
      </w:r>
      <w:r>
        <w:t xml:space="preserve"> </w:t>
      </w:r>
      <w:r>
        <w:t xml:space="preserve">-20%</w:t>
      </w:r>
      <w:r>
        <w:t xml:space="preserve"> </w:t>
      </w:r>
      <w:r>
        <w:t xml:space="preserve">Vegetables and Permanent crops</w:t>
      </w:r>
      <w:r>
        <w:t xml:space="preserve"> </w:t>
      </w:r>
      <w:r>
        <w:t xml:space="preserve">126,013</w:t>
      </w:r>
      <w:r>
        <w:t xml:space="preserve"> </w:t>
      </w:r>
      <w:r>
        <w:t xml:space="preserve">122,510</w:t>
      </w:r>
      <w:r>
        <w:t xml:space="preserve"> </w:t>
      </w:r>
      <w:r>
        <w:t xml:space="preserve">-3%</w:t>
      </w:r>
      <w:r>
        <w:t xml:space="preserve"> </w:t>
      </w:r>
      <w:r>
        <w:t xml:space="preserve">Wheat</w:t>
      </w:r>
      <w:r>
        <w:t xml:space="preserve"> </w:t>
      </w:r>
      <w:r>
        <w:t xml:space="preserve">118,239</w:t>
      </w:r>
      <w:r>
        <w:t xml:space="preserve"> </w:t>
      </w:r>
      <w:r>
        <w:t xml:space="preserve">98,450</w:t>
      </w:r>
      <w:r>
        <w:t xml:space="preserve"> </w:t>
      </w:r>
      <w:r>
        <w:t xml:space="preserve">-17%</w:t>
      </w:r>
      <w:r>
        <w:t xml:space="preserve"> </w:t>
      </w:r>
      <w:r>
        <w:t xml:space="preserve">Meat</w:t>
      </w:r>
      <w:r>
        <w:t xml:space="preserve"> </w:t>
      </w:r>
      <w:r>
        <w:t xml:space="preserve">45,368</w:t>
      </w:r>
      <w:r>
        <w:t xml:space="preserve"> </w:t>
      </w:r>
      <w:r>
        <w:t xml:space="preserve">33,841</w:t>
      </w:r>
      <w:r>
        <w:t xml:space="preserve"> </w:t>
      </w:r>
      <w:r>
        <w:t xml:space="preserve">-25%</w:t>
      </w:r>
      <w:r>
        <w:t xml:space="preserve"> </w:t>
      </w:r>
      <w:r>
        <w:t xml:space="preserve">Other Animal products</w:t>
      </w:r>
      <w:r>
        <w:t xml:space="preserve"> </w:t>
      </w:r>
      <w:r>
        <w:t xml:space="preserve">168,985</w:t>
      </w:r>
      <w:r>
        <w:t xml:space="preserve"> </w:t>
      </w:r>
      <w:r>
        <w:t xml:space="preserve">151,862</w:t>
      </w:r>
      <w:r>
        <w:t xml:space="preserve"> </w:t>
      </w:r>
      <w:r>
        <w:t xml:space="preserve">-10%</w:t>
      </w:r>
      <w:r>
        <w:t xml:space="preserve"> </w:t>
      </w:r>
      <w:r>
        <w:t xml:space="preserve">Raw milk</w:t>
      </w:r>
      <w:r>
        <w:t xml:space="preserve"> </w:t>
      </w:r>
      <w:r>
        <w:t xml:space="preserve">161,303</w:t>
      </w:r>
      <w:r>
        <w:t xml:space="preserve"> </w:t>
      </w:r>
      <w:r>
        <w:t xml:space="preserve">145,473</w:t>
      </w:r>
      <w:r>
        <w:t xml:space="preserve"> </w:t>
      </w:r>
      <w:r>
        <w:t xml:space="preserve">-10%</w:t>
      </w:r>
      <w:r>
        <w:t xml:space="preserve"> </w:t>
      </w:r>
      <w:r>
        <w:t xml:space="preserve">Dairy products</w:t>
      </w:r>
      <w:r>
        <w:t xml:space="preserve"> </w:t>
      </w:r>
      <w:r>
        <w:t xml:space="preserve">64,444</w:t>
      </w:r>
      <w:r>
        <w:t xml:space="preserve"> </w:t>
      </w:r>
      <w:r>
        <w:t xml:space="preserve">57,295</w:t>
      </w:r>
      <w:r>
        <w:t xml:space="preserve"> </w:t>
      </w:r>
      <w:r>
        <w:t xml:space="preserve">-11%</w:t>
      </w:r>
      <w:r>
        <w:t xml:space="preserve"> </w:t>
      </w:r>
      <w:r>
        <w:t xml:space="preserve">Source: CAPRI</w:t>
      </w:r>
      <w:r>
        <w:t xml:space="preserve"> </w:t>
      </w:r>
      <w:r>
        <w:t xml:space="preserve">Compared to scenarios S1, S2 and S3, LIFE leads to a shift from intensive grazing to</w:t>
      </w:r>
      <w:r>
        <w:t xml:space="preserve"> </w:t>
      </w:r>
      <w:r>
        <w:t xml:space="preserve">extensive grazing (Table 22) and to an overall reduction in livestock density per ha for</w:t>
      </w:r>
      <w:r>
        <w:t xml:space="preserve"> </w:t>
      </w:r>
      <w:r>
        <w:t xml:space="preserve">cattle and dairy cows but also for pigs and poultry (238). This may also positively impact</w:t>
      </w:r>
      <w:r>
        <w:t xml:space="preserve"> </w:t>
      </w:r>
      <w:r>
        <w:t xml:space="preserve">animal welfare and increase resilience against transboundary animal diseases in animal</w:t>
      </w:r>
      <w:r>
        <w:t xml:space="preserve"> </w:t>
      </w:r>
      <w:r>
        <w:t xml:space="preserve">related food production (239).</w:t>
      </w:r>
    </w:p>
    <w:p>
      <w:pPr>
        <w:pStyle w:val="Compact"/>
        <w:numPr>
          <w:ilvl w:val="0"/>
          <w:numId w:val="1101"/>
        </w:numPr>
      </w:pPr>
      <w:r>
        <w:t xml:space="preserve">Institution of Mechanical Engineers-UK, ‘Global food, waste not, want not’. London. 2013. Available</w:t>
      </w:r>
      <w:r>
        <w:t xml:space="preserve"> </w:t>
      </w:r>
      <w:r>
        <w:t xml:space="preserve">online at: global-food—waste-not-want-not.pdf (imeche.org)</w:t>
      </w:r>
    </w:p>
    <w:p>
      <w:pPr>
        <w:pStyle w:val="Compact"/>
        <w:numPr>
          <w:ilvl w:val="0"/>
          <w:numId w:val="1101"/>
        </w:numPr>
      </w:pPr>
      <w:r>
        <w:t xml:space="preserve">Based on the years 2020 to 2022; European Commission, DG Agriculture and Rural Development,</w:t>
      </w:r>
      <w:r>
        <w:t xml:space="preserve"> </w:t>
      </w:r>
      <w:r>
        <w:t xml:space="preserve">‘EU agricultural outlook for markets, income and environment, 2022-2032’, Brussels, 2022.</w:t>
      </w:r>
    </w:p>
    <w:p>
      <w:pPr>
        <w:pStyle w:val="Compact"/>
        <w:numPr>
          <w:ilvl w:val="0"/>
          <w:numId w:val="1101"/>
        </w:numPr>
      </w:pPr>
      <w:r>
        <w:t xml:space="preserve">In LIFE the overall animal density [lifestock units / ha] decrease by -27%; for all cattle activities by -</w:t>
      </w:r>
      <w:r>
        <w:t xml:space="preserve"> </w:t>
      </w:r>
      <w:r>
        <w:t xml:space="preserve">29% and other animals -26%. See Table 22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Sundström, J.F., Albihn, A., Boqvist, S. et al. ‚Future threats to agricultural food production posed by</w:t>
      </w:r>
      <w:r>
        <w:t xml:space="preserve"> </w:t>
      </w:r>
      <w:r>
        <w:t xml:space="preserve">environmental degradation, climate change, and animal and plant diseases – a risk analysis in three</w:t>
      </w:r>
      <w:r>
        <w:t xml:space="preserve"> </w:t>
      </w:r>
      <w:r>
        <w:t xml:space="preserve">economic and climate settings’, Food Security, 6, 201–215, 2014.</w:t>
      </w:r>
    </w:p>
    <w:p>
      <w:pPr>
        <w:pStyle w:val="FirstParagraph"/>
      </w:pPr>
      <w:r>
        <w:t xml:space="preserve">148</w:t>
      </w:r>
    </w:p>
    <w:p>
      <w:pPr>
        <w:pStyle w:val="BodyText"/>
      </w:pPr>
      <w:r>
        <w:t xml:space="preserve">LIFE incorporates significant health benefits for its citizens. For Europe, research finds a</w:t>
      </w:r>
      <w:r>
        <w:t xml:space="preserve"> </w:t>
      </w:r>
      <w:r>
        <w:t xml:space="preserve">greater consumption of red meat, eggs and dairy products than recommended</w:t>
      </w:r>
      <w:r>
        <w:t xml:space="preserve"> </w:t>
      </w:r>
      <w:r>
        <w:t xml:space="preserve">consumption levels of healthy reference diets (240) (241). Studies indicate that reducing</w:t>
      </w:r>
      <w:r>
        <w:t xml:space="preserve"> </w:t>
      </w:r>
      <w:r>
        <w:t xml:space="preserve">meat consumption, while maintaining a broad and varied diet is beneficial for human</w:t>
      </w:r>
      <w:r>
        <w:t xml:space="preserve"> </w:t>
      </w:r>
      <w:r>
        <w:t xml:space="preserve">health as it reduces the risk of cardiovascular diseases (242) (243), cancer (244), diabetis and</w:t>
      </w:r>
      <w:r>
        <w:t xml:space="preserve"> </w:t>
      </w:r>
      <w:r>
        <w:t xml:space="preserve">obesity (245). This has also significant economic benefits on health costs. For example,</w:t>
      </w:r>
      <w:r>
        <w:t xml:space="preserve"> </w:t>
      </w:r>
      <w:r>
        <w:t xml:space="preserve">adopting an energy-balanced, low-meat dietary pattern is associated with large reductions</w:t>
      </w:r>
      <w:r>
        <w:t xml:space="preserve"> </w:t>
      </w:r>
      <w:r>
        <w:t xml:space="preserve">in premature mortality, both for a flexitarian (-19%) and a vegan (-22%) diet (246).</w:t>
      </w:r>
      <w:r>
        <w:br/>
      </w:r>
      <w:r>
        <w:t xml:space="preserve">The reduction of meat consumption (i.e., shift to more plant-based diets) and fertiliser</w:t>
      </w:r>
      <w:r>
        <w:t xml:space="preserve"> </w:t>
      </w:r>
      <w:r>
        <w:t xml:space="preserve">application in LIFE also generates significant co-benefits for air quality, since it reduces</w:t>
      </w:r>
      <w:r>
        <w:t xml:space="preserve"> </w:t>
      </w:r>
      <w:r>
        <w:t xml:space="preserve">methane emissions, a short-lived climate forcer but also a precursor of ozone (247), and</w:t>
      </w:r>
      <w:r>
        <w:t xml:space="preserve"> </w:t>
      </w:r>
      <w:r>
        <w:t xml:space="preserve">ammonia emissions. Hence, an increase in plant-based diets in the EU is improving</w:t>
      </w:r>
      <w:r>
        <w:t xml:space="preserve"> </w:t>
      </w:r>
      <w:r>
        <w:t xml:space="preserve">human health both directly through more healthy diets and indirectly through cleaner air,</w:t>
      </w:r>
      <w:r>
        <w:t xml:space="preserve"> </w:t>
      </w:r>
      <w:r>
        <w:t xml:space="preserve">which creates economic benefits from improved human health that would compensate</w:t>
      </w:r>
      <w:r>
        <w:t xml:space="preserve"> </w:t>
      </w:r>
      <w:r>
        <w:t xml:space="preserve">some part of the economic losses in agricultural sector (248).</w:t>
      </w:r>
    </w:p>
    <w:p>
      <w:pPr>
        <w:pStyle w:val="Compact"/>
        <w:numPr>
          <w:ilvl w:val="0"/>
          <w:numId w:val="1102"/>
        </w:numPr>
      </w:pPr>
      <w:r>
        <w:t xml:space="preserve">Willet et al., ‘Food in the Anthropocene: the EAT–Lancet Commission on healthy diets from</w:t>
      </w:r>
      <w:r>
        <w:t xml:space="preserve"> </w:t>
      </w:r>
      <w:r>
        <w:t xml:space="preserve">sustainable food systems’, Lancet, 2019.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WHO/FAO (2003) Diet, nutrition and the prevention of chronic diseases: report of a joint WHO/FAO</w:t>
      </w:r>
      <w:r>
        <w:t xml:space="preserve"> </w:t>
      </w:r>
      <w:r>
        <w:t xml:space="preserve">expert consultation. World Health Organization, Geneva.</w:t>
      </w:r>
    </w:p>
    <w:p>
      <w:pPr>
        <w:pStyle w:val="Compact"/>
        <w:numPr>
          <w:ilvl w:val="0"/>
          <w:numId w:val="1102"/>
        </w:numPr>
      </w:pPr>
      <w:r>
        <w:t xml:space="preserve">Koch et al. (2023) Vegetarian or vegan diets and blood lipids: a meta-analysis of randomized trials.</w:t>
      </w:r>
      <w:r>
        <w:t xml:space="preserve"> </w:t>
      </w:r>
      <w:r>
        <w:t xml:space="preserve">European Heart Journal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Westhoek, Henk, Jan Peter Lesschen, Trudy Rood, Susanne Wagner, Alessandra De Marco, Donal</w:t>
      </w:r>
      <w:r>
        <w:t xml:space="preserve"> </w:t>
      </w:r>
      <w:r>
        <w:t xml:space="preserve">Murphy-Bokern, Adrian Leip, Hans van Grinsven, Mark A. Sutton, and Oene Oenema. ‘Food choices,</w:t>
      </w:r>
      <w:r>
        <w:t xml:space="preserve"> </w:t>
      </w:r>
      <w:r>
        <w:t xml:space="preserve">health and environment: Effects of cutting Europe’s meat and dairy intake.’ Global Environmental</w:t>
      </w:r>
      <w:r>
        <w:t xml:space="preserve"> </w:t>
      </w:r>
      <w:r>
        <w:t xml:space="preserve">Change, 26, 196-205, 2014.</w:t>
      </w:r>
    </w:p>
    <w:p>
      <w:pPr>
        <w:pStyle w:val="Compact"/>
        <w:numPr>
          <w:ilvl w:val="0"/>
          <w:numId w:val="1102"/>
        </w:numPr>
      </w:pPr>
      <w:r>
        <w:t xml:space="preserve">Chan, Doris SM, Rosa Lau, Dagfinn Aune, Rui Vieira, Darren C. Greenwood, Ellen Kampman, and</w:t>
      </w:r>
      <w:r>
        <w:t xml:space="preserve"> </w:t>
      </w:r>
      <w:r>
        <w:t xml:space="preserve">Teresa Norat.</w:t>
      </w:r>
      <w:r>
        <w:t xml:space="preserve"> </w:t>
      </w:r>
      <w:r>
        <w:t xml:space="preserve">“Red and processed meat and colorectal cancer incidence: meta-analysis of prospective</w:t>
      </w:r>
      <w:r>
        <w:t xml:space="preserve"> </w:t>
      </w:r>
      <w:r>
        <w:t xml:space="preserve">studies.”</w:t>
      </w:r>
      <w:r>
        <w:t xml:space="preserve"> </w:t>
      </w:r>
      <w:r>
        <w:t xml:space="preserve">PloS one 6, no. 6 (2011): e20456.</w:t>
      </w:r>
    </w:p>
    <w:p>
      <w:pPr>
        <w:pStyle w:val="Compact"/>
        <w:numPr>
          <w:ilvl w:val="0"/>
          <w:numId w:val="1102"/>
        </w:numPr>
      </w:pPr>
      <w:r>
        <w:t xml:space="preserve">Tukker et al. (2011) Environmental impacts of changes to healthier diets in Europe. Ecological</w:t>
      </w:r>
      <w:r>
        <w:t xml:space="preserve"> </w:t>
      </w:r>
      <w:r>
        <w:t xml:space="preserve">Economics</w:t>
      </w:r>
    </w:p>
    <w:p>
      <w:pPr>
        <w:pStyle w:val="Compact"/>
        <w:numPr>
          <w:ilvl w:val="0"/>
          <w:numId w:val="1102"/>
        </w:numPr>
      </w:pPr>
      <w:r>
        <w:t xml:space="preserve">Springmann et al. ‘Health and nutritional aspects of sustainable diet strategies and their association</w:t>
      </w:r>
      <w:r>
        <w:t xml:space="preserve"> </w:t>
      </w:r>
      <w:r>
        <w:t xml:space="preserve">with environmental impacts: a global modelling analysis with country-level detail’, Lancet Planet</w:t>
      </w:r>
      <w:r>
        <w:t xml:space="preserve"> </w:t>
      </w:r>
      <w:r>
        <w:t xml:space="preserve">Health, 2018.</w:t>
      </w:r>
    </w:p>
    <w:p>
      <w:pPr>
        <w:pStyle w:val="Compact"/>
        <w:numPr>
          <w:ilvl w:val="0"/>
          <w:numId w:val="1102"/>
        </w:numPr>
      </w:pPr>
      <w:r>
        <w:t xml:space="preserve">COM(2022) 673 final</w:t>
      </w:r>
    </w:p>
    <w:p>
      <w:pPr>
        <w:pStyle w:val="Compact"/>
        <w:numPr>
          <w:ilvl w:val="0"/>
          <w:numId w:val="1102"/>
        </w:numPr>
      </w:pPr>
      <w:r>
        <w:t xml:space="preserve">A shift to flexitarian diets could reduce ammonia emissions by 33% in the EU. Through avoided</w:t>
      </w:r>
      <w:r>
        <w:t xml:space="preserve"> </w:t>
      </w:r>
      <w:r>
        <w:t xml:space="preserve">premature mortality rates, economic losses in the agricultural sector from dietary shifts could be</w:t>
      </w:r>
      <w:r>
        <w:t xml:space="preserve"> </w:t>
      </w:r>
      <w:r>
        <w:t xml:space="preserve">mitigated by 39% in the EU in such a scenario. See Himics et al. ‘Co-benefits of a flexitarian diet for</w:t>
      </w:r>
      <w:r>
        <w:t xml:space="preserve"> </w:t>
      </w:r>
      <w:r>
        <w:t xml:space="preserve">air quality and human health in Europe’, 2022</w:t>
      </w:r>
    </w:p>
    <w:p>
      <w:pPr>
        <w:pStyle w:val="FirstParagraph"/>
      </w:pPr>
      <w:r>
        <w:t xml:space="preserve">149</w:t>
      </w:r>
    </w:p>
    <w:p>
      <w:pPr>
        <w:pStyle w:val="BodyText"/>
      </w:pPr>
      <w:r>
        <w:t xml:space="preserve">1.9.4. Raw materials</w:t>
      </w:r>
      <w:r>
        <w:br/>
      </w:r>
      <w:r>
        <w:t xml:space="preserve">The demand for raw material is expected to grow considerably by 2050 (249), and this</w:t>
      </w:r>
      <w:r>
        <w:t xml:space="preserve"> </w:t>
      </w:r>
      <w:r>
        <w:t xml:space="preserve">growth in raw materials use is likely to increase the pressure on the planet resources.</w:t>
      </w:r>
      <w:r>
        <w:t xml:space="preserve"> </w:t>
      </w:r>
      <w:r>
        <w:t xml:space="preserve">The material growth is expected to be driven only partially by the climate transition, with</w:t>
      </w:r>
      <w:r>
        <w:t xml:space="preserve"> </w:t>
      </w:r>
      <w:r>
        <w:t xml:space="preserve">the rest is distributed among the electronic sector, the automotive and building sector and</w:t>
      </w:r>
      <w:r>
        <w:t xml:space="preserve"> </w:t>
      </w:r>
      <w:r>
        <w:t xml:space="preserve">production of alloys for different applications. The share of the raw material increase</w:t>
      </w:r>
      <w:r>
        <w:t xml:space="preserve"> </w:t>
      </w:r>
      <w:r>
        <w:t xml:space="preserve">attributed to climate actions depends strongly on the material. BNEF calculates that the</w:t>
      </w:r>
      <w:r>
        <w:t xml:space="preserve"> </w:t>
      </w:r>
      <w:r>
        <w:t xml:space="preserve">share of manganese, and silver needed for clean energy use are responsible for less than</w:t>
      </w:r>
      <w:r>
        <w:t xml:space="preserve"> </w:t>
      </w:r>
      <w:r>
        <w:t xml:space="preserve">25% of the total demand increase by 2050 (250), while the IEA indicates that the share of</w:t>
      </w:r>
      <w:r>
        <w:t xml:space="preserve"> </w:t>
      </w:r>
      <w:r>
        <w:t xml:space="preserve">nickel, cobalt and copper needed by the energy transition will represent per each of these</w:t>
      </w:r>
      <w:r>
        <w:t xml:space="preserve"> </w:t>
      </w:r>
      <w:r>
        <w:t xml:space="preserve">materials less than 40% of total demand in 2040 (251). The IEA estimates that clean</w:t>
      </w:r>
      <w:r>
        <w:t xml:space="preserve"> </w:t>
      </w:r>
      <w:r>
        <w:t xml:space="preserve">energy technologies and infrastructure account for 2-3% of cement and steel demand</w:t>
      </w:r>
      <w:r>
        <w:t xml:space="preserve"> </w:t>
      </w:r>
      <w:r>
        <w:t xml:space="preserve">today, and this value will increase to only about 2% (for cement) and 7% (for steel) in</w:t>
      </w:r>
      <w:r>
        <w:t xml:space="preserve"> </w:t>
      </w:r>
      <w:r>
        <w:t xml:space="preserve">2050 (252).</w:t>
      </w:r>
      <w:r>
        <w:t xml:space="preserve"> </w:t>
      </w:r>
      <w:r>
        <w:t xml:space="preserve">Furthermore, climate policy, together with increase material efficiency, circular economy</w:t>
      </w:r>
      <w:r>
        <w:t xml:space="preserve"> </w:t>
      </w:r>
      <w:r>
        <w:t xml:space="preserve">actions and possible sufficiency measures can create synergies to reduce the need of</w:t>
      </w:r>
      <w:r>
        <w:t xml:space="preserve"> </w:t>
      </w:r>
      <w:r>
        <w:t xml:space="preserve">primary raw materials and pressure on planet resources to produce them (253).</w:t>
      </w:r>
      <w:r>
        <w:br/>
      </w:r>
      <w:r>
        <w:t xml:space="preserve">The IEA estimates that most of the growth in the total global material demand associated</w:t>
      </w:r>
      <w:r>
        <w:t xml:space="preserve"> </w:t>
      </w:r>
      <w:r>
        <w:t xml:space="preserve">to clean technologies and infrastructure in the NZE scenario will occur between 2021 and</w:t>
      </w:r>
      <w:r>
        <w:t xml:space="preserve"> </w:t>
      </w:r>
      <w:r>
        <w:t xml:space="preserve">2030, while after 2030, growth in demand is much more modest, despite the continuously</w:t>
      </w:r>
      <w:r>
        <w:t xml:space="preserve"> </w:t>
      </w:r>
      <w:r>
        <w:t xml:space="preserve">increasing of the in-use stocks of these materials (254). This is attributed to several factors</w:t>
      </w:r>
      <w:r>
        <w:t xml:space="preserve"> </w:t>
      </w:r>
      <w:r>
        <w:t xml:space="preserve">often associated to direct climate policy or related measures. Technology innovation</w:t>
      </w:r>
      <w:r>
        <w:t xml:space="preserve"> </w:t>
      </w:r>
      <w:r>
        <w:t xml:space="preserve">accelerates quickly with economy of scale (255), leading for example to more energy-</w:t>
      </w:r>
      <w:r>
        <w:t xml:space="preserve"> </w:t>
      </w:r>
      <w:r>
        <w:t xml:space="preserve">dense batteries (requiring lower material needs) in a world with higher share of electric</w:t>
      </w:r>
      <w:r>
        <w:t xml:space="preserve"> </w:t>
      </w:r>
      <w:r>
        <w:t xml:space="preserve">vehicles, or faster development of innovative catalysts reducing the need for platinum</w:t>
      </w:r>
      <w:r>
        <w:t xml:space="preserve"> </w:t>
      </w:r>
      <w:r>
        <w:t xml:space="preserve">group metals in electrolysers in a decarbonised energy system requiring hydrogen.</w:t>
      </w:r>
      <w:r>
        <w:t xml:space="preserve"> </w:t>
      </w:r>
      <w:r>
        <w:t xml:space="preserve">Material substitution with low-carbon technologies can also play a role in limiting the</w:t>
      </w:r>
      <w:r>
        <w:t xml:space="preserve"> </w:t>
      </w:r>
      <w:r>
        <w:t xml:space="preserve">increase in material demand the pressure on resources. In efforts to reduce demand for</w:t>
      </w:r>
      <w:r>
        <w:t xml:space="preserve"> </w:t>
      </w:r>
      <w:r>
        <w:t xml:space="preserve">nickel, Tesla is producing Evs with a lithium iron phosphate (LFP) battery that contains</w:t>
      </w:r>
      <w:r>
        <w:t xml:space="preserve"> </w:t>
      </w:r>
      <w:r>
        <w:t xml:space="preserve">no nickel and have suggested that a large share of the future EV battery market will</w:t>
      </w:r>
      <w:r>
        <w:t xml:space="preserve"> </w:t>
      </w:r>
      <w:r>
        <w:t xml:space="preserve">contain iron-based cells rather than nickel based (256). Likewise, efforts to eliminate</w:t>
      </w:r>
    </w:p>
    <w:p>
      <w:pPr>
        <w:pStyle w:val="Compact"/>
        <w:numPr>
          <w:ilvl w:val="0"/>
          <w:numId w:val="1103"/>
        </w:numPr>
      </w:pPr>
      <w:r>
        <w:t xml:space="preserve">World Bank (2020), Minerals for Climate Action: The Mineral Intensity of the Clean Energy</w:t>
      </w:r>
      <w:r>
        <w:t xml:space="preserve"> </w:t>
      </w:r>
      <w:r>
        <w:t xml:space="preserve">Transition.</w:t>
      </w:r>
    </w:p>
    <w:p>
      <w:pPr>
        <w:pStyle w:val="Compact"/>
        <w:numPr>
          <w:ilvl w:val="0"/>
          <w:numId w:val="1103"/>
        </w:numPr>
      </w:pPr>
      <w:r>
        <w:t xml:space="preserve">BNEF (2023b), Transition Metals Outlook 2023.</w:t>
      </w:r>
      <w:r>
        <w:t xml:space="preserve"> </w:t>
      </w:r>
      <w:r>
        <w:t xml:space="preserve">(251)As per the STEPS scenario of the IEA, described in The Role of Critical Minerals in Clean Energy</w:t>
      </w:r>
      <w:r>
        <w:t xml:space="preserve"> </w:t>
      </w:r>
      <w:r>
        <w:t xml:space="preserve">Transitions, Revised Version in May 2022.</w:t>
      </w:r>
    </w:p>
    <w:p>
      <w:pPr>
        <w:pStyle w:val="Compact"/>
        <w:numPr>
          <w:ilvl w:val="0"/>
          <w:numId w:val="1103"/>
        </w:numPr>
      </w:pPr>
      <w:r>
        <w:t xml:space="preserve">IEA (2023) Energy Technology Perspectives.</w:t>
      </w:r>
    </w:p>
    <w:p>
      <w:pPr>
        <w:pStyle w:val="Compact"/>
        <w:numPr>
          <w:ilvl w:val="0"/>
          <w:numId w:val="1103"/>
        </w:numPr>
      </w:pPr>
      <w:r>
        <w:t xml:space="preserve">Desing et al., Resource pressure – A circular design method, Resources, Conservation and Recycling,</w:t>
      </w:r>
      <w:r>
        <w:t xml:space="preserve"> </w:t>
      </w:r>
      <w:r>
        <w:t xml:space="preserve">Volume 164, 2021, 105179, ISSN 0921-3449.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IEA (2023) Energy Technology Perspectives.</w:t>
      </w:r>
    </w:p>
    <w:p>
      <w:pPr>
        <w:pStyle w:val="Compact"/>
        <w:numPr>
          <w:ilvl w:val="0"/>
          <w:numId w:val="1103"/>
        </w:numPr>
      </w:pPr>
      <w:r>
        <w:t xml:space="preserve">See for instance Moore’s law and Swanson’ law</w:t>
      </w:r>
    </w:p>
    <w:p>
      <w:pPr>
        <w:pStyle w:val="Compact"/>
        <w:numPr>
          <w:ilvl w:val="0"/>
          <w:numId w:val="1103"/>
        </w:numPr>
      </w:pPr>
      <w:r>
        <w:t xml:space="preserve">Tesla to use iron-based batteries in Semi electric trucks and affordable electric car | Reuters</w:t>
      </w:r>
    </w:p>
    <w:p>
      <w:pPr>
        <w:pStyle w:val="FirstParagraph"/>
      </w:pPr>
      <w:r>
        <w:t xml:space="preserve">150</w:t>
      </w:r>
    </w:p>
    <w:p>
      <w:pPr>
        <w:pStyle w:val="BodyText"/>
      </w:pPr>
      <w:r>
        <w:t xml:space="preserve">lithium from batteries have seen battery manufacture CATL announce a sodium-ion EV</w:t>
      </w:r>
      <w:r>
        <w:t xml:space="preserve"> </w:t>
      </w:r>
      <w:r>
        <w:t xml:space="preserve">battery (257). Material efficiency measure associated to less energy-intensive production</w:t>
      </w:r>
      <w:r>
        <w:t xml:space="preserve"> </w:t>
      </w:r>
      <w:r>
        <w:t xml:space="preserve">methods reducing resource intensity of products, while providing the same service. Some</w:t>
      </w:r>
      <w:r>
        <w:t xml:space="preserve"> </w:t>
      </w:r>
      <w:r>
        <w:t xml:space="preserve">metals have high potential for recycling in the future. Cobalt and copper are supplied</w:t>
      </w:r>
      <w:r>
        <w:t xml:space="preserve"> </w:t>
      </w:r>
      <w:r>
        <w:t xml:space="preserve">almost completely by primary supply today but has the potential to have over 80% for</w:t>
      </w:r>
      <w:r>
        <w:t xml:space="preserve"> </w:t>
      </w:r>
      <w:r>
        <w:t xml:space="preserve">cobalt and approximately 60% for copper being supplied from recycled metals in</w:t>
      </w:r>
      <w:r>
        <w:t xml:space="preserve"> </w:t>
      </w:r>
      <w:r>
        <w:t xml:space="preserve">2050 (258). Circularity actions, and more in general sufficiency-driven behavioural</w:t>
      </w:r>
      <w:r>
        <w:t xml:space="preserve"> </w:t>
      </w:r>
      <w:r>
        <w:t xml:space="preserve">change can decrease primary demand of critical materials in favour of products with</w:t>
      </w:r>
      <w:r>
        <w:t xml:space="preserve"> </w:t>
      </w:r>
      <w:r>
        <w:t xml:space="preserve">longer life, repair or products manufactured from secondary raw materials that stay</w:t>
      </w:r>
      <w:r>
        <w:t xml:space="preserve"> </w:t>
      </w:r>
      <w:r>
        <w:t xml:space="preserve">longer in the market.</w:t>
      </w:r>
      <w:r>
        <w:t xml:space="preserve"> </w:t>
      </w:r>
      <w:r>
        <w:t xml:space="preserve">2.</w:t>
      </w:r>
      <w:r>
        <w:t xml:space="preserve"> </w:t>
      </w:r>
      <w:r>
        <w:t xml:space="preserve">SOCIO-ECONOMIC IMPACTS</w:t>
      </w:r>
      <w:r>
        <w:t xml:space="preserve"> </w:t>
      </w:r>
      <w:r>
        <w:t xml:space="preserve">The options under consideration for the 2040 target in this impact assessment take the</w:t>
      </w:r>
      <w:r>
        <w:t xml:space="preserve"> </w:t>
      </w:r>
      <w:r>
        <w:t xml:space="preserve">legally defined ambition for 2030 and 2050 as a given. The impact assessment for the</w:t>
      </w:r>
      <w:r>
        <w:t xml:space="preserve"> </w:t>
      </w:r>
      <w:r>
        <w:t xml:space="preserve">2030 Climate Target Plan (259) made a detailed analysis of the socio-economic impacts of</w:t>
      </w:r>
      <w:r>
        <w:t xml:space="preserve"> </w:t>
      </w:r>
      <w:r>
        <w:t xml:space="preserve">the achievement of the net GHG reduction 55% target for 2030. It assessed these impacts</w:t>
      </w:r>
      <w:r>
        <w:t xml:space="preserve"> </w:t>
      </w:r>
      <w:r>
        <w:t xml:space="preserve">in relation to a baseline defined by the Reference 2020 scenario, which reflects the first</w:t>
      </w:r>
      <w:r>
        <w:t xml:space="preserve"> </w:t>
      </w:r>
      <w:r>
        <w:t xml:space="preserve">national energy and climate plans as submitted by Members States and the EU legislation</w:t>
      </w:r>
      <w:r>
        <w:t xml:space="preserve"> </w:t>
      </w:r>
      <w:r>
        <w:t xml:space="preserve">prior to the adoption of the Fit-for-55 proposals. The impact assessment covered a wide</w:t>
      </w:r>
      <w:r>
        <w:t xml:space="preserve"> </w:t>
      </w:r>
      <w:r>
        <w:t xml:space="preserve">range of issues, from the impacts on GDP and employment to sectoral transformations,</w:t>
      </w:r>
      <w:r>
        <w:t xml:space="preserve"> </w:t>
      </w:r>
      <w:r>
        <w:t xml:space="preserve">competitiveness and distributional effects. Issues relating to impacts on households or</w:t>
      </w:r>
      <w:r>
        <w:t xml:space="preserve"> </w:t>
      </w:r>
      <w:r>
        <w:t xml:space="preserve">competitiveness, among others, were further assessed in the impact assessments that</w:t>
      </w:r>
      <w:r>
        <w:t xml:space="preserve"> </w:t>
      </w:r>
      <w:r>
        <w:t xml:space="preserve">accompanied the legislative proposals of the Fit-for-55 package.</w:t>
      </w:r>
      <w:r>
        <w:t xml:space="preserve"> </w:t>
      </w:r>
      <w:r>
        <w:t xml:space="preserve">Overall, the impact assessment for the 2030 Climate Target Plan concluded that the 55%</w:t>
      </w:r>
      <w:r>
        <w:t xml:space="preserve"> </w:t>
      </w:r>
      <w:r>
        <w:t xml:space="preserve">objective was expected to have only limited impacts on broad macro-economic</w:t>
      </w:r>
      <w:r>
        <w:t xml:space="preserve"> </w:t>
      </w:r>
      <w:r>
        <w:t xml:space="preserve">aggregates, including GDP and total employment. It nevertheless stressed that the</w:t>
      </w:r>
      <w:r>
        <w:t xml:space="preserve"> </w:t>
      </w:r>
      <w:r>
        <w:t xml:space="preserve">impacts of the transition are projected to be significant in terms of sectoral output and</w:t>
      </w:r>
      <w:r>
        <w:t xml:space="preserve"> </w:t>
      </w:r>
      <w:r>
        <w:t xml:space="preserve">employment, investment and relative prices. Transformations across sectors and within</w:t>
      </w:r>
      <w:r>
        <w:t xml:space="preserve"> </w:t>
      </w:r>
      <w:r>
        <w:t xml:space="preserve">sectors, including as they related to skills needs, and in consumption patterns will be</w:t>
      </w:r>
      <w:r>
        <w:t xml:space="preserve"> </w:t>
      </w:r>
      <w:r>
        <w:t xml:space="preserve">major and would need to be managed carefully in order to ensure a fair and orderly</w:t>
      </w:r>
      <w:r>
        <w:t xml:space="preserve"> </w:t>
      </w:r>
      <w:r>
        <w:t xml:space="preserve">transition process that preserves the competitiveness of the EU economy and leaves no</w:t>
      </w:r>
      <w:r>
        <w:t xml:space="preserve"> </w:t>
      </w:r>
      <w:r>
        <w:t xml:space="preserve">one behind. Similar conclusions were derived from the in-depth analysis in support of the</w:t>
      </w:r>
      <w:r>
        <w:t xml:space="preserve"> </w:t>
      </w:r>
      <w:r>
        <w:t xml:space="preserve">EU long-term strategy, which underpinned the endorsement of the climate neutrality</w:t>
      </w:r>
      <w:r>
        <w:t xml:space="preserve"> </w:t>
      </w:r>
      <w:r>
        <w:t xml:space="preserve">objective by the European Council in December 2019 and its subsequent adoption in the</w:t>
      </w:r>
      <w:r>
        <w:t xml:space="preserve"> </w:t>
      </w:r>
      <w:r>
        <w:t xml:space="preserve">EU Climate law.</w:t>
      </w:r>
      <w:r>
        <w:t xml:space="preserve"> </w:t>
      </w:r>
      <w:r>
        <w:t xml:space="preserve">This impact assessment therefore does not seek to revisit the expected impacts of the</w:t>
      </w:r>
      <w:r>
        <w:t xml:space="preserve"> </w:t>
      </w:r>
      <w:r>
        <w:t xml:space="preserve">2030 targets or assess the economic pathways to climate neutrality in relation to a</w:t>
      </w:r>
      <w:r>
        <w:t xml:space="preserve"> </w:t>
      </w:r>
      <w:r>
        <w:t xml:space="preserve">baseline that would significantly deviate from that objective. Instead, the macro-</w:t>
      </w:r>
      <w:r>
        <w:t xml:space="preserve"> </w:t>
      </w:r>
      <w:r>
        <w:t xml:space="preserve">economic models use S2 as the point of comparison for the other scenarios. To some</w:t>
      </w:r>
      <w:r>
        <w:t xml:space="preserve"> </w:t>
      </w:r>
      <w:r>
        <w:t xml:space="preserve">extent, deviations from the macro-economic benchmark are therefore less relevant for the</w:t>
      </w:r>
    </w:p>
    <w:p>
      <w:pPr>
        <w:pStyle w:val="BodyText"/>
      </w:pPr>
      <w:r>
        <w:t xml:space="preserve">(257)https://www.bloomberg.com/news/articles/2021-07-29/catl-debuts-sodium-ion-batteries-amid-raw-</w:t>
      </w:r>
      <w:r>
        <w:t xml:space="preserve"> </w:t>
      </w:r>
      <w:r>
        <w:t xml:space="preserve">material-cost-spike#xj4y7vzkg</w:t>
      </w:r>
      <w:r>
        <w:t xml:space="preserve"> </w:t>
      </w:r>
      <w:r>
        <w:t xml:space="preserve">(258) BNEF (2023). Transition material outlook.</w:t>
      </w:r>
      <w:r>
        <w:t xml:space="preserve"> </w:t>
      </w:r>
      <w:r>
        <w:t xml:space="preserve">(259) SWD(2020) 176 final.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analysis than under previous impact assessments. An increased focus is therefore placed</w:t>
      </w:r>
      <w:r>
        <w:t xml:space="preserve"> </w:t>
      </w:r>
      <w:r>
        <w:t xml:space="preserve">in the following sections on the transformation requirements over time across pathways</w:t>
      </w:r>
      <w:r>
        <w:t xml:space="preserve"> </w:t>
      </w:r>
      <w:r>
        <w:t xml:space="preserve">to climate neutrality, with specific attention placed on investment needs, competitiveness,</w:t>
      </w:r>
      <w:r>
        <w:t xml:space="preserve"> </w:t>
      </w:r>
      <w:r>
        <w:t xml:space="preserve">and social and regional impacts. The co-benefits of the transition are also assessed.</w:t>
      </w:r>
      <w:r>
        <w:t xml:space="preserve"> </w:t>
      </w:r>
      <w:r>
        <w:t xml:space="preserve">The model-based analysis is a technical exercise based on a number of assumptions that</w:t>
      </w:r>
      <w:r>
        <w:t xml:space="preserve"> </w:t>
      </w:r>
      <w:r>
        <w:t xml:space="preserve">are shared across scenarios. Its results do not prejudge the future design of the post-2030</w:t>
      </w:r>
      <w:r>
        <w:t xml:space="preserve"> </w:t>
      </w:r>
      <w:r>
        <w:t xml:space="preserve">policy framework.</w:t>
      </w:r>
      <w:r>
        <w:t xml:space="preserve"> </w:t>
      </w:r>
      <w:r>
        <w:t xml:space="preserve">2.1.</w:t>
      </w:r>
      <w:r>
        <w:t xml:space="preserve"> </w:t>
      </w:r>
      <w:r>
        <w:t xml:space="preserve">Macro-economic impacts (260)</w:t>
      </w:r>
      <w:r>
        <w:t xml:space="preserve"> </w:t>
      </w:r>
      <w:r>
        <w:t xml:space="preserve">2.1.1. GDP and employment</w:t>
      </w:r>
      <w:r>
        <w:t xml:space="preserve"> </w:t>
      </w:r>
      <w:r>
        <w:t xml:space="preserve">As indicated in previous impact assessments, the transition to climate neutrality is</w:t>
      </w:r>
      <w:r>
        <w:t xml:space="preserve"> </w:t>
      </w:r>
      <w:r>
        <w:t xml:space="preserve">unlikely to be a major driver of GDP growth and employment levels in and of its own.</w:t>
      </w:r>
      <w:r>
        <w:t xml:space="preserve"> </w:t>
      </w:r>
      <w:r>
        <w:t xml:space="preserve">The transition will nevertheless imply transformations in production and consumption</w:t>
      </w:r>
      <w:r>
        <w:t xml:space="preserve"> </w:t>
      </w:r>
      <w:r>
        <w:t xml:space="preserve">patterns. These are assessed in more details in the sections below.</w:t>
      </w:r>
      <w:r>
        <w:t xml:space="preserve"> </w:t>
      </w:r>
      <w:r>
        <w:t xml:space="preserve">At aggregate level, the models consistently show that a higher level of mitigation in 2040</w:t>
      </w:r>
      <w:r>
        <w:t xml:space="preserve"> </w:t>
      </w:r>
      <w:r>
        <w:t xml:space="preserve">is associated with a somewhat larger negative impact on GDP, at least on a transitory</w:t>
      </w:r>
      <w:r>
        <w:t xml:space="preserve"> </w:t>
      </w:r>
      <w:r>
        <w:t xml:space="preserve">fashion. With the highest level of climate ambition (S3) in 2040, GDP is projected to be</w:t>
      </w:r>
      <w:r>
        <w:t xml:space="preserve"> </w:t>
      </w:r>
      <w:r>
        <w:t xml:space="preserve">at best unchanged and at worst 0.8% lower than under S2 (Table 25). A lower level of</w:t>
      </w:r>
      <w:r>
        <w:t xml:space="preserve"> </w:t>
      </w:r>
      <w:r>
        <w:t xml:space="preserve">ambition by 2040 (S1) translates at best into a slightly higher level (+0.6%) of GDP. By</w:t>
      </w:r>
      <w:r>
        <w:t xml:space="preserve"> </w:t>
      </w:r>
      <w:r>
        <w:t xml:space="preserve">2050, however, GDP is projected to return broadly to the same level under all three</w:t>
      </w:r>
      <w:r>
        <w:t xml:space="preserve"> </w:t>
      </w:r>
      <w:r>
        <w:t xml:space="preserve">scenarios. As projected by the JRC-GEM-E3, the impact of the transition on GDP is also</w:t>
      </w:r>
      <w:r>
        <w:t xml:space="preserve"> </w:t>
      </w:r>
      <w:r>
        <w:t xml:space="preserve">somewhat more negative under a “global action” scenario (where the rest of the world</w:t>
      </w:r>
      <w:r>
        <w:t xml:space="preserve"> </w:t>
      </w:r>
      <w:r>
        <w:t xml:space="preserve">implements policies aligned with the 1.5°C objective under the Paris agreement) than</w:t>
      </w:r>
      <w:r>
        <w:t xml:space="preserve"> </w:t>
      </w:r>
      <w:r>
        <w:t xml:space="preserve">under a “fragmented action” scenario (where the rest of the world implements NDCs).</w:t>
      </w:r>
      <w:r>
        <w:t xml:space="preserve"> </w:t>
      </w:r>
      <w:r>
        <w:t xml:space="preserve">This is driven by the fact that higher climate ambition in the rest of the world is</w:t>
      </w:r>
      <w:r>
        <w:t xml:space="preserve"> </w:t>
      </w:r>
      <w:r>
        <w:t xml:space="preserve">associated with higher negative impacts on global GDP, which reduces external demand</w:t>
      </w:r>
      <w:r>
        <w:t xml:space="preserve"> </w:t>
      </w:r>
      <w:r>
        <w:t xml:space="preserve">for EU producers.</w:t>
      </w:r>
      <w:r>
        <w:t xml:space="preserve"> </w:t>
      </w:r>
      <w:r>
        <w:t xml:space="preserve">The negative impact is therefore mainly a transition effect, with no lasting impact, and it</w:t>
      </w:r>
      <w:r>
        <w:t xml:space="preserve"> </w:t>
      </w:r>
      <w:r>
        <w:t xml:space="preserve">remains small across models and scenarios. As total employment is mostly driven by</w:t>
      </w:r>
      <w:r>
        <w:t xml:space="preserve"> </w:t>
      </w:r>
      <w:r>
        <w:t xml:space="preserve">trends in aggregate output, the impact of a higher level of ambition is also only</w:t>
      </w:r>
      <w:r>
        <w:t xml:space="preserve"> </w:t>
      </w:r>
      <w:r>
        <w:t xml:space="preserve">marginally negative in 2040, before converging across scenarios by 2050.</w:t>
      </w:r>
    </w:p>
    <w:p>
      <w:pPr>
        <w:pStyle w:val="Compact"/>
        <w:numPr>
          <w:ilvl w:val="0"/>
          <w:numId w:val="1104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</w:p>
    <w:p>
      <w:pPr>
        <w:pStyle w:val="FirstParagraph"/>
      </w:pPr>
      <w:r>
        <w:t xml:space="preserve">152</w:t>
      </w:r>
    </w:p>
    <w:p>
      <w:pPr>
        <w:pStyle w:val="BodyText"/>
      </w:pPr>
      <w:r>
        <w:t xml:space="preserve">Table 25: Macro-economic impacts (% change compared to S2)</w:t>
      </w:r>
    </w:p>
    <w:p>
      <w:pPr>
        <w:pStyle w:val="BodyText"/>
      </w:pPr>
      <w:r>
        <w:t xml:space="preserve">Source: JRC-GEM-E3, E3ME and E-QUEST.</w:t>
      </w:r>
      <w:r>
        <w:t xml:space="preserve"> </w:t>
      </w:r>
      <w:r>
        <w:t xml:space="preserve">The macro-economic models also indicate that a higher level of ambition for GHG</w:t>
      </w:r>
      <w:r>
        <w:t xml:space="preserve"> </w:t>
      </w:r>
      <w:r>
        <w:t xml:space="preserve">mitigation in 2040 is associated with a more significant shift in the composition of GDP</w:t>
      </w:r>
      <w:r>
        <w:t xml:space="preserve"> </w:t>
      </w:r>
      <w:r>
        <w:t xml:space="preserve">from consumption towards investment, at least on a transitory basis. The negative impact</w:t>
      </w:r>
      <w:r>
        <w:t xml:space="preserve"> </w:t>
      </w:r>
      <w:r>
        <w:t xml:space="preserve">on private consumption is nevertheless small across models and levels of ambition.</w:t>
      </w:r>
      <w:r>
        <w:t xml:space="preserve"> </w:t>
      </w:r>
      <w:r>
        <w:t xml:space="preserve">Further, the JRC-GEM-E3 model projects that while private consumption is likely to be</w:t>
      </w:r>
      <w:r>
        <w:t xml:space="preserve"> </w:t>
      </w:r>
      <w:r>
        <w:t xml:space="preserve">negatively impacted, the composition of consumption should also evolve, with a gradual</w:t>
      </w:r>
      <w:r>
        <w:t xml:space="preserve"> </w:t>
      </w:r>
      <w:r>
        <w:t xml:space="preserve">decrease in the share of consumption of non-durables linked to the use of durable goods</w:t>
      </w:r>
      <w:r>
        <w:t xml:space="preserve"> </w:t>
      </w:r>
      <w:r>
        <w:t xml:space="preserve">(i.e. mainly energy consumption) and a corresponding increase in the share of other non-</w:t>
      </w:r>
      <w:r>
        <w:t xml:space="preserve"> </w:t>
      </w:r>
      <w:r>
        <w:t xml:space="preserve">durables (Figure 100). This shift in composition would be positive from a welfare</w:t>
      </w:r>
      <w:r>
        <w:t xml:space="preserve"> </w:t>
      </w:r>
      <w:r>
        <w:t xml:space="preserve">perspective, as energy-related services would not be negatively affected by lower</w:t>
      </w:r>
      <w:r>
        <w:t xml:space="preserve"> </w:t>
      </w:r>
      <w:r>
        <w:t xml:space="preserve">consumption of energy itself (e.g., a better insulated house provides the same – or likely</w:t>
      </w:r>
      <w:r>
        <w:t xml:space="preserve"> </w:t>
      </w:r>
      <w:r>
        <w:t xml:space="preserve">better – level of comfort than a poorly insulated one, with lower energy consumption).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JRC-GEM-E3</w:t>
      </w:r>
      <w:r>
        <w:t xml:space="preserve"> </w:t>
      </w:r>
      <w:r>
        <w:t xml:space="preserve">GDP</w:t>
      </w:r>
      <w:r>
        <w:t xml:space="preserve"> </w:t>
      </w:r>
      <w:r>
        <w:t xml:space="preserve">0.5%</w:t>
      </w:r>
      <w:r>
        <w:t xml:space="preserve"> </w:t>
      </w:r>
      <w:r>
        <w:t xml:space="preserve">0.1%</w:t>
      </w:r>
      <w:r>
        <w:t xml:space="preserve"> </w:t>
      </w:r>
      <w:r>
        <w:t xml:space="preserve">0.6%</w:t>
      </w:r>
      <w:r>
        <w:t xml:space="preserve"> </w:t>
      </w:r>
      <w:r>
        <w:t xml:space="preserve">0.2%</w:t>
      </w:r>
      <w:r>
        <w:t xml:space="preserve"> </w:t>
      </w:r>
      <w:r>
        <w:t xml:space="preserve">-0.2%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-0.1%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0.7%</w:t>
      </w:r>
      <w:r>
        <w:t xml:space="preserve"> </w:t>
      </w:r>
      <w:r>
        <w:t xml:space="preserve">0.1%</w:t>
      </w:r>
      <w:r>
        <w:t xml:space="preserve"> </w:t>
      </w:r>
      <w:r>
        <w:t xml:space="preserve">1.8%</w:t>
      </w:r>
      <w:r>
        <w:t xml:space="preserve"> </w:t>
      </w:r>
      <w:r>
        <w:t xml:space="preserve">2.1%</w:t>
      </w:r>
      <w:r>
        <w:t xml:space="preserve"> </w:t>
      </w:r>
      <w:r>
        <w:t xml:space="preserve">-0.5%</w:t>
      </w:r>
      <w:r>
        <w:t xml:space="preserve"> </w:t>
      </w:r>
      <w:r>
        <w:t xml:space="preserve">-0.1%</w:t>
      </w:r>
      <w:r>
        <w:t xml:space="preserve"> </w:t>
      </w:r>
      <w:r>
        <w:t xml:space="preserve">-0.5%</w:t>
      </w:r>
      <w:r>
        <w:t xml:space="preserve"> </w:t>
      </w:r>
      <w:r>
        <w:t xml:space="preserve">-0.1%</w:t>
      </w:r>
      <w:r>
        <w:t xml:space="preserve"> </w:t>
      </w:r>
      <w:r>
        <w:t xml:space="preserve">Investment</w:t>
      </w:r>
      <w:r>
        <w:t xml:space="preserve"> </w:t>
      </w:r>
      <w:r>
        <w:t xml:space="preserve">-0.1%</w:t>
      </w:r>
      <w:r>
        <w:t xml:space="preserve"> </w:t>
      </w:r>
      <w:r>
        <w:t xml:space="preserve">0.3%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1.1%</w:t>
      </w:r>
      <w:r>
        <w:t xml:space="preserve"> </w:t>
      </w:r>
      <w:r>
        <w:t xml:space="preserve">-0.1%</w:t>
      </w:r>
      <w:r>
        <w:t xml:space="preserve"> </w:t>
      </w:r>
      <w:r>
        <w:t xml:space="preserve">1.1%</w:t>
      </w:r>
      <w:r>
        <w:t xml:space="preserve"> </w:t>
      </w:r>
      <w:r>
        <w:t xml:space="preserve">-0.1%</w:t>
      </w:r>
      <w:r>
        <w:t xml:space="preserve"> </w:t>
      </w:r>
      <w:r>
        <w:t xml:space="preserve">Exports</w:t>
      </w:r>
      <w:r>
        <w:t xml:space="preserve"> </w:t>
      </w:r>
      <w:r>
        <w:t xml:space="preserve">1.2%</w:t>
      </w:r>
      <w:r>
        <w:t xml:space="preserve"> </w:t>
      </w:r>
      <w:r>
        <w:t xml:space="preserve">0.1%</w:t>
      </w:r>
      <w:r>
        <w:t xml:space="preserve"> </w:t>
      </w:r>
      <w:r>
        <w:t xml:space="preserve">-0.1%</w:t>
      </w:r>
      <w:r>
        <w:t xml:space="preserve"> </w:t>
      </w:r>
      <w:r>
        <w:t xml:space="preserve">-2.6%</w:t>
      </w:r>
      <w:r>
        <w:t xml:space="preserve"> </w:t>
      </w:r>
      <w:r>
        <w:t xml:space="preserve">-0.8%</w:t>
      </w:r>
      <w:r>
        <w:t xml:space="preserve"> </w:t>
      </w:r>
      <w:r>
        <w:t xml:space="preserve">-0.1%</w:t>
      </w:r>
      <w:r>
        <w:t xml:space="preserve"> </w:t>
      </w:r>
      <w:r>
        <w:t xml:space="preserve">-0.7%</w:t>
      </w:r>
      <w:r>
        <w:t xml:space="preserve"> </w:t>
      </w:r>
      <w:r>
        <w:t xml:space="preserve">0.0%</w:t>
      </w:r>
      <w:r>
        <w:t xml:space="preserve"> </w:t>
      </w:r>
      <w:r>
        <w:t xml:space="preserve">Imports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1.6%</w:t>
      </w:r>
      <w:r>
        <w:t xml:space="preserve"> </w:t>
      </w:r>
      <w:r>
        <w:t xml:space="preserve">1.5%</w:t>
      </w:r>
      <w:r>
        <w:t xml:space="preserve"> </w:t>
      </w:r>
      <w:r>
        <w:t xml:space="preserve">0.1%</w:t>
      </w:r>
      <w:r>
        <w:t xml:space="preserve"> </w:t>
      </w:r>
      <w:r>
        <w:t xml:space="preserve">-0.1%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Employment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E3ME</w:t>
      </w:r>
      <w:r>
        <w:t xml:space="preserve"> </w:t>
      </w:r>
      <w:r>
        <w:t xml:space="preserve">GDP</w:t>
      </w:r>
      <w:r>
        <w:t xml:space="preserve"> </w:t>
      </w:r>
      <w:r>
        <w:t xml:space="preserve">0.00%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0.04%</w:t>
      </w:r>
      <w:r>
        <w:t xml:space="preserve"> </w:t>
      </w:r>
      <w:r>
        <w:t xml:space="preserve">0.04%</w:t>
      </w:r>
      <w:r>
        <w:t xml:space="preserve"> </w:t>
      </w:r>
      <w:r>
        <w:t xml:space="preserve">-0.02%</w:t>
      </w:r>
      <w:r>
        <w:t xml:space="preserve"> </w:t>
      </w:r>
      <w:r>
        <w:t xml:space="preserve">0.00%</w:t>
      </w:r>
      <w:r>
        <w:t xml:space="preserve"> </w:t>
      </w:r>
      <w:r>
        <w:t xml:space="preserve">-0.04%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0.3%</w:t>
      </w:r>
      <w:r>
        <w:t xml:space="preserve"> </w:t>
      </w:r>
      <w:r>
        <w:t xml:space="preserve">0.0%</w:t>
      </w:r>
      <w:r>
        <w:t xml:space="preserve"> </w:t>
      </w:r>
      <w:r>
        <w:t xml:space="preserve">0.4%</w:t>
      </w:r>
      <w:r>
        <w:t xml:space="preserve"> </w:t>
      </w:r>
      <w:r>
        <w:t xml:space="preserve">0.0%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0.0%</w:t>
      </w:r>
      <w:r>
        <w:t xml:space="preserve"> </w:t>
      </w:r>
      <w:r>
        <w:t xml:space="preserve">Investment</w:t>
      </w:r>
      <w:r>
        <w:t xml:space="preserve"> </w:t>
      </w:r>
      <w:r>
        <w:t xml:space="preserve">-0.9%</w:t>
      </w:r>
      <w:r>
        <w:t xml:space="preserve"> </w:t>
      </w:r>
      <w:r>
        <w:t xml:space="preserve">0.1%</w:t>
      </w:r>
      <w:r>
        <w:t xml:space="preserve"> </w:t>
      </w:r>
      <w:r>
        <w:t xml:space="preserve">-0.9%</w:t>
      </w:r>
      <w:r>
        <w:t xml:space="preserve"> </w:t>
      </w:r>
      <w:r>
        <w:t xml:space="preserve">0.1%</w:t>
      </w:r>
      <w:r>
        <w:t xml:space="preserve"> </w:t>
      </w:r>
      <w:r>
        <w:t xml:space="preserve">0.7%</w:t>
      </w:r>
      <w:r>
        <w:t xml:space="preserve"> </w:t>
      </w:r>
      <w:r>
        <w:t xml:space="preserve">-0.2%</w:t>
      </w:r>
      <w:r>
        <w:t xml:space="preserve"> </w:t>
      </w:r>
      <w:r>
        <w:t xml:space="preserve">0.7%</w:t>
      </w:r>
      <w:r>
        <w:t xml:space="preserve"> </w:t>
      </w:r>
      <w:r>
        <w:t xml:space="preserve">-0.2%</w:t>
      </w:r>
      <w:r>
        <w:t xml:space="preserve"> </w:t>
      </w:r>
      <w:r>
        <w:t xml:space="preserve">Exports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Imports</w:t>
      </w:r>
      <w:r>
        <w:t xml:space="preserve"> </w:t>
      </w:r>
      <w:r>
        <w:t xml:space="preserve">-0.03%</w:t>
      </w:r>
      <w:r>
        <w:t xml:space="preserve"> </w:t>
      </w:r>
      <w:r>
        <w:t xml:space="preserve">0.02%</w:t>
      </w:r>
      <w:r>
        <w:t xml:space="preserve"> </w:t>
      </w:r>
      <w:r>
        <w:t xml:space="preserve">-0.03%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Employment</w:t>
      </w:r>
      <w:r>
        <w:t xml:space="preserve"> </w:t>
      </w:r>
      <w:r>
        <w:t xml:space="preserve">0.03%</w:t>
      </w:r>
      <w:r>
        <w:t xml:space="preserve"> </w:t>
      </w:r>
      <w:r>
        <w:t xml:space="preserve">0.00%</w:t>
      </w:r>
      <w:r>
        <w:t xml:space="preserve"> </w:t>
      </w:r>
      <w:r>
        <w:t xml:space="preserve">0.03%</w:t>
      </w:r>
      <w:r>
        <w:t xml:space="preserve"> </w:t>
      </w:r>
      <w:r>
        <w:t xml:space="preserve">0.01%</w:t>
      </w:r>
      <w:r>
        <w:t xml:space="preserve"> </w:t>
      </w:r>
      <w:r>
        <w:t xml:space="preserve">-0.01%</w:t>
      </w:r>
      <w:r>
        <w:t xml:space="preserve"> </w:t>
      </w:r>
      <w:r>
        <w:t xml:space="preserve">0.00%</w:t>
      </w:r>
      <w:r>
        <w:t xml:space="preserve"> </w:t>
      </w:r>
      <w:r>
        <w:t xml:space="preserve">-0.02%</w:t>
      </w:r>
      <w:r>
        <w:t xml:space="preserve"> </w:t>
      </w:r>
      <w:r>
        <w:t xml:space="preserve">-0.01%</w:t>
      </w:r>
      <w:r>
        <w:t xml:space="preserve"> </w:t>
      </w:r>
      <w:r>
        <w:t xml:space="preserve">E-QUEST</w:t>
      </w:r>
      <w:r>
        <w:t xml:space="preserve"> </w:t>
      </w:r>
      <w:r>
        <w:t xml:space="preserve">GDP</w:t>
      </w:r>
      <w:r>
        <w:t xml:space="preserve"> </w:t>
      </w:r>
      <w:r>
        <w:t xml:space="preserve">0.4%</w:t>
      </w:r>
      <w:r>
        <w:t xml:space="preserve"> </w:t>
      </w:r>
      <w:r>
        <w:t xml:space="preserve">-0.02%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-0.8%</w:t>
      </w:r>
      <w:r>
        <w:t xml:space="preserve"> </w:t>
      </w:r>
      <w:r>
        <w:t xml:space="preserve">0.01%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0.3%</w:t>
      </w:r>
      <w:r>
        <w:t xml:space="preserve"> </w:t>
      </w:r>
      <w:r>
        <w:t xml:space="preserve">0.03%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-0.5%</w:t>
      </w:r>
      <w:r>
        <w:t xml:space="preserve"> </w:t>
      </w:r>
      <w:r>
        <w:t xml:space="preserve">-0.01%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Investment</w:t>
      </w:r>
      <w:r>
        <w:t xml:space="preserve"> </w:t>
      </w:r>
      <w:r>
        <w:t xml:space="preserve">0.3%</w:t>
      </w:r>
      <w:r>
        <w:t xml:space="preserve"> </w:t>
      </w:r>
      <w:r>
        <w:t xml:space="preserve">0.03%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-0.5%</w:t>
      </w:r>
      <w:r>
        <w:t xml:space="preserve"> </w:t>
      </w:r>
      <w:r>
        <w:t xml:space="preserve">-0.03%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Employment</w:t>
      </w:r>
      <w:r>
        <w:t xml:space="preserve"> </w:t>
      </w:r>
      <w:r>
        <w:t xml:space="preserve">0.02%</w:t>
      </w:r>
      <w:r>
        <w:t xml:space="preserve"> </w:t>
      </w:r>
      <w:r>
        <w:t xml:space="preserve">0.00%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-0.03%</w:t>
      </w:r>
      <w:r>
        <w:t xml:space="preserve"> </w:t>
      </w:r>
      <w:r>
        <w:t xml:space="preserve">0.00%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S1 fragmented</w:t>
      </w:r>
      <w:r>
        <w:t xml:space="preserve"> </w:t>
      </w:r>
      <w:r>
        <w:t xml:space="preserve">S1 global</w:t>
      </w:r>
      <w:r>
        <w:t xml:space="preserve"> </w:t>
      </w:r>
      <w:r>
        <w:t xml:space="preserve">S3 fragmented</w:t>
      </w:r>
      <w:r>
        <w:t xml:space="preserve"> </w:t>
      </w:r>
      <w:r>
        <w:t xml:space="preserve">S3 global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Figure 100: Composition of private consumption (% of total, S3)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DG ECFIN’s E-QUEST model shows that S3 generates some cumulative impacts in</w:t>
      </w:r>
      <w:r>
        <w:t xml:space="preserve"> </w:t>
      </w:r>
      <w:r>
        <w:t xml:space="preserve">terms of output loss over the whole transition period (2025 to 2050) compared to S2,</w:t>
      </w:r>
      <w:r>
        <w:t xml:space="preserve"> </w:t>
      </w:r>
      <w:r>
        <w:t xml:space="preserve">even if output levels converge by 2050 (Figure 101). In contrast, S1 generates very</w:t>
      </w:r>
      <w:r>
        <w:t xml:space="preserve"> </w:t>
      </w:r>
      <w:r>
        <w:t xml:space="preserve">modest cumulative output gains compared to S2, with the GDP level converging across</w:t>
      </w:r>
      <w:r>
        <w:t xml:space="preserve"> </w:t>
      </w:r>
      <w:r>
        <w:t xml:space="preserve">scenarios by 2050. Further, it indicates that using the economy-wide carbon revenues to</w:t>
      </w:r>
      <w:r>
        <w:t xml:space="preserve"> </w:t>
      </w:r>
      <w:r>
        <w:t xml:space="preserve">subsidise green investment is more efficient in terms of output than lump sum transfers to</w:t>
      </w:r>
      <w:r>
        <w:t xml:space="preserve"> </w:t>
      </w:r>
      <w:r>
        <w:t xml:space="preserve">households or the recycling of revenues to reduce personal income taxation on low-</w:t>
      </w:r>
      <w:r>
        <w:t xml:space="preserve"> </w:t>
      </w:r>
      <w:r>
        <w:t xml:space="preserve">skilled workers. This is strictly an efficiency gains in terms of output, and it abstracts</w:t>
      </w:r>
      <w:r>
        <w:t xml:space="preserve"> </w:t>
      </w:r>
      <w:r>
        <w:t xml:space="preserve">from distributional and equity considerations, which are discussed below.</w:t>
      </w:r>
      <w:r>
        <w:t xml:space="preserve"> </w:t>
      </w:r>
      <w:r>
        <w:t xml:space="preserve">Figure 101: Real GDP, deviation from S2</w:t>
      </w:r>
    </w:p>
    <w:p>
      <w:pPr>
        <w:pStyle w:val="BodyText"/>
      </w:pPr>
      <w:r>
        <w:t xml:space="preserve">Source: E-QUEST.</w:t>
      </w:r>
      <w:r>
        <w:t xml:space="preserve"> </w:t>
      </w:r>
      <w:r>
        <w:t xml:space="preserve">2.1.2. The impact of frictions in the economic transition</w:t>
      </w:r>
      <w:r>
        <w:t xml:space="preserve"> </w:t>
      </w:r>
      <w:r>
        <w:t xml:space="preserve">Macro-economic models typically assume that frictions in the reallocation of capital and</w:t>
      </w:r>
      <w:r>
        <w:t xml:space="preserve"> </w:t>
      </w:r>
      <w:r>
        <w:t xml:space="preserve">labour across sectors are limited. Capital is reallocated sectorally over time mostly via</w:t>
      </w:r>
      <w:r>
        <w:t xml:space="preserve"> </w:t>
      </w:r>
      <w:r>
        <w:t xml:space="preserve">new investment and the depreciation of existing assets. In turn, the labour force is</w:t>
      </w:r>
      <w:r>
        <w:t xml:space="preserve"> </w:t>
      </w:r>
      <w:r>
        <w:t xml:space="preserve">assumed to be mobile and responsive to evolving demand across sectors of the economy.</w:t>
      </w:r>
      <w:r>
        <w:t xml:space="preserve"> </w:t>
      </w:r>
      <w:r>
        <w:t xml:space="preserve">While frictional unemployment is modelled and labour matching functions can operate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83%</w:t>
      </w:r>
      <w:r>
        <w:t xml:space="preserve"> </w:t>
      </w:r>
      <w:r>
        <w:t xml:space="preserve">84%</w:t>
      </w:r>
      <w:r>
        <w:t xml:space="preserve"> </w:t>
      </w:r>
      <w:r>
        <w:t xml:space="preserve">85%</w:t>
      </w:r>
      <w:r>
        <w:t xml:space="preserve"> </w:t>
      </w:r>
      <w:r>
        <w:t xml:space="preserve">86%</w:t>
      </w:r>
      <w:r>
        <w:t xml:space="preserve"> </w:t>
      </w:r>
      <w:r>
        <w:t xml:space="preserve">87%</w:t>
      </w:r>
      <w:r>
        <w:t xml:space="preserve"> </w:t>
      </w:r>
      <w:r>
        <w:t xml:space="preserve">88%</w:t>
      </w:r>
      <w:r>
        <w:t xml:space="preserve"> </w:t>
      </w:r>
      <w:r>
        <w:t xml:space="preserve">89%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Non-durables (LHS)</w:t>
      </w:r>
      <w:r>
        <w:t xml:space="preserve"> </w:t>
      </w:r>
      <w:r>
        <w:t xml:space="preserve">Non-durables linked to durables (RHS)</w:t>
      </w:r>
      <w:r>
        <w:t xml:space="preserve"> </w:t>
      </w:r>
      <w:r>
        <w:t xml:space="preserve">Durables (RHS)</w:t>
      </w:r>
      <w:r>
        <w:t xml:space="preserve"> </w:t>
      </w:r>
      <w:r>
        <w:t xml:space="preserve">-1.0%</w:t>
      </w:r>
      <w:r>
        <w:t xml:space="preserve"> </w:t>
      </w:r>
      <w:r>
        <w:t xml:space="preserve">-0.8%</w:t>
      </w:r>
      <w:r>
        <w:t xml:space="preserve"> </w:t>
      </w:r>
      <w:r>
        <w:t xml:space="preserve">-0.6%</w:t>
      </w:r>
      <w:r>
        <w:t xml:space="preserve"> </w:t>
      </w:r>
      <w:r>
        <w:t xml:space="preserve">-0.4%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0.6%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2041</w:t>
      </w:r>
      <w:r>
        <w:t xml:space="preserve"> </w:t>
      </w:r>
      <w:r>
        <w:t xml:space="preserve">2042</w:t>
      </w:r>
      <w:r>
        <w:t xml:space="preserve"> </w:t>
      </w:r>
      <w:r>
        <w:t xml:space="preserve">2043</w:t>
      </w:r>
      <w:r>
        <w:t xml:space="preserve"> </w:t>
      </w:r>
      <w:r>
        <w:t xml:space="preserve">2044</w:t>
      </w:r>
      <w:r>
        <w:t xml:space="preserve"> </w:t>
      </w:r>
      <w:r>
        <w:t xml:space="preserve">2045</w:t>
      </w:r>
      <w:r>
        <w:t xml:space="preserve"> </w:t>
      </w:r>
      <w:r>
        <w:t xml:space="preserve">2046</w:t>
      </w:r>
      <w:r>
        <w:t xml:space="preserve"> </w:t>
      </w:r>
      <w:r>
        <w:t xml:space="preserve">2047</w:t>
      </w:r>
      <w:r>
        <w:t xml:space="preserve"> </w:t>
      </w:r>
      <w:r>
        <w:t xml:space="preserve">2048</w:t>
      </w:r>
      <w:r>
        <w:t xml:space="preserve"> </w:t>
      </w:r>
      <w:r>
        <w:t xml:space="preserve">2049</w:t>
      </w:r>
      <w:r>
        <w:t xml:space="preserve"> </w:t>
      </w:r>
      <w:r>
        <w:t xml:space="preserve">2050</w:t>
      </w:r>
      <w:r>
        <w:t xml:space="preserve"> </w:t>
      </w:r>
      <w:r>
        <w:t xml:space="preserve">% deviation</w:t>
      </w:r>
      <w:r>
        <w:t xml:space="preserve"> </w:t>
      </w:r>
      <w:r>
        <w:t xml:space="preserve">GDP S1 - transfers</w:t>
      </w:r>
      <w:r>
        <w:t xml:space="preserve"> </w:t>
      </w:r>
      <w:r>
        <w:t xml:space="preserve">GDP S1 - personal income tax</w:t>
      </w:r>
      <w:r>
        <w:t xml:space="preserve"> </w:t>
      </w:r>
      <w:r>
        <w:t xml:space="preserve">GDP S1 - green subsidies</w:t>
      </w:r>
      <w:r>
        <w:t xml:space="preserve"> </w:t>
      </w:r>
      <w:r>
        <w:t xml:space="preserve">GDP S3 - transfers</w:t>
      </w:r>
      <w:r>
        <w:t xml:space="preserve"> </w:t>
      </w:r>
      <w:r>
        <w:t xml:space="preserve">GDP S3 - personal income tax</w:t>
      </w:r>
      <w:r>
        <w:t xml:space="preserve"> </w:t>
      </w:r>
      <w:r>
        <w:t xml:space="preserve">GDP S3 - green subsidies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more or less efficiently, workers are assumed to be in a position to take new jobs as they</w:t>
      </w:r>
      <w:r>
        <w:t xml:space="preserve"> </w:t>
      </w:r>
      <w:r>
        <w:t xml:space="preserve">arise in any sector of the economy.</w:t>
      </w:r>
      <w:r>
        <w:t xml:space="preserve"> </w:t>
      </w:r>
      <w:r>
        <w:t xml:space="preserve">Such assumptions are simplifications used for modelling purposes, which are reasonable</w:t>
      </w:r>
      <w:r>
        <w:t xml:space="preserve"> </w:t>
      </w:r>
      <w:r>
        <w:t xml:space="preserve">in particular when assessing impacts under a long-term perspective. However, the faster</w:t>
      </w:r>
      <w:r>
        <w:t xml:space="preserve"> </w:t>
      </w:r>
      <w:r>
        <w:t xml:space="preserve">the transition, the more the simplifications diverge from the reality of the sectoral</w:t>
      </w:r>
      <w:r>
        <w:t xml:space="preserve"> </w:t>
      </w:r>
      <w:r>
        <w:t xml:space="preserve">transformations. Model-based simulations were therefore used to provide an assessment</w:t>
      </w:r>
      <w:r>
        <w:t xml:space="preserve"> </w:t>
      </w:r>
      <w:r>
        <w:t xml:space="preserve">of frictions in capital markets and investment decisions, and frictions in the reallocation</w:t>
      </w:r>
      <w:r>
        <w:t xml:space="preserve"> </w:t>
      </w:r>
      <w:r>
        <w:t xml:space="preserve">of the labour force across sectors.</w:t>
      </w:r>
      <w:r>
        <w:t xml:space="preserve"> </w:t>
      </w:r>
      <w:r>
        <w:t xml:space="preserve">DG ECFIN’s E-QUEST model is a dynamic stochastic general equilibrium model with</w:t>
      </w:r>
      <w:r>
        <w:t xml:space="preserve"> </w:t>
      </w:r>
      <w:r>
        <w:t xml:space="preserve">fully forward-looking agents, which enables the assessment of the impacts of fully</w:t>
      </w:r>
      <w:r>
        <w:t xml:space="preserve"> </w:t>
      </w:r>
      <w:r>
        <w:t xml:space="preserve">credible, partly credible or non-anticipated policies. While the main scenarios modelled</w:t>
      </w:r>
      <w:r>
        <w:t xml:space="preserve"> </w:t>
      </w:r>
      <w:r>
        <w:t xml:space="preserve">in this impact assessment assume that the pathways under consideration are fully</w:t>
      </w:r>
      <w:r>
        <w:t xml:space="preserve"> </w:t>
      </w:r>
      <w:r>
        <w:t xml:space="preserve">anticipated by economic agents (i.e., fully credible), a variant was used to assess the</w:t>
      </w:r>
      <w:r>
        <w:t xml:space="preserve"> </w:t>
      </w:r>
      <w:r>
        <w:t xml:space="preserve">impact of potentially “erroneous” investment decisions on the economy, modelled via</w:t>
      </w:r>
      <w:r>
        <w:t xml:space="preserve"> </w:t>
      </w:r>
      <w:r>
        <w:t xml:space="preserve">partial anticipations (or partly credible pathways). In essence, this aims to capture</w:t>
      </w:r>
      <w:r>
        <w:t xml:space="preserve"> </w:t>
      </w:r>
      <w:r>
        <w:t xml:space="preserve">investment decisions that are not aligned at all times with the targeted GHG pathway. In</w:t>
      </w:r>
      <w:r>
        <w:t xml:space="preserve"> </w:t>
      </w:r>
      <w:r>
        <w:t xml:space="preserve">this modelling variant, economic agents fail to recognise that additional policies</w:t>
      </w:r>
      <w:r>
        <w:t xml:space="preserve"> </w:t>
      </w:r>
      <w:r>
        <w:t xml:space="preserve">(introduced as carbon values in the model) will be put in place to achieve the climate</w:t>
      </w:r>
      <w:r>
        <w:t xml:space="preserve"> </w:t>
      </w:r>
      <w:r>
        <w:t xml:space="preserve">neutrality pathway and they base their expectations on the continuation of existing</w:t>
      </w:r>
      <w:r>
        <w:t xml:space="preserve"> </w:t>
      </w:r>
      <w:r>
        <w:t xml:space="preserve">policies. Expectations are sequentially updated every five years to correct for erroneous</w:t>
      </w:r>
      <w:r>
        <w:t xml:space="preserve"> </w:t>
      </w:r>
      <w:r>
        <w:t xml:space="preserve">predictions and align with the actual pathway, which is consistent with climate neutrality.</w:t>
      </w:r>
      <w:r>
        <w:t xml:space="preserve"> </w:t>
      </w:r>
      <w:r>
        <w:t xml:space="preserve">As economic agents do not act fully in accordance with the climate neutrality pathway,</w:t>
      </w:r>
      <w:r>
        <w:t xml:space="preserve"> </w:t>
      </w:r>
      <w:r>
        <w:t xml:space="preserve">they miss the opportunity to take early action by increasing their investment in</w:t>
      </w:r>
      <w:r>
        <w:t xml:space="preserve"> </w:t>
      </w:r>
      <w:r>
        <w:t xml:space="preserve">decarbonised technologies and the value of the capital invested in fossil fuel intensive</w:t>
      </w:r>
      <w:r>
        <w:t xml:space="preserve"> </w:t>
      </w:r>
      <w:r>
        <w:t xml:space="preserve">technologies or sectors is negatively affected, i.e., the economy suffers from stranded</w:t>
      </w:r>
      <w:r>
        <w:t xml:space="preserve"> </w:t>
      </w:r>
      <w:r>
        <w:t xml:space="preserve">assets. The other types of investment represented in the model are not affected (261), as</w:t>
      </w:r>
      <w:r>
        <w:t xml:space="preserve"> </w:t>
      </w:r>
      <w:r>
        <w:t xml:space="preserve">they are not contingent upon the level of mitigation ambition. These investments</w:t>
      </w:r>
      <w:r>
        <w:t xml:space="preserve"> </w:t>
      </w:r>
      <w:r>
        <w:t xml:space="preserve">represent the majority of aggregate investment in the model.</w:t>
      </w:r>
      <w:r>
        <w:br/>
      </w:r>
      <w:r>
        <w:t xml:space="preserve">Such a sequential, 5-yearly adjustment of expectations leads to negative outcomes on all</w:t>
      </w:r>
      <w:r>
        <w:t xml:space="preserve"> </w:t>
      </w:r>
      <w:r>
        <w:t xml:space="preserve">key macro-economic variables compared to the scenarios where expectations, and hence</w:t>
      </w:r>
      <w:r>
        <w:t xml:space="preserve"> </w:t>
      </w:r>
      <w:r>
        <w:t xml:space="preserve">the investment decisions of economic agents, are aligned with the climate neutrality</w:t>
      </w:r>
      <w:r>
        <w:t xml:space="preserve"> </w:t>
      </w:r>
      <w:r>
        <w:t xml:space="preserve">pathway. The sequential adjustment in investment on a 5-year basis leads to a type of</w:t>
      </w:r>
      <w:r>
        <w:t xml:space="preserve"> </w:t>
      </w:r>
      <w:r>
        <w:t xml:space="preserve">“catching up” process in investment in decarbonised technologies. To illustrate the</w:t>
      </w:r>
      <w:r>
        <w:t xml:space="preserve"> </w:t>
      </w:r>
      <w:r>
        <w:t xml:space="preserve">impact of this type of frictions, the sequential scenario was modelled based on the level</w:t>
      </w:r>
      <w:r>
        <w:t xml:space="preserve"> </w:t>
      </w:r>
      <w:r>
        <w:t xml:space="preserve">of climate ambition of scenario 1, and impacts are measured in relation to S1 as a</w:t>
      </w:r>
      <w:r>
        <w:t xml:space="preserve"> </w:t>
      </w:r>
      <w:r>
        <w:t xml:space="preserve">baseline. While all scenarios achieve the same level of ambition in 2050, the sequential</w:t>
      </w:r>
      <w:r>
        <w:t xml:space="preserve"> </w:t>
      </w:r>
      <w:r>
        <w:t xml:space="preserve">scenario (S1.A) leads to a gradually larger loss of output over time, with GDP about</w:t>
      </w:r>
      <w:r>
        <w:t xml:space="preserve"> </w:t>
      </w:r>
      <w:r>
        <w:t xml:space="preserve">0.4 percentage point lower than under S1 in 2050. In contrast, the higher level of</w:t>
      </w:r>
      <w:r>
        <w:t xml:space="preserve"> </w:t>
      </w:r>
      <w:r>
        <w:t xml:space="preserve">ambition under S2 entails only a transitional cost in terms of lower output compared to</w:t>
      </w:r>
      <w:r>
        <w:t xml:space="preserve"> </w:t>
      </w:r>
      <w:r>
        <w:t xml:space="preserve">S1, with GDP marginally higher in 2050. Over the whole transition period, the sequential</w:t>
      </w:r>
      <w:r>
        <w:t xml:space="preserve"> </w:t>
      </w:r>
      <w:r>
        <w:t xml:space="preserve">scenario therefore entails a significant cost in terms of lost output relative to the S2</w:t>
      </w:r>
      <w:r>
        <w:t xml:space="preserve"> </w:t>
      </w:r>
      <w:r>
        <w:t xml:space="preserve">(Figure 102).</w:t>
      </w:r>
    </w:p>
    <w:p>
      <w:pPr>
        <w:pStyle w:val="Compact"/>
        <w:numPr>
          <w:ilvl w:val="0"/>
          <w:numId w:val="1105"/>
        </w:numPr>
      </w:pPr>
      <w:r>
        <w:t xml:space="preserve">E-QUEST includes a representation of 3 types of investment: (1) electricity intensive (clean</w:t>
      </w:r>
      <w:r>
        <w:t xml:space="preserve"> </w:t>
      </w:r>
      <w:r>
        <w:t xml:space="preserve">technologies); (2) fuel-intensive technologies; and (3) all other types of investments.</w:t>
      </w:r>
    </w:p>
    <w:p>
      <w:pPr>
        <w:pStyle w:val="FirstParagraph"/>
      </w:pPr>
      <w:r>
        <w:t xml:space="preserve">155</w:t>
      </w:r>
    </w:p>
    <w:p>
      <w:pPr>
        <w:pStyle w:val="BodyText"/>
      </w:pPr>
      <w:r>
        <w:t xml:space="preserve">Figure 102: Impact of frictions in investment decisions</w:t>
      </w:r>
    </w:p>
    <w:p>
      <w:pPr>
        <w:pStyle w:val="BodyText"/>
      </w:pPr>
      <w:r>
        <w:t xml:space="preserve">Source: E-QUEST.</w:t>
      </w:r>
      <w:r>
        <w:t xml:space="preserve"> </w:t>
      </w:r>
      <w:r>
        <w:t xml:space="preserve">A recent analysis by the European Central Bank (262) also shows that an accelerated</w:t>
      </w:r>
      <w:r>
        <w:t xml:space="preserve"> </w:t>
      </w:r>
      <w:r>
        <w:t xml:space="preserve">transition would provide significant benefits for firms, households and the financial</w:t>
      </w:r>
      <w:r>
        <w:t xml:space="preserve"> </w:t>
      </w:r>
      <w:r>
        <w:t xml:space="preserve">system compared with a late-push scenario, which achieves the same level of ambition</w:t>
      </w:r>
      <w:r>
        <w:t xml:space="preserve"> </w:t>
      </w:r>
      <w:r>
        <w:t xml:space="preserve">by a given year than under earlier action but postpones climate-related investment.</w:t>
      </w:r>
      <w:r>
        <w:t xml:space="preserve"> </w:t>
      </w:r>
      <w:r>
        <w:t xml:space="preserve">Although the ECB’s analysis is set with a 2030 horizon and is based on scenarios that are</w:t>
      </w:r>
      <w:r>
        <w:t xml:space="preserve"> </w:t>
      </w:r>
      <w:r>
        <w:t xml:space="preserve">not aligned with those considered in this impact assessment, the conclusions concur with</w:t>
      </w:r>
      <w:r>
        <w:t xml:space="preserve"> </w:t>
      </w:r>
      <w:r>
        <w:t xml:space="preserve">those above in that delaying action (or misreading policy signals and making errors in</w:t>
      </w:r>
      <w:r>
        <w:t xml:space="preserve"> </w:t>
      </w:r>
      <w:r>
        <w:t xml:space="preserve">expectations as in the modelling exercise above) is costly. The ECB analysis concludes</w:t>
      </w:r>
      <w:r>
        <w:t xml:space="preserve"> </w:t>
      </w:r>
      <w:r>
        <w:t xml:space="preserve">that credit risk would increase during the transition under all scenarios, but that it would</w:t>
      </w:r>
      <w:r>
        <w:t xml:space="preserve"> </w:t>
      </w:r>
      <w:r>
        <w:t xml:space="preserve">be particularly so in case of a “late-push” configuration that would require very high</w:t>
      </w:r>
      <w:r>
        <w:t xml:space="preserve"> </w:t>
      </w:r>
      <w:r>
        <w:t xml:space="preserve">levels of investment under a shorted period. They conclude that while early action would</w:t>
      </w:r>
      <w:r>
        <w:t xml:space="preserve"> </w:t>
      </w:r>
      <w:r>
        <w:t xml:space="preserve">lead to greater costs for households and firms in the short-term, it would lower financial</w:t>
      </w:r>
      <w:r>
        <w:t xml:space="preserve"> </w:t>
      </w:r>
      <w:r>
        <w:t xml:space="preserve">risks in the medium term because of a decrease in energy-related expenses and that the</w:t>
      </w:r>
      <w:r>
        <w:t xml:space="preserve"> </w:t>
      </w:r>
      <w:r>
        <w:t xml:space="preserve">earlier the transition happens, the smaller the financial risks and potential costs in terms</w:t>
      </w:r>
      <w:r>
        <w:t xml:space="preserve"> </w:t>
      </w:r>
      <w:r>
        <w:t xml:space="preserve">of policy support. Finally, they indicate that their analysis does not find financial stability</w:t>
      </w:r>
      <w:r>
        <w:t xml:space="preserve"> </w:t>
      </w:r>
      <w:r>
        <w:t xml:space="preserve">concerns of the euro area, even if the transition would increase banks’ expected losses</w:t>
      </w:r>
      <w:r>
        <w:t xml:space="preserve"> </w:t>
      </w:r>
      <w:r>
        <w:t xml:space="preserve">and provisioning needs.</w:t>
      </w:r>
      <w:r>
        <w:t xml:space="preserve"> </w:t>
      </w:r>
      <w:r>
        <w:t xml:space="preserve">Cambridge Econometrics’s E3ME model was further used to assess the potential impact</w:t>
      </w:r>
      <w:r>
        <w:t xml:space="preserve"> </w:t>
      </w:r>
      <w:r>
        <w:t xml:space="preserve">of increased investment costs (captured in modelling terms as a lower return on</w:t>
      </w:r>
      <w:r>
        <w:t xml:space="preserve"> </w:t>
      </w:r>
      <w:r>
        <w:t xml:space="preserve">investment) due to decisions that are not fully aligned with the transition and GHG</w:t>
      </w:r>
      <w:r>
        <w:t xml:space="preserve"> </w:t>
      </w:r>
      <w:r>
        <w:t xml:space="preserve">mitigation requirements. Assets in selected sectors (mining, manufacturing, electricity</w:t>
      </w:r>
      <w:r>
        <w:t xml:space="preserve"> </w:t>
      </w:r>
      <w:r>
        <w:t xml:space="preserve">supply, land transport and real estate) are assumed to generate lower returns or to operate</w:t>
      </w:r>
      <w:r>
        <w:t xml:space="preserve"> </w:t>
      </w:r>
      <w:r>
        <w:t xml:space="preserve">for a shorter lifetime than projected under the investment decision, which means that</w:t>
      </w:r>
      <w:r>
        <w:t xml:space="preserve"> </w:t>
      </w:r>
      <w:r>
        <w:t xml:space="preserve">investors incur an additional cost to either scrap and replace assets earlier than planned,</w:t>
      </w:r>
      <w:r>
        <w:t xml:space="preserve"> </w:t>
      </w:r>
      <w:r>
        <w:t xml:space="preserve">or to refurbish them to extend their lifetime. The assumed increase in costs range from</w:t>
      </w:r>
      <w:r>
        <w:t xml:space="preserve"> </w:t>
      </w:r>
      <w:r>
        <w:t xml:space="preserve">1% in the real estate sector to about 4% in manufacturing and 3% in electricity supply.</w:t>
      </w:r>
      <w:r>
        <w:t xml:space="preserve"> </w:t>
      </w:r>
      <w:r>
        <w:t xml:space="preserve">Higher investment costs driven by misaligned investment decisions lead to an increase in</w:t>
      </w:r>
    </w:p>
    <w:p>
      <w:pPr>
        <w:pStyle w:val="Compact"/>
        <w:numPr>
          <w:ilvl w:val="0"/>
          <w:numId w:val="1106"/>
        </w:numPr>
      </w:pPr>
      <w:r>
        <w:t xml:space="preserve">Occasional Paper Series N°328. The Road to Paris: stress testing the transition towards a net-zero</w:t>
      </w:r>
      <w:r>
        <w:t xml:space="preserve"> </w:t>
      </w:r>
      <w:r>
        <w:t xml:space="preserve">economy. The energy transition through the lens of the second ECB economy-wide stress test.</w:t>
      </w:r>
      <w:r>
        <w:t xml:space="preserve"> </w:t>
      </w:r>
      <w:r>
        <w:t xml:space="preserve">-0.45</w:t>
      </w:r>
      <w:r>
        <w:t xml:space="preserve"> </w:t>
      </w:r>
      <w:r>
        <w:t xml:space="preserve">-0.40</w:t>
      </w:r>
      <w:r>
        <w:t xml:space="preserve"> </w:t>
      </w:r>
      <w:r>
        <w:t xml:space="preserve">-0.35</w:t>
      </w:r>
      <w:r>
        <w:t xml:space="preserve"> </w:t>
      </w:r>
      <w:r>
        <w:t xml:space="preserve">-0.30</w:t>
      </w:r>
      <w:r>
        <w:t xml:space="preserve"> </w:t>
      </w:r>
      <w:r>
        <w:t xml:space="preserve">-0.25</w:t>
      </w:r>
      <w:r>
        <w:t xml:space="preserve"> </w:t>
      </w:r>
      <w:r>
        <w:t xml:space="preserve">-0.20</w:t>
      </w:r>
      <w:r>
        <w:t xml:space="preserve"> </w:t>
      </w:r>
      <w:r>
        <w:t xml:space="preserve">-0.15</w:t>
      </w:r>
      <w:r>
        <w:t xml:space="preserve"> </w:t>
      </w:r>
      <w:r>
        <w:t xml:space="preserve">-0.10</w:t>
      </w:r>
      <w:r>
        <w:t xml:space="preserve"> </w:t>
      </w:r>
      <w:r>
        <w:t xml:space="preserve">-0.05</w:t>
      </w:r>
      <w:r>
        <w:t xml:space="preserve"> </w:t>
      </w:r>
      <w:r>
        <w:t xml:space="preserve">0.00</w:t>
      </w:r>
      <w:r>
        <w:t xml:space="preserve"> </w:t>
      </w:r>
      <w:r>
        <w:t xml:space="preserve">0.05</w:t>
      </w:r>
      <w:r>
        <w:t xml:space="preserve"> </w:t>
      </w:r>
      <w:r>
        <w:t xml:space="preserve">0.10</w:t>
      </w:r>
      <w:r>
        <w:t xml:space="preserve"> </w:t>
      </w:r>
      <w:r>
        <w:t xml:space="preserve">-12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2041</w:t>
      </w:r>
      <w:r>
        <w:t xml:space="preserve"> </w:t>
      </w:r>
      <w:r>
        <w:t xml:space="preserve">2042</w:t>
      </w:r>
      <w:r>
        <w:t xml:space="preserve"> </w:t>
      </w:r>
      <w:r>
        <w:t xml:space="preserve">2043</w:t>
      </w:r>
      <w:r>
        <w:t xml:space="preserve"> </w:t>
      </w:r>
      <w:r>
        <w:t xml:space="preserve">2044</w:t>
      </w:r>
      <w:r>
        <w:t xml:space="preserve"> </w:t>
      </w:r>
      <w:r>
        <w:t xml:space="preserve">2045</w:t>
      </w:r>
      <w:r>
        <w:t xml:space="preserve"> </w:t>
      </w:r>
      <w:r>
        <w:t xml:space="preserve">2046</w:t>
      </w:r>
      <w:r>
        <w:t xml:space="preserve"> </w:t>
      </w:r>
      <w:r>
        <w:t xml:space="preserve">2047</w:t>
      </w:r>
      <w:r>
        <w:t xml:space="preserve"> </w:t>
      </w:r>
      <w:r>
        <w:t xml:space="preserve">2048</w:t>
      </w:r>
      <w:r>
        <w:t xml:space="preserve"> </w:t>
      </w:r>
      <w:r>
        <w:t xml:space="preserve">2049</w:t>
      </w:r>
      <w:r>
        <w:t xml:space="preserve"> </w:t>
      </w:r>
      <w:r>
        <w:t xml:space="preserve">2050</w:t>
      </w:r>
      <w:r>
        <w:t xml:space="preserve"> </w:t>
      </w:r>
      <w:r>
        <w:t xml:space="preserve">GDP % devation from S1</w:t>
      </w:r>
      <w:r>
        <w:t xml:space="preserve"> </w:t>
      </w:r>
      <w:r>
        <w:t xml:space="preserve">Clean tech invest % deviation from S1</w:t>
      </w:r>
      <w:r>
        <w:t xml:space="preserve"> </w:t>
      </w:r>
      <w:r>
        <w:t xml:space="preserve">Clean tech investment S1.A</w:t>
      </w:r>
      <w:r>
        <w:t xml:space="preserve"> </w:t>
      </w:r>
      <w:r>
        <w:t xml:space="preserve">Clean tech investment S2</w:t>
      </w:r>
      <w:r>
        <w:t xml:space="preserve"> </w:t>
      </w:r>
      <w:r>
        <w:t xml:space="preserve">GDP S1.A</w:t>
      </w:r>
      <w:r>
        <w:t xml:space="preserve"> </w:t>
      </w:r>
      <w:r>
        <w:t xml:space="preserve">GDP S2</w:t>
      </w:r>
    </w:p>
    <w:p>
      <w:pPr>
        <w:pStyle w:val="FirstParagraph"/>
      </w:pPr>
      <w:r>
        <w:t xml:space="preserve">156</w:t>
      </w:r>
    </w:p>
    <w:p>
      <w:pPr>
        <w:pStyle w:val="BodyText"/>
      </w:pPr>
      <w:r>
        <w:t xml:space="preserve">consumer prices over the transition period as well as a negative impact on private</w:t>
      </w:r>
      <w:r>
        <w:t xml:space="preserve"> </w:t>
      </w:r>
      <w:r>
        <w:t xml:space="preserve">consumption (-0.7%), investment (-0.2%) and GDP (-0.5%) by 2040, compared to the</w:t>
      </w:r>
      <w:r>
        <w:t xml:space="preserve"> </w:t>
      </w:r>
      <w:r>
        <w:t xml:space="preserve">baseline without misallocations in investment decisions. Higher production costs also</w:t>
      </w:r>
      <w:r>
        <w:t xml:space="preserve"> </w:t>
      </w:r>
      <w:r>
        <w:t xml:space="preserve">negatively impact total exports (-0.5%) and aggregate employment (-0.1%).</w:t>
      </w:r>
      <w:r>
        <w:t xml:space="preserve"> </w:t>
      </w:r>
      <w:r>
        <w:t xml:space="preserve">Cambridge Econometrics’ E3ME model was also used to assess the impact of frictions</w:t>
      </w:r>
      <w:r>
        <w:t xml:space="preserve"> </w:t>
      </w:r>
      <w:r>
        <w:t xml:space="preserve">and costs in the reallocation of the labour force across sectors of the economy.</w:t>
      </w:r>
      <w:r>
        <w:t xml:space="preserve"> </w:t>
      </w:r>
      <w:r>
        <w:t xml:space="preserve">Transformations within sectors and across sectors constitute one of the main challenges</w:t>
      </w:r>
      <w:r>
        <w:t xml:space="preserve"> </w:t>
      </w:r>
      <w:r>
        <w:t xml:space="preserve">of the transition to climate neutrality. Regardless of the scale of impacts on aggregate</w:t>
      </w:r>
      <w:r>
        <w:t xml:space="preserve"> </w:t>
      </w:r>
      <w:r>
        <w:t xml:space="preserve">output, sectors will need to transform to adjust to the adoption of new production</w:t>
      </w:r>
      <w:r>
        <w:t xml:space="preserve"> </w:t>
      </w:r>
      <w:r>
        <w:t xml:space="preserve">technologies and/or the production of new or different types of goods and services. On</w:t>
      </w:r>
      <w:r>
        <w:t xml:space="preserve"> </w:t>
      </w:r>
      <w:r>
        <w:t xml:space="preserve">top of the capital investment needs that this will entail, the transformation will have</w:t>
      </w:r>
      <w:r>
        <w:t xml:space="preserve"> </w:t>
      </w:r>
      <w:r>
        <w:t xml:space="preserve">significant impacts on the labour market, whether in terms of absolute and relative</w:t>
      </w:r>
      <w:r>
        <w:t xml:space="preserve"> </w:t>
      </w:r>
      <w:r>
        <w:t xml:space="preserve">demand within and between sectors, occupations and skills requirements. It will also</w:t>
      </w:r>
      <w:r>
        <w:t xml:space="preserve"> </w:t>
      </w:r>
      <w:r>
        <w:t xml:space="preserve">impact the investment needs in terms of labour force training, reskilling or upskilling.</w:t>
      </w:r>
      <w:r>
        <w:t xml:space="preserve"> </w:t>
      </w:r>
      <w:r>
        <w:t xml:space="preserve">Two types of effects were therefore modelled to assess potential macro-economic</w:t>
      </w:r>
      <w:r>
        <w:t xml:space="preserve"> </w:t>
      </w:r>
      <w:r>
        <w:t xml:space="preserve">impacts. First, the risks and impacts related to the reallocation of the labour force across</w:t>
      </w:r>
      <w:r>
        <w:t xml:space="preserve"> </w:t>
      </w:r>
      <w:r>
        <w:t xml:space="preserve">occupations and sectors is modelled by assuming that the economy faces</w:t>
      </w:r>
      <w:r>
        <w:t xml:space="preserve"> </w:t>
      </w:r>
      <w:r>
        <w:t xml:space="preserve">retraining/reskilling costs that would not occur otherwise. It is assumed that on average</w:t>
      </w:r>
      <w:r>
        <w:t xml:space="preserve"> </w:t>
      </w:r>
      <w:r>
        <w:t xml:space="preserve">10% of the workforce receives training specifically to adapt to the climate and energy</w:t>
      </w:r>
      <w:r>
        <w:t xml:space="preserve"> </w:t>
      </w:r>
      <w:r>
        <w:t xml:space="preserve">transition every year (up to 2050). The training costs are assumed to amount to</w:t>
      </w:r>
      <w:r>
        <w:t xml:space="preserve"> </w:t>
      </w:r>
      <w:r>
        <w:t xml:space="preserve">EUR 10 000 per worker in mining and extraction (i.e., to transition them to other sectors</w:t>
      </w:r>
      <w:r>
        <w:t xml:space="preserve"> </w:t>
      </w:r>
      <w:r>
        <w:t xml:space="preserve">as such jobs gradually disappear), EUR 1 500 per worker in manufacturing and</w:t>
      </w:r>
      <w:r>
        <w:t xml:space="preserve"> </w:t>
      </w:r>
      <w:r>
        <w:t xml:space="preserve">agriculture, and EUR 500 in other sectors, where the skills implications of the green</w:t>
      </w:r>
      <w:r>
        <w:t xml:space="preserve"> </w:t>
      </w:r>
      <w:r>
        <w:t xml:space="preserve">transition are likely to be much less significant (263). In addition, basic training at a cost</w:t>
      </w:r>
      <w:r>
        <w:t xml:space="preserve"> </w:t>
      </w:r>
      <w:r>
        <w:t xml:space="preserve">of EUR 1 100 per annum for around 300 000 new workers in low carbon jobs is</w:t>
      </w:r>
      <w:r>
        <w:t xml:space="preserve"> </w:t>
      </w:r>
      <w:r>
        <w:t xml:space="preserve">projected up to 2030 (264). It is further assumed that the costs are fully borne by the</w:t>
      </w:r>
      <w:r>
        <w:t xml:space="preserve"> </w:t>
      </w:r>
      <w:r>
        <w:t xml:space="preserve">employers, which therefore translates into a small increase in labour costs.</w:t>
      </w:r>
      <w:r>
        <w:br/>
      </w:r>
      <w:r>
        <w:t xml:space="preserve">Modelling results suggest that such training costs have negligible impacts at macro-</w:t>
      </w:r>
      <w:r>
        <w:t xml:space="preserve"> </w:t>
      </w:r>
      <w:r>
        <w:t xml:space="preserve">economic levels. The larger training/re-skilling costs for workers in mining and</w:t>
      </w:r>
      <w:r>
        <w:t xml:space="preserve"> </w:t>
      </w:r>
      <w:r>
        <w:t xml:space="preserve">extraction apply to a marginal segment of the labour force and even the skilling costs in</w:t>
      </w:r>
      <w:r>
        <w:t xml:space="preserve"> </w:t>
      </w:r>
      <w:r>
        <w:t xml:space="preserve">manufacturing are relatively small in comparison to the total labour force and labour</w:t>
      </w:r>
      <w:r>
        <w:t xml:space="preserve"> </w:t>
      </w:r>
      <w:r>
        <w:t xml:space="preserve">costs. While the model suggests a small increase in aggregate labour costs to employers,</w:t>
      </w:r>
      <w:r>
        <w:t xml:space="preserve"> </w:t>
      </w:r>
      <w:r>
        <w:t xml:space="preserve">the negative impact on GDP or private consumption by 2040 amounts to less than</w:t>
      </w:r>
      <w:r>
        <w:t xml:space="preserve"> </w:t>
      </w:r>
      <w:r>
        <w:t xml:space="preserve">0.1 percentage point relative to the no-skilling costs baseline.</w:t>
      </w:r>
      <w:r>
        <w:t xml:space="preserve"> </w:t>
      </w:r>
      <w:r>
        <w:t xml:space="preserve">Higher assumptions regarding training/re-skilling costs amplify the impacts to some</w:t>
      </w:r>
      <w:r>
        <w:t xml:space="preserve"> </w:t>
      </w:r>
      <w:r>
        <w:t xml:space="preserve">extent, though they remain limited. Using the same assumption as above on the training</w:t>
      </w:r>
      <w:r>
        <w:t xml:space="preserve"> </w:t>
      </w:r>
      <w:r>
        <w:t xml:space="preserve">cost per worker in mining and extraction but doubling the percentage of the workforce</w:t>
      </w:r>
      <w:r>
        <w:t xml:space="preserve"> </w:t>
      </w:r>
      <w:r>
        <w:t xml:space="preserve">receiving training to 20%, doubling the costs of training for workers in manufacturing (to</w:t>
      </w:r>
      <w:r>
        <w:t xml:space="preserve"> </w:t>
      </w:r>
      <w:r>
        <w:t xml:space="preserve">EUR 3 000) and other sectors (to EUR 1 000), introducing a cost of training of</w:t>
      </w:r>
      <w:r>
        <w:t xml:space="preserve"> </w:t>
      </w:r>
      <w:r>
        <w:t xml:space="preserve">EUR 5 000 per worker in construction and of EUR 10 000 per worker in energy intensive</w:t>
      </w:r>
    </w:p>
    <w:p>
      <w:pPr>
        <w:pStyle w:val="Compact"/>
        <w:numPr>
          <w:ilvl w:val="0"/>
          <w:numId w:val="1107"/>
        </w:numPr>
      </w:pPr>
      <w:r>
        <w:t xml:space="preserve">These figures draw on European Economy Discussion Paper 176, December 2022: The Possible</w:t>
      </w:r>
      <w:r>
        <w:t xml:space="preserve"> </w:t>
      </w:r>
      <w:r>
        <w:t xml:space="preserve">Implications of the Green Transition for the EU Labour Market.</w:t>
      </w:r>
    </w:p>
    <w:p>
      <w:pPr>
        <w:pStyle w:val="Compact"/>
        <w:numPr>
          <w:ilvl w:val="0"/>
          <w:numId w:val="1107"/>
        </w:numPr>
      </w:pPr>
      <w:r>
        <w:t xml:space="preserve">This assumptions builds on SWD(2023) 68 final and Employment and Social Developments in</w:t>
      </w:r>
      <w:r>
        <w:t xml:space="preserve"> </w:t>
      </w:r>
      <w:r>
        <w:t xml:space="preserve">Europe 2023 (Box 2.4)</w:t>
      </w:r>
    </w:p>
    <w:p>
      <w:pPr>
        <w:pStyle w:val="FirstParagraph"/>
      </w:pPr>
      <w:r>
        <w:t xml:space="preserve">157</w:t>
      </w:r>
    </w:p>
    <w:p>
      <w:pPr>
        <w:pStyle w:val="BodyText"/>
      </w:pPr>
      <w:r>
        <w:t xml:space="preserve">industries and increasing the number of new workers receiving training in low-carbon</w:t>
      </w:r>
      <w:r>
        <w:t xml:space="preserve"> </w:t>
      </w:r>
      <w:r>
        <w:t xml:space="preserve">clean technology sectors to 568 000 generates a negative impact of about 0.25% and</w:t>
      </w:r>
      <w:r>
        <w:t xml:space="preserve"> </w:t>
      </w:r>
      <w:r>
        <w:t xml:space="preserve">0.35% of GDP in 2040 for GDP and private consumption, respectively. It is important to</w:t>
      </w:r>
      <w:r>
        <w:t xml:space="preserve"> </w:t>
      </w:r>
      <w:r>
        <w:t xml:space="preserve">note, however, that these results do not simulate the potential impact of skills/qualified</w:t>
      </w:r>
      <w:r>
        <w:t xml:space="preserve"> </w:t>
      </w:r>
      <w:r>
        <w:t xml:space="preserve">labour not being sufficiently available for the deployment of green technologies. The</w:t>
      </w:r>
      <w:r>
        <w:t xml:space="preserve"> </w:t>
      </w:r>
      <w:r>
        <w:t xml:space="preserve">latter remains a critical factor in the transition process, and it is assumed here that</w:t>
      </w:r>
      <w:r>
        <w:t xml:space="preserve"> </w:t>
      </w:r>
      <w:r>
        <w:t xml:space="preserve">investing in training ensures that skills are indeed available as needed.</w:t>
      </w:r>
      <w:r>
        <w:t xml:space="preserve"> </w:t>
      </w:r>
      <w:r>
        <w:t xml:space="preserve">Second, there is firm-level evidence that on-the-job training leads to productivity and</w:t>
      </w:r>
      <w:r>
        <w:t xml:space="preserve"> </w:t>
      </w:r>
      <w:r>
        <w:t xml:space="preserve">wage gains (265). An economy-wide effort to train the work force in the context of the</w:t>
      </w:r>
      <w:r>
        <w:t xml:space="preserve"> </w:t>
      </w:r>
      <w:r>
        <w:t xml:space="preserve">climate transition could therefore lead to productivity gains overall. The joint effect of</w:t>
      </w:r>
      <w:r>
        <w:t xml:space="preserve"> </w:t>
      </w:r>
      <w:r>
        <w:t xml:space="preserve">such productivity gains and the small increase in labour costs due to training costs is</w:t>
      </w:r>
      <w:r>
        <w:t xml:space="preserve"> </w:t>
      </w:r>
      <w:r>
        <w:t xml:space="preserve">assessed with the E3ME model by assuming that training positively impacts labour</w:t>
      </w:r>
      <w:r>
        <w:t xml:space="preserve"> </w:t>
      </w:r>
      <w:r>
        <w:t xml:space="preserve">productivity of the affected labour force and that workers consequently benefit from a</w:t>
      </w:r>
      <w:r>
        <w:t xml:space="preserve"> </w:t>
      </w:r>
      <w:r>
        <w:t xml:space="preserve">1% increase in average wages from 2035, by when a full round of training is completed</w:t>
      </w:r>
      <w:r>
        <w:t xml:space="preserve"> </w:t>
      </w:r>
      <w:r>
        <w:t xml:space="preserve">(assuming again that 10% of the labour force benefits from training each year). Higher</w:t>
      </w:r>
      <w:r>
        <w:t xml:space="preserve"> </w:t>
      </w:r>
      <w:r>
        <w:t xml:space="preserve">wages feed into an increase of about 1.4% and 0.8% in private consumption and GDP,</w:t>
      </w:r>
      <w:r>
        <w:t xml:space="preserve"> </w:t>
      </w:r>
      <w:r>
        <w:t xml:space="preserve">respectively, in 2040, with an associated small increase in consumer prices.</w:t>
      </w:r>
      <w:r>
        <w:t xml:space="preserve"> </w:t>
      </w:r>
      <w:r>
        <w:t xml:space="preserve">2.2.</w:t>
      </w:r>
      <w:r>
        <w:t xml:space="preserve"> </w:t>
      </w:r>
      <w:r>
        <w:t xml:space="preserve">The investment agenda (266)</w:t>
      </w:r>
      <w:r>
        <w:t xml:space="preserve"> </w:t>
      </w:r>
      <w:r>
        <w:t xml:space="preserve">2.2.1. Aggregate investment needs</w:t>
      </w:r>
      <w:r>
        <w:t xml:space="preserve"> </w:t>
      </w:r>
      <w:r>
        <w:t xml:space="preserve">The transition to climate neutrality requires that the EU’s energy system be decarbonised</w:t>
      </w:r>
      <w:r>
        <w:t xml:space="preserve"> </w:t>
      </w:r>
      <w:r>
        <w:t xml:space="preserve">rapidly and comprehensively. All policy options envisaged in this impact assessment</w:t>
      </w:r>
      <w:r>
        <w:t xml:space="preserve"> </w:t>
      </w:r>
      <w:r>
        <w:t xml:space="preserve">imply an intensification in efforts to replace fossil fuels with renewable and carbon-free</w:t>
      </w:r>
      <w:r>
        <w:t xml:space="preserve"> </w:t>
      </w:r>
      <w:r>
        <w:t xml:space="preserve">sources of energy, achieving significant energy savings and the deployment of innovative</w:t>
      </w:r>
      <w:r>
        <w:t xml:space="preserve"> </w:t>
      </w:r>
      <w:r>
        <w:t xml:space="preserve">processes in industry. Existing capital assets (e.g., fossil-based power plants, heating and</w:t>
      </w:r>
      <w:r>
        <w:t xml:space="preserve"> </w:t>
      </w:r>
      <w:r>
        <w:t xml:space="preserve">cooling systems or industrial processes) will be replaced with renewables, carbon-free or</w:t>
      </w:r>
      <w:r>
        <w:t xml:space="preserve"> </w:t>
      </w:r>
      <w:r>
        <w:t xml:space="preserve">electricity-based assets, whose capital intensity may be larger than fossil-based assets.</w:t>
      </w:r>
      <w:r>
        <w:t xml:space="preserve"> </w:t>
      </w:r>
      <w:r>
        <w:t xml:space="preserve">Therefore, the transformations of the energy system will require a general substitution of</w:t>
      </w:r>
      <w:r>
        <w:t xml:space="preserve"> </w:t>
      </w:r>
      <w:r>
        <w:t xml:space="preserve">fossil fuels inputs with capital.</w:t>
      </w:r>
      <w:r>
        <w:t xml:space="preserve"> </w:t>
      </w:r>
      <w:r>
        <w:t xml:space="preserve">As the technologies to decarbonise the energy system are mostly identified, if in certain</w:t>
      </w:r>
      <w:r>
        <w:t xml:space="preserve"> </w:t>
      </w:r>
      <w:r>
        <w:t xml:space="preserve">cases still in need of deployment at scale and at lower costs, the transition of the energy</w:t>
      </w:r>
      <w:r>
        <w:t xml:space="preserve"> </w:t>
      </w:r>
      <w:r>
        <w:t xml:space="preserve">system is to a large extent an investment challenge, associated to questions on</w:t>
      </w:r>
      <w:r>
        <w:t xml:space="preserve"> </w:t>
      </w:r>
      <w:r>
        <w:t xml:space="preserve">deployment capacity, including in terms of availability of raw materials and skilled</w:t>
      </w:r>
      <w:r>
        <w:t xml:space="preserve"> </w:t>
      </w:r>
      <w:r>
        <w:t xml:space="preserve">labour force or acceptability. The impact assessments for the 2030 Climate Target</w:t>
      </w:r>
      <w:r>
        <w:t xml:space="preserve"> </w:t>
      </w:r>
      <w:r>
        <w:t xml:space="preserve">Plan (267) and the legislative proposals under the Fit-for-55 package (268) already assessed</w:t>
      </w:r>
      <w:r>
        <w:t xml:space="preserve"> </w:t>
      </w:r>
      <w:r>
        <w:t xml:space="preserve">the scale of the investment requirements up to 2030 and stressed the need for a</w:t>
      </w:r>
      <w:r>
        <w:t xml:space="preserve"> </w:t>
      </w:r>
      <w:r>
        <w:t xml:space="preserve">significant increase in energy system investment compared to the decade 2011-2020. The</w:t>
      </w:r>
    </w:p>
    <w:p>
      <w:pPr>
        <w:pStyle w:val="Compact"/>
        <w:numPr>
          <w:ilvl w:val="0"/>
          <w:numId w:val="1108"/>
        </w:numPr>
      </w:pPr>
      <w:r>
        <w:t xml:space="preserve">See for example Konings J. and Vanormelingen S. The impact of training on productivity and wages:</w:t>
      </w:r>
      <w:r>
        <w:t xml:space="preserve"> </w:t>
      </w:r>
      <w:r>
        <w:t xml:space="preserve">firm-level evidence.</w:t>
      </w:r>
    </w:p>
    <w:p>
      <w:pPr>
        <w:pStyle w:val="Compact"/>
        <w:numPr>
          <w:ilvl w:val="0"/>
          <w:numId w:val="1108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</w:p>
    <w:p>
      <w:pPr>
        <w:pStyle w:val="Compact"/>
        <w:numPr>
          <w:ilvl w:val="0"/>
          <w:numId w:val="1108"/>
        </w:numPr>
      </w:pPr>
      <w:r>
        <w:t xml:space="preserve">SWD(2020) 176 final</w:t>
      </w:r>
    </w:p>
    <w:p>
      <w:pPr>
        <w:pStyle w:val="Compact"/>
        <w:numPr>
          <w:ilvl w:val="0"/>
          <w:numId w:val="1108"/>
        </w:numPr>
      </w:pPr>
      <w:r>
        <w:t xml:space="preserve">See for example SWD(2021) 621 final</w:t>
      </w:r>
    </w:p>
    <w:p>
      <w:pPr>
        <w:pStyle w:val="FirstParagraph"/>
      </w:pPr>
      <w:r>
        <w:t xml:space="preserve">158</w:t>
      </w:r>
    </w:p>
    <w:p>
      <w:pPr>
        <w:pStyle w:val="BodyText"/>
      </w:pPr>
      <w:r>
        <w:t xml:space="preserve">REPowerEU plan further identified additional investment needs in order to reduce the</w:t>
      </w:r>
      <w:r>
        <w:t xml:space="preserve"> </w:t>
      </w:r>
      <w:r>
        <w:t xml:space="preserve">EU’s dependence on Russian fossil fuels (269).</w:t>
      </w:r>
      <w:r>
        <w:t xml:space="preserve"> </w:t>
      </w:r>
      <w:r>
        <w:t xml:space="preserve">The scenarios assessed under this impact assessment generate differentiated requirements</w:t>
      </w:r>
      <w:r>
        <w:t xml:space="preserve"> </w:t>
      </w:r>
      <w:r>
        <w:t xml:space="preserve">in terms of aggregate investment over the entire transition period from 2031 to 2050, as</w:t>
      </w:r>
      <w:r>
        <w:t xml:space="preserve"> </w:t>
      </w:r>
      <w:r>
        <w:t xml:space="preserve">well as in terms of the sectoral composition of these investment requirements and their</w:t>
      </w:r>
      <w:r>
        <w:t xml:space="preserve"> </w:t>
      </w:r>
      <w:r>
        <w:t xml:space="preserve">timing during the post-2030 period. What is most saliant across all scenarios, however,</w:t>
      </w:r>
      <w:r>
        <w:t xml:space="preserve"> </w:t>
      </w:r>
      <w:r>
        <w:t xml:space="preserve">are the commonalities and the need for a significant investment effort over a prolonged</w:t>
      </w:r>
      <w:r>
        <w:t xml:space="preserve"> </w:t>
      </w:r>
      <w:r>
        <w:t xml:space="preserve">period, as carbon-intensive systems and processes are substituted with capital intensive,</w:t>
      </w:r>
      <w:r>
        <w:t xml:space="preserve"> </w:t>
      </w:r>
      <w:r>
        <w:t xml:space="preserve">carbon-free solutions on the supply and demand side (Table 26). What this indicates as</w:t>
      </w:r>
      <w:r>
        <w:t xml:space="preserve"> </w:t>
      </w:r>
      <w:r>
        <w:t xml:space="preserve">well is the necessity to ensure that the conditions be in place to facilitate this level of</w:t>
      </w:r>
      <w:r>
        <w:t xml:space="preserve"> </w:t>
      </w:r>
      <w:r>
        <w:t xml:space="preserve">investment and avoid investment decisions that are not compatible with the transition,</w:t>
      </w:r>
      <w:r>
        <w:t xml:space="preserve"> </w:t>
      </w:r>
      <w:r>
        <w:t xml:space="preserve">including in terms of the clarity of signals sent to investors and in terms of access to</w:t>
      </w:r>
      <w:r>
        <w:t xml:space="preserve"> </w:t>
      </w:r>
      <w:r>
        <w:t xml:space="preserve">finance, for businesses and households alike.</w:t>
      </w:r>
    </w:p>
    <w:p>
      <w:pPr>
        <w:pStyle w:val="Compact"/>
        <w:numPr>
          <w:ilvl w:val="0"/>
          <w:numId w:val="1109"/>
        </w:numPr>
      </w:pPr>
      <w:r>
        <w:t xml:space="preserve">SWD(2022) 230 final</w:t>
      </w:r>
    </w:p>
    <w:p>
      <w:pPr>
        <w:pStyle w:val="FirstParagraph"/>
      </w:pPr>
      <w:r>
        <w:t xml:space="preserve">159</w:t>
      </w:r>
    </w:p>
    <w:p>
      <w:pPr>
        <w:pStyle w:val="BodyText"/>
      </w:pPr>
      <w:r>
        <w:t xml:space="preserve">Table 26: Average annual energy system investment needs (billion EUR 2023)</w:t>
      </w:r>
    </w:p>
    <w:p>
      <w:pPr>
        <w:pStyle w:val="BodyText"/>
      </w:pPr>
      <w:r>
        <w:t xml:space="preserve">Source: PRIMES.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Supply</w:t>
      </w:r>
      <w:r>
        <w:t xml:space="preserve"> </w:t>
      </w:r>
      <w:r>
        <w:t xml:space="preserve">236</w:t>
      </w:r>
      <w:r>
        <w:t xml:space="preserve"> </w:t>
      </w:r>
      <w:r>
        <w:t xml:space="preserve">377</w:t>
      </w:r>
      <w:r>
        <w:t xml:space="preserve"> </w:t>
      </w:r>
      <w:r>
        <w:t xml:space="preserve">306</w:t>
      </w:r>
      <w:r>
        <w:t xml:space="preserve"> </w:t>
      </w:r>
      <w:r>
        <w:t xml:space="preserve">289</w:t>
      </w:r>
      <w:r>
        <w:t xml:space="preserve"> </w:t>
      </w:r>
      <w:r>
        <w:t xml:space="preserve">328</w:t>
      </w:r>
      <w:r>
        <w:t xml:space="preserve"> </w:t>
      </w:r>
      <w:r>
        <w:t xml:space="preserve">308</w:t>
      </w:r>
      <w:r>
        <w:t xml:space="preserve"> </w:t>
      </w:r>
      <w:r>
        <w:t xml:space="preserve">341</w:t>
      </w:r>
      <w:r>
        <w:t xml:space="preserve"> </w:t>
      </w:r>
      <w:r>
        <w:t xml:space="preserve">281</w:t>
      </w:r>
      <w:r>
        <w:t xml:space="preserve"> </w:t>
      </w:r>
      <w:r>
        <w:t xml:space="preserve">311</w:t>
      </w:r>
      <w:r>
        <w:t xml:space="preserve"> </w:t>
      </w:r>
      <w:r>
        <w:t xml:space="preserve">282</w:t>
      </w:r>
      <w:r>
        <w:t xml:space="preserve"> </w:t>
      </w:r>
      <w:r>
        <w:t xml:space="preserve">268</w:t>
      </w:r>
      <w:r>
        <w:t xml:space="preserve"> </w:t>
      </w:r>
      <w:r>
        <w:t xml:space="preserve">275</w:t>
      </w:r>
      <w:r>
        <w:t xml:space="preserve"> </w:t>
      </w:r>
      <w:r>
        <w:t xml:space="preserve">Power grid</w:t>
      </w:r>
      <w:r>
        <w:t xml:space="preserve"> </w:t>
      </w:r>
      <w:r>
        <w:t xml:space="preserve">79</w:t>
      </w:r>
      <w:r>
        <w:t xml:space="preserve"> </w:t>
      </w:r>
      <w:r>
        <w:t xml:space="preserve">88</w:t>
      </w:r>
      <w:r>
        <w:t xml:space="preserve"> </w:t>
      </w:r>
      <w:r>
        <w:t xml:space="preserve">84</w:t>
      </w:r>
      <w:r>
        <w:t xml:space="preserve"> </w:t>
      </w:r>
      <w:r>
        <w:t xml:space="preserve">88</w:t>
      </w:r>
      <w:r>
        <w:t xml:space="preserve"> </w:t>
      </w:r>
      <w:r>
        <w:t xml:space="preserve">81</w:t>
      </w:r>
      <w:r>
        <w:t xml:space="preserve"> </w:t>
      </w:r>
      <w:r>
        <w:t xml:space="preserve">85</w:t>
      </w:r>
      <w:r>
        <w:t xml:space="preserve"> </w:t>
      </w:r>
      <w:r>
        <w:t xml:space="preserve">96</w:t>
      </w:r>
      <w:r>
        <w:t xml:space="preserve"> </w:t>
      </w:r>
      <w:r>
        <w:t xml:space="preserve">75</w:t>
      </w:r>
      <w:r>
        <w:t xml:space="preserve"> </w:t>
      </w:r>
      <w:r>
        <w:t xml:space="preserve">85</w:t>
      </w:r>
      <w:r>
        <w:t xml:space="preserve"> </w:t>
      </w:r>
      <w:r>
        <w:t xml:space="preserve">80</w:t>
      </w:r>
      <w:r>
        <w:t xml:space="preserve"> </w:t>
      </w:r>
      <w:r>
        <w:t xml:space="preserve">73</w:t>
      </w:r>
      <w:r>
        <w:t xml:space="preserve"> </w:t>
      </w:r>
      <w:r>
        <w:t xml:space="preserve">76</w:t>
      </w:r>
      <w:r>
        <w:t xml:space="preserve"> </w:t>
      </w:r>
      <w:r>
        <w:t xml:space="preserve">Power plants</w:t>
      </w:r>
      <w:r>
        <w:t xml:space="preserve"> </w:t>
      </w:r>
      <w:r>
        <w:t xml:space="preserve">97</w:t>
      </w:r>
      <w:r>
        <w:t xml:space="preserve"> </w:t>
      </w:r>
      <w:r>
        <w:t xml:space="preserve">187</w:t>
      </w:r>
      <w:r>
        <w:t xml:space="preserve"> </w:t>
      </w:r>
      <w:r>
        <w:t xml:space="preserve">142</w:t>
      </w:r>
      <w:r>
        <w:t xml:space="preserve"> </w:t>
      </w:r>
      <w:r>
        <w:t xml:space="preserve">128</w:t>
      </w:r>
      <w:r>
        <w:t xml:space="preserve"> </w:t>
      </w:r>
      <w:r>
        <w:t xml:space="preserve">157</w:t>
      </w:r>
      <w:r>
        <w:t xml:space="preserve"> </w:t>
      </w:r>
      <w:r>
        <w:t xml:space="preserve">142</w:t>
      </w:r>
      <w:r>
        <w:t xml:space="preserve"> </w:t>
      </w:r>
      <w:r>
        <w:t xml:space="preserve">151</w:t>
      </w:r>
      <w:r>
        <w:t xml:space="preserve"> </w:t>
      </w:r>
      <w:r>
        <w:t xml:space="preserve">133</w:t>
      </w:r>
      <w:r>
        <w:t xml:space="preserve"> </w:t>
      </w:r>
      <w:r>
        <w:t xml:space="preserve">142</w:t>
      </w:r>
      <w:r>
        <w:t xml:space="preserve"> </w:t>
      </w:r>
      <w:r>
        <w:t xml:space="preserve">123</w:t>
      </w:r>
      <w:r>
        <w:t xml:space="preserve"> </w:t>
      </w:r>
      <w:r>
        <w:t xml:space="preserve">128</w:t>
      </w:r>
      <w:r>
        <w:t xml:space="preserve"> </w:t>
      </w:r>
      <w:r>
        <w:t xml:space="preserve">125</w:t>
      </w:r>
      <w:r>
        <w:t xml:space="preserve"> </w:t>
      </w:r>
      <w:r>
        <w:t xml:space="preserve">Other</w:t>
      </w:r>
      <w:r>
        <w:t xml:space="preserve"> </w:t>
      </w:r>
      <w:r>
        <w:t xml:space="preserve">59</w:t>
      </w:r>
      <w:r>
        <w:t xml:space="preserve"> </w:t>
      </w:r>
      <w:r>
        <w:t xml:space="preserve">102</w:t>
      </w:r>
      <w:r>
        <w:t xml:space="preserve"> </w:t>
      </w:r>
      <w:r>
        <w:t xml:space="preserve">81</w:t>
      </w:r>
      <w:r>
        <w:t xml:space="preserve"> </w:t>
      </w:r>
      <w:r>
        <w:t xml:space="preserve">72</w:t>
      </w:r>
      <w:r>
        <w:t xml:space="preserve"> </w:t>
      </w:r>
      <w:r>
        <w:t xml:space="preserve">90</w:t>
      </w:r>
      <w:r>
        <w:t xml:space="preserve"> </w:t>
      </w:r>
      <w:r>
        <w:t xml:space="preserve">81</w:t>
      </w:r>
      <w:r>
        <w:t xml:space="preserve"> </w:t>
      </w:r>
      <w:r>
        <w:t xml:space="preserve">94</w:t>
      </w:r>
      <w:r>
        <w:t xml:space="preserve"> </w:t>
      </w:r>
      <w:r>
        <w:t xml:space="preserve">73</w:t>
      </w:r>
      <w:r>
        <w:t xml:space="preserve"> </w:t>
      </w:r>
      <w:r>
        <w:t xml:space="preserve">83</w:t>
      </w:r>
      <w:r>
        <w:t xml:space="preserve"> </w:t>
      </w:r>
      <w:r>
        <w:t xml:space="preserve">79</w:t>
      </w:r>
      <w:r>
        <w:t xml:space="preserve"> </w:t>
      </w:r>
      <w:r>
        <w:t xml:space="preserve">67</w:t>
      </w:r>
      <w:r>
        <w:t xml:space="preserve"> </w:t>
      </w:r>
      <w:r>
        <w:t xml:space="preserve">73</w:t>
      </w:r>
      <w:r>
        <w:t xml:space="preserve"> </w:t>
      </w:r>
      <w:r>
        <w:t xml:space="preserve">Demand excluding transport</w:t>
      </w:r>
      <w:r>
        <w:t xml:space="preserve"> </w:t>
      </w:r>
      <w:r>
        <w:t xml:space="preserve">332</w:t>
      </w:r>
      <w:r>
        <w:t xml:space="preserve"> </w:t>
      </w:r>
      <w:r>
        <w:t xml:space="preserve">377</w:t>
      </w:r>
      <w:r>
        <w:t xml:space="preserve"> </w:t>
      </w:r>
      <w:r>
        <w:t xml:space="preserve">354</w:t>
      </w:r>
      <w:r>
        <w:t xml:space="preserve"> </w:t>
      </w:r>
      <w:r>
        <w:t xml:space="preserve">355</w:t>
      </w:r>
      <w:r>
        <w:t xml:space="preserve"> </w:t>
      </w:r>
      <w:r>
        <w:t xml:space="preserve">357</w:t>
      </w:r>
      <w:r>
        <w:t xml:space="preserve"> </w:t>
      </w:r>
      <w:r>
        <w:t xml:space="preserve">356</w:t>
      </w:r>
      <w:r>
        <w:t xml:space="preserve"> </w:t>
      </w:r>
      <w:r>
        <w:t xml:space="preserve">372</w:t>
      </w:r>
      <w:r>
        <w:t xml:space="preserve"> </w:t>
      </w:r>
      <w:r>
        <w:t xml:space="preserve">338</w:t>
      </w:r>
      <w:r>
        <w:t xml:space="preserve"> </w:t>
      </w:r>
      <w:r>
        <w:t xml:space="preserve">355</w:t>
      </w:r>
      <w:r>
        <w:t xml:space="preserve"> </w:t>
      </w:r>
      <w:r>
        <w:t xml:space="preserve">349</w:t>
      </w:r>
      <w:r>
        <w:t xml:space="preserve"> </w:t>
      </w:r>
      <w:r>
        <w:t xml:space="preserve">339</w:t>
      </w:r>
      <w:r>
        <w:t xml:space="preserve"> </w:t>
      </w:r>
      <w:r>
        <w:t xml:space="preserve">344</w:t>
      </w:r>
      <w:r>
        <w:t xml:space="preserve"> </w:t>
      </w:r>
      <w:r>
        <w:t xml:space="preserve">Industry</w:t>
      </w:r>
      <w:r>
        <w:t xml:space="preserve"> </w:t>
      </w:r>
      <w:r>
        <w:t xml:space="preserve">38</w:t>
      </w:r>
      <w:r>
        <w:t xml:space="preserve"> </w:t>
      </w:r>
      <w:r>
        <w:t xml:space="preserve">31</w:t>
      </w:r>
      <w:r>
        <w:t xml:space="preserve"> </w:t>
      </w:r>
      <w:r>
        <w:t xml:space="preserve">35</w:t>
      </w:r>
      <w:r>
        <w:t xml:space="preserve"> </w:t>
      </w:r>
      <w:r>
        <w:t xml:space="preserve">46</w:t>
      </w:r>
      <w:r>
        <w:t xml:space="preserve"> </w:t>
      </w:r>
      <w:r>
        <w:t xml:space="preserve">24</w:t>
      </w:r>
      <w:r>
        <w:t xml:space="preserve"> </w:t>
      </w:r>
      <w:r>
        <w:t xml:space="preserve">35</w:t>
      </w:r>
      <w:r>
        <w:t xml:space="preserve"> </w:t>
      </w:r>
      <w:r>
        <w:t xml:space="preserve">48</w:t>
      </w:r>
      <w:r>
        <w:t xml:space="preserve"> </w:t>
      </w:r>
      <w:r>
        <w:t xml:space="preserve">22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19</w:t>
      </w:r>
      <w:r>
        <w:t xml:space="preserve"> </w:t>
      </w:r>
      <w:r>
        <w:t xml:space="preserve">30</w:t>
      </w:r>
      <w:r>
        <w:t xml:space="preserve"> </w:t>
      </w:r>
      <w:r>
        <w:t xml:space="preserve">Residential</w:t>
      </w:r>
      <w:r>
        <w:t xml:space="preserve"> </w:t>
      </w:r>
      <w:r>
        <w:t xml:space="preserve">225</w:t>
      </w:r>
      <w:r>
        <w:t xml:space="preserve"> </w:t>
      </w:r>
      <w:r>
        <w:t xml:space="preserve">250</w:t>
      </w:r>
      <w:r>
        <w:t xml:space="preserve"> </w:t>
      </w:r>
      <w:r>
        <w:t xml:space="preserve">237</w:t>
      </w:r>
      <w:r>
        <w:t xml:space="preserve"> </w:t>
      </w:r>
      <w:r>
        <w:t xml:space="preserve">237</w:t>
      </w:r>
      <w:r>
        <w:t xml:space="preserve"> </w:t>
      </w:r>
      <w:r>
        <w:t xml:space="preserve">242</w:t>
      </w:r>
      <w:r>
        <w:t xml:space="preserve"> </w:t>
      </w:r>
      <w:r>
        <w:t xml:space="preserve">239</w:t>
      </w:r>
      <w:r>
        <w:t xml:space="preserve"> </w:t>
      </w:r>
      <w:r>
        <w:t xml:space="preserve">248</w:t>
      </w:r>
      <w:r>
        <w:t xml:space="preserve"> </w:t>
      </w:r>
      <w:r>
        <w:t xml:space="preserve">230</w:t>
      </w:r>
      <w:r>
        <w:t xml:space="preserve"> </w:t>
      </w:r>
      <w:r>
        <w:t xml:space="preserve">239</w:t>
      </w:r>
      <w:r>
        <w:t xml:space="preserve"> </w:t>
      </w:r>
      <w:r>
        <w:t xml:space="preserve">236</w:t>
      </w:r>
      <w:r>
        <w:t xml:space="preserve"> </w:t>
      </w:r>
      <w:r>
        <w:t xml:space="preserve">234</w:t>
      </w:r>
      <w:r>
        <w:t xml:space="preserve"> </w:t>
      </w:r>
      <w:r>
        <w:t xml:space="preserve">235</w:t>
      </w:r>
      <w:r>
        <w:t xml:space="preserve"> </w:t>
      </w:r>
      <w:r>
        <w:t xml:space="preserve">Services</w:t>
      </w:r>
      <w:r>
        <w:t xml:space="preserve"> </w:t>
      </w:r>
      <w:r>
        <w:t xml:space="preserve">49</w:t>
      </w:r>
      <w:r>
        <w:t xml:space="preserve"> </w:t>
      </w:r>
      <w:r>
        <w:t xml:space="preserve">78</w:t>
      </w:r>
      <w:r>
        <w:t xml:space="preserve"> </w:t>
      </w:r>
      <w:r>
        <w:t xml:space="preserve">63</w:t>
      </w:r>
      <w:r>
        <w:t xml:space="preserve"> </w:t>
      </w:r>
      <w:r>
        <w:t xml:space="preserve">53</w:t>
      </w:r>
      <w:r>
        <w:t xml:space="preserve"> </w:t>
      </w:r>
      <w:r>
        <w:t xml:space="preserve">73</w:t>
      </w:r>
      <w:r>
        <w:t xml:space="preserve"> </w:t>
      </w:r>
      <w:r>
        <w:t xml:space="preserve">63</w:t>
      </w:r>
      <w:r>
        <w:t xml:space="preserve"> </w:t>
      </w:r>
      <w:r>
        <w:t xml:space="preserve">57</w:t>
      </w:r>
      <w:r>
        <w:t xml:space="preserve"> </w:t>
      </w:r>
      <w:r>
        <w:t xml:space="preserve">67</w:t>
      </w:r>
      <w:r>
        <w:t xml:space="preserve"> </w:t>
      </w:r>
      <w:r>
        <w:t xml:space="preserve">62</w:t>
      </w:r>
      <w:r>
        <w:t xml:space="preserve"> </w:t>
      </w:r>
      <w:r>
        <w:t xml:space="preserve">53</w:t>
      </w:r>
      <w:r>
        <w:t xml:space="preserve"> </w:t>
      </w:r>
      <w:r>
        <w:t xml:space="preserve">68</w:t>
      </w:r>
      <w:r>
        <w:t xml:space="preserve"> </w:t>
      </w:r>
      <w:r>
        <w:t xml:space="preserve">60</w:t>
      </w:r>
      <w:r>
        <w:t xml:space="preserve"> </w:t>
      </w:r>
      <w:r>
        <w:t xml:space="preserve">Agriculture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Transport</w:t>
      </w:r>
      <w:r>
        <w:t xml:space="preserve"> </w:t>
      </w:r>
      <w:r>
        <w:t xml:space="preserve">866</w:t>
      </w:r>
      <w:r>
        <w:t xml:space="preserve"> </w:t>
      </w:r>
      <w:r>
        <w:t xml:space="preserve">875</w:t>
      </w:r>
      <w:r>
        <w:t xml:space="preserve"> </w:t>
      </w:r>
      <w:r>
        <w:t xml:space="preserve">870</w:t>
      </w:r>
      <w:r>
        <w:t xml:space="preserve"> </w:t>
      </w:r>
      <w:r>
        <w:t xml:space="preserve">861</w:t>
      </w:r>
      <w:r>
        <w:t xml:space="preserve"> </w:t>
      </w:r>
      <w:r>
        <w:t xml:space="preserve">885</w:t>
      </w:r>
      <w:r>
        <w:t xml:space="preserve"> </w:t>
      </w:r>
      <w:r>
        <w:t xml:space="preserve">873</w:t>
      </w:r>
      <w:r>
        <w:t xml:space="preserve"> </w:t>
      </w:r>
      <w:r>
        <w:t xml:space="preserve">856</w:t>
      </w:r>
      <w:r>
        <w:t xml:space="preserve"> </w:t>
      </w:r>
      <w:r>
        <w:t xml:space="preserve">882</w:t>
      </w:r>
      <w:r>
        <w:t xml:space="preserve"> </w:t>
      </w:r>
      <w:r>
        <w:t xml:space="preserve">869</w:t>
      </w:r>
      <w:r>
        <w:t xml:space="preserve"> </w:t>
      </w:r>
      <w:r>
        <w:t xml:space="preserve">777</w:t>
      </w:r>
      <w:r>
        <w:t xml:space="preserve"> </w:t>
      </w:r>
      <w:r>
        <w:t xml:space="preserve">798</w:t>
      </w:r>
      <w:r>
        <w:t xml:space="preserve"> </w:t>
      </w:r>
      <w:r>
        <w:t xml:space="preserve">787</w:t>
      </w:r>
      <w:r>
        <w:t xml:space="preserve"> </w:t>
      </w:r>
      <w:r>
        <w:t xml:space="preserve">Total</w:t>
      </w:r>
      <w:r>
        <w:t xml:space="preserve"> </w:t>
      </w:r>
      <w:r>
        <w:t xml:space="preserve">1433</w:t>
      </w:r>
      <w:r>
        <w:t xml:space="preserve"> </w:t>
      </w:r>
      <w:r>
        <w:t xml:space="preserve">1629</w:t>
      </w:r>
      <w:r>
        <w:t xml:space="preserve"> </w:t>
      </w:r>
      <w:r>
        <w:t xml:space="preserve">1531</w:t>
      </w:r>
      <w:r>
        <w:t xml:space="preserve"> </w:t>
      </w:r>
      <w:r>
        <w:t xml:space="preserve">1505</w:t>
      </w:r>
      <w:r>
        <w:t xml:space="preserve"> </w:t>
      </w:r>
      <w:r>
        <w:t xml:space="preserve">1570</w:t>
      </w:r>
      <w:r>
        <w:t xml:space="preserve"> </w:t>
      </w:r>
      <w:r>
        <w:t xml:space="preserve">1537</w:t>
      </w:r>
      <w:r>
        <w:t xml:space="preserve"> </w:t>
      </w:r>
      <w:r>
        <w:t xml:space="preserve">1570</w:t>
      </w:r>
      <w:r>
        <w:t xml:space="preserve"> </w:t>
      </w:r>
      <w:r>
        <w:t xml:space="preserve">1501</w:t>
      </w:r>
      <w:r>
        <w:t xml:space="preserve"> </w:t>
      </w:r>
      <w:r>
        <w:t xml:space="preserve">1535</w:t>
      </w:r>
      <w:r>
        <w:t xml:space="preserve"> </w:t>
      </w:r>
      <w:r>
        <w:t xml:space="preserve">1407</w:t>
      </w:r>
      <w:r>
        <w:t xml:space="preserve"> </w:t>
      </w:r>
      <w:r>
        <w:t xml:space="preserve">1405</w:t>
      </w:r>
      <w:r>
        <w:t xml:space="preserve"> </w:t>
      </w:r>
      <w:r>
        <w:t xml:space="preserve">1406</w:t>
      </w:r>
      <w:r>
        <w:t xml:space="preserve"> </w:t>
      </w:r>
      <w:r>
        <w:t xml:space="preserve">Total excluding transport</w:t>
      </w:r>
      <w:r>
        <w:t xml:space="preserve"> </w:t>
      </w:r>
      <w:r>
        <w:t xml:space="preserve">567</w:t>
      </w:r>
      <w:r>
        <w:t xml:space="preserve"> </w:t>
      </w:r>
      <w:r>
        <w:t xml:space="preserve">754</w:t>
      </w:r>
      <w:r>
        <w:t xml:space="preserve"> </w:t>
      </w:r>
      <w:r>
        <w:t xml:space="preserve">661</w:t>
      </w:r>
      <w:r>
        <w:t xml:space="preserve"> </w:t>
      </w:r>
      <w:r>
        <w:t xml:space="preserve">644</w:t>
      </w:r>
      <w:r>
        <w:t xml:space="preserve"> </w:t>
      </w:r>
      <w:r>
        <w:t xml:space="preserve">685</w:t>
      </w:r>
      <w:r>
        <w:t xml:space="preserve"> </w:t>
      </w:r>
      <w:r>
        <w:t xml:space="preserve">664</w:t>
      </w:r>
      <w:r>
        <w:t xml:space="preserve"> </w:t>
      </w:r>
      <w:r>
        <w:t xml:space="preserve">713</w:t>
      </w:r>
      <w:r>
        <w:t xml:space="preserve"> </w:t>
      </w:r>
      <w:r>
        <w:t xml:space="preserve">619</w:t>
      </w:r>
      <w:r>
        <w:t xml:space="preserve"> </w:t>
      </w:r>
      <w:r>
        <w:t xml:space="preserve">666</w:t>
      </w:r>
      <w:r>
        <w:t xml:space="preserve"> </w:t>
      </w:r>
      <w:r>
        <w:t xml:space="preserve">631</w:t>
      </w:r>
      <w:r>
        <w:t xml:space="preserve"> </w:t>
      </w:r>
      <w:r>
        <w:t xml:space="preserve">607</w:t>
      </w:r>
      <w:r>
        <w:t xml:space="preserve"> </w:t>
      </w:r>
      <w:r>
        <w:t xml:space="preserve">619</w:t>
      </w:r>
      <w:r>
        <w:t xml:space="preserve"> </w:t>
      </w:r>
      <w:r>
        <w:t xml:space="preserve">Memo:</w:t>
      </w:r>
      <w:r>
        <w:t xml:space="preserve"> </w:t>
      </w:r>
      <w:r>
        <w:t xml:space="preserve">Real GDP (period average)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Overall, the scenarios and associated pathways imply annual energy system investment</w:t>
      </w:r>
      <w:r>
        <w:t xml:space="preserve"> </w:t>
      </w:r>
      <w:r>
        <w:t xml:space="preserve">needs (excluding transport) at or above 3% of GDP for the two decades from 2031 to</w:t>
      </w:r>
      <w:r>
        <w:t xml:space="preserve"> </w:t>
      </w:r>
      <w:r>
        <w:t xml:space="preserve">2050 (Figure 103). This amounts to an additional 1.5 to 2 percentage points of GDP</w:t>
      </w:r>
      <w:r>
        <w:t xml:space="preserve"> </w:t>
      </w:r>
      <w:r>
        <w:t xml:space="preserve">compared to the average in 2011-2020. A higher level of ambition in 2040 is, as</w:t>
      </w:r>
      <w:r>
        <w:t xml:space="preserve"> </w:t>
      </w:r>
      <w:r>
        <w:t xml:space="preserve">expected, associated with higher annual investment needs in 2031-2040 than lower levels</w:t>
      </w:r>
      <w:r>
        <w:t xml:space="preserve"> </w:t>
      </w:r>
      <w:r>
        <w:t xml:space="preserve">of ambition in 2040, but also with comparatively lower investment requirements in 2041-</w:t>
      </w:r>
      <w:r>
        <w:t xml:space="preserve"> </w:t>
      </w:r>
      <w:r>
        <w:t xml:space="preserve">2050 due to the early push on decarbonisation projects.</w:t>
      </w:r>
      <w:r>
        <w:t xml:space="preserve"> </w:t>
      </w:r>
      <w:r>
        <w:t xml:space="preserve">Figure 103: Average annual energy system investment needs, excluding transport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Cumulatively over the two decades (2031-2050), S3 implies a somewhat higher level of</w:t>
      </w:r>
      <w:r>
        <w:t xml:space="preserve"> </w:t>
      </w:r>
      <w:r>
        <w:t xml:space="preserve">investment as well, partly because technologies need to be deployed faster, which</w:t>
      </w:r>
      <w:r>
        <w:t xml:space="preserve"> </w:t>
      </w:r>
      <w:r>
        <w:t xml:space="preserve">reduces the gains from the projected decrease in the cost of decarbonisation technologies</w:t>
      </w:r>
      <w:r>
        <w:t xml:space="preserve"> </w:t>
      </w:r>
      <w:r>
        <w:t xml:space="preserve">over time through learning-by-doing. S2 yields a smoother investment profile over the</w:t>
      </w:r>
      <w:r>
        <w:t xml:space="preserve"> </w:t>
      </w:r>
      <w:r>
        <w:t xml:space="preserve">entire period 2031-2050 and avoids either anticipating or delaying investments. In turn,</w:t>
      </w:r>
      <w:r>
        <w:t xml:space="preserve"> </w:t>
      </w:r>
      <w:r>
        <w:t xml:space="preserve">behavioural changes (LIFE), including in terms of mobility, consumption and energy use</w:t>
      </w:r>
      <w:r>
        <w:t xml:space="preserve"> </w:t>
      </w:r>
      <w:r>
        <w:t xml:space="preserve">in the residential sector, enable a reduction in investment needs across the entire period</w:t>
      </w:r>
      <w:r>
        <w:t xml:space="preserve"> </w:t>
      </w:r>
      <w:r>
        <w:t xml:space="preserve">(Figure 104). Excluding transport, average annual investment needs in 2031-2050 can be</w:t>
      </w:r>
      <w:r>
        <w:t xml:space="preserve"> </w:t>
      </w:r>
      <w:r>
        <w:t xml:space="preserve">reduced by about EUR 47 billion (7%) compared to S3 over 2031-2050. The lowering of</w:t>
      </w:r>
      <w:r>
        <w:t xml:space="preserve"> </w:t>
      </w:r>
      <w:r>
        <w:t xml:space="preserve">investment needs is evident across the board as reduced energy demand enables a</w:t>
      </w:r>
      <w:r>
        <w:t xml:space="preserve"> </w:t>
      </w:r>
      <w:r>
        <w:t xml:space="preserve">reduction in average annual investment of about EUR 36 billion (12%) on the supply side</w:t>
      </w:r>
      <w:r>
        <w:t xml:space="preserve"> </w:t>
      </w:r>
      <w:r>
        <w:t xml:space="preserve">in 2031-2050 while circularity enables a drop in annual investment needs of about</w:t>
      </w:r>
      <w:r>
        <w:t xml:space="preserve"> </w:t>
      </w:r>
      <w:r>
        <w:t xml:space="preserve">EUR 5 billion (15%) in industry. As far as transport is concerned, lifestyle changes</w:t>
      </w:r>
      <w:r>
        <w:t xml:space="preserve"> </w:t>
      </w:r>
      <w:r>
        <w:t xml:space="preserve">towards more active and public transport modes lead to a drop of around EUR 80 billion</w:t>
      </w:r>
      <w:r>
        <w:t xml:space="preserve"> </w:t>
      </w:r>
      <w:r>
        <w:t xml:space="preserve">(9%) in annual investment needs in 2031-2050.</w:t>
      </w:r>
      <w:r>
        <w:t xml:space="preserve"> </w:t>
      </w:r>
      <w:r>
        <w:t xml:space="preserve">0.0%</w:t>
      </w:r>
      <w:r>
        <w:t xml:space="preserve"> </w:t>
      </w:r>
      <w:r>
        <w:t xml:space="preserve">0.5%</w:t>
      </w:r>
      <w:r>
        <w:t xml:space="preserve"> </w:t>
      </w:r>
      <w:r>
        <w:t xml:space="preserve">1.0%</w:t>
      </w:r>
      <w:r>
        <w:t xml:space="preserve"> </w:t>
      </w:r>
      <w:r>
        <w:t xml:space="preserve">1.5%</w:t>
      </w:r>
      <w:r>
        <w:t xml:space="preserve"> </w:t>
      </w:r>
      <w:r>
        <w:t xml:space="preserve">2.0%</w:t>
      </w:r>
      <w:r>
        <w:t xml:space="preserve"> </w:t>
      </w:r>
      <w:r>
        <w:t xml:space="preserve">2.5%</w:t>
      </w:r>
      <w:r>
        <w:t xml:space="preserve"> </w:t>
      </w:r>
      <w:r>
        <w:t xml:space="preserve">3.0%</w:t>
      </w:r>
      <w:r>
        <w:t xml:space="preserve"> </w:t>
      </w:r>
      <w:r>
        <w:t xml:space="preserve">3.5%</w:t>
      </w:r>
      <w:r>
        <w:t xml:space="preserve"> </w:t>
      </w:r>
      <w:r>
        <w:t xml:space="preserve">4.0%</w:t>
      </w:r>
      <w:r>
        <w:t xml:space="preserve"> </w:t>
      </w:r>
      <w:r>
        <w:t xml:space="preserve">2011-2020</w:t>
      </w:r>
      <w:r>
        <w:t xml:space="preserve"> </w:t>
      </w:r>
      <w:r>
        <w:t xml:space="preserve">2021-2030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% GDP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Figure 104: Average annual energy system investment needs by sector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The projected increase in the investment to GDP ratio is significant, but not exceptional</w:t>
      </w:r>
      <w:r>
        <w:t xml:space="preserve"> </w:t>
      </w:r>
      <w:r>
        <w:t xml:space="preserve">in historical terms. More mature economies typically have lower gross fixed capital</w:t>
      </w:r>
      <w:r>
        <w:t xml:space="preserve"> </w:t>
      </w:r>
      <w:r>
        <w:t xml:space="preserve">formation (GFCF) to GDP ratios, as the need to invest in core infrastructure is lower than</w:t>
      </w:r>
      <w:r>
        <w:t xml:space="preserve"> </w:t>
      </w:r>
      <w:r>
        <w:t xml:space="preserve">is less-developed economies. In the EU, the GFCF/GDP ratio was on a declining trend</w:t>
      </w:r>
      <w:r>
        <w:t xml:space="preserve"> </w:t>
      </w:r>
      <w:r>
        <w:t xml:space="preserve">between the mid-1970s to the mid-1990s, before stabilising at around 21-22% (Figure</w:t>
      </w:r>
      <w:r>
        <w:t xml:space="preserve"> </w:t>
      </w:r>
      <w:r>
        <w:t xml:space="preserve">105). There has always been a fair bit of volatility in the ratio, however, with a marked</w:t>
      </w:r>
      <w:r>
        <w:t xml:space="preserve"> </w:t>
      </w:r>
      <w:r>
        <w:t xml:space="preserve">low point in the mid-2010s followed by a return in more recent years towards the average</w:t>
      </w:r>
      <w:r>
        <w:t xml:space="preserve"> </w:t>
      </w:r>
      <w:r>
        <w:t xml:space="preserve">of the first decade of the 2000s. Changes in the ratio of 1-2 percentage points of GDP</w:t>
      </w:r>
      <w:r>
        <w:t xml:space="preserve"> </w:t>
      </w:r>
      <w:r>
        <w:t xml:space="preserve">within a relatively short period have not been uncommon in the past. The key difference</w:t>
      </w:r>
      <w:r>
        <w:t xml:space="preserve"> </w:t>
      </w:r>
      <w:r>
        <w:t xml:space="preserve">in the current context is that an increase in the GFCF/GDP ratio would need to be</w:t>
      </w:r>
      <w:r>
        <w:t xml:space="preserve"> </w:t>
      </w:r>
      <w:r>
        <w:t xml:space="preserve">sustained for an extended period, and that higher investment for decarbonisation</w:t>
      </w:r>
      <w:r>
        <w:t xml:space="preserve"> </w:t>
      </w:r>
      <w:r>
        <w:t xml:space="preserve">purposes would need to be combined with higher investment on climate adaptation and</w:t>
      </w:r>
      <w:r>
        <w:t xml:space="preserve"> </w:t>
      </w:r>
      <w:r>
        <w:t xml:space="preserve">higher investment to secure the EU’s ability to benefit from the growth and employment</w:t>
      </w:r>
      <w:r>
        <w:t xml:space="preserve"> </w:t>
      </w:r>
      <w:r>
        <w:t xml:space="preserve">opportunities in green technologies and its strategic security, as discussed in section 2.2.7</w:t>
      </w:r>
      <w:r>
        <w:t xml:space="preserve"> </w:t>
      </w:r>
      <w:r>
        <w:t xml:space="preserve">(270). The latter would indeed require that the EU be in a position to manufacture a</w:t>
      </w:r>
      <w:r>
        <w:t xml:space="preserve"> </w:t>
      </w:r>
      <w:r>
        <w:t xml:space="preserve">significant share of the green technologies necessary for the climate transition</w:t>
      </w:r>
      <w:r>
        <w:t xml:space="preserve"> </w:t>
      </w:r>
      <w:r>
        <w:t xml:space="preserve">domestically.</w:t>
      </w:r>
    </w:p>
    <w:p>
      <w:pPr>
        <w:pStyle w:val="Compact"/>
        <w:numPr>
          <w:ilvl w:val="0"/>
          <w:numId w:val="1110"/>
        </w:numPr>
      </w:pPr>
      <w:r>
        <w:t xml:space="preserve">SWD (2023) 68 final estimates investment needs for 2023-2030 associated with boosting EU</w:t>
      </w:r>
      <w:r>
        <w:t xml:space="preserve"> </w:t>
      </w:r>
      <w:r>
        <w:t xml:space="preserve">manufacturing capacity for a part of strategic net-zero technologies, focusing on wind, solar</w:t>
      </w:r>
      <w:r>
        <w:t xml:space="preserve"> </w:t>
      </w:r>
      <w:r>
        <w:t xml:space="preserve">photovoltaic, heat pumps, batteries and electrolysers, as part of the Net Zero Industry Act proposal.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Power grid</w:t>
      </w:r>
      <w:r>
        <w:t xml:space="preserve"> </w:t>
      </w:r>
      <w:r>
        <w:t xml:space="preserve">Power plants</w:t>
      </w:r>
      <w:r>
        <w:t xml:space="preserve"> </w:t>
      </w:r>
      <w:r>
        <w:t xml:space="preserve">Other supply</w:t>
      </w:r>
      <w:r>
        <w:t xml:space="preserve"> </w:t>
      </w:r>
      <w:r>
        <w:t xml:space="preserve">Industry</w:t>
      </w:r>
      <w:r>
        <w:t xml:space="preserve"> </w:t>
      </w:r>
      <w:r>
        <w:t xml:space="preserve">Residential</w:t>
      </w:r>
      <w:r>
        <w:t xml:space="preserve"> </w:t>
      </w:r>
      <w:r>
        <w:t xml:space="preserve">Tertiary</w:t>
      </w:r>
      <w:r>
        <w:t xml:space="preserve"> </w:t>
      </w:r>
      <w:r>
        <w:t xml:space="preserve">Billion EUR 2023</w:t>
      </w:r>
      <w:r>
        <w:t xml:space="preserve"> </w:t>
      </w:r>
      <w:r>
        <w:t xml:space="preserve">S1 2031-2040</w:t>
      </w:r>
      <w:r>
        <w:t xml:space="preserve"> </w:t>
      </w:r>
      <w:r>
        <w:t xml:space="preserve">S1 2041-2050</w:t>
      </w:r>
      <w:r>
        <w:t xml:space="preserve"> </w:t>
      </w:r>
      <w:r>
        <w:t xml:space="preserve">S2 2031-2040</w:t>
      </w:r>
      <w:r>
        <w:t xml:space="preserve"> </w:t>
      </w:r>
      <w:r>
        <w:t xml:space="preserve">S2 2041-2050</w:t>
      </w:r>
      <w:r>
        <w:t xml:space="preserve"> </w:t>
      </w:r>
      <w:r>
        <w:t xml:space="preserve">S3 2031-2040</w:t>
      </w:r>
      <w:r>
        <w:t xml:space="preserve"> </w:t>
      </w:r>
      <w:r>
        <w:t xml:space="preserve">S3 2041-2050</w:t>
      </w:r>
      <w:r>
        <w:t xml:space="preserve"> </w:t>
      </w:r>
      <w:r>
        <w:t xml:space="preserve">LIFE 2031-2040</w:t>
      </w:r>
      <w:r>
        <w:t xml:space="preserve"> </w:t>
      </w:r>
      <w:r>
        <w:t xml:space="preserve">LIFE 2041-2050</w:t>
      </w:r>
    </w:p>
    <w:p>
      <w:pPr>
        <w:pStyle w:val="FirstParagraph"/>
      </w:pPr>
      <w:r>
        <w:t xml:space="preserve">162</w:t>
      </w:r>
    </w:p>
    <w:p>
      <w:pPr>
        <w:pStyle w:val="BodyText"/>
      </w:pPr>
      <w:r>
        <w:t xml:space="preserve">Figure 105: Ratio of gross fixed capital formation to GDP and GDP growth (5-year</w:t>
      </w:r>
      <w:r>
        <w:t xml:space="preserve"> </w:t>
      </w:r>
      <w:r>
        <w:t xml:space="preserve">backward moving average)</w:t>
      </w:r>
    </w:p>
    <w:p>
      <w:pPr>
        <w:pStyle w:val="BodyText"/>
      </w:pPr>
      <w:r>
        <w:t xml:space="preserve">Source: World Bank.</w:t>
      </w:r>
      <w:r>
        <w:t xml:space="preserve"> </w:t>
      </w:r>
      <w:r>
        <w:t xml:space="preserve">2.2.2. Supply-side investment needs</w:t>
      </w:r>
      <w:r>
        <w:t xml:space="preserve"> </w:t>
      </w:r>
      <w:r>
        <w:t xml:space="preserve">The continued large-scale deployment of renewable and carbon-free sources of energy, in</w:t>
      </w:r>
      <w:r>
        <w:t xml:space="preserve"> </w:t>
      </w:r>
      <w:r>
        <w:t xml:space="preserve">particular electricity, is a necessity across all scenarios and the shares of renewable</w:t>
      </w:r>
      <w:r>
        <w:t xml:space="preserve"> </w:t>
      </w:r>
      <w:r>
        <w:t xml:space="preserve">electricity and energy reach very similar levels by 2050. However, the levels of primary</w:t>
      </w:r>
      <w:r>
        <w:t xml:space="preserve"> </w:t>
      </w:r>
      <w:r>
        <w:t xml:space="preserve">and final energy demand vary somewhat across scenarios, and the speed at which</w:t>
      </w:r>
      <w:r>
        <w:t xml:space="preserve"> </w:t>
      </w:r>
      <w:r>
        <w:t xml:space="preserve">renewable and carbon free energy sources are deployed differ, together with the</w:t>
      </w:r>
      <w:r>
        <w:t xml:space="preserve"> </w:t>
      </w:r>
      <w:r>
        <w:t xml:space="preserve">composition of energy sources (section 1.2).</w:t>
      </w:r>
      <w:r>
        <w:t xml:space="preserve"> </w:t>
      </w:r>
      <w:r>
        <w:t xml:space="preserve">Over 2031-2050, average investment needs in power plants is projected at around</w:t>
      </w:r>
      <w:r>
        <w:t xml:space="preserve"> </w:t>
      </w:r>
      <w:r>
        <w:t xml:space="preserve">EUR 140 billion per annum across scenarios (Table 26), more than 80% of which would</w:t>
      </w:r>
      <w:r>
        <w:t xml:space="preserve"> </w:t>
      </w:r>
      <w:r>
        <w:t xml:space="preserve">be in renewables, mainly wind and solar. S3 entails a much faster deployment of</w:t>
      </w:r>
      <w:r>
        <w:t xml:space="preserve"> </w:t>
      </w:r>
      <w:r>
        <w:t xml:space="preserve">renewable and other carbon-free power generation, with average annual investment of</w:t>
      </w:r>
      <w:r>
        <w:t xml:space="preserve"> </w:t>
      </w:r>
      <w:r>
        <w:t xml:space="preserve">around EUR 135 billion in 2031-2040, while S1 entails a significant delay in such</w:t>
      </w:r>
      <w:r>
        <w:t xml:space="preserve"> </w:t>
      </w:r>
      <w:r>
        <w:t xml:space="preserve">investments, with very high deployment levels in 2041-2050 (Figure 106). S2 entails a</w:t>
      </w:r>
      <w:r>
        <w:t xml:space="preserve"> </w:t>
      </w:r>
      <w:r>
        <w:t xml:space="preserve">smoother investment profile overall, with lower investment needs in 2031-2040</w:t>
      </w:r>
      <w:r>
        <w:t xml:space="preserve"> </w:t>
      </w:r>
      <w:r>
        <w:t xml:space="preserve">compensated by higher investment needs in 2041-2050 compared to S3. In turn, LIFE</w:t>
      </w:r>
      <w:r>
        <w:t xml:space="preserve"> </w:t>
      </w:r>
      <w:r>
        <w:t xml:space="preserve">enables a reduction of about EUR 17 billion (12%) in annual investment in power plants</w:t>
      </w:r>
      <w:r>
        <w:t xml:space="preserve"> </w:t>
      </w:r>
      <w:r>
        <w:t xml:space="preserve">in 2031-2050 compared to S3. It also translates into a significant reduction in power grid</w:t>
      </w:r>
      <w:r>
        <w:t xml:space="preserve"> </w:t>
      </w:r>
      <w:r>
        <w:t xml:space="preserve">investment needs of close to EUR 10 billion (10%) per annum.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3.0</w:t>
      </w:r>
      <w:r>
        <w:t xml:space="preserve"> </w:t>
      </w:r>
      <w:r>
        <w:t xml:space="preserve">3.5</w:t>
      </w:r>
      <w:r>
        <w:t xml:space="preserve"> </w:t>
      </w:r>
      <w:r>
        <w:t xml:space="preserve">4.0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24</w:t>
      </w:r>
      <w:r>
        <w:t xml:space="preserve"> </w:t>
      </w:r>
      <w:r>
        <w:t xml:space="preserve">25</w:t>
      </w:r>
      <w:r>
        <w:t xml:space="preserve"> </w:t>
      </w:r>
      <w:r>
        <w:t xml:space="preserve">26</w:t>
      </w:r>
      <w:r>
        <w:t xml:space="preserve"> </w:t>
      </w:r>
      <w:r>
        <w:t xml:space="preserve">27</w:t>
      </w:r>
      <w:r>
        <w:t xml:space="preserve"> </w:t>
      </w:r>
      <w:r>
        <w:t xml:space="preserve">28</w:t>
      </w:r>
      <w:r>
        <w:t xml:space="preserve"> </w:t>
      </w:r>
      <w:r>
        <w:t xml:space="preserve">% GDP</w:t>
      </w:r>
      <w:r>
        <w:t xml:space="preserve"> </w:t>
      </w:r>
      <w:r>
        <w:t xml:space="preserve">GFCF (% GDP, 5-year backward moving average)</w:t>
      </w:r>
      <w:r>
        <w:t xml:space="preserve"> </w:t>
      </w:r>
      <w:r>
        <w:t xml:space="preserve">GDP growth (5-year backward moving average)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Figure 106: Average annual investment in power supply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Given the similar high reliance on variable sources of renewable electricity, all scenarios</w:t>
      </w:r>
      <w:r>
        <w:t xml:space="preserve"> </w:t>
      </w:r>
      <w:r>
        <w:t xml:space="preserve">require significant investment in electricity storage, starting this decade already and</w:t>
      </w:r>
      <w:r>
        <w:t xml:space="preserve"> </w:t>
      </w:r>
      <w:r>
        <w:t xml:space="preserve">extending to 2050, at about EUR 8 billion annually in 2031-2050. Similarly, integrating a</w:t>
      </w:r>
      <w:r>
        <w:t xml:space="preserve"> </w:t>
      </w:r>
      <w:r>
        <w:t xml:space="preserve">very high share of variable and geographically dispersed renewable electricity sources</w:t>
      </w:r>
      <w:r>
        <w:t xml:space="preserve"> </w:t>
      </w:r>
      <w:r>
        <w:t xml:space="preserve">into the electricity network will require the upscaling and upgrading of the transmission</w:t>
      </w:r>
      <w:r>
        <w:t xml:space="preserve"> </w:t>
      </w:r>
      <w:r>
        <w:t xml:space="preserve">and distribution networks. Average annual investment needs in the power grid are</w:t>
      </w:r>
      <w:r>
        <w:t xml:space="preserve"> </w:t>
      </w:r>
      <w:r>
        <w:t xml:space="preserve">comparable across scenarios at about EUR 85 billion per annum, with an early push in</w:t>
      </w:r>
      <w:r>
        <w:t xml:space="preserve"> </w:t>
      </w:r>
      <w:r>
        <w:t xml:space="preserve">investment under S3, a delayed deployment under S1, a more even profile under S2 and a</w:t>
      </w:r>
      <w:r>
        <w:t xml:space="preserve"> </w:t>
      </w:r>
      <w:r>
        <w:t xml:space="preserve">reduction in investment needs under LIFE. Infrastructure investment in carbon storage is</w:t>
      </w:r>
      <w:r>
        <w:t xml:space="preserve"> </w:t>
      </w:r>
      <w:r>
        <w:t xml:space="preserve">projected at around EUR 5 billion per annum on average in 2031-2050 and is similar</w:t>
      </w:r>
      <w:r>
        <w:t xml:space="preserve"> </w:t>
      </w:r>
      <w:r>
        <w:t xml:space="preserve">across scenarios. The faster development of carbon capture and storage under S3 and S2</w:t>
      </w:r>
      <w:r>
        <w:t xml:space="preserve"> </w:t>
      </w:r>
      <w:r>
        <w:t xml:space="preserve">means that investment in carbon storage infrastructure is anticipated compared to S1,</w:t>
      </w:r>
      <w:r>
        <w:t xml:space="preserve"> </w:t>
      </w:r>
      <w:r>
        <w:t xml:space="preserve">with average annual investment of EUR 9 billion in 2031-2040 under S3, compared to</w:t>
      </w:r>
      <w:r>
        <w:t xml:space="preserve"> </w:t>
      </w:r>
      <w:r>
        <w:t xml:space="preserve">EUR 6 billion under S2 and EUR 1 billion under S1.</w:t>
      </w:r>
      <w:r>
        <w:t xml:space="preserve"> </w:t>
      </w:r>
      <w:r>
        <w:t xml:space="preserve">The bulk of investment needs on the supply side of the energy system will originate from</w:t>
      </w:r>
      <w:r>
        <w:t xml:space="preserve"> </w:t>
      </w:r>
      <w:r>
        <w:t xml:space="preserve">power utilities and by the regulated operators of the transmission and distribution</w:t>
      </w:r>
      <w:r>
        <w:t xml:space="preserve"> </w:t>
      </w:r>
      <w:r>
        <w:t xml:space="preserve">systems, many of which in the EU are fully or partly publicly owned corporations.</w:t>
      </w:r>
      <w:r>
        <w:t xml:space="preserve"> </w:t>
      </w:r>
      <w:r>
        <w:t xml:space="preserve">Industrial companies also invest to some extent in their own (decarbonised) energy</w:t>
      </w:r>
      <w:r>
        <w:t xml:space="preserve"> </w:t>
      </w:r>
      <w:r>
        <w:t xml:space="preserve">supply infrastructure, as illustrated by recent developments in investments in the</w:t>
      </w:r>
      <w:r>
        <w:t xml:space="preserve"> </w:t>
      </w:r>
      <w:r>
        <w:t xml:space="preserve">generation of green hydrogen from electrolysis by large players in the steel industry. So</w:t>
      </w:r>
      <w:r>
        <w:t xml:space="preserve"> </w:t>
      </w:r>
      <w:r>
        <w:t xml:space="preserve">far, the deployment of renewable electricity has mainly taken place with public support</w:t>
      </w:r>
      <w:r>
        <w:t xml:space="preserve"> </w:t>
      </w:r>
      <w:r>
        <w:t xml:space="preserve">via a range of State aid schemes providing operating aid for generation (271). EU funding</w:t>
      </w:r>
    </w:p>
    <w:p>
      <w:pPr>
        <w:pStyle w:val="Compact"/>
        <w:numPr>
          <w:ilvl w:val="0"/>
          <w:numId w:val="1111"/>
        </w:numPr>
      </w:pPr>
      <w:r>
        <w:t xml:space="preserve">The Guidelines for Energy and Environmental Aid (EEAG) facilitated the provision of State aid for</w:t>
      </w:r>
      <w:r>
        <w:t xml:space="preserve"> </w:t>
      </w:r>
      <w:r>
        <w:t xml:space="preserve">the deployment of renewable electricity and promoted the competitiveness of aid mechanisms by</w:t>
      </w:r>
      <w:r>
        <w:t xml:space="preserve"> </w:t>
      </w:r>
      <w:r>
        <w:t xml:space="preserve">promoting competition auction mechanisms for the allocation of aid and requiring aid to be granted as</w:t>
      </w:r>
      <w:r>
        <w:t xml:space="preserve"> </w:t>
      </w:r>
      <w:r>
        <w:t xml:space="preserve">a premium over market prices. The Guidelines on State aid for climate, environmental protection and</w:t>
      </w:r>
      <w:r>
        <w:t xml:space="preserve"> </w:t>
      </w:r>
      <w:r>
        <w:t xml:space="preserve">energy (CEEAG), as adopted in 2022, further improved the framework for the allocation of aid for</w:t>
      </w:r>
      <w:r>
        <w:t xml:space="preserve"> </w:t>
      </w:r>
      <w:r>
        <w:t xml:space="preserve">renewable electricity generation. Finally, the Temporary Crisis and Transition Framework further</w:t>
      </w:r>
      <w:r>
        <w:t xml:space="preserve"> </w:t>
      </w:r>
      <w:r>
        <w:t xml:space="preserve">facilitates the granting of aid to accelerate the rollout of renewable energy and energy storage relevant</w:t>
      </w:r>
      <w:r>
        <w:t xml:space="preserve"> </w:t>
      </w:r>
      <w:r>
        <w:t xml:space="preserve">for REPowerEU.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Billion EUR 2023</w:t>
      </w:r>
      <w:r>
        <w:t xml:space="preserve"> </w:t>
      </w:r>
      <w:r>
        <w:t xml:space="preserve">Power grid</w:t>
      </w:r>
      <w:r>
        <w:t xml:space="preserve"> </w:t>
      </w:r>
      <w:r>
        <w:t xml:space="preserve">Renewables</w:t>
      </w:r>
      <w:r>
        <w:t xml:space="preserve"> </w:t>
      </w:r>
      <w:r>
        <w:t xml:space="preserve">Other power gen</w:t>
      </w:r>
      <w:r>
        <w:t xml:space="preserve"> </w:t>
      </w:r>
      <w:r>
        <w:t xml:space="preserve">Other supply</w:t>
      </w:r>
      <w:r>
        <w:t xml:space="preserve"> </w:t>
      </w:r>
      <w:r>
        <w:t xml:space="preserve">Total</w:t>
      </w:r>
    </w:p>
    <w:p>
      <w:pPr>
        <w:pStyle w:val="FirstParagraph"/>
      </w:pPr>
      <w:r>
        <w:t xml:space="preserve">164</w:t>
      </w:r>
    </w:p>
    <w:p>
      <w:pPr>
        <w:pStyle w:val="BodyText"/>
      </w:pPr>
      <w:r>
        <w:t xml:space="preserve">has also facilitated the deployment of renewables in the power sector, including via the</w:t>
      </w:r>
      <w:r>
        <w:t xml:space="preserve"> </w:t>
      </w:r>
      <w:r>
        <w:t xml:space="preserve">Modernisation Fund. To some extent, households are also involved as investors on the</w:t>
      </w:r>
      <w:r>
        <w:t xml:space="preserve"> </w:t>
      </w:r>
      <w:r>
        <w:t xml:space="preserve">supply side via the installation of rooftop solar panels and or/via energy communities,</w:t>
      </w:r>
      <w:r>
        <w:t xml:space="preserve"> </w:t>
      </w:r>
      <w:r>
        <w:t xml:space="preserve">which have risen in importance in recent years. Investment costs for the deployment of</w:t>
      </w:r>
      <w:r>
        <w:t xml:space="preserve"> </w:t>
      </w:r>
      <w:r>
        <w:t xml:space="preserve">renewable electricity have fallen sharply in the last decades, and renewable electricity is</w:t>
      </w:r>
      <w:r>
        <w:t xml:space="preserve"> </w:t>
      </w:r>
      <w:r>
        <w:t xml:space="preserve">set to become cost-competitive on a market basis in a broad range of market situations</w:t>
      </w:r>
      <w:r>
        <w:t xml:space="preserve"> </w:t>
      </w:r>
      <w:r>
        <w:t xml:space="preserve">encountered in Europe by 2030 (272). The need for public support should therefore</w:t>
      </w:r>
      <w:r>
        <w:t xml:space="preserve"> </w:t>
      </w:r>
      <w:r>
        <w:t xml:space="preserve">decrease in future and it is expected that deployment should be increasingly driven under</w:t>
      </w:r>
      <w:r>
        <w:t xml:space="preserve"> </w:t>
      </w:r>
      <w:r>
        <w:t xml:space="preserve">market conditions.</w:t>
      </w:r>
      <w:r>
        <w:t xml:space="preserve"> </w:t>
      </w:r>
      <w:r>
        <w:t xml:space="preserve">2.2.3. Demand-side investment needs, industry,services and agriculture</w:t>
      </w:r>
      <w:r>
        <w:t xml:space="preserve"> </w:t>
      </w:r>
      <w:r>
        <w:t xml:space="preserve">The shift towards electricity as the principal energy carrier on the demand side, the</w:t>
      </w:r>
      <w:r>
        <w:t xml:space="preserve"> </w:t>
      </w:r>
      <w:r>
        <w:t xml:space="preserve">decarbonisation of industrial processes and improvements in energy efficiency will</w:t>
      </w:r>
      <w:r>
        <w:t xml:space="preserve"> </w:t>
      </w:r>
      <w:r>
        <w:t xml:space="preserve">require significant investment over the coming decades. Investment needs to decarbonise</w:t>
      </w:r>
      <w:r>
        <w:t xml:space="preserve"> </w:t>
      </w:r>
      <w:r>
        <w:t xml:space="preserve">industrial output will be most significant in energy-intensive industries, which tend to be</w:t>
      </w:r>
      <w:r>
        <w:t xml:space="preserve"> </w:t>
      </w:r>
      <w:r>
        <w:t xml:space="preserve">dominated by large privately owned corporations. The estimated investment needs in iron</w:t>
      </w:r>
      <w:r>
        <w:t xml:space="preserve"> </w:t>
      </w:r>
      <w:r>
        <w:t xml:space="preserve">and steel, non-ferrous metals, chemicals, non-metallic minerals and pulp and paper</w:t>
      </w:r>
      <w:r>
        <w:t xml:space="preserve"> </w:t>
      </w:r>
      <w:r>
        <w:t xml:space="preserve">account for about 70% of investment needs in industry in 2031-2050 and the amounts</w:t>
      </w:r>
      <w:r>
        <w:t xml:space="preserve"> </w:t>
      </w:r>
      <w:r>
        <w:t xml:space="preserve">vary little across scenarios (Figure 107). However, LIFE shows clear benefits from</w:t>
      </w:r>
      <w:r>
        <w:t xml:space="preserve"> </w:t>
      </w:r>
      <w:r>
        <w:t xml:space="preserve">higher levels of circularity in industry, with investment needs reduced by 15% compared</w:t>
      </w:r>
      <w:r>
        <w:t xml:space="preserve"> </w:t>
      </w:r>
      <w:r>
        <w:t xml:space="preserve">to S3 (Table 28). This is particularly noticeable in sectors where circularity offers most</w:t>
      </w:r>
      <w:r>
        <w:t xml:space="preserve"> </w:t>
      </w:r>
      <w:r>
        <w:t xml:space="preserve">potential, including pulp and paper (-33%), non-ferrous metals (-31%), iron and steel</w:t>
      </w:r>
      <w:r>
        <w:t xml:space="preserve"> </w:t>
      </w:r>
      <w:r>
        <w:t xml:space="preserve">(-21%) and chemicals (-19%).</w:t>
      </w:r>
      <w:r>
        <w:t xml:space="preserve"> </w:t>
      </w:r>
      <w:r>
        <w:t xml:space="preserve">Figure 107: Average annual energy system investment needs in industrial sectors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In the decade 2031-2040, annual energy-system investment needs in energy-intensive</w:t>
      </w:r>
      <w:r>
        <w:t xml:space="preserve"> </w:t>
      </w:r>
      <w:r>
        <w:t xml:space="preserve">industries are projected at around EUR 28-34 billion in S1-S2-S3 (with a reduction of</w:t>
      </w:r>
      <w:r>
        <w:t xml:space="preserve"> </w:t>
      </w:r>
      <w:r>
        <w:t xml:space="preserve">about EUR 7 billion under LIFE compared to S3). These estimates do not capture the full</w:t>
      </w:r>
      <w:r>
        <w:t xml:space="preserve"> </w:t>
      </w:r>
      <w:r>
        <w:t xml:space="preserve">investment costs of new or refurbished production facilities, but only the part that relates</w:t>
      </w:r>
    </w:p>
    <w:p>
      <w:pPr>
        <w:pStyle w:val="Compact"/>
        <w:numPr>
          <w:ilvl w:val="0"/>
          <w:numId w:val="1112"/>
        </w:numPr>
      </w:pPr>
      <w:r>
        <w:t xml:space="preserve">Sebastian Busch, Ruben Kasdorp, Derck Koolen, Arnaud Mercier, Magdalena Spooner: The</w:t>
      </w:r>
      <w:r>
        <w:t xml:space="preserve"> </w:t>
      </w:r>
      <w:r>
        <w:t xml:space="preserve">Development of Renewable Energy in the Electricity Market. Directorate-General for Economic and</w:t>
      </w:r>
      <w:r>
        <w:t xml:space="preserve"> </w:t>
      </w:r>
      <w:r>
        <w:t xml:space="preserve">Financial Affairs. Discussion Paper 187. June 2023.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Billion EUR 2023</w:t>
      </w:r>
      <w:r>
        <w:t xml:space="preserve"> </w:t>
      </w:r>
      <w:r>
        <w:t xml:space="preserve">Iron and steel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Chemicals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Pulp and paper</w:t>
      </w:r>
      <w:r>
        <w:t xml:space="preserve"> </w:t>
      </w:r>
      <w:r>
        <w:t xml:space="preserve">Other industries</w:t>
      </w:r>
    </w:p>
    <w:p>
      <w:pPr>
        <w:pStyle w:val="FirstParagraph"/>
      </w:pPr>
      <w:r>
        <w:t xml:space="preserve">165</w:t>
      </w:r>
    </w:p>
    <w:p>
      <w:pPr>
        <w:pStyle w:val="BodyText"/>
      </w:pPr>
      <w:r>
        <w:t xml:space="preserve">to decarbonisation, e.g., the additional cost of a hydrogen-based steel plant relative to a</w:t>
      </w:r>
      <w:r>
        <w:t xml:space="preserve"> </w:t>
      </w:r>
      <w:r>
        <w:t xml:space="preserve">baseline fossil-fuel based plant or investment in carbon capture. In turn, the investment</w:t>
      </w:r>
      <w:r>
        <w:t xml:space="preserve"> </w:t>
      </w:r>
      <w:r>
        <w:t xml:space="preserve">needs related to hydrogen production are captured in supply-side investments (section</w:t>
      </w:r>
      <w:r>
        <w:t xml:space="preserve"> </w:t>
      </w:r>
      <w:r>
        <w:t xml:space="preserve">2.2.2). The estimates also do not capture possible investment in R&amp;D itself. The faster</w:t>
      </w:r>
      <w:r>
        <w:t xml:space="preserve"> </w:t>
      </w:r>
      <w:r>
        <w:t xml:space="preserve">deployment of industrial carbon capture under S3 and S2 means that investment is</w:t>
      </w:r>
      <w:r>
        <w:t xml:space="preserve"> </w:t>
      </w:r>
      <w:r>
        <w:t xml:space="preserve">anticipated compared to S1, with average annual investment in carbon capture for</w:t>
      </w:r>
      <w:r>
        <w:t xml:space="preserve"> </w:t>
      </w:r>
      <w:r>
        <w:t xml:space="preserve">industry as a whole of EUR 4 billion in 2031-2040 under S3 and S2, compared to less</w:t>
      </w:r>
      <w:r>
        <w:t xml:space="preserve"> </w:t>
      </w:r>
      <w:r>
        <w:t xml:space="preserve">than EUR 1 billion under S1. On average over 2031-2050, however, industrial</w:t>
      </w:r>
      <w:r>
        <w:t xml:space="preserve"> </w:t>
      </w:r>
      <w:r>
        <w:t xml:space="preserve">investment in carbon capture is almost the same across scenarios at about EUR 2 billion</w:t>
      </w:r>
      <w:r>
        <w:t xml:space="preserve"> </w:t>
      </w:r>
      <w:r>
        <w:t xml:space="preserve">per annum.</w:t>
      </w:r>
      <w:r>
        <w:t xml:space="preserve"> </w:t>
      </w:r>
      <w:r>
        <w:t xml:space="preserve">Investment needs in other industrial sectors are more diffuse, both in terms of sectors</w:t>
      </w:r>
      <w:r>
        <w:t xml:space="preserve"> </w:t>
      </w:r>
      <w:r>
        <w:t xml:space="preserve">concerned and in terms of size of enterprises. While there are no estimates of investment</w:t>
      </w:r>
      <w:r>
        <w:t xml:space="preserve"> </w:t>
      </w:r>
      <w:r>
        <w:t xml:space="preserve">needs by size of enterprises, most SMEs active in manufacturing fall under these “other”</w:t>
      </w:r>
      <w:r>
        <w:t xml:space="preserve"> </w:t>
      </w:r>
      <w:r>
        <w:t xml:space="preserve">sectors. SMEs active in manufacturing account for about 9% of total SMEs, and the vast</w:t>
      </w:r>
      <w:r>
        <w:t xml:space="preserve"> </w:t>
      </w:r>
      <w:r>
        <w:t xml:space="preserve">majority are involved in non-energy intensive manufacturing activities (Table 27). While</w:t>
      </w:r>
      <w:r>
        <w:t xml:space="preserve"> </w:t>
      </w:r>
      <w:r>
        <w:t xml:space="preserve">manufacturing-oriented SMEs account for a large share of total SME gross value added</w:t>
      </w:r>
      <w:r>
        <w:t xml:space="preserve"> </w:t>
      </w:r>
      <w:r>
        <w:t xml:space="preserve">and employment in the economy with a share of 20%, the majority of that is again in</w:t>
      </w:r>
      <w:r>
        <w:t xml:space="preserve"> </w:t>
      </w:r>
      <w:r>
        <w:t xml:space="preserve">SMEs involved in non-energy intensive manufacturing. SMEs are therefore most likely</w:t>
      </w:r>
      <w:r>
        <w:t xml:space="preserve"> </w:t>
      </w:r>
      <w:r>
        <w:t xml:space="preserve">to decarbonise their production processes mainly via electrification and improvements in</w:t>
      </w:r>
      <w:r>
        <w:t xml:space="preserve"> </w:t>
      </w:r>
      <w:r>
        <w:t xml:space="preserve">energy efficiency. The scenarios differ little in terms of investment needs for non-energy-</w:t>
      </w:r>
      <w:r>
        <w:t xml:space="preserve"> </w:t>
      </w:r>
      <w:r>
        <w:t xml:space="preserve">intensive sectors in 2031-2050 at an average of around EUR 10 billion per annum, but S3</w:t>
      </w:r>
      <w:r>
        <w:t xml:space="preserve"> </w:t>
      </w:r>
      <w:r>
        <w:t xml:space="preserve">and S2 imply a fair degree of early push compared to S1.</w:t>
      </w:r>
      <w:r>
        <w:t xml:space="preserve"> </w:t>
      </w:r>
      <w:r>
        <w:t xml:space="preserve">Table 27: Indicators of SME activity by sector (2019)</w:t>
      </w:r>
    </w:p>
    <w:p>
      <w:pPr>
        <w:pStyle w:val="BodyText"/>
      </w:pPr>
      <w:r>
        <w:t xml:space="preserve">Source: Eurostat (273).</w:t>
      </w:r>
    </w:p>
    <w:p>
      <w:pPr>
        <w:pStyle w:val="Compact"/>
        <w:numPr>
          <w:ilvl w:val="0"/>
          <w:numId w:val="1113"/>
        </w:numPr>
      </w:pPr>
      <w:r>
        <w:t xml:space="preserve">The data is calculated from the Structural Business Statistics (SBS), except for agriculture, which is</w:t>
      </w:r>
      <w:r>
        <w:t xml:space="preserve"> </w:t>
      </w:r>
      <w:r>
        <w:t xml:space="preserve">not included in the dataset. For SBS sectors, the table is based on an aggregation of sectors by size</w:t>
      </w:r>
      <w:r>
        <w:t xml:space="preserve"> </w:t>
      </w:r>
      <w:r>
        <w:t xml:space="preserve">class for special aggregates of activities (NACE 2). Fossil fuel sectors (B05, B06, C19); other mining</w:t>
      </w:r>
      <w:r>
        <w:t xml:space="preserve"> </w:t>
      </w:r>
      <w:r>
        <w:t xml:space="preserve">and extraction activities (B07, B08, B09); energy intensive industries (C17, C20, C21, C23, C24);</w:t>
      </w:r>
    </w:p>
    <w:p>
      <w:pPr>
        <w:pStyle w:val="FirstParagraph"/>
      </w:pPr>
      <w:r>
        <w:t xml:space="preserve">Share in GVA</w:t>
      </w:r>
      <w:r>
        <w:t xml:space="preserve"> </w:t>
      </w:r>
      <w:r>
        <w:t xml:space="preserve">Share in</w:t>
      </w:r>
      <w:r>
        <w:t xml:space="preserve"> </w:t>
      </w:r>
      <w:r>
        <w:t xml:space="preserve">employment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GVA</w:t>
      </w:r>
      <w:r>
        <w:t xml:space="preserve"> </w:t>
      </w:r>
      <w:r>
        <w:t xml:space="preserve">Employment</w:t>
      </w:r>
      <w:r>
        <w:t xml:space="preserve"> </w:t>
      </w:r>
      <w:r>
        <w:t xml:space="preserve">Fossil fuels</w:t>
      </w:r>
      <w:r>
        <w:t xml:space="preserve"> </w:t>
      </w:r>
      <w:r>
        <w:t xml:space="preserve">7.0%</w:t>
      </w:r>
      <w:r>
        <w:t xml:space="preserve"> </w:t>
      </w:r>
      <w:r>
        <w:t xml:space="preserve">6.6%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Other mining and extraction</w:t>
      </w:r>
      <w:r>
        <w:t xml:space="preserve"> </w:t>
      </w:r>
      <w:r>
        <w:t xml:space="preserve">53.1%</w:t>
      </w:r>
      <w:r>
        <w:t xml:space="preserve"> </w:t>
      </w:r>
      <w:r>
        <w:t xml:space="preserve">59.2%</w:t>
      </w:r>
      <w:r>
        <w:t xml:space="preserve"> </w:t>
      </w:r>
      <w:r>
        <w:t xml:space="preserve">0.1%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29.1%</w:t>
      </w:r>
      <w:r>
        <w:t xml:space="preserve"> </w:t>
      </w:r>
      <w:r>
        <w:t xml:space="preserve">34.4%</w:t>
      </w:r>
      <w:r>
        <w:t xml:space="preserve"> </w:t>
      </w:r>
      <w:r>
        <w:t xml:space="preserve">0.6%</w:t>
      </w:r>
      <w:r>
        <w:t xml:space="preserve"> </w:t>
      </w:r>
      <w:r>
        <w:t xml:space="preserve">2.9%</w:t>
      </w:r>
      <w:r>
        <w:t xml:space="preserve"> </w:t>
      </w:r>
      <w:r>
        <w:t xml:space="preserve">2.0%</w:t>
      </w:r>
      <w:r>
        <w:t xml:space="preserve"> </w:t>
      </w:r>
      <w:r>
        <w:t xml:space="preserve">Manuf. transport equipment (incl. parts and accessories)</w:t>
      </w:r>
      <w:r>
        <w:t xml:space="preserve"> </w:t>
      </w:r>
      <w:r>
        <w:t xml:space="preserve">7.9%</w:t>
      </w:r>
      <w:r>
        <w:t xml:space="preserve"> </w:t>
      </w:r>
      <w:r>
        <w:t xml:space="preserve">14.1%</w:t>
      </w:r>
      <w:r>
        <w:t xml:space="preserve"> </w:t>
      </w:r>
      <w:r>
        <w:t xml:space="preserve">0.1%</w:t>
      </w:r>
      <w:r>
        <w:t xml:space="preserve"> </w:t>
      </w:r>
      <w:r>
        <w:t xml:space="preserve">0.6%</w:t>
      </w:r>
      <w:r>
        <w:t xml:space="preserve"> </w:t>
      </w:r>
      <w:r>
        <w:t xml:space="preserve">0.6%</w:t>
      </w:r>
      <w:r>
        <w:t xml:space="preserve"> </w:t>
      </w:r>
      <w:r>
        <w:t xml:space="preserve">Manuf. electrical equipment and other machinery</w:t>
      </w:r>
      <w:r>
        <w:t xml:space="preserve"> </w:t>
      </w:r>
      <w:r>
        <w:t xml:space="preserve">32.0%</w:t>
      </w:r>
      <w:r>
        <w:t xml:space="preserve"> </w:t>
      </w:r>
      <w:r>
        <w:t xml:space="preserve">35.4%</w:t>
      </w:r>
      <w:r>
        <w:t xml:space="preserve"> </w:t>
      </w:r>
      <w:r>
        <w:t xml:space="preserve">0.5%</w:t>
      </w:r>
      <w:r>
        <w:t xml:space="preserve"> </w:t>
      </w:r>
      <w:r>
        <w:t xml:space="preserve">3.1%</w:t>
      </w:r>
      <w:r>
        <w:t xml:space="preserve"> </w:t>
      </w:r>
      <w:r>
        <w:t xml:space="preserve">2.0%</w:t>
      </w:r>
      <w:r>
        <w:t xml:space="preserve"> </w:t>
      </w:r>
      <w:r>
        <w:t xml:space="preserve">Other manufacturing</w:t>
      </w:r>
      <w:r>
        <w:t xml:space="preserve"> </w:t>
      </w:r>
      <w:r>
        <w:t xml:space="preserve">44.4%</w:t>
      </w:r>
      <w:r>
        <w:t xml:space="preserve"> </w:t>
      </w:r>
      <w:r>
        <w:t xml:space="preserve">65.0%</w:t>
      </w:r>
      <w:r>
        <w:t xml:space="preserve"> </w:t>
      </w:r>
      <w:r>
        <w:t xml:space="preserve">7.5%</w:t>
      </w:r>
      <w:r>
        <w:t xml:space="preserve"> </w:t>
      </w:r>
      <w:r>
        <w:t xml:space="preserve">14.3%</w:t>
      </w:r>
      <w:r>
        <w:t xml:space="preserve"> </w:t>
      </w:r>
      <w:r>
        <w:t xml:space="preserve">15.9%</w:t>
      </w:r>
      <w:r>
        <w:t xml:space="preserve"> </w:t>
      </w:r>
      <w:r>
        <w:t xml:space="preserve">Electricity, gas, steam and air conditioning supply</w:t>
      </w:r>
      <w:r>
        <w:t xml:space="preserve"> </w:t>
      </w:r>
      <w:r>
        <w:t xml:space="preserve">22.3%</w:t>
      </w:r>
      <w:r>
        <w:t xml:space="preserve"> </w:t>
      </w:r>
      <w:r>
        <w:t xml:space="preserve">29.0%</w:t>
      </w:r>
      <w:r>
        <w:t xml:space="preserve"> </w:t>
      </w:r>
      <w:r>
        <w:t xml:space="preserve">0.7%</w:t>
      </w:r>
      <w:r>
        <w:t xml:space="preserve"> </w:t>
      </w:r>
      <w:r>
        <w:t xml:space="preserve">1.4%</w:t>
      </w:r>
      <w:r>
        <w:t xml:space="preserve"> </w:t>
      </w:r>
      <w:r>
        <w:t xml:space="preserve">0.5%</w:t>
      </w:r>
      <w:r>
        <w:t xml:space="preserve"> </w:t>
      </w:r>
      <w:r>
        <w:t xml:space="preserve">Construction and architecture services</w:t>
      </w:r>
      <w:r>
        <w:t xml:space="preserve"> </w:t>
      </w:r>
      <w:r>
        <w:t xml:space="preserve">77.8%</w:t>
      </w:r>
      <w:r>
        <w:t xml:space="preserve"> </w:t>
      </w:r>
      <w:r>
        <w:t xml:space="preserve">89.1%</w:t>
      </w:r>
      <w:r>
        <w:t xml:space="preserve"> </w:t>
      </w:r>
      <w:r>
        <w:t xml:space="preserve">19.0%</w:t>
      </w:r>
      <w:r>
        <w:t xml:space="preserve"> </w:t>
      </w:r>
      <w:r>
        <w:t xml:space="preserve">16.4%</w:t>
      </w:r>
      <w:r>
        <w:t xml:space="preserve"> </w:t>
      </w:r>
      <w:r>
        <w:t xml:space="preserve">17.5%</w:t>
      </w:r>
      <w:r>
        <w:t xml:space="preserve"> </w:t>
      </w:r>
      <w:r>
        <w:t xml:space="preserve">Transport and storage</w:t>
      </w:r>
      <w:r>
        <w:t xml:space="preserve"> </w:t>
      </w:r>
      <w:r>
        <w:t xml:space="preserve">49.0%</w:t>
      </w:r>
      <w:r>
        <w:t xml:space="preserve"> </w:t>
      </w:r>
      <w:r>
        <w:t xml:space="preserve">43.6%</w:t>
      </w:r>
      <w:r>
        <w:t xml:space="preserve"> </w:t>
      </w:r>
      <w:r>
        <w:t xml:space="preserve">5.4%</w:t>
      </w:r>
      <w:r>
        <w:t xml:space="preserve"> </w:t>
      </w:r>
      <w:r>
        <w:t xml:space="preserve">5.2%</w:t>
      </w:r>
      <w:r>
        <w:t xml:space="preserve"> </w:t>
      </w:r>
      <w:r>
        <w:t xml:space="preserve">4.9%</w:t>
      </w:r>
      <w:r>
        <w:t xml:space="preserve"> </w:t>
      </w:r>
      <w:r>
        <w:t xml:space="preserve">Services</w:t>
      </w:r>
      <w:r>
        <w:t xml:space="preserve"> </w:t>
      </w:r>
      <w:r>
        <w:t xml:space="preserve">62.7%</w:t>
      </w:r>
      <w:r>
        <w:t xml:space="preserve"> </w:t>
      </w:r>
      <w:r>
        <w:t xml:space="preserve">69.5%</w:t>
      </w:r>
      <w:r>
        <w:t xml:space="preserve"> </w:t>
      </w:r>
      <w:r>
        <w:t xml:space="preserve">65.7%</w:t>
      </w:r>
      <w:r>
        <w:t xml:space="preserve"> </w:t>
      </w:r>
      <w:r>
        <w:t xml:space="preserve">54.3%</w:t>
      </w:r>
      <w:r>
        <w:t xml:space="preserve"> </w:t>
      </w:r>
      <w:r>
        <w:t xml:space="preserve">55.5%</w:t>
      </w:r>
      <w:r>
        <w:t xml:space="preserve"> </w:t>
      </w:r>
      <w:r>
        <w:t xml:space="preserve">Water, treatment and waste</w:t>
      </w:r>
      <w:r>
        <w:t xml:space="preserve"> </w:t>
      </w:r>
      <w:r>
        <w:t xml:space="preserve">46.7%</w:t>
      </w:r>
      <w:r>
        <w:t xml:space="preserve"> </w:t>
      </w:r>
      <w:r>
        <w:t xml:space="preserve">45.3%</w:t>
      </w:r>
      <w:r>
        <w:t xml:space="preserve"> </w:t>
      </w:r>
      <w:r>
        <w:t xml:space="preserve">0.3%</w:t>
      </w:r>
      <w:r>
        <w:t xml:space="preserve"> </w:t>
      </w:r>
      <w:r>
        <w:t xml:space="preserve">1.3%</w:t>
      </w:r>
      <w:r>
        <w:t xml:space="preserve"> </w:t>
      </w:r>
      <w:r>
        <w:t xml:space="preserve">0.9%</w:t>
      </w:r>
      <w:r>
        <w:t xml:space="preserve"> </w:t>
      </w:r>
      <w:r>
        <w:t xml:space="preserve">Total</w:t>
      </w:r>
      <w:r>
        <w:t xml:space="preserve"> </w:t>
      </w:r>
      <w:r>
        <w:t xml:space="preserve">52.9%</w:t>
      </w:r>
      <w:r>
        <w:t xml:space="preserve"> </w:t>
      </w:r>
      <w:r>
        <w:t xml:space="preserve">64.4%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Memo:</w:t>
      </w:r>
      <w:r>
        <w:t xml:space="preserve"> </w:t>
      </w:r>
      <w:r>
        <w:t xml:space="preserve">Million</w:t>
      </w:r>
      <w:r>
        <w:t xml:space="preserve"> </w:t>
      </w:r>
      <w:r>
        <w:t xml:space="preserve">Billion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people</w:t>
      </w:r>
      <w:r>
        <w:t xml:space="preserve"> </w:t>
      </w:r>
      <w:r>
        <w:t xml:space="preserve">All sectors above</w:t>
      </w:r>
      <w:r>
        <w:t xml:space="preserve"> </w:t>
      </w:r>
      <w:r>
        <w:t xml:space="preserve">52.9%</w:t>
      </w:r>
      <w:r>
        <w:t xml:space="preserve"> </w:t>
      </w:r>
      <w:r>
        <w:t xml:space="preserve">64.4%</w:t>
      </w:r>
      <w:r>
        <w:t xml:space="preserve"> </w:t>
      </w:r>
      <w:r>
        <w:t xml:space="preserve">23.1</w:t>
      </w:r>
      <w:r>
        <w:t xml:space="preserve"> </w:t>
      </w:r>
      <w:r>
        <w:t xml:space="preserve">3332</w:t>
      </w:r>
      <w:r>
        <w:t xml:space="preserve"> </w:t>
      </w:r>
      <w:r>
        <w:t xml:space="preserve">76.3</w:t>
      </w:r>
      <w:r>
        <w:t xml:space="preserve"> </w:t>
      </w:r>
      <w:r>
        <w:t xml:space="preserve">Agriculture</w:t>
      </w:r>
      <w:r>
        <w:t xml:space="preserve"> </w:t>
      </w:r>
      <w:r>
        <w:t xml:space="preserve">66.7%</w:t>
      </w:r>
      <w:r>
        <w:t xml:space="preserve"> </w:t>
      </w:r>
      <w:r>
        <w:t xml:space="preserve">95.6%</w:t>
      </w:r>
      <w:r>
        <w:t xml:space="preserve"> </w:t>
      </w:r>
      <w:r>
        <w:t xml:space="preserve">8.7</w:t>
      </w:r>
      <w:r>
        <w:t xml:space="preserve"> </w:t>
      </w:r>
      <w:r>
        <w:t xml:space="preserve">128</w:t>
      </w:r>
      <w:r>
        <w:t xml:space="preserve"> </w:t>
      </w:r>
      <w:r>
        <w:t xml:space="preserve">8.3</w:t>
      </w:r>
      <w:r>
        <w:t xml:space="preserve"> </w:t>
      </w:r>
      <w:r>
        <w:t xml:space="preserve">SME shares in the</w:t>
      </w:r>
      <w:r>
        <w:t xml:space="preserve"> </w:t>
      </w:r>
      <w:r>
        <w:t xml:space="preserve">economy (% of total)</w:t>
      </w:r>
      <w:r>
        <w:t xml:space="preserve"> </w:t>
      </w:r>
      <w:r>
        <w:t xml:space="preserve">Sectoral split of SMEs (% of economy-</w:t>
      </w:r>
      <w:r>
        <w:t xml:space="preserve"> </w:t>
      </w:r>
      <w:r>
        <w:t xml:space="preserve">wide SMEs)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Table 28: Average annual energy-related side investment needs in industry,services and agriculture (billion EUR 2023)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EU27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Industry</w:t>
      </w:r>
      <w:r>
        <w:t xml:space="preserve"> </w:t>
      </w:r>
      <w:r>
        <w:t xml:space="preserve">38</w:t>
      </w:r>
      <w:r>
        <w:t xml:space="preserve"> </w:t>
      </w:r>
      <w:r>
        <w:t xml:space="preserve">31</w:t>
      </w:r>
      <w:r>
        <w:t xml:space="preserve"> </w:t>
      </w:r>
      <w:r>
        <w:t xml:space="preserve">35</w:t>
      </w:r>
      <w:r>
        <w:t xml:space="preserve"> </w:t>
      </w:r>
      <w:r>
        <w:t xml:space="preserve">46</w:t>
      </w:r>
      <w:r>
        <w:t xml:space="preserve"> </w:t>
      </w:r>
      <w:r>
        <w:t xml:space="preserve">24</w:t>
      </w:r>
      <w:r>
        <w:t xml:space="preserve"> </w:t>
      </w:r>
      <w:r>
        <w:t xml:space="preserve">35</w:t>
      </w:r>
      <w:r>
        <w:t xml:space="preserve"> </w:t>
      </w:r>
      <w:r>
        <w:t xml:space="preserve">48</w:t>
      </w:r>
      <w:r>
        <w:t xml:space="preserve"> </w:t>
      </w:r>
      <w:r>
        <w:t xml:space="preserve">22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19</w:t>
      </w:r>
      <w:r>
        <w:t xml:space="preserve"> </w:t>
      </w:r>
      <w:r>
        <w:t xml:space="preserve">30</w:t>
      </w:r>
      <w:r>
        <w:t xml:space="preserve"> </w:t>
      </w:r>
      <w:r>
        <w:t xml:space="preserve">Iron and steel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1.3</w:t>
      </w:r>
      <w:r>
        <w:t xml:space="preserve"> </w:t>
      </w:r>
      <w:r>
        <w:t xml:space="preserve">0.4</w:t>
      </w:r>
      <w:r>
        <w:t xml:space="preserve"> </w:t>
      </w:r>
      <w:r>
        <w:t xml:space="preserve">0.8</w:t>
      </w:r>
      <w:r>
        <w:t xml:space="preserve"> </w:t>
      </w:r>
      <w:r>
        <w:t xml:space="preserve">1.4</w:t>
      </w:r>
      <w:r>
        <w:t xml:space="preserve"> </w:t>
      </w:r>
      <w:r>
        <w:t xml:space="preserve">0.3</w:t>
      </w:r>
      <w:r>
        <w:t xml:space="preserve"> </w:t>
      </w:r>
      <w:r>
        <w:t xml:space="preserve">0.8</w:t>
      </w:r>
      <w:r>
        <w:t xml:space="preserve"> </w:t>
      </w:r>
      <w:r>
        <w:t xml:space="preserve">1.4</w:t>
      </w:r>
      <w:r>
        <w:t xml:space="preserve"> </w:t>
      </w:r>
      <w:r>
        <w:t xml:space="preserve">0.2</w:t>
      </w:r>
      <w:r>
        <w:t xml:space="preserve"> </w:t>
      </w:r>
      <w:r>
        <w:t xml:space="preserve">0.8</w:t>
      </w:r>
      <w:r>
        <w:t xml:space="preserve"> </w:t>
      </w:r>
      <w:r>
        <w:t xml:space="preserve">1.0</w:t>
      </w:r>
      <w:r>
        <w:t xml:space="preserve"> </w:t>
      </w:r>
      <w:r>
        <w:t xml:space="preserve">0.2</w:t>
      </w:r>
      <w:r>
        <w:t xml:space="preserve"> </w:t>
      </w:r>
      <w:r>
        <w:t xml:space="preserve">0.6</w:t>
      </w:r>
      <w:r>
        <w:t xml:space="preserve"> </w:t>
      </w:r>
      <w:r>
        <w:t xml:space="preserve">Chemicals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13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2.1</w:t>
      </w:r>
      <w:r>
        <w:t xml:space="preserve"> </w:t>
      </w:r>
      <w:r>
        <w:t xml:space="preserve">4.3</w:t>
      </w:r>
      <w:r>
        <w:t xml:space="preserve"> </w:t>
      </w:r>
      <w:r>
        <w:t xml:space="preserve">3.2</w:t>
      </w:r>
      <w:r>
        <w:t xml:space="preserve"> </w:t>
      </w:r>
      <w:r>
        <w:t xml:space="preserve">4.8</w:t>
      </w:r>
      <w:r>
        <w:t xml:space="preserve"> </w:t>
      </w:r>
      <w:r>
        <w:t xml:space="preserve">1.9</w:t>
      </w:r>
      <w:r>
        <w:t xml:space="preserve"> </w:t>
      </w:r>
      <w:r>
        <w:t xml:space="preserve">3.3</w:t>
      </w:r>
      <w:r>
        <w:t xml:space="preserve"> </w:t>
      </w:r>
      <w:r>
        <w:t xml:space="preserve">4.9</w:t>
      </w:r>
      <w:r>
        <w:t xml:space="preserve"> </w:t>
      </w:r>
      <w:r>
        <w:t xml:space="preserve">1.5</w:t>
      </w:r>
      <w:r>
        <w:t xml:space="preserve"> </w:t>
      </w:r>
      <w:r>
        <w:t xml:space="preserve">3.2</w:t>
      </w:r>
      <w:r>
        <w:t xml:space="preserve"> </w:t>
      </w:r>
      <w:r>
        <w:t xml:space="preserve">4.0</w:t>
      </w:r>
      <w:r>
        <w:t xml:space="preserve"> </w:t>
      </w:r>
      <w:r>
        <w:t xml:space="preserve">1.2</w:t>
      </w:r>
      <w:r>
        <w:t xml:space="preserve"> </w:t>
      </w:r>
      <w:r>
        <w:t xml:space="preserve">2.6</w:t>
      </w:r>
      <w:r>
        <w:t xml:space="preserve"> </w:t>
      </w:r>
      <w:r>
        <w:t xml:space="preserve">Pulp and paper</w:t>
      </w:r>
      <w:r>
        <w:t xml:space="preserve"> </w:t>
      </w:r>
      <w:r>
        <w:t xml:space="preserve">3.3</w:t>
      </w:r>
      <w:r>
        <w:t xml:space="preserve"> </w:t>
      </w:r>
      <w:r>
        <w:t xml:space="preserve">2.6</w:t>
      </w:r>
      <w:r>
        <w:t xml:space="preserve"> </w:t>
      </w:r>
      <w:r>
        <w:t xml:space="preserve">3.0</w:t>
      </w:r>
      <w:r>
        <w:t xml:space="preserve"> </w:t>
      </w:r>
      <w:r>
        <w:t xml:space="preserve">3.5</w:t>
      </w:r>
      <w:r>
        <w:t xml:space="preserve"> </w:t>
      </w:r>
      <w:r>
        <w:t xml:space="preserve">2.4</w:t>
      </w:r>
      <w:r>
        <w:t xml:space="preserve"> </w:t>
      </w:r>
      <w:r>
        <w:t xml:space="preserve">3.0</w:t>
      </w:r>
      <w:r>
        <w:t xml:space="preserve"> </w:t>
      </w:r>
      <w:r>
        <w:t xml:space="preserve">3.8</w:t>
      </w:r>
      <w:r>
        <w:t xml:space="preserve"> </w:t>
      </w:r>
      <w:r>
        <w:t xml:space="preserve">2.2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1.0</w:t>
      </w:r>
      <w:r>
        <w:t xml:space="preserve"> </w:t>
      </w:r>
      <w:r>
        <w:t xml:space="preserve">2.0</w:t>
      </w:r>
      <w:r>
        <w:t xml:space="preserve"> </w:t>
      </w:r>
      <w:r>
        <w:t xml:space="preserve">Other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Services</w:t>
      </w:r>
      <w:r>
        <w:t xml:space="preserve"> </w:t>
      </w:r>
      <w:r>
        <w:t xml:space="preserve">49</w:t>
      </w:r>
      <w:r>
        <w:t xml:space="preserve"> </w:t>
      </w:r>
      <w:r>
        <w:t xml:space="preserve">78</w:t>
      </w:r>
      <w:r>
        <w:t xml:space="preserve"> </w:t>
      </w:r>
      <w:r>
        <w:t xml:space="preserve">63</w:t>
      </w:r>
      <w:r>
        <w:t xml:space="preserve"> </w:t>
      </w:r>
      <w:r>
        <w:t xml:space="preserve">53</w:t>
      </w:r>
      <w:r>
        <w:t xml:space="preserve"> </w:t>
      </w:r>
      <w:r>
        <w:t xml:space="preserve">73</w:t>
      </w:r>
      <w:r>
        <w:t xml:space="preserve"> </w:t>
      </w:r>
      <w:r>
        <w:t xml:space="preserve">63</w:t>
      </w:r>
      <w:r>
        <w:t xml:space="preserve"> </w:t>
      </w:r>
      <w:r>
        <w:t xml:space="preserve">57</w:t>
      </w:r>
      <w:r>
        <w:t xml:space="preserve"> </w:t>
      </w:r>
      <w:r>
        <w:t xml:space="preserve">67</w:t>
      </w:r>
      <w:r>
        <w:t xml:space="preserve"> </w:t>
      </w:r>
      <w:r>
        <w:t xml:space="preserve">62</w:t>
      </w:r>
      <w:r>
        <w:t xml:space="preserve"> </w:t>
      </w:r>
      <w:r>
        <w:t xml:space="preserve">53</w:t>
      </w:r>
      <w:r>
        <w:t xml:space="preserve"> </w:t>
      </w:r>
      <w:r>
        <w:t xml:space="preserve">68</w:t>
      </w:r>
      <w:r>
        <w:t xml:space="preserve"> </w:t>
      </w:r>
      <w:r>
        <w:t xml:space="preserve">60</w:t>
      </w:r>
      <w:r>
        <w:t xml:space="preserve"> </w:t>
      </w:r>
      <w:r>
        <w:t xml:space="preserve">Renovations</w:t>
      </w:r>
      <w:r>
        <w:t xml:space="preserve"> </w:t>
      </w:r>
      <w:r>
        <w:t xml:space="preserve">6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New constructions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Energy equipment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50</w:t>
      </w:r>
      <w:r>
        <w:t xml:space="preserve"> </w:t>
      </w:r>
      <w:r>
        <w:t xml:space="preserve">39</w:t>
      </w:r>
      <w:r>
        <w:t xml:space="preserve"> </w:t>
      </w:r>
      <w:r>
        <w:t xml:space="preserve">61</w:t>
      </w:r>
      <w:r>
        <w:t xml:space="preserve"> </w:t>
      </w:r>
      <w:r>
        <w:t xml:space="preserve">50</w:t>
      </w:r>
      <w:r>
        <w:t xml:space="preserve"> </w:t>
      </w:r>
      <w:r>
        <w:t xml:space="preserve">38</w:t>
      </w:r>
      <w:r>
        <w:t xml:space="preserve"> </w:t>
      </w:r>
      <w:r>
        <w:t xml:space="preserve">60</w:t>
      </w:r>
      <w:r>
        <w:t xml:space="preserve"> </w:t>
      </w:r>
      <w:r>
        <w:t xml:space="preserve">49</w:t>
      </w:r>
      <w:r>
        <w:t xml:space="preserve"> </w:t>
      </w:r>
      <w:r>
        <w:t xml:space="preserve">36</w:t>
      </w:r>
      <w:r>
        <w:t xml:space="preserve"> </w:t>
      </w:r>
      <w:r>
        <w:t xml:space="preserve">58</w:t>
      </w:r>
      <w:r>
        <w:t xml:space="preserve"> </w:t>
      </w:r>
      <w:r>
        <w:t xml:space="preserve">47</w:t>
      </w:r>
      <w:r>
        <w:t xml:space="preserve"> </w:t>
      </w:r>
      <w:r>
        <w:t xml:space="preserve">Heating</w:t>
      </w:r>
      <w:r>
        <w:t xml:space="preserve"> </w:t>
      </w:r>
      <w:r>
        <w:t xml:space="preserve">21</w:t>
      </w:r>
      <w:r>
        <w:t xml:space="preserve"> </w:t>
      </w:r>
      <w:r>
        <w:t xml:space="preserve">40</w:t>
      </w:r>
      <w:r>
        <w:t xml:space="preserve"> </w:t>
      </w:r>
      <w:r>
        <w:t xml:space="preserve">30</w:t>
      </w:r>
      <w:r>
        <w:t xml:space="preserve"> </w:t>
      </w:r>
      <w:r>
        <w:t xml:space="preserve">21</w:t>
      </w:r>
      <w:r>
        <w:t xml:space="preserve"> </w:t>
      </w:r>
      <w:r>
        <w:t xml:space="preserve">40</w:t>
      </w:r>
      <w:r>
        <w:t xml:space="preserve"> </w:t>
      </w:r>
      <w:r>
        <w:t xml:space="preserve">30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30</w:t>
      </w:r>
      <w:r>
        <w:t xml:space="preserve"> </w:t>
      </w:r>
      <w:r>
        <w:t xml:space="preserve">18</w:t>
      </w:r>
      <w:r>
        <w:t xml:space="preserve"> </w:t>
      </w:r>
      <w:r>
        <w:t xml:space="preserve">38</w:t>
      </w:r>
      <w:r>
        <w:t xml:space="preserve"> </w:t>
      </w:r>
      <w:r>
        <w:t xml:space="preserve">28</w:t>
      </w:r>
      <w:r>
        <w:t xml:space="preserve"> </w:t>
      </w:r>
      <w:r>
        <w:t xml:space="preserve">Cooling and others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Electrical appliances and lighting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Agriculture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Memo:</w:t>
      </w:r>
      <w:r>
        <w:t xml:space="preserve"> </w:t>
      </w:r>
      <w:r>
        <w:t xml:space="preserve">Real GDP (period average)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It is also to be noted that the assessment of investments needs, including on the supply</w:t>
      </w:r>
      <w:r>
        <w:t xml:space="preserve"> </w:t>
      </w:r>
      <w:r>
        <w:t xml:space="preserve">side, relate to the investment by the user/investor in asset, e.g., the investment costs</w:t>
      </w:r>
      <w:r>
        <w:t xml:space="preserve"> </w:t>
      </w:r>
      <w:r>
        <w:t xml:space="preserve">related to the installation of windmills, solar panels, a hydrogen-based plant or a heat</w:t>
      </w:r>
      <w:r>
        <w:t xml:space="preserve"> </w:t>
      </w:r>
      <w:r>
        <w:t xml:space="preserve">pump. While the installation costs of these technologies are fully accounted for, the</w:t>
      </w:r>
      <w:r>
        <w:t xml:space="preserve"> </w:t>
      </w:r>
      <w:r>
        <w:t xml:space="preserve">assessment is silent on the sourcing of the equipment, which can be produced</w:t>
      </w:r>
      <w:r>
        <w:t xml:space="preserve"> </w:t>
      </w:r>
      <w:r>
        <w:t xml:space="preserve">domestically or imported, without impact on the figures reported in these sections.</w:t>
      </w:r>
      <w:r>
        <w:t xml:space="preserve"> </w:t>
      </w:r>
      <w:r>
        <w:t xml:space="preserve">The sourcing of the technologies required for the decarbonisation of the economy,</w:t>
      </w:r>
      <w:r>
        <w:t xml:space="preserve"> </w:t>
      </w:r>
      <w:r>
        <w:t xml:space="preserve">including manufacturing capacities, raw material supply chain and deployment of clean</w:t>
      </w:r>
      <w:r>
        <w:t xml:space="preserve"> </w:t>
      </w:r>
      <w:r>
        <w:t xml:space="preserve">innovative processes, is nevertheless anything but neutral in terms of impacts on the</w:t>
      </w:r>
      <w:r>
        <w:t xml:space="preserve"> </w:t>
      </w:r>
      <w:r>
        <w:t xml:space="preserve">economy, including GDP, investment, sectoral output and employment or skills needs</w:t>
      </w:r>
      <w:r>
        <w:t xml:space="preserve"> </w:t>
      </w:r>
      <w:r>
        <w:t xml:space="preserve">and in terms of geo-strategic implications. The Commission recently conducted an</w:t>
      </w:r>
      <w:r>
        <w:t xml:space="preserve"> </w:t>
      </w:r>
      <w:r>
        <w:t xml:space="preserve">evaluation of investment needs in key net-zero technologies for the period up to 2030 for</w:t>
      </w:r>
      <w:r>
        <w:t xml:space="preserve"> </w:t>
      </w:r>
      <w:r>
        <w:t xml:space="preserve">key sectors in green technologies (274). It estimated that achieving a situation of no</w:t>
      </w:r>
      <w:r>
        <w:t xml:space="preserve"> </w:t>
      </w:r>
      <w:r>
        <w:t xml:space="preserve">dependency on imports in wind, solar photovoltaic, heat pumps, batteries, and</w:t>
      </w:r>
      <w:r>
        <w:t xml:space="preserve"> </w:t>
      </w:r>
      <w:r>
        <w:t xml:space="preserve">electrolysers would require a cumulative investment of about EUR 120 billion (in</w:t>
      </w:r>
      <w:r>
        <w:t xml:space="preserve"> </w:t>
      </w:r>
      <w:r>
        <w:t xml:space="preserve">constant euros of 2022) until 2030. These investments, together with those to decarbonise</w:t>
      </w:r>
      <w:r>
        <w:t xml:space="preserve"> </w:t>
      </w:r>
      <w:r>
        <w:t xml:space="preserve">the different industrial sector, typically require support and market creation to cover the</w:t>
      </w:r>
      <w:r>
        <w:t xml:space="preserve"> </w:t>
      </w:r>
      <w:r>
        <w:t xml:space="preserve">capital and operational expenditure. Maintaining a strategic autonomy in key</w:t>
      </w:r>
      <w:r>
        <w:t xml:space="preserve"> </w:t>
      </w:r>
      <w:r>
        <w:t xml:space="preserve">decarbonisation technologies post 2030 would further add to the economy’s overall</w:t>
      </w:r>
      <w:r>
        <w:t xml:space="preserve"> </w:t>
      </w:r>
      <w:r>
        <w:t xml:space="preserve">investment needs. Section 2.2.7 elaborates on investment needs in key net-zero</w:t>
      </w:r>
      <w:r>
        <w:t xml:space="preserve"> </w:t>
      </w:r>
      <w:r>
        <w:t xml:space="preserve">technologies for the period 2031-2040.</w:t>
      </w:r>
      <w:r>
        <w:t xml:space="preserve"> </w:t>
      </w:r>
      <w:r>
        <w:t xml:space="preserve">As for investments on the supply side, the bulk of investment in industry should originate</w:t>
      </w:r>
      <w:r>
        <w:t xml:space="preserve"> </w:t>
      </w:r>
      <w:r>
        <w:t xml:space="preserve">from private investors. Member States have nevertheless actively supported the</w:t>
      </w:r>
      <w:r>
        <w:t xml:space="preserve"> </w:t>
      </w:r>
      <w:r>
        <w:t xml:space="preserve">decarbonisation of industry in recent years via State aid mechanisms in favour of R&amp;D&amp;I</w:t>
      </w:r>
      <w:r>
        <w:t xml:space="preserve"> </w:t>
      </w:r>
      <w:r>
        <w:t xml:space="preserve">or in favour of the deployment at scale of innovative, low-carbon processes (275).</w:t>
      </w:r>
      <w:r>
        <w:t xml:space="preserve"> </w:t>
      </w:r>
      <w:r>
        <w:t xml:space="preserve">Similarly, EU funding has been established to support innovation for decarbonisation,</w:t>
      </w:r>
      <w:r>
        <w:t xml:space="preserve"> </w:t>
      </w:r>
      <w:r>
        <w:t xml:space="preserve">including the Innovation Fund and the Horizon Europe programme.</w:t>
      </w:r>
      <w:r>
        <w:t xml:space="preserve"> </w:t>
      </w:r>
      <w:r>
        <w:t xml:space="preserve">While the deployment at scale of innovative production processes will be an important</w:t>
      </w:r>
      <w:r>
        <w:t xml:space="preserve"> </w:t>
      </w:r>
      <w:r>
        <w:t xml:space="preserve">factor driving investment needs in industry on the path to climate neutrality, investment</w:t>
      </w:r>
      <w:r>
        <w:t xml:space="preserve"> </w:t>
      </w:r>
      <w:r>
        <w:t xml:space="preserve">needs in tertiary sectors involve essentially the deployment of well-established</w:t>
      </w:r>
      <w:r>
        <w:t xml:space="preserve"> </w:t>
      </w:r>
      <w:r>
        <w:t xml:space="preserve">technologies and a renovation drive. To the extent that investments in energy efficiency</w:t>
      </w:r>
      <w:r>
        <w:t xml:space="preserve"> </w:t>
      </w:r>
      <w:r>
        <w:t xml:space="preserve">and the substitution of fossil fuels-based technologies with carbon-free ones generate a</w:t>
      </w:r>
      <w:r>
        <w:t xml:space="preserve"> </w:t>
      </w:r>
      <w:r>
        <w:t xml:space="preserve">positive economic return over their lifetime, the potential barriers to deployment would</w:t>
      </w:r>
      <w:r>
        <w:t xml:space="preserve"> </w:t>
      </w:r>
      <w:r>
        <w:t xml:space="preserve">therefore mainly relate to awareness, access to (long-term) finance at moderate costs and</w:t>
      </w:r>
    </w:p>
    <w:p>
      <w:pPr>
        <w:pStyle w:val="Compact"/>
        <w:numPr>
          <w:ilvl w:val="0"/>
          <w:numId w:val="1114"/>
        </w:numPr>
      </w:pPr>
      <w:r>
        <w:t xml:space="preserve">SWD (2023) 68 final</w:t>
      </w:r>
      <w:r>
        <w:t xml:space="preserve"> </w:t>
      </w:r>
      <w:r>
        <w:t xml:space="preserve">(275)For example, the Commission approved the granting of EUR 1 billion of State aid by Gemarny to</w:t>
      </w:r>
      <w:r>
        <w:t xml:space="preserve"> </w:t>
      </w:r>
      <w:r>
        <w:t xml:space="preserve">Salzgitter to green its steel manufacturing processes, and over EUR 130 million of aid to BASF to</w:t>
      </w:r>
      <w:r>
        <w:t xml:space="preserve"> </w:t>
      </w:r>
      <w:r>
        <w:t xml:space="preserve">replace natural gas-based hydrogen with renewable hydrogen at its chemical production facilities.</w:t>
      </w:r>
      <w:r>
        <w:t xml:space="preserve"> </w:t>
      </w:r>
      <w:r>
        <w:t xml:space="preserve">Recently as well, the Commission approved two schemes notified by Slovakia, with a total budget of</w:t>
      </w:r>
      <w:r>
        <w:t xml:space="preserve"> </w:t>
      </w:r>
      <w:r>
        <w:t xml:space="preserve">over EUR 1.1 billion from the RRF and the Modernisation Fund, aiming at reducing CO2 emissions in</w:t>
      </w:r>
      <w:r>
        <w:t xml:space="preserve"> </w:t>
      </w:r>
      <w:r>
        <w:t xml:space="preserve">industrial production processes as well as to implement energy efficiency measures in industrial</w:t>
      </w:r>
      <w:r>
        <w:t xml:space="preserve"> </w:t>
      </w:r>
      <w:r>
        <w:t xml:space="preserve">installations. The measures supported under the schemes range from electrification projects to the</w:t>
      </w:r>
      <w:r>
        <w:t xml:space="preserve"> </w:t>
      </w:r>
      <w:r>
        <w:t xml:space="preserve">installation of industrial waste heat recovery technologies. The projects will be selected through an</w:t>
      </w:r>
      <w:r>
        <w:t xml:space="preserve"> </w:t>
      </w:r>
      <w:r>
        <w:t xml:space="preserve">open competitive bidding process and will be ranked on the basis of two criteria: (i) the lowest amount</w:t>
      </w:r>
      <w:r>
        <w:t xml:space="preserve"> </w:t>
      </w:r>
      <w:r>
        <w:t xml:space="preserve">of aid requested per ton of CO2 emissions avoided, and (ii) the highest contribution to the achievement</w:t>
      </w:r>
      <w:r>
        <w:t xml:space="preserve"> </w:t>
      </w:r>
      <w:r>
        <w:t xml:space="preserve">of the CO2 emission reduction objective.</w:t>
      </w:r>
    </w:p>
    <w:p>
      <w:pPr>
        <w:pStyle w:val="FirstParagraph"/>
      </w:pPr>
      <w:r>
        <w:t xml:space="preserve">169</w:t>
      </w:r>
    </w:p>
    <w:p>
      <w:pPr>
        <w:pStyle w:val="BodyText"/>
      </w:pPr>
      <w:r>
        <w:t xml:space="preserve">access to skills, rather than a matter of innovation and new production processes. These</w:t>
      </w:r>
      <w:r>
        <w:t xml:space="preserve"> </w:t>
      </w:r>
      <w:r>
        <w:t xml:space="preserve">potential barriers would likely be more significant for SMEs than for large players in the</w:t>
      </w:r>
      <w:r>
        <w:t xml:space="preserve"> </w:t>
      </w:r>
      <w:r>
        <w:t xml:space="preserve">tertiary sectors.</w:t>
      </w:r>
      <w:r>
        <w:t xml:space="preserve"> </w:t>
      </w:r>
      <w:r>
        <w:t xml:space="preserve">The investment needs will also be much more diffuse among sectors and players than in</w:t>
      </w:r>
      <w:r>
        <w:t xml:space="preserve"> </w:t>
      </w:r>
      <w:r>
        <w:t xml:space="preserve">industry, as they will involve a very wide range of services sectors, from retailers,</w:t>
      </w:r>
      <w:r>
        <w:t xml:space="preserve"> </w:t>
      </w:r>
      <w:r>
        <w:t xml:space="preserve">hospitality or finance to energy-intensive data centres and encompass a wide mix of</w:t>
      </w:r>
      <w:r>
        <w:t xml:space="preserve"> </w:t>
      </w:r>
      <w:r>
        <w:t xml:space="preserve">large, medium, small and even micro enterprises. SMEs are likely to account for a</w:t>
      </w:r>
      <w:r>
        <w:t xml:space="preserve"> </w:t>
      </w:r>
      <w:r>
        <w:t xml:space="preserve">significant share of investment needs in the tertiary sector, given that a high proportion of</w:t>
      </w:r>
      <w:r>
        <w:t xml:space="preserve"> </w:t>
      </w:r>
      <w:r>
        <w:t xml:space="preserve">them are active in services sectors and that they represent a large share of economy-wide</w:t>
      </w:r>
      <w:r>
        <w:t xml:space="preserve"> </w:t>
      </w:r>
      <w:r>
        <w:t xml:space="preserve">gross valued added and employment. In 2019, SMEs accounted for about 63% of</w:t>
      </w:r>
      <w:r>
        <w:t xml:space="preserve"> </w:t>
      </w:r>
      <w:r>
        <w:t xml:space="preserve">economy-wide gross value added and close to 70% of overall employment in services.</w:t>
      </w:r>
      <w:r>
        <w:t xml:space="preserve"> </w:t>
      </w:r>
      <w:r>
        <w:t xml:space="preserve">Within SMEs, about 65% of companies are involved in the services sector (Table 27).</w:t>
      </w:r>
      <w:r>
        <w:t xml:space="preserve"> </w:t>
      </w:r>
      <w:r>
        <w:t xml:space="preserve">Public sector investment will also be an important source of investment in the tertiary</w:t>
      </w:r>
      <w:r>
        <w:t xml:space="preserve"> </w:t>
      </w:r>
      <w:r>
        <w:t xml:space="preserve">sector, given the scale of its buildings portfolio in central, regional and local</w:t>
      </w:r>
      <w:r>
        <w:t xml:space="preserve"> </w:t>
      </w:r>
      <w:r>
        <w:t xml:space="preserve">administration, schools, hospitals or judiciary system.</w:t>
      </w:r>
      <w:r>
        <w:t xml:space="preserve"> </w:t>
      </w:r>
      <w:r>
        <w:t xml:space="preserve">On the buildings themselves, the main driver for investment will consist in the renovation</w:t>
      </w:r>
      <w:r>
        <w:t xml:space="preserve"> </w:t>
      </w:r>
      <w:r>
        <w:t xml:space="preserve">of existing assets with the view to improve overall energy efficiency via insulation. The</w:t>
      </w:r>
      <w:r>
        <w:t xml:space="preserve"> </w:t>
      </w:r>
      <w:r>
        <w:t xml:space="preserve">higher ambition in 2040 under S3 implies a significant early push in the renovation drive</w:t>
      </w:r>
      <w:r>
        <w:t xml:space="preserve"> </w:t>
      </w:r>
      <w:r>
        <w:t xml:space="preserve">compared to S2 and S1, although cumulative investments over the full period 2031-2050</w:t>
      </w:r>
      <w:r>
        <w:t xml:space="preserve"> </w:t>
      </w:r>
      <w:r>
        <w:t xml:space="preserve">would be similar. Investment in new construction is projected to be relatively small in the</w:t>
      </w:r>
      <w:r>
        <w:t xml:space="preserve"> </w:t>
      </w:r>
      <w:r>
        <w:t xml:space="preserve">three pathways, as the estimates capture only the additional investment in the building’s</w:t>
      </w:r>
      <w:r>
        <w:t xml:space="preserve"> </w:t>
      </w:r>
      <w:r>
        <w:t xml:space="preserve">energy performance relative to a baseline, which already entails high energy</w:t>
      </w:r>
      <w:r>
        <w:t xml:space="preserve"> </w:t>
      </w:r>
      <w:r>
        <w:t xml:space="preserve">performances given the existing stringent standards for new constructions at national and</w:t>
      </w:r>
      <w:r>
        <w:t xml:space="preserve"> </w:t>
      </w:r>
      <w:r>
        <w:t xml:space="preserve">EU level (Figure 108).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Figure 108: Average annual energy system investment needs in services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The bulk of the investment needs in tertiary sectors is projected to take place via the</w:t>
      </w:r>
      <w:r>
        <w:t xml:space="preserve"> </w:t>
      </w:r>
      <w:r>
        <w:t xml:space="preserve">acquisition of energy equipment for heating, cooling, appliances and lighting. The full</w:t>
      </w:r>
      <w:r>
        <w:t xml:space="preserve"> </w:t>
      </w:r>
      <w:r>
        <w:t xml:space="preserve">acquisition cost of such equipment is captured in the numbers as reported in Table 28,</w:t>
      </w:r>
      <w:r>
        <w:t xml:space="preserve"> </w:t>
      </w:r>
      <w:r>
        <w:t xml:space="preserve">contrary to investments in on the building structure. The deployment of heat pumps is</w:t>
      </w:r>
      <w:r>
        <w:t xml:space="preserve"> </w:t>
      </w:r>
      <w:r>
        <w:t xml:space="preserve">projected to start at a large scale during this decade already and to continue into the</w:t>
      </w:r>
      <w:r>
        <w:t xml:space="preserve"> </w:t>
      </w:r>
      <w:r>
        <w:t xml:space="preserve">2031-2050 period as the technology almost entirely replaces conventional technologies</w:t>
      </w:r>
      <w:r>
        <w:t xml:space="preserve"> </w:t>
      </w:r>
      <w:r>
        <w:t xml:space="preserve">for heating. Investment in heat pumps in tertiary sectors is projected at around</w:t>
      </w:r>
      <w:r>
        <w:t xml:space="preserve"> </w:t>
      </w:r>
      <w:r>
        <w:t xml:space="preserve">EUR 23 billion per annum in 2031-2050 under all main scenarios, with a comparable</w:t>
      </w:r>
      <w:r>
        <w:t xml:space="preserve"> </w:t>
      </w:r>
      <w:r>
        <w:t xml:space="preserve">time profile. LIFE, however, enables a slightly lower investment level in tertiary sector</w:t>
      </w:r>
      <w:r>
        <w:t xml:space="preserve"> </w:t>
      </w:r>
      <w:r>
        <w:t xml:space="preserve">heating and cooling systems.</w:t>
      </w:r>
      <w:r>
        <w:t xml:space="preserve"> </w:t>
      </w:r>
      <w:r>
        <w:t xml:space="preserve">2.2.4. Demand-side investment needs, households</w:t>
      </w:r>
      <w:r>
        <w:t xml:space="preserve"> </w:t>
      </w:r>
      <w:r>
        <w:t xml:space="preserve">Investments needs for the decarbonisation of the residential sector will be similar in</w:t>
      </w:r>
      <w:r>
        <w:t xml:space="preserve"> </w:t>
      </w:r>
      <w:r>
        <w:t xml:space="preserve">nature to those in the tertiary sectors, focusing on improvements in the energy efficiency</w:t>
      </w:r>
      <w:r>
        <w:t xml:space="preserve"> </w:t>
      </w:r>
      <w:r>
        <w:t xml:space="preserve">of buildings and the substitution of fossil fuels-based technologies for heating and</w:t>
      </w:r>
      <w:r>
        <w:t xml:space="preserve"> </w:t>
      </w:r>
      <w:r>
        <w:t xml:space="preserve">cooling with carbon-free options. However, the scale of the residential building stock and</w:t>
      </w:r>
      <w:r>
        <w:t xml:space="preserve"> </w:t>
      </w:r>
      <w:r>
        <w:t xml:space="preserve">current energy efficiency levels are such that investment needs will be a multiple of those</w:t>
      </w:r>
      <w:r>
        <w:t xml:space="preserve"> </w:t>
      </w:r>
      <w:r>
        <w:t xml:space="preserve">in the tertiary sectors.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Billion EUR 2023</w:t>
      </w:r>
      <w:r>
        <w:t xml:space="preserve"> </w:t>
      </w:r>
      <w:r>
        <w:t xml:space="preserve">Renovations</w:t>
      </w:r>
      <w:r>
        <w:t xml:space="preserve"> </w:t>
      </w:r>
      <w:r>
        <w:t xml:space="preserve">New constructions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Billion EUR 2023</w:t>
      </w:r>
      <w:r>
        <w:t xml:space="preserve"> </w:t>
      </w:r>
      <w:r>
        <w:t xml:space="preserve">Heating and cooling</w:t>
      </w:r>
      <w:r>
        <w:t xml:space="preserve"> </w:t>
      </w:r>
      <w:r>
        <w:t xml:space="preserve">Electrical appliances and lighting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As in the tertiary sector, the higher level of ambition in 2040 under S3 would require an</w:t>
      </w:r>
      <w:r>
        <w:t xml:space="preserve"> </w:t>
      </w:r>
      <w:r>
        <w:t xml:space="preserve">early push in renovation rates compared to S2 and S1. The latter would see higher</w:t>
      </w:r>
      <w:r>
        <w:t xml:space="preserve"> </w:t>
      </w:r>
      <w:r>
        <w:t xml:space="preserve">renovation rates in 2041-2050, however, which means that average investment levels</w:t>
      </w:r>
      <w:r>
        <w:t xml:space="preserve"> </w:t>
      </w:r>
      <w:r>
        <w:t xml:space="preserve">over the full period 2031-2050 would be very similar across scenarios, with differences</w:t>
      </w:r>
      <w:r>
        <w:t xml:space="preserve"> </w:t>
      </w:r>
      <w:r>
        <w:t xml:space="preserve">mainly in terms of timing (Figure 109). On average in 2031-2050, renovation investment</w:t>
      </w:r>
      <w:r>
        <w:t xml:space="preserve"> </w:t>
      </w:r>
      <w:r>
        <w:t xml:space="preserve">in the residential sector amounts to around EUR 50 billion per annum across scenarios</w:t>
      </w:r>
      <w:r>
        <w:t xml:space="preserve"> </w:t>
      </w:r>
      <w:r>
        <w:t xml:space="preserve">(Table 29). This represents a significant increase compared to historical investment levels</w:t>
      </w:r>
      <w:r>
        <w:t xml:space="preserve"> </w:t>
      </w:r>
      <w:r>
        <w:t xml:space="preserve">(2011-2020) in renovation and is about 5 times as much as the investment level required</w:t>
      </w:r>
      <w:r>
        <w:t xml:space="preserve"> </w:t>
      </w:r>
      <w:r>
        <w:t xml:space="preserve">in renovation for tertiary sectors. As far as new constructions are concerned, the</w:t>
      </w:r>
      <w:r>
        <w:t xml:space="preserve"> </w:t>
      </w:r>
      <w:r>
        <w:t xml:space="preserve">investment needs are relatively limited and do not vary across scenarios, as the estimates</w:t>
      </w:r>
      <w:r>
        <w:t xml:space="preserve"> </w:t>
      </w:r>
      <w:r>
        <w:t xml:space="preserve">capture only the additional investment in the building’s energy performance relative to a</w:t>
      </w:r>
      <w:r>
        <w:t xml:space="preserve"> </w:t>
      </w:r>
      <w:r>
        <w:t xml:space="preserve">baseline.</w:t>
      </w:r>
      <w:r>
        <w:t xml:space="preserve"> </w:t>
      </w:r>
      <w:r>
        <w:t xml:space="preserve">Figure 109: Average annual energy system investment needs in residential sector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As in the tertiary sectors, the second big component of investment needs in the residential</w:t>
      </w:r>
      <w:r>
        <w:t xml:space="preserve"> </w:t>
      </w:r>
      <w:r>
        <w:t xml:space="preserve">sector relates to heating and cooling equipment, and electrical appliances and lighting.</w:t>
      </w:r>
      <w:r>
        <w:t xml:space="preserve"> </w:t>
      </w:r>
      <w:r>
        <w:t xml:space="preserve">The full acquisition cost of such equipment is again captured in these numbers (Table</w:t>
      </w:r>
      <w:r>
        <w:t xml:space="preserve"> </w:t>
      </w:r>
      <w:r>
        <w:t xml:space="preserve">29), which implies that households would incur a non-negligible share of such expenses</w:t>
      </w:r>
      <w:r>
        <w:t xml:space="preserve"> </w:t>
      </w:r>
      <w:r>
        <w:t xml:space="preserve">under any circumstances. The estimated annual investment needs in 2031-2050 in energy</w:t>
      </w:r>
      <w:r>
        <w:t xml:space="preserve"> </w:t>
      </w:r>
      <w:r>
        <w:t xml:space="preserve">equipment amount to around EUR 185 billion across scenarios, about twice the level in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Billion EUR 2023</w:t>
      </w:r>
      <w:r>
        <w:t xml:space="preserve"> </w:t>
      </w:r>
      <w:r>
        <w:t xml:space="preserve">Renovations</w:t>
      </w:r>
      <w:r>
        <w:t xml:space="preserve"> </w:t>
      </w:r>
      <w:r>
        <w:t xml:space="preserve">New constructions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Billion EUR 2023</w:t>
      </w:r>
      <w:r>
        <w:t xml:space="preserve"> </w:t>
      </w:r>
      <w:r>
        <w:t xml:space="preserve">Heating and cooling</w:t>
      </w:r>
      <w:r>
        <w:t xml:space="preserve"> </w:t>
      </w:r>
      <w:r>
        <w:t xml:space="preserve">Electrical appliances and lighting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2011-2020. The increase in energy equipment is most significant in heating and cooling</w:t>
      </w:r>
      <w:r>
        <w:t xml:space="preserve"> </w:t>
      </w:r>
      <w:r>
        <w:t xml:space="preserve">systems (+240%) and less so in appliances and lighting (+56%).</w:t>
      </w:r>
      <w:r>
        <w:t xml:space="preserve"> </w:t>
      </w:r>
      <w:r>
        <w:t xml:space="preserve">The deployment of heat pumps is projected to start at a large scale in this decade and to</w:t>
      </w:r>
      <w:r>
        <w:t xml:space="preserve"> </w:t>
      </w:r>
      <w:r>
        <w:t xml:space="preserve">continue in the following two decades. Average annual investment in heat pumps in</w:t>
      </w:r>
      <w:r>
        <w:t xml:space="preserve"> </w:t>
      </w:r>
      <w:r>
        <w:t xml:space="preserve">2031-2050 is projected at almost EUR 60 billion across scenarios and the timing of</w:t>
      </w:r>
      <w:r>
        <w:t xml:space="preserve"> </w:t>
      </w:r>
      <w:r>
        <w:t xml:space="preserve">investment over the two decades is very similar, with slightly higher investment levels in</w:t>
      </w:r>
      <w:r>
        <w:t xml:space="preserve"> </w:t>
      </w:r>
      <w:r>
        <w:t xml:space="preserve">2041-2050 than in 2031-2040. The switch to heat pumps is a constant across the main</w:t>
      </w:r>
      <w:r>
        <w:t xml:space="preserve"> </w:t>
      </w:r>
      <w:r>
        <w:t xml:space="preserve">scenarios, but the LIFE setting enables a reduction in investment in heating systems</w:t>
      </w:r>
      <w:r>
        <w:t xml:space="preserve"> </w:t>
      </w:r>
      <w:r>
        <w:t xml:space="preserve">overall of about EUR 7 billion (10%) per annum in 2031-2050.</w:t>
      </w:r>
      <w:r>
        <w:t xml:space="preserve"> </w:t>
      </w:r>
      <w:r>
        <w:t xml:space="preserve">As for heating and cooling systems, investment needs for electrical appliances and</w:t>
      </w:r>
      <w:r>
        <w:t xml:space="preserve"> </w:t>
      </w:r>
      <w:r>
        <w:t xml:space="preserve">lighting are estimated at full acquisition costs, which again implies that households</w:t>
      </w:r>
      <w:r>
        <w:t xml:space="preserve"> </w:t>
      </w:r>
      <w:r>
        <w:t xml:space="preserve">would incur a significant share of such expenses under any circumstances. The estimated</w:t>
      </w:r>
      <w:r>
        <w:t xml:space="preserve"> </w:t>
      </w:r>
      <w:r>
        <w:t xml:space="preserve">investment needs in appliances and lighting nevertheless represent about a third of</w:t>
      </w:r>
      <w:r>
        <w:t xml:space="preserve"> </w:t>
      </w:r>
      <w:r>
        <w:t xml:space="preserve">estimated total investment needs in the residential sector, at around EUR 80 billion per</w:t>
      </w:r>
      <w:r>
        <w:t xml:space="preserve"> </w:t>
      </w:r>
      <w:r>
        <w:t xml:space="preserve">annum in 2031-2050 across scenarios.</w:t>
      </w:r>
      <w:r>
        <w:t xml:space="preserve"> </w:t>
      </w:r>
      <w:r>
        <w:t xml:space="preserve">Investments in the residential sector will fall upon a range of players. While the costs of</w:t>
      </w:r>
      <w:r>
        <w:t xml:space="preserve"> </w:t>
      </w:r>
      <w:r>
        <w:t xml:space="preserve">appliances will be borne mostly by households themselves, the situation is more</w:t>
      </w:r>
      <w:r>
        <w:t xml:space="preserve"> </w:t>
      </w:r>
      <w:r>
        <w:t xml:space="preserve">contrasted for other types of investment needs. Homeowners will bear the full costs of</w:t>
      </w:r>
      <w:r>
        <w:t xml:space="preserve"> </w:t>
      </w:r>
      <w:r>
        <w:t xml:space="preserve">improvements in energy efficiency and shifting to carbon-free heating and cooling</w:t>
      </w:r>
      <w:r>
        <w:t xml:space="preserve"> </w:t>
      </w:r>
      <w:r>
        <w:t xml:space="preserve">systems. They will also reap the full benefits in terms of reduced utility bills and comfort</w:t>
      </w:r>
      <w:r>
        <w:t xml:space="preserve"> </w:t>
      </w:r>
      <w:r>
        <w:t xml:space="preserve">levels.</w:t>
      </w:r>
      <w:r>
        <w:t xml:space="preserve"> </w:t>
      </w:r>
      <w:r>
        <w:t xml:space="preserve">In contrast, funding the necessary investment in energy efficiency and heating and</w:t>
      </w:r>
      <w:r>
        <w:t xml:space="preserve"> </w:t>
      </w:r>
      <w:r>
        <w:t xml:space="preserve">cooling system for rented accommodation will fall upon a range of actors, from landlords</w:t>
      </w:r>
      <w:r>
        <w:t xml:space="preserve"> </w:t>
      </w:r>
      <w:r>
        <w:t xml:space="preserve">owning a single asset to large property owners/developers and public housing entities.</w:t>
      </w:r>
      <w:r>
        <w:t xml:space="preserve"> </w:t>
      </w:r>
      <w:r>
        <w:t xml:space="preserve">While access to affordable finance could be better for such players than for many home-</w:t>
      </w:r>
      <w:r>
        <w:t xml:space="preserve"> </w:t>
      </w:r>
      <w:r>
        <w:t xml:space="preserve">owning households, the incentives to renovate and upgrade heating and cooling systems</w:t>
      </w:r>
      <w:r>
        <w:t xml:space="preserve"> </w:t>
      </w:r>
      <w:r>
        <w:t xml:space="preserve">might not be as strong, as the benefits of lower utility bills and higher comfort levels</w:t>
      </w:r>
      <w:r>
        <w:t xml:space="preserve"> </w:t>
      </w:r>
      <w:r>
        <w:t xml:space="preserve">arise to tenants. Finally, where distributed heating is well developed, households will</w:t>
      </w:r>
      <w:r>
        <w:t xml:space="preserve"> </w:t>
      </w:r>
      <w:r>
        <w:t xml:space="preserve">also not directly face the need to provide up-front finance for investment, though the</w:t>
      </w:r>
      <w:r>
        <w:t xml:space="preserve"> </w:t>
      </w:r>
      <w:r>
        <w:t xml:space="preserve">capital cost of modernising the centralised heating system will be reflected in their utility</w:t>
      </w:r>
      <w:r>
        <w:t xml:space="preserve"> </w:t>
      </w:r>
      <w:r>
        <w:t xml:space="preserve">bills. Overall, the funding of investment needs in the residential sector will therefore</w:t>
      </w:r>
      <w:r>
        <w:t xml:space="preserve"> </w:t>
      </w:r>
      <w:r>
        <w:t xml:space="preserve">involve a multiplicity of actors, who will need to be provided the appropriate incentives</w:t>
      </w:r>
      <w:r>
        <w:t xml:space="preserve"> </w:t>
      </w:r>
      <w:r>
        <w:t xml:space="preserve">or financial support to act in accordance with the needs to decarbonise the sector.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Table 29: Average annual demand side investment, residential sector (billion EUR 2023)</w:t>
      </w:r>
    </w:p>
    <w:p>
      <w:pPr>
        <w:pStyle w:val="BodyText"/>
      </w:pPr>
      <w:r>
        <w:t xml:space="preserve">Source: PRIMES.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Total</w:t>
      </w:r>
      <w:r>
        <w:t xml:space="preserve"> </w:t>
      </w:r>
      <w:r>
        <w:t xml:space="preserve">225</w:t>
      </w:r>
      <w:r>
        <w:t xml:space="preserve"> </w:t>
      </w:r>
      <w:r>
        <w:t xml:space="preserve">250</w:t>
      </w:r>
      <w:r>
        <w:t xml:space="preserve"> </w:t>
      </w:r>
      <w:r>
        <w:t xml:space="preserve">237</w:t>
      </w:r>
      <w:r>
        <w:t xml:space="preserve"> </w:t>
      </w:r>
      <w:r>
        <w:t xml:space="preserve">237</w:t>
      </w:r>
      <w:r>
        <w:t xml:space="preserve"> </w:t>
      </w:r>
      <w:r>
        <w:t xml:space="preserve">242</w:t>
      </w:r>
      <w:r>
        <w:t xml:space="preserve"> </w:t>
      </w:r>
      <w:r>
        <w:t xml:space="preserve">239</w:t>
      </w:r>
      <w:r>
        <w:t xml:space="preserve"> </w:t>
      </w:r>
      <w:r>
        <w:t xml:space="preserve">248</w:t>
      </w:r>
      <w:r>
        <w:t xml:space="preserve"> </w:t>
      </w:r>
      <w:r>
        <w:t xml:space="preserve">230</w:t>
      </w:r>
      <w:r>
        <w:t xml:space="preserve"> </w:t>
      </w:r>
      <w:r>
        <w:t xml:space="preserve">239</w:t>
      </w:r>
      <w:r>
        <w:t xml:space="preserve"> </w:t>
      </w:r>
      <w:r>
        <w:t xml:space="preserve">236</w:t>
      </w:r>
      <w:r>
        <w:t xml:space="preserve"> </w:t>
      </w:r>
      <w:r>
        <w:t xml:space="preserve">234</w:t>
      </w:r>
      <w:r>
        <w:t xml:space="preserve"> </w:t>
      </w:r>
      <w:r>
        <w:t xml:space="preserve">235</w:t>
      </w:r>
      <w:r>
        <w:t xml:space="preserve"> </w:t>
      </w:r>
      <w:r>
        <w:t xml:space="preserve">Renovations</w:t>
      </w:r>
      <w:r>
        <w:t xml:space="preserve"> </w:t>
      </w:r>
      <w:r>
        <w:t xml:space="preserve">42</w:t>
      </w:r>
      <w:r>
        <w:t xml:space="preserve"> </w:t>
      </w:r>
      <w:r>
        <w:t xml:space="preserve">55</w:t>
      </w:r>
      <w:r>
        <w:t xml:space="preserve"> </w:t>
      </w:r>
      <w:r>
        <w:t xml:space="preserve">49</w:t>
      </w:r>
      <w:r>
        <w:t xml:space="preserve"> </w:t>
      </w:r>
      <w:r>
        <w:t xml:space="preserve">51</w:t>
      </w:r>
      <w:r>
        <w:t xml:space="preserve"> </w:t>
      </w:r>
      <w:r>
        <w:t xml:space="preserve">46</w:t>
      </w:r>
      <w:r>
        <w:t xml:space="preserve"> </w:t>
      </w:r>
      <w:r>
        <w:t xml:space="preserve">49</w:t>
      </w:r>
      <w:r>
        <w:t xml:space="preserve"> </w:t>
      </w:r>
      <w:r>
        <w:t xml:space="preserve">63</w:t>
      </w:r>
      <w:r>
        <w:t xml:space="preserve"> </w:t>
      </w:r>
      <w:r>
        <w:t xml:space="preserve">35</w:t>
      </w:r>
      <w:r>
        <w:t xml:space="preserve"> </w:t>
      </w:r>
      <w:r>
        <w:t xml:space="preserve">49</w:t>
      </w:r>
      <w:r>
        <w:t xml:space="preserve"> </w:t>
      </w:r>
      <w:r>
        <w:t xml:space="preserve">60</w:t>
      </w:r>
      <w:r>
        <w:t xml:space="preserve"> </w:t>
      </w:r>
      <w:r>
        <w:t xml:space="preserve">45</w:t>
      </w:r>
      <w:r>
        <w:t xml:space="preserve"> </w:t>
      </w:r>
      <w:r>
        <w:t xml:space="preserve">52</w:t>
      </w:r>
      <w:r>
        <w:t xml:space="preserve"> </w:t>
      </w:r>
      <w:r>
        <w:t xml:space="preserve">New constructions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Energy equipment</w:t>
      </w:r>
      <w:r>
        <w:t xml:space="preserve"> </w:t>
      </w:r>
      <w:r>
        <w:t xml:space="preserve">176</w:t>
      </w:r>
      <w:r>
        <w:t xml:space="preserve"> </w:t>
      </w:r>
      <w:r>
        <w:t xml:space="preserve">188</w:t>
      </w:r>
      <w:r>
        <w:t xml:space="preserve"> </w:t>
      </w:r>
      <w:r>
        <w:t xml:space="preserve">182</w:t>
      </w:r>
      <w:r>
        <w:t xml:space="preserve"> </w:t>
      </w:r>
      <w:r>
        <w:t xml:space="preserve">179</w:t>
      </w:r>
      <w:r>
        <w:t xml:space="preserve"> </w:t>
      </w:r>
      <w:r>
        <w:t xml:space="preserve">189</w:t>
      </w:r>
      <w:r>
        <w:t xml:space="preserve"> </w:t>
      </w:r>
      <w:r>
        <w:t xml:space="preserve">184</w:t>
      </w:r>
      <w:r>
        <w:t xml:space="preserve"> </w:t>
      </w:r>
      <w:r>
        <w:t xml:space="preserve">179</w:t>
      </w:r>
      <w:r>
        <w:t xml:space="preserve"> </w:t>
      </w:r>
      <w:r>
        <w:t xml:space="preserve">189</w:t>
      </w:r>
      <w:r>
        <w:t xml:space="preserve"> </w:t>
      </w:r>
      <w:r>
        <w:t xml:space="preserve">184</w:t>
      </w:r>
      <w:r>
        <w:t xml:space="preserve"> </w:t>
      </w:r>
      <w:r>
        <w:t xml:space="preserve">169</w:t>
      </w:r>
      <w:r>
        <w:t xml:space="preserve"> </w:t>
      </w:r>
      <w:r>
        <w:t xml:space="preserve">183</w:t>
      </w:r>
      <w:r>
        <w:t xml:space="preserve"> </w:t>
      </w:r>
      <w:r>
        <w:t xml:space="preserve">176</w:t>
      </w:r>
      <w:r>
        <w:t xml:space="preserve"> </w:t>
      </w:r>
      <w:r>
        <w:t xml:space="preserve">Heating</w:t>
      </w:r>
      <w:r>
        <w:t xml:space="preserve"> </w:t>
      </w:r>
      <w:r>
        <w:t xml:space="preserve">66</w:t>
      </w:r>
      <w:r>
        <w:t xml:space="preserve"> </w:t>
      </w:r>
      <w:r>
        <w:t xml:space="preserve">74</w:t>
      </w:r>
      <w:r>
        <w:t xml:space="preserve"> </w:t>
      </w:r>
      <w:r>
        <w:t xml:space="preserve">70</w:t>
      </w:r>
      <w:r>
        <w:t xml:space="preserve"> </w:t>
      </w:r>
      <w:r>
        <w:t xml:space="preserve">68</w:t>
      </w:r>
      <w:r>
        <w:t xml:space="preserve"> </w:t>
      </w:r>
      <w:r>
        <w:t xml:space="preserve">75</w:t>
      </w:r>
      <w:r>
        <w:t xml:space="preserve"> </w:t>
      </w:r>
      <w:r>
        <w:t xml:space="preserve">72</w:t>
      </w:r>
      <w:r>
        <w:t xml:space="preserve"> </w:t>
      </w:r>
      <w:r>
        <w:t xml:space="preserve">67</w:t>
      </w:r>
      <w:r>
        <w:t xml:space="preserve"> </w:t>
      </w:r>
      <w:r>
        <w:t xml:space="preserve">75</w:t>
      </w:r>
      <w:r>
        <w:t xml:space="preserve"> </w:t>
      </w:r>
      <w:r>
        <w:t xml:space="preserve">71</w:t>
      </w:r>
      <w:r>
        <w:t xml:space="preserve"> </w:t>
      </w:r>
      <w:r>
        <w:t xml:space="preserve">59</w:t>
      </w:r>
      <w:r>
        <w:t xml:space="preserve"> </w:t>
      </w:r>
      <w:r>
        <w:t xml:space="preserve">69</w:t>
      </w:r>
      <w:r>
        <w:t xml:space="preserve"> </w:t>
      </w:r>
      <w:r>
        <w:t xml:space="preserve">64</w:t>
      </w:r>
      <w:r>
        <w:t xml:space="preserve"> </w:t>
      </w:r>
      <w:r>
        <w:t xml:space="preserve">Cooling and others</w:t>
      </w:r>
      <w:r>
        <w:t xml:space="preserve"> </w:t>
      </w:r>
      <w:r>
        <w:t xml:space="preserve">30</w:t>
      </w:r>
      <w:r>
        <w:t xml:space="preserve"> </w:t>
      </w:r>
      <w:r>
        <w:t xml:space="preserve">32</w:t>
      </w:r>
      <w:r>
        <w:t xml:space="preserve"> </w:t>
      </w:r>
      <w:r>
        <w:t xml:space="preserve">31</w:t>
      </w:r>
      <w:r>
        <w:t xml:space="preserve"> </w:t>
      </w:r>
      <w:r>
        <w:t xml:space="preserve">30</w:t>
      </w:r>
      <w:r>
        <w:t xml:space="preserve"> </w:t>
      </w:r>
      <w:r>
        <w:t xml:space="preserve">33</w:t>
      </w:r>
      <w:r>
        <w:t xml:space="preserve"> </w:t>
      </w:r>
      <w:r>
        <w:t xml:space="preserve">31</w:t>
      </w:r>
      <w:r>
        <w:t xml:space="preserve"> </w:t>
      </w:r>
      <w:r>
        <w:t xml:space="preserve">31</w:t>
      </w:r>
      <w:r>
        <w:t xml:space="preserve"> </w:t>
      </w:r>
      <w:r>
        <w:t xml:space="preserve">33</w:t>
      </w:r>
      <w:r>
        <w:t xml:space="preserve"> </w:t>
      </w:r>
      <w:r>
        <w:t xml:space="preserve">32</w:t>
      </w:r>
      <w:r>
        <w:t xml:space="preserve"> </w:t>
      </w:r>
      <w:r>
        <w:t xml:space="preserve">30</w:t>
      </w:r>
      <w:r>
        <w:t xml:space="preserve"> </w:t>
      </w:r>
      <w:r>
        <w:t xml:space="preserve">33</w:t>
      </w:r>
      <w:r>
        <w:t xml:space="preserve"> </w:t>
      </w:r>
      <w:r>
        <w:t xml:space="preserve">31</w:t>
      </w:r>
      <w:r>
        <w:t xml:space="preserve"> </w:t>
      </w:r>
      <w:r>
        <w:t xml:space="preserve">Electrical appliances and lighting</w:t>
      </w:r>
      <w:r>
        <w:t xml:space="preserve"> </w:t>
      </w:r>
      <w:r>
        <w:t xml:space="preserve">81</w:t>
      </w:r>
      <w:r>
        <w:t xml:space="preserve"> </w:t>
      </w:r>
      <w:r>
        <w:t xml:space="preserve">82</w:t>
      </w:r>
      <w:r>
        <w:t xml:space="preserve"> </w:t>
      </w:r>
      <w:r>
        <w:t xml:space="preserve">81</w:t>
      </w:r>
      <w:r>
        <w:t xml:space="preserve"> </w:t>
      </w:r>
      <w:r>
        <w:t xml:space="preserve">81</w:t>
      </w:r>
      <w:r>
        <w:t xml:space="preserve"> </w:t>
      </w:r>
      <w:r>
        <w:t xml:space="preserve">82</w:t>
      </w:r>
      <w:r>
        <w:t xml:space="preserve"> </w:t>
      </w:r>
      <w:r>
        <w:t xml:space="preserve">81</w:t>
      </w:r>
      <w:r>
        <w:t xml:space="preserve"> </w:t>
      </w:r>
      <w:r>
        <w:t xml:space="preserve">81</w:t>
      </w:r>
      <w:r>
        <w:t xml:space="preserve"> </w:t>
      </w:r>
      <w:r>
        <w:t xml:space="preserve">82</w:t>
      </w:r>
      <w:r>
        <w:t xml:space="preserve"> </w:t>
      </w:r>
      <w:r>
        <w:t xml:space="preserve">81</w:t>
      </w:r>
      <w:r>
        <w:t xml:space="preserve"> </w:t>
      </w:r>
      <w:r>
        <w:t xml:space="preserve">81</w:t>
      </w:r>
      <w:r>
        <w:t xml:space="preserve"> </w:t>
      </w:r>
      <w:r>
        <w:t xml:space="preserve">82</w:t>
      </w:r>
      <w:r>
        <w:t xml:space="preserve"> </w:t>
      </w:r>
      <w:r>
        <w:t xml:space="preserve">81</w:t>
      </w:r>
      <w:r>
        <w:t xml:space="preserve"> </w:t>
      </w:r>
      <w:r>
        <w:t xml:space="preserve">Memo:</w:t>
      </w:r>
      <w:r>
        <w:t xml:space="preserve"> </w:t>
      </w:r>
      <w:r>
        <w:t xml:space="preserve">Real GDP (period average)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2.2.5. Demand-side investment needs, transport</w:t>
      </w:r>
      <w:r>
        <w:t xml:space="preserve"> </w:t>
      </w:r>
      <w:r>
        <w:t xml:space="preserve">Estimated average annual investment needs in transport in 2031-2050 are similar across</w:t>
      </w:r>
      <w:r>
        <w:t xml:space="preserve"> </w:t>
      </w:r>
      <w:r>
        <w:t xml:space="preserve">the main scenarios at about EUR 870 billion (276). LIFE nevertheless enables a significant</w:t>
      </w:r>
      <w:r>
        <w:t xml:space="preserve"> </w:t>
      </w:r>
      <w:r>
        <w:t xml:space="preserve">lowering of investment needs of about EUR 80 billion (9%) per annum in 2031-2050</w:t>
      </w:r>
      <w:r>
        <w:t xml:space="preserve"> </w:t>
      </w:r>
      <w:r>
        <w:t xml:space="preserve">compared to S3. While investment in public road transport and rail is 4% and 6% higher</w:t>
      </w:r>
      <w:r>
        <w:t xml:space="preserve"> </w:t>
      </w:r>
      <w:r>
        <w:t xml:space="preserve">under the LIFE setting, the modal shift enables a decrease in the purchase of private cars</w:t>
      </w:r>
      <w:r>
        <w:t xml:space="preserve"> </w:t>
      </w:r>
      <w:r>
        <w:t xml:space="preserve">of nearly EUR 70 billion (13%) per annum in 2031-2050. Similarly, changes in</w:t>
      </w:r>
      <w:r>
        <w:t xml:space="preserve"> </w:t>
      </w:r>
      <w:r>
        <w:t xml:space="preserve">behavioural patterns under LIFE could reduce investment needs in aviation by about</w:t>
      </w:r>
      <w:r>
        <w:t xml:space="preserve"> </w:t>
      </w:r>
      <w:r>
        <w:t xml:space="preserve">EUR 14 billion (23%) annually compared to S3 (Table 30).</w:t>
      </w:r>
      <w:r>
        <w:t xml:space="preserve"> </w:t>
      </w:r>
      <w:r>
        <w:t xml:space="preserve">The acquisition of private cars represents the bulk of the investment needs in transport,</w:t>
      </w:r>
      <w:r>
        <w:t xml:space="preserve"> </w:t>
      </w:r>
      <w:r>
        <w:t xml:space="preserve">accounting for around 60% of the total over 2031-2050. This is also the case in historical</w:t>
      </w:r>
      <w:r>
        <w:t xml:space="preserve"> </w:t>
      </w:r>
      <w:r>
        <w:t xml:space="preserve">terms, as the share was 65% in 2011-2020. Average annual investment in the acquisition</w:t>
      </w:r>
      <w:r>
        <w:t xml:space="preserve"> </w:t>
      </w:r>
      <w:r>
        <w:t xml:space="preserve">of private cars in 2031-2050 amounts to about EUR 510 billion across scenarios, which</w:t>
      </w:r>
      <w:r>
        <w:t xml:space="preserve"> </w:t>
      </w:r>
      <w:r>
        <w:t xml:space="preserve">is almost 30% higher than on average in 2011-2020 (Figure 110).</w:t>
      </w:r>
      <w:r>
        <w:t xml:space="preserve"> </w:t>
      </w:r>
      <w:r>
        <w:t xml:space="preserve">This increase reflects two factors. An increase of around 18% in the number of new</w:t>
      </w:r>
      <w:r>
        <w:t xml:space="preserve"> </w:t>
      </w:r>
      <w:r>
        <w:t xml:space="preserve">private cars purchased annually is projected between 2011-2020 and 2031-2050 under</w:t>
      </w:r>
      <w:r>
        <w:t xml:space="preserve"> </w:t>
      </w:r>
      <w:r>
        <w:t xml:space="preserve">the three main scenarios. LIFE enables this increase to be limited to only 2%. As electric</w:t>
      </w:r>
      <w:r>
        <w:t xml:space="preserve"> </w:t>
      </w:r>
      <w:r>
        <w:t xml:space="preserve">vehicles are deployed, it is also projected that the average purchasing cost of vehicles</w:t>
      </w:r>
      <w:r>
        <w:t xml:space="preserve"> </w:t>
      </w:r>
      <w:r>
        <w:t xml:space="preserve">will increase during the transition. The increase is expected to take place mainly during</w:t>
      </w:r>
      <w:r>
        <w:t xml:space="preserve"> </w:t>
      </w:r>
      <w:r>
        <w:t xml:space="preserve">2031-2040, before tapering off in the last decade to 2050 as the cost of electric vehicles</w:t>
      </w:r>
      <w:r>
        <w:t xml:space="preserve"> </w:t>
      </w:r>
      <w:r>
        <w:t xml:space="preserve">decreases. Over the entire 2031-2050 period, the average purchasing cost of vehicles is</w:t>
      </w:r>
      <w:r>
        <w:t xml:space="preserve"> </w:t>
      </w:r>
      <w:r>
        <w:t xml:space="preserve">expected to be only around 10% higher than in 2011-2020. In addition, it must be noted</w:t>
      </w:r>
      <w:r>
        <w:t xml:space="preserve"> </w:t>
      </w:r>
      <w:r>
        <w:t xml:space="preserve">that the maintenance and operating costs of electric vehicles, which will become</w:t>
      </w:r>
      <w:r>
        <w:t xml:space="preserve"> </w:t>
      </w:r>
      <w:r>
        <w:t xml:space="preserve">dominant under all pathways, is significantly lower than internal combustion engine cars,</w:t>
      </w:r>
      <w:r>
        <w:t xml:space="preserve"> </w:t>
      </w:r>
      <w:r>
        <w:t xml:space="preserve">which would generate net benefits to users, i.e., mainly households (277).</w:t>
      </w:r>
    </w:p>
    <w:p>
      <w:pPr>
        <w:pStyle w:val="Compact"/>
        <w:numPr>
          <w:ilvl w:val="0"/>
          <w:numId w:val="1115"/>
        </w:numPr>
      </w:pPr>
      <w:r>
        <w:t xml:space="preserve">These figures represent the full acquisition cost of new vehicles, not only the incremental cost related</w:t>
      </w:r>
      <w:r>
        <w:t xml:space="preserve"> </w:t>
      </w:r>
      <w:r>
        <w:t xml:space="preserve">to the decarbonisation of transport. In addition, it should be noted that investments in transport reflect</w:t>
      </w:r>
      <w:r>
        <w:t xml:space="preserve"> </w:t>
      </w:r>
      <w:r>
        <w:t xml:space="preserve">here the expenditures on vehicles, rolling stock, aircraft and vessels plus recharging and refuelling</w:t>
      </w:r>
      <w:r>
        <w:t xml:space="preserve"> </w:t>
      </w:r>
      <w:r>
        <w:t xml:space="preserve">infrastructure. They do not cover investments in infrastructure to support multimodal mobility and</w:t>
      </w:r>
      <w:r>
        <w:t xml:space="preserve"> </w:t>
      </w:r>
      <w:r>
        <w:t xml:space="preserve">sustainable urban transport.</w:t>
      </w:r>
    </w:p>
    <w:p>
      <w:pPr>
        <w:pStyle w:val="Compact"/>
        <w:numPr>
          <w:ilvl w:val="0"/>
          <w:numId w:val="1115"/>
        </w:numPr>
      </w:pPr>
      <w:r>
        <w:t xml:space="preserve">SWD(2021) 613 final.</w:t>
      </w:r>
    </w:p>
    <w:p>
      <w:pPr>
        <w:pStyle w:val="FirstParagraph"/>
      </w:pPr>
      <w:r>
        <w:t xml:space="preserve">175</w:t>
      </w:r>
    </w:p>
    <w:p>
      <w:pPr>
        <w:pStyle w:val="BodyText"/>
      </w:pPr>
      <w:r>
        <w:t xml:space="preserve">Figure 110: Average annual investment needs in transport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While timely investment in recharging and refuelling infrastructure is critical for the</w:t>
      </w:r>
      <w:r>
        <w:t xml:space="preserve"> </w:t>
      </w:r>
      <w:r>
        <w:t xml:space="preserve">transition to vehicles with zero tailpipe emissions, total investment in alternative fuelling</w:t>
      </w:r>
      <w:r>
        <w:t xml:space="preserve"> </w:t>
      </w:r>
      <w:r>
        <w:t xml:space="preserve">infrastructure is relatively small from the perspective of overall investment needs. The</w:t>
      </w:r>
      <w:r>
        <w:t xml:space="preserve"> </w:t>
      </w:r>
      <w:r>
        <w:t xml:space="preserve">needs are virtually the same across scenarios, with an average annual investment of</w:t>
      </w:r>
      <w:r>
        <w:t xml:space="preserve"> </w:t>
      </w:r>
      <w:r>
        <w:t xml:space="preserve">around EUR 15 billion (1.7% of total investment needs in transport) in 2031-2050, and in</w:t>
      </w:r>
      <w:r>
        <w:t xml:space="preserve"> </w:t>
      </w:r>
      <w:r>
        <w:t xml:space="preserve">terms of timing. The phasing in of zero tailpipe emission vehicles and the EU-wide ban</w:t>
      </w:r>
      <w:r>
        <w:t xml:space="preserve"> </w:t>
      </w:r>
      <w:r>
        <w:t xml:space="preserve">on the sale of other types of light-duty vehicles as of 2035 implies a peak in annual</w:t>
      </w:r>
      <w:r>
        <w:t xml:space="preserve"> </w:t>
      </w:r>
      <w:r>
        <w:t xml:space="preserve">investment in recharging and refuelling infrastructure of around EUR 20 billion in 2036-</w:t>
      </w:r>
      <w:r>
        <w:t xml:space="preserve"> </w:t>
      </w:r>
      <w:r>
        <w:t xml:space="preserve">2040 before tapering off somewhat.</w:t>
      </w:r>
      <w:r>
        <w:t xml:space="preserve"> </w:t>
      </w:r>
      <w:r>
        <w:t xml:space="preserve">The second large component of investment in road transport relates to trucks, for which</w:t>
      </w:r>
      <w:r>
        <w:t xml:space="preserve"> </w:t>
      </w:r>
      <w:r>
        <w:t xml:space="preserve">average annual investment is projected to increase by around 60% compared to the</w:t>
      </w:r>
      <w:r>
        <w:t xml:space="preserve"> </w:t>
      </w:r>
      <w:r>
        <w:t xml:space="preserve">average in 2011-2020 (Table 30). Investment needs are broadly similar across scenarios.</w:t>
      </w:r>
      <w:r>
        <w:t xml:space="preserve"> </w:t>
      </w:r>
      <w:r>
        <w:t xml:space="preserve">As far as public road transport is concerned the investment needs are relatively small and</w:t>
      </w:r>
      <w:r>
        <w:t xml:space="preserve"> </w:t>
      </w:r>
      <w:r>
        <w:t xml:space="preserve">do not vary much across scenarios, with the exception of the LIFE setting and its</w:t>
      </w:r>
      <w:r>
        <w:t xml:space="preserve"> </w:t>
      </w:r>
      <w:r>
        <w:t xml:space="preserve">associated modal shift towards public transport entails an increase in investment in the</w:t>
      </w:r>
      <w:r>
        <w:t xml:space="preserve"> </w:t>
      </w:r>
      <w:r>
        <w:t xml:space="preserve">sector.</w:t>
      </w:r>
      <w:r>
        <w:t xml:space="preserve"> </w:t>
      </w:r>
      <w:r>
        <w:t xml:space="preserve">The 3 main scenarios differ little in terms of investment needs for rail, aviation and</w:t>
      </w:r>
      <w:r>
        <w:t xml:space="preserve"> </w:t>
      </w:r>
      <w:r>
        <w:t xml:space="preserve">navigation. As a share of total transport annual average investments over 2031-2050, rail</w:t>
      </w:r>
      <w:r>
        <w:t xml:space="preserve"> </w:t>
      </w:r>
      <w:r>
        <w:t xml:space="preserve">transport represents 5%, aviation represents 7%, and domestic navigation and</w:t>
      </w:r>
      <w:r>
        <w:t xml:space="preserve"> </w:t>
      </w:r>
      <w:r>
        <w:t xml:space="preserve">international maritime transport represent 5-6% of the total. However, they do typically</w:t>
      </w:r>
      <w:r>
        <w:t xml:space="preserve"> </w:t>
      </w:r>
      <w:r>
        <w:t xml:space="preserve">represent a significant increase relative to investment levels in 2011-2020. In contrast, S3</w:t>
      </w:r>
      <w:r>
        <w:t xml:space="preserve"> </w:t>
      </w:r>
      <w:r>
        <w:t xml:space="preserve">and S2 entail somewhat higher investment levels in international maritime transport than</w:t>
      </w:r>
      <w:r>
        <w:t xml:space="preserve"> </w:t>
      </w:r>
      <w:r>
        <w:t xml:space="preserve">S1. As indicated above also, LIFE also implies a moderately higher level of investment</w:t>
      </w:r>
      <w:r>
        <w:t xml:space="preserve"> </w:t>
      </w:r>
      <w:r>
        <w:t xml:space="preserve">in rail, and a decrease in average annual investment in aviation of EUR 14 billion (23%)</w:t>
      </w:r>
      <w:r>
        <w:t xml:space="preserve"> </w:t>
      </w:r>
      <w:r>
        <w:t xml:space="preserve">in 2031-2050 compared to S3.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2011-2020</w:t>
      </w:r>
      <w:r>
        <w:t xml:space="preserve"> </w:t>
      </w:r>
      <w:r>
        <w:t xml:space="preserve">2021-2030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Billion EUR 2023</w:t>
      </w:r>
      <w:r>
        <w:t xml:space="preserve"> </w:t>
      </w:r>
      <w:r>
        <w:t xml:space="preserve">Private cars</w:t>
      </w:r>
      <w:r>
        <w:t xml:space="preserve"> </w:t>
      </w:r>
      <w:r>
        <w:t xml:space="preserve">Trucks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Table 30: Average annual demand side investment needs, transport (billion EUR 2023)</w:t>
      </w:r>
    </w:p>
    <w:p>
      <w:pPr>
        <w:pStyle w:val="BodyText"/>
      </w:pPr>
      <w:r>
        <w:t xml:space="preserve">Source: PRIMES.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Total</w:t>
      </w:r>
      <w:r>
        <w:t xml:space="preserve"> </w:t>
      </w:r>
      <w:r>
        <w:t xml:space="preserve">866</w:t>
      </w:r>
      <w:r>
        <w:t xml:space="preserve"> </w:t>
      </w:r>
      <w:r>
        <w:t xml:space="preserve">875</w:t>
      </w:r>
      <w:r>
        <w:t xml:space="preserve"> </w:t>
      </w:r>
      <w:r>
        <w:t xml:space="preserve">870</w:t>
      </w:r>
      <w:r>
        <w:t xml:space="preserve"> </w:t>
      </w:r>
      <w:r>
        <w:t xml:space="preserve">861</w:t>
      </w:r>
      <w:r>
        <w:t xml:space="preserve"> </w:t>
      </w:r>
      <w:r>
        <w:t xml:space="preserve">885</w:t>
      </w:r>
      <w:r>
        <w:t xml:space="preserve"> </w:t>
      </w:r>
      <w:r>
        <w:t xml:space="preserve">873</w:t>
      </w:r>
      <w:r>
        <w:t xml:space="preserve"> </w:t>
      </w:r>
      <w:r>
        <w:t xml:space="preserve">856</w:t>
      </w:r>
      <w:r>
        <w:t xml:space="preserve"> </w:t>
      </w:r>
      <w:r>
        <w:t xml:space="preserve">882</w:t>
      </w:r>
      <w:r>
        <w:t xml:space="preserve"> </w:t>
      </w:r>
      <w:r>
        <w:t xml:space="preserve">869</w:t>
      </w:r>
      <w:r>
        <w:t xml:space="preserve"> </w:t>
      </w:r>
      <w:r>
        <w:t xml:space="preserve">777</w:t>
      </w:r>
      <w:r>
        <w:t xml:space="preserve"> </w:t>
      </w:r>
      <w:r>
        <w:t xml:space="preserve">798</w:t>
      </w:r>
      <w:r>
        <w:t xml:space="preserve"> </w:t>
      </w:r>
      <w:r>
        <w:t xml:space="preserve">787</w:t>
      </w:r>
      <w:r>
        <w:t xml:space="preserve"> </w:t>
      </w:r>
      <w:r>
        <w:t xml:space="preserve">Road</w:t>
      </w:r>
      <w:r>
        <w:t xml:space="preserve"> </w:t>
      </w:r>
      <w:r>
        <w:t xml:space="preserve">718</w:t>
      </w:r>
      <w:r>
        <w:t xml:space="preserve"> </w:t>
      </w:r>
      <w:r>
        <w:t xml:space="preserve">688</w:t>
      </w:r>
      <w:r>
        <w:t xml:space="preserve"> </w:t>
      </w:r>
      <w:r>
        <w:t xml:space="preserve">703</w:t>
      </w:r>
      <w:r>
        <w:t xml:space="preserve"> </w:t>
      </w:r>
      <w:r>
        <w:t xml:space="preserve">712</w:t>
      </w:r>
      <w:r>
        <w:t xml:space="preserve"> </w:t>
      </w:r>
      <w:r>
        <w:t xml:space="preserve">693</w:t>
      </w:r>
      <w:r>
        <w:t xml:space="preserve"> </w:t>
      </w:r>
      <w:r>
        <w:t xml:space="preserve">702</w:t>
      </w:r>
      <w:r>
        <w:t xml:space="preserve"> </w:t>
      </w:r>
      <w:r>
        <w:t xml:space="preserve">704</w:t>
      </w:r>
      <w:r>
        <w:t xml:space="preserve"> </w:t>
      </w:r>
      <w:r>
        <w:t xml:space="preserve">686</w:t>
      </w:r>
      <w:r>
        <w:t xml:space="preserve"> </w:t>
      </w:r>
      <w:r>
        <w:t xml:space="preserve">695</w:t>
      </w:r>
      <w:r>
        <w:t xml:space="preserve"> </w:t>
      </w:r>
      <w:r>
        <w:t xml:space="preserve">640</w:t>
      </w:r>
      <w:r>
        <w:t xml:space="preserve"> </w:t>
      </w:r>
      <w:r>
        <w:t xml:space="preserve">617</w:t>
      </w:r>
      <w:r>
        <w:t xml:space="preserve"> </w:t>
      </w:r>
      <w:r>
        <w:t xml:space="preserve">629</w:t>
      </w:r>
      <w:r>
        <w:t xml:space="preserve"> </w:t>
      </w:r>
      <w:r>
        <w:t xml:space="preserve">Public transport</w:t>
      </w:r>
      <w:r>
        <w:t xml:space="preserve"> </w:t>
      </w:r>
      <w:r>
        <w:t xml:space="preserve">24</w:t>
      </w:r>
      <w:r>
        <w:t xml:space="preserve"> </w:t>
      </w:r>
      <w:r>
        <w:t xml:space="preserve">29</w:t>
      </w:r>
      <w:r>
        <w:t xml:space="preserve"> </w:t>
      </w:r>
      <w:r>
        <w:t xml:space="preserve">26</w:t>
      </w:r>
      <w:r>
        <w:t xml:space="preserve"> </w:t>
      </w:r>
      <w:r>
        <w:t xml:space="preserve">23</w:t>
      </w:r>
      <w:r>
        <w:t xml:space="preserve"> </w:t>
      </w:r>
      <w:r>
        <w:t xml:space="preserve">30</w:t>
      </w:r>
      <w:r>
        <w:t xml:space="preserve"> </w:t>
      </w:r>
      <w:r>
        <w:t xml:space="preserve">27</w:t>
      </w:r>
      <w:r>
        <w:t xml:space="preserve"> </w:t>
      </w:r>
      <w:r>
        <w:t xml:space="preserve">24</w:t>
      </w:r>
      <w:r>
        <w:t xml:space="preserve"> </w:t>
      </w:r>
      <w:r>
        <w:t xml:space="preserve">30</w:t>
      </w:r>
      <w:r>
        <w:t xml:space="preserve"> </w:t>
      </w:r>
      <w:r>
        <w:t xml:space="preserve">27</w:t>
      </w:r>
      <w:r>
        <w:t xml:space="preserve"> </w:t>
      </w:r>
      <w:r>
        <w:t xml:space="preserve">25</w:t>
      </w:r>
      <w:r>
        <w:t xml:space="preserve"> </w:t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Private cars</w:t>
      </w:r>
      <w:r>
        <w:t xml:space="preserve"> </w:t>
      </w:r>
      <w:r>
        <w:t xml:space="preserve">531</w:t>
      </w:r>
      <w:r>
        <w:t xml:space="preserve"> </w:t>
      </w:r>
      <w:r>
        <w:t xml:space="preserve">491</w:t>
      </w:r>
      <w:r>
        <w:t xml:space="preserve"> </w:t>
      </w:r>
      <w:r>
        <w:t xml:space="preserve">511</w:t>
      </w:r>
      <w:r>
        <w:t xml:space="preserve"> </w:t>
      </w:r>
      <w:r>
        <w:t xml:space="preserve">526</w:t>
      </w:r>
      <w:r>
        <w:t xml:space="preserve"> </w:t>
      </w:r>
      <w:r>
        <w:t xml:space="preserve">494</w:t>
      </w:r>
      <w:r>
        <w:t xml:space="preserve"> </w:t>
      </w:r>
      <w:r>
        <w:t xml:space="preserve">510</w:t>
      </w:r>
      <w:r>
        <w:t xml:space="preserve"> </w:t>
      </w:r>
      <w:r>
        <w:t xml:space="preserve">523</w:t>
      </w:r>
      <w:r>
        <w:t xml:space="preserve"> </w:t>
      </w:r>
      <w:r>
        <w:t xml:space="preserve">493</w:t>
      </w:r>
      <w:r>
        <w:t xml:space="preserve"> </w:t>
      </w:r>
      <w:r>
        <w:t xml:space="preserve">508</w:t>
      </w:r>
      <w:r>
        <w:t xml:space="preserve"> </w:t>
      </w:r>
      <w:r>
        <w:t xml:space="preserve">459</w:t>
      </w:r>
      <w:r>
        <w:t xml:space="preserve"> </w:t>
      </w:r>
      <w:r>
        <w:t xml:space="preserve">421</w:t>
      </w:r>
      <w:r>
        <w:t xml:space="preserve"> </w:t>
      </w:r>
      <w:r>
        <w:t xml:space="preserve">440</w:t>
      </w:r>
      <w:r>
        <w:t xml:space="preserve"> </w:t>
      </w:r>
      <w:r>
        <w:t xml:space="preserve">Two-wheelers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Trucks</w:t>
      </w:r>
      <w:r>
        <w:t xml:space="preserve"> </w:t>
      </w:r>
      <w:r>
        <w:t xml:space="preserve">145</w:t>
      </w:r>
      <w:r>
        <w:t xml:space="preserve"> </w:t>
      </w:r>
      <w:r>
        <w:t xml:space="preserve">149</w:t>
      </w:r>
      <w:r>
        <w:t xml:space="preserve"> </w:t>
      </w:r>
      <w:r>
        <w:t xml:space="preserve">147</w:t>
      </w:r>
      <w:r>
        <w:t xml:space="preserve"> </w:t>
      </w:r>
      <w:r>
        <w:t xml:space="preserve">143</w:t>
      </w:r>
      <w:r>
        <w:t xml:space="preserve"> </w:t>
      </w:r>
      <w:r>
        <w:t xml:space="preserve">150</w:t>
      </w:r>
      <w:r>
        <w:t xml:space="preserve"> </w:t>
      </w:r>
      <w:r>
        <w:t xml:space="preserve">147</w:t>
      </w:r>
      <w:r>
        <w:t xml:space="preserve"> </w:t>
      </w:r>
      <w:r>
        <w:t xml:space="preserve">139</w:t>
      </w:r>
      <w:r>
        <w:t xml:space="preserve"> </w:t>
      </w:r>
      <w:r>
        <w:t xml:space="preserve">144</w:t>
      </w:r>
      <w:r>
        <w:t xml:space="preserve"> </w:t>
      </w:r>
      <w:r>
        <w:t xml:space="preserve">142</w:t>
      </w:r>
      <w:r>
        <w:t xml:space="preserve"> </w:t>
      </w:r>
      <w:r>
        <w:t xml:space="preserve">137</w:t>
      </w:r>
      <w:r>
        <w:t xml:space="preserve"> </w:t>
      </w:r>
      <w:r>
        <w:t xml:space="preserve">147</w:t>
      </w:r>
      <w:r>
        <w:t xml:space="preserve"> </w:t>
      </w:r>
      <w:r>
        <w:t xml:space="preserve">142</w:t>
      </w:r>
      <w:r>
        <w:t xml:space="preserve"> </w:t>
      </w:r>
      <w:r>
        <w:t xml:space="preserve">Rail</w:t>
      </w:r>
      <w:r>
        <w:t xml:space="preserve"> </w:t>
      </w:r>
      <w:r>
        <w:t xml:space="preserve">41</w:t>
      </w:r>
      <w:r>
        <w:t xml:space="preserve"> </w:t>
      </w:r>
      <w:r>
        <w:t xml:space="preserve">51</w:t>
      </w:r>
      <w:r>
        <w:t xml:space="preserve"> </w:t>
      </w:r>
      <w:r>
        <w:t xml:space="preserve">46</w:t>
      </w:r>
      <w:r>
        <w:t xml:space="preserve"> </w:t>
      </w:r>
      <w:r>
        <w:t xml:space="preserve">42</w:t>
      </w:r>
      <w:r>
        <w:t xml:space="preserve"> </w:t>
      </w:r>
      <w:r>
        <w:t xml:space="preserve">51</w:t>
      </w:r>
      <w:r>
        <w:t xml:space="preserve"> </w:t>
      </w:r>
      <w:r>
        <w:t xml:space="preserve">47</w:t>
      </w:r>
      <w:r>
        <w:t xml:space="preserve"> </w:t>
      </w:r>
      <w:r>
        <w:t xml:space="preserve">43</w:t>
      </w:r>
      <w:r>
        <w:t xml:space="preserve"> </w:t>
      </w:r>
      <w:r>
        <w:t xml:space="preserve">52</w:t>
      </w:r>
      <w:r>
        <w:t xml:space="preserve"> </w:t>
      </w:r>
      <w:r>
        <w:t xml:space="preserve">47</w:t>
      </w:r>
      <w:r>
        <w:t xml:space="preserve"> </w:t>
      </w:r>
      <w:r>
        <w:t xml:space="preserve">46</w:t>
      </w:r>
      <w:r>
        <w:t xml:space="preserve"> </w:t>
      </w:r>
      <w:r>
        <w:t xml:space="preserve">54</w:t>
      </w:r>
      <w:r>
        <w:t xml:space="preserve"> </w:t>
      </w:r>
      <w:r>
        <w:t xml:space="preserve">50</w:t>
      </w:r>
      <w:r>
        <w:t xml:space="preserve"> </w:t>
      </w:r>
      <w:r>
        <w:t xml:space="preserve">Aviation</w:t>
      </w:r>
      <w:r>
        <w:t xml:space="preserve"> </w:t>
      </w:r>
      <w:r>
        <w:t xml:space="preserve">51</w:t>
      </w:r>
      <w:r>
        <w:t xml:space="preserve"> </w:t>
      </w:r>
      <w:r>
        <w:t xml:space="preserve">70</w:t>
      </w:r>
      <w:r>
        <w:t xml:space="preserve"> </w:t>
      </w:r>
      <w:r>
        <w:t xml:space="preserve">60</w:t>
      </w:r>
      <w:r>
        <w:t xml:space="preserve"> </w:t>
      </w:r>
      <w:r>
        <w:t xml:space="preserve">51</w:t>
      </w:r>
      <w:r>
        <w:t xml:space="preserve"> </w:t>
      </w:r>
      <w:r>
        <w:t xml:space="preserve">70</w:t>
      </w:r>
      <w:r>
        <w:t xml:space="preserve"> </w:t>
      </w:r>
      <w:r>
        <w:t xml:space="preserve">61</w:t>
      </w:r>
      <w:r>
        <w:t xml:space="preserve"> </w:t>
      </w:r>
      <w:r>
        <w:t xml:space="preserve">52</w:t>
      </w:r>
      <w:r>
        <w:t xml:space="preserve"> </w:t>
      </w:r>
      <w:r>
        <w:t xml:space="preserve">70</w:t>
      </w:r>
      <w:r>
        <w:t xml:space="preserve"> </w:t>
      </w:r>
      <w:r>
        <w:t xml:space="preserve">61</w:t>
      </w:r>
      <w:r>
        <w:t xml:space="preserve"> </w:t>
      </w:r>
      <w:r>
        <w:t xml:space="preserve">36</w:t>
      </w:r>
      <w:r>
        <w:t xml:space="preserve"> </w:t>
      </w:r>
      <w:r>
        <w:t xml:space="preserve">58</w:t>
      </w:r>
      <w:r>
        <w:t xml:space="preserve"> </w:t>
      </w:r>
      <w:r>
        <w:t xml:space="preserve">47</w:t>
      </w:r>
      <w:r>
        <w:t xml:space="preserve"> </w:t>
      </w:r>
      <w:r>
        <w:t xml:space="preserve">Domestic navigation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International maritime</w:t>
      </w:r>
      <w:r>
        <w:t xml:space="preserve"> </w:t>
      </w:r>
      <w:r>
        <w:t xml:space="preserve">26</w:t>
      </w:r>
      <w:r>
        <w:t xml:space="preserve"> </w:t>
      </w:r>
      <w:r>
        <w:t xml:space="preserve">41</w:t>
      </w:r>
      <w:r>
        <w:t xml:space="preserve"> </w:t>
      </w:r>
      <w:r>
        <w:t xml:space="preserve">33</w:t>
      </w:r>
      <w:r>
        <w:t xml:space="preserve"> </w:t>
      </w:r>
      <w:r>
        <w:t xml:space="preserve">27</w:t>
      </w:r>
      <w:r>
        <w:t xml:space="preserve"> </w:t>
      </w:r>
      <w:r>
        <w:t xml:space="preserve">42</w:t>
      </w:r>
      <w:r>
        <w:t xml:space="preserve"> </w:t>
      </w:r>
      <w:r>
        <w:t xml:space="preserve">35</w:t>
      </w:r>
      <w:r>
        <w:t xml:space="preserve"> </w:t>
      </w:r>
      <w:r>
        <w:t xml:space="preserve">31</w:t>
      </w:r>
      <w:r>
        <w:t xml:space="preserve"> </w:t>
      </w:r>
      <w:r>
        <w:t xml:space="preserve">47</w:t>
      </w:r>
      <w:r>
        <w:t xml:space="preserve"> </w:t>
      </w:r>
      <w:r>
        <w:t xml:space="preserve">39</w:t>
      </w:r>
      <w:r>
        <w:t xml:space="preserve"> </w:t>
      </w:r>
      <w:r>
        <w:t xml:space="preserve">27</w:t>
      </w:r>
      <w:r>
        <w:t xml:space="preserve"> </w:t>
      </w:r>
      <w:r>
        <w:t xml:space="preserve">42</w:t>
      </w:r>
      <w:r>
        <w:t xml:space="preserve"> </w:t>
      </w:r>
      <w:r>
        <w:t xml:space="preserve">35</w:t>
      </w:r>
      <w:r>
        <w:t xml:space="preserve"> </w:t>
      </w:r>
      <w:r>
        <w:t xml:space="preserve">Alternative fuel infrastructure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Memo:</w:t>
      </w:r>
      <w:r>
        <w:t xml:space="preserve"> </w:t>
      </w:r>
      <w:r>
        <w:t xml:space="preserve">Real GDP (period average)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2.2.6. Sensitivity of investment needs to technology costs assumptions</w:t>
      </w:r>
      <w:r>
        <w:t xml:space="preserve"> </w:t>
      </w:r>
      <w:r>
        <w:t xml:space="preserve">Cost assumptions for the deployment of mitigation technologies are exogenous to the</w:t>
      </w:r>
      <w:r>
        <w:t xml:space="preserve"> </w:t>
      </w:r>
      <w:r>
        <w:t xml:space="preserve">modelling exercise and constant across all scenarios. They are discussed in more details</w:t>
      </w:r>
      <w:r>
        <w:t xml:space="preserve"> </w:t>
      </w:r>
      <w:r>
        <w:t xml:space="preserve">in annex 6, and summarised in Table 31 for a few technologies on the supply side and for</w:t>
      </w:r>
      <w:r>
        <w:t xml:space="preserve"> </w:t>
      </w:r>
      <w:r>
        <w:t xml:space="preserve">heat pumps, based on averages in each case (average of sizes of installations for solar,</w:t>
      </w:r>
      <w:r>
        <w:t xml:space="preserve"> </w:t>
      </w:r>
      <w:r>
        <w:t xml:space="preserve">wind and heat pumps and average of centralised and decentralised technology for</w:t>
      </w:r>
      <w:r>
        <w:t xml:space="preserve"> </w:t>
      </w:r>
      <w:r>
        <w:t xml:space="preserve">hydrogen).</w:t>
      </w:r>
      <w:r>
        <w:t xml:space="preserve"> </w:t>
      </w:r>
      <w:r>
        <w:t xml:space="preserve">Over the past decades, the cost of solar, wind or heat pumps has decreased sharply as a</w:t>
      </w:r>
      <w:r>
        <w:t xml:space="preserve"> </w:t>
      </w:r>
      <w:r>
        <w:t xml:space="preserve">result of technological progress and learning by doing fostered by the rising scale of</w:t>
      </w:r>
      <w:r>
        <w:t xml:space="preserve"> </w:t>
      </w:r>
      <w:r>
        <w:t xml:space="preserve">deployment in the EU and globally. However, as demand for renewables and</w:t>
      </w:r>
      <w:r>
        <w:t xml:space="preserve"> </w:t>
      </w:r>
      <w:r>
        <w:t xml:space="preserve">electrification – and the associated raw materials needed for the production of such</w:t>
      </w:r>
      <w:r>
        <w:t xml:space="preserve"> </w:t>
      </w:r>
      <w:r>
        <w:t xml:space="preserve">technologies – is set to increase globally, the sector could potentially be subject to price</w:t>
      </w:r>
      <w:r>
        <w:t xml:space="preserve"> </w:t>
      </w:r>
      <w:r>
        <w:t xml:space="preserve">shocks or sustained price pressures, depending on the capacity of global markets to</w:t>
      </w:r>
      <w:r>
        <w:t xml:space="preserve"> </w:t>
      </w:r>
      <w:r>
        <w:t xml:space="preserve">respond to rising demand, on the ability of circular economy policies to create a resource</w:t>
      </w:r>
      <w:r>
        <w:t xml:space="preserve"> </w:t>
      </w:r>
      <w:r>
        <w:t xml:space="preserve">base for “secondary” materials production in the EU and on the capacity of the EU to</w:t>
      </w:r>
      <w:r>
        <w:t xml:space="preserve"> </w:t>
      </w:r>
      <w:r>
        <w:t xml:space="preserve">create a domestic value chain for primary materials.</w:t>
      </w:r>
      <w:r>
        <w:t xml:space="preserve"> </w:t>
      </w:r>
      <w:r>
        <w:t xml:space="preserve">Table 31: Technology investment costs assumptions (EUR 2015 per kW)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Solar, residential</w:t>
      </w:r>
      <w:r>
        <w:t xml:space="preserve"> </w:t>
      </w:r>
      <w:r>
        <w:t xml:space="preserve">1399</w:t>
      </w:r>
      <w:r>
        <w:t xml:space="preserve"> </w:t>
      </w:r>
      <w:r>
        <w:t xml:space="preserve">1067</w:t>
      </w:r>
      <w:r>
        <w:t xml:space="preserve"> </w:t>
      </w:r>
      <w:r>
        <w:t xml:space="preserve">878</w:t>
      </w:r>
      <w:r>
        <w:t xml:space="preserve"> </w:t>
      </w:r>
      <w:r>
        <w:t xml:space="preserve">841</w:t>
      </w:r>
      <w:r>
        <w:t xml:space="preserve"> </w:t>
      </w:r>
      <w:r>
        <w:t xml:space="preserve">Solar, commercial</w:t>
      </w:r>
      <w:r>
        <w:t xml:space="preserve"> </w:t>
      </w:r>
      <w:r>
        <w:t xml:space="preserve">941</w:t>
      </w:r>
      <w:r>
        <w:t xml:space="preserve"> </w:t>
      </w:r>
      <w:r>
        <w:t xml:space="preserve">711</w:t>
      </w:r>
      <w:r>
        <w:t xml:space="preserve"> </w:t>
      </w:r>
      <w:r>
        <w:t xml:space="preserve">580</w:t>
      </w:r>
      <w:r>
        <w:t xml:space="preserve"> </w:t>
      </w:r>
      <w:r>
        <w:t xml:space="preserve">561</w:t>
      </w:r>
      <w:r>
        <w:t xml:space="preserve"> </w:t>
      </w:r>
      <w:r>
        <w:t xml:space="preserve">Solar, utility</w:t>
      </w:r>
      <w:r>
        <w:t xml:space="preserve"> </w:t>
      </w:r>
      <w:r>
        <w:t xml:space="preserve">511</w:t>
      </w:r>
      <w:r>
        <w:t xml:space="preserve"> </w:t>
      </w:r>
      <w:r>
        <w:t xml:space="preserve">394</w:t>
      </w:r>
      <w:r>
        <w:t xml:space="preserve"> </w:t>
      </w:r>
      <w:r>
        <w:t xml:space="preserve">322</w:t>
      </w:r>
      <w:r>
        <w:t xml:space="preserve"> </w:t>
      </w:r>
      <w:r>
        <w:t xml:space="preserve">284</w:t>
      </w:r>
    </w:p>
    <w:p>
      <w:pPr>
        <w:pStyle w:val="BodyText"/>
      </w:pPr>
      <w:r>
        <w:t xml:space="preserve">Wind onshore</w:t>
      </w:r>
      <w:r>
        <w:t xml:space="preserve"> </w:t>
      </w:r>
      <w:r>
        <w:t xml:space="preserve">1347</w:t>
      </w:r>
      <w:r>
        <w:t xml:space="preserve"> </w:t>
      </w:r>
      <w:r>
        <w:t xml:space="preserve">1021</w:t>
      </w:r>
      <w:r>
        <w:t xml:space="preserve"> </w:t>
      </w:r>
      <w:r>
        <w:t xml:space="preserve">941</w:t>
      </w:r>
      <w:r>
        <w:t xml:space="preserve"> </w:t>
      </w:r>
      <w:r>
        <w:t xml:space="preserve">920</w:t>
      </w:r>
      <w:r>
        <w:t xml:space="preserve"> </w:t>
      </w:r>
      <w:r>
        <w:t xml:space="preserve">Wind offshore, shallow</w:t>
      </w:r>
      <w:r>
        <w:t xml:space="preserve"> </w:t>
      </w:r>
      <w:r>
        <w:t xml:space="preserve">2673</w:t>
      </w:r>
      <w:r>
        <w:t xml:space="preserve"> </w:t>
      </w:r>
      <w:r>
        <w:t xml:space="preserve">2067</w:t>
      </w:r>
      <w:r>
        <w:t xml:space="preserve"> </w:t>
      </w:r>
      <w:r>
        <w:t xml:space="preserve">1708</w:t>
      </w:r>
      <w:r>
        <w:t xml:space="preserve"> </w:t>
      </w:r>
      <w:r>
        <w:t xml:space="preserve">1619</w:t>
      </w:r>
      <w:r>
        <w:t xml:space="preserve"> </w:t>
      </w:r>
      <w:r>
        <w:t xml:space="preserve">Wind offshore, floating</w:t>
      </w:r>
      <w:r>
        <w:t xml:space="preserve"> </w:t>
      </w:r>
      <w:r>
        <w:t xml:space="preserve">5107</w:t>
      </w:r>
      <w:r>
        <w:t xml:space="preserve"> </w:t>
      </w:r>
      <w:r>
        <w:t xml:space="preserve">3212</w:t>
      </w:r>
      <w:r>
        <w:t xml:space="preserve"> </w:t>
      </w:r>
      <w:r>
        <w:t xml:space="preserve">2531</w:t>
      </w:r>
      <w:r>
        <w:t xml:space="preserve"> </w:t>
      </w:r>
      <w:r>
        <w:t xml:space="preserve">2478</w:t>
      </w:r>
    </w:p>
    <w:p>
      <w:pPr>
        <w:pStyle w:val="BodyText"/>
      </w:pPr>
      <w:r>
        <w:t xml:space="preserve">Hydrogen, low temperature electrolysis – PEM</w:t>
      </w:r>
      <w:r>
        <w:t xml:space="preserve"> </w:t>
      </w:r>
      <w:r>
        <w:t xml:space="preserve">1586</w:t>
      </w:r>
      <w:r>
        <w:t xml:space="preserve"> </w:t>
      </w:r>
      <w:r>
        <w:t xml:space="preserve">833</w:t>
      </w:r>
      <w:r>
        <w:t xml:space="preserve"> </w:t>
      </w:r>
      <w:r>
        <w:t xml:space="preserve">683</w:t>
      </w:r>
      <w:r>
        <w:t xml:space="preserve"> </w:t>
      </w:r>
      <w:r>
        <w:t xml:space="preserve">529</w:t>
      </w:r>
      <w:r>
        <w:t xml:space="preserve"> </w:t>
      </w:r>
      <w:r>
        <w:t xml:space="preserve">Hydrogen, low temperature electrolysis – alkaline</w:t>
      </w:r>
      <w:r>
        <w:t xml:space="preserve"> </w:t>
      </w:r>
      <w:r>
        <w:t xml:space="preserve">1423</w:t>
      </w:r>
      <w:r>
        <w:t xml:space="preserve"> </w:t>
      </w:r>
      <w:r>
        <w:t xml:space="preserve">675</w:t>
      </w:r>
      <w:r>
        <w:t xml:space="preserve"> </w:t>
      </w:r>
      <w:r>
        <w:t xml:space="preserve">572</w:t>
      </w:r>
      <w:r>
        <w:t xml:space="preserve"> </w:t>
      </w:r>
      <w:r>
        <w:t xml:space="preserve">518</w:t>
      </w:r>
      <w:r>
        <w:t xml:space="preserve"> </w:t>
      </w:r>
      <w:r>
        <w:t xml:space="preserve">Hydrogen, high temperature electrolysis – SOEC (centralised)</w:t>
      </w:r>
      <w:r>
        <w:t xml:space="preserve"> </w:t>
      </w:r>
      <w:r>
        <w:t xml:space="preserve">2250</w:t>
      </w:r>
      <w:r>
        <w:t xml:space="preserve"> </w:t>
      </w:r>
      <w:r>
        <w:t xml:space="preserve">1050</w:t>
      </w:r>
      <w:r>
        <w:t xml:space="preserve"> </w:t>
      </w:r>
      <w:r>
        <w:t xml:space="preserve">792</w:t>
      </w:r>
      <w:r>
        <w:t xml:space="preserve"> </w:t>
      </w:r>
      <w:r>
        <w:t xml:space="preserve">580</w:t>
      </w:r>
    </w:p>
    <w:p>
      <w:pPr>
        <w:pStyle w:val="BodyText"/>
      </w:pPr>
      <w:r>
        <w:t xml:space="preserve">Heat pumps, air to air *</w:t>
      </w:r>
      <w:r>
        <w:t xml:space="preserve"> </w:t>
      </w:r>
      <w:r>
        <w:t xml:space="preserve">468</w:t>
      </w:r>
      <w:r>
        <w:t xml:space="preserve"> </w:t>
      </w:r>
      <w:r>
        <w:t xml:space="preserve">551</w:t>
      </w:r>
      <w:r>
        <w:t xml:space="preserve"> </w:t>
      </w:r>
      <w:r>
        <w:t xml:space="preserve">445</w:t>
      </w:r>
      <w:r>
        <w:t xml:space="preserve"> </w:t>
      </w:r>
      <w:r>
        <w:t xml:space="preserve">424</w:t>
      </w:r>
      <w:r>
        <w:t xml:space="preserve"> </w:t>
      </w:r>
      <w:r>
        <w:t xml:space="preserve">Heat pumps, air to water *</w:t>
      </w:r>
      <w:r>
        <w:t xml:space="preserve"> </w:t>
      </w:r>
      <w:r>
        <w:t xml:space="preserve">1172</w:t>
      </w:r>
      <w:r>
        <w:t xml:space="preserve"> </w:t>
      </w:r>
      <w:r>
        <w:t xml:space="preserve">1243</w:t>
      </w:r>
      <w:r>
        <w:t xml:space="preserve"> </w:t>
      </w:r>
      <w:r>
        <w:t xml:space="preserve">1107</w:t>
      </w:r>
      <w:r>
        <w:t xml:space="preserve"> </w:t>
      </w:r>
      <w:r>
        <w:t xml:space="preserve">1068</w:t>
      </w:r>
      <w:r>
        <w:t xml:space="preserve"> </w:t>
      </w:r>
      <w:r>
        <w:t xml:space="preserve">Note: * residential sector only.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Understanding how investment needs could be affected by potential increases in</w:t>
      </w:r>
      <w:r>
        <w:t xml:space="preserve"> </w:t>
      </w:r>
      <w:r>
        <w:t xml:space="preserve">technology costs is important. A sensitivity analysis on what a stylised price shock on the</w:t>
      </w:r>
      <w:r>
        <w:t xml:space="preserve"> </w:t>
      </w:r>
      <w:r>
        <w:t xml:space="preserve">cost of renewable technologies would mean in the different scenarios is therefore</w:t>
      </w:r>
      <w:r>
        <w:t xml:space="preserve"> </w:t>
      </w:r>
      <w:r>
        <w:t xml:space="preserve">presented in Table 32. It assumes that supply-side technologies are subject to a 20%</w:t>
      </w:r>
      <w:r>
        <w:t xml:space="preserve"> </w:t>
      </w:r>
      <w:r>
        <w:t xml:space="preserve">increase in costs relative to the standard assumptions used across scenarios. Supply side</w:t>
      </w:r>
      <w:r>
        <w:t xml:space="preserve"> </w:t>
      </w:r>
      <w:r>
        <w:t xml:space="preserve">technologies are most susceptible to be subject to price shocks as they rely on critical raw</w:t>
      </w:r>
      <w:r>
        <w:t xml:space="preserve"> </w:t>
      </w:r>
      <w:r>
        <w:t xml:space="preserve">materials. The shock is tested for the 2031-2040 as it is more likely that demand could</w:t>
      </w:r>
      <w:r>
        <w:t xml:space="preserve"> </w:t>
      </w:r>
      <w:r>
        <w:t xml:space="preserve">outpace supply for such technologies during that time, as the rest of the world also steps</w:t>
      </w:r>
      <w:r>
        <w:t xml:space="preserve"> </w:t>
      </w:r>
      <w:r>
        <w:t xml:space="preserve">up investment to deploy renewables and as EU and worldwide manufacturing facilities</w:t>
      </w:r>
      <w:r>
        <w:t xml:space="preserve"> </w:t>
      </w:r>
      <w:r>
        <w:t xml:space="preserve">take time to be established in response to the likely increase in global demand. It is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simulated for solar, wind, new fuels and heat pumps, i.e., green technologies at the core</w:t>
      </w:r>
      <w:r>
        <w:t xml:space="preserve"> </w:t>
      </w:r>
      <w:r>
        <w:t xml:space="preserve">of the Commission proposal on a Net Zero Industry Act that will be critical as enablers of</w:t>
      </w:r>
      <w:r>
        <w:t xml:space="preserve"> </w:t>
      </w:r>
      <w:r>
        <w:t xml:space="preserve">the EU’s decarbonisation objectives (278).</w:t>
      </w:r>
      <w:r>
        <w:t xml:space="preserve"> </w:t>
      </w:r>
      <w:r>
        <w:t xml:space="preserve">Given the scale of the investment needs, wind and heat pumps are the technologies that</w:t>
      </w:r>
      <w:r>
        <w:t xml:space="preserve"> </w:t>
      </w:r>
      <w:r>
        <w:t xml:space="preserve">would be most susceptible to trigger an increase in energy system investment</w:t>
      </w:r>
      <w:r>
        <w:t xml:space="preserve"> </w:t>
      </w:r>
      <w:r>
        <w:t xml:space="preserve">requirements. A 20% price shock on wind would add between EUR 9 billion (S1) to</w:t>
      </w:r>
      <w:r>
        <w:t xml:space="preserve"> </w:t>
      </w:r>
      <w:r>
        <w:t xml:space="preserve">EUR 17 billion (S3) to annual investment needs in 2031-2040, while the same shock on</w:t>
      </w:r>
      <w:r>
        <w:t xml:space="preserve"> </w:t>
      </w:r>
      <w:r>
        <w:t xml:space="preserve">heat pumps would add between EUR 11 billion (S3) to EUR 14 billion (S2) annually. A</w:t>
      </w:r>
      <w:r>
        <w:t xml:space="preserve"> </w:t>
      </w:r>
      <w:r>
        <w:t xml:space="preserve">shock on all four technologies considered in this sensitivity analysis would increase</w:t>
      </w:r>
      <w:r>
        <w:t xml:space="preserve"> </w:t>
      </w:r>
      <w:r>
        <w:t xml:space="preserve">annual energy system investment needs (excluding transport) in 2031-2040 by 5.5%,</w:t>
      </w:r>
      <w:r>
        <w:t xml:space="preserve"> </w:t>
      </w:r>
      <w:r>
        <w:t xml:space="preserve">6.1% and 6.3%, respectively under S1, S2 and S3. As expected, S3 is most affected as it</w:t>
      </w:r>
      <w:r>
        <w:t xml:space="preserve"> </w:t>
      </w:r>
      <w:r>
        <w:t xml:space="preserve">anticipates investment in renewable technologies (Table 32).</w:t>
      </w:r>
      <w:r>
        <w:t xml:space="preserve"> </w:t>
      </w:r>
      <w:r>
        <w:t xml:space="preserve">It is important to note that the increase in total investment needs from such a shock</w:t>
      </w:r>
      <w:r>
        <w:t xml:space="preserve"> </w:t>
      </w:r>
      <w:r>
        <w:t xml:space="preserve">nevertheless remains relatively small, with a cumulative impact of EUR 44 billion</w:t>
      </w:r>
      <w:r>
        <w:t xml:space="preserve"> </w:t>
      </w:r>
      <w:r>
        <w:t xml:space="preserve">annually under S3, which is equivalent to 0.2% of average GDP over the period. Further,</w:t>
      </w:r>
      <w:r>
        <w:t xml:space="preserve"> </w:t>
      </w:r>
      <w:r>
        <w:t xml:space="preserve">the impact on energy system costs should be smaller still, as capital costs represent only a</w:t>
      </w:r>
      <w:r>
        <w:t xml:space="preserve"> </w:t>
      </w:r>
      <w:r>
        <w:t xml:space="preserve">share of total costs and as the shock would only affect new capacity installed during the</w:t>
      </w:r>
      <w:r>
        <w:t xml:space="preserve"> </w:t>
      </w:r>
      <w:r>
        <w:t xml:space="preserve">period and not the entire capital stock. In this regard, a price shock on renewables</w:t>
      </w:r>
      <w:r>
        <w:t xml:space="preserve"> </w:t>
      </w:r>
      <w:r>
        <w:t xml:space="preserve">technologies (or raw materials needed for their production) is therefore fundamentally</w:t>
      </w:r>
      <w:r>
        <w:t xml:space="preserve"> </w:t>
      </w:r>
      <w:r>
        <w:t xml:space="preserve">different from a price shock on fossil fuels.</w:t>
      </w:r>
      <w:r>
        <w:t xml:space="preserve"> </w:t>
      </w:r>
      <w:r>
        <w:t xml:space="preserve">Table 32: Sensitivity of average annual energy system investment needs (excluding</w:t>
      </w:r>
      <w:r>
        <w:t xml:space="preserve"> </w:t>
      </w:r>
      <w:r>
        <w:t xml:space="preserve">transport) to a price shock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2.2.7. Investment needs for net-zero technology manufacturing capacity</w:t>
      </w:r>
      <w:r>
        <w:t xml:space="preserve"> </w:t>
      </w:r>
      <w:r>
        <w:t xml:space="preserve">The resilience of future energy systems will be measured notably by a secure access to</w:t>
      </w:r>
      <w:r>
        <w:t xml:space="preserve"> </w:t>
      </w:r>
      <w:r>
        <w:t xml:space="preserve">the technologies that will power those systems: wind turbines, solar PV, electrolysers,</w:t>
      </w:r>
      <w:r>
        <w:t xml:space="preserve"> </w:t>
      </w:r>
      <w:r>
        <w:t xml:space="preserve">batteries, heat pumps and others. In this context, the Net-Zero Industry Act is part of the</w:t>
      </w:r>
      <w:r>
        <w:t xml:space="preserve"> </w:t>
      </w:r>
      <w:r>
        <w:t xml:space="preserve">actions announced in the Green Deal Industrial Plan of February 2023, aiming at</w:t>
      </w:r>
      <w:r>
        <w:t xml:space="preserve"> </w:t>
      </w:r>
      <w:r>
        <w:t xml:space="preserve">simplifying the regulatory framework and improving the investment environment for the</w:t>
      </w:r>
      <w:r>
        <w:t xml:space="preserve"> </w:t>
      </w:r>
      <w:r>
        <w:t xml:space="preserve">Union’s manufacturing capacity of technologies that are key to meet the Union’s climate</w:t>
      </w:r>
      <w:r>
        <w:t xml:space="preserve"> </w:t>
      </w:r>
      <w:r>
        <w:t xml:space="preserve">neutrality goals and energy targets.</w:t>
      </w:r>
    </w:p>
    <w:p>
      <w:pPr>
        <w:pStyle w:val="Compact"/>
        <w:numPr>
          <w:ilvl w:val="0"/>
          <w:numId w:val="1116"/>
        </w:numPr>
      </w:pPr>
      <w:r>
        <w:t xml:space="preserve">Given that there is very little difference across scenarios regarding the deployment of electric</w:t>
      </w:r>
      <w:r>
        <w:t xml:space="preserve"> </w:t>
      </w:r>
      <w:r>
        <w:t xml:space="preserve">vehicles, no shock is simulated on the transport side.</w:t>
      </w:r>
      <w:r>
        <w:t xml:space="preserve"> </w:t>
      </w:r>
      <w:r>
        <w:t xml:space="preserve">EU27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Energy system invest. (default costs)</w:t>
      </w:r>
      <w:r>
        <w:t xml:space="preserve"> </w:t>
      </w:r>
      <w:r>
        <w:t xml:space="preserve">566</w:t>
      </w:r>
      <w:r>
        <w:t xml:space="preserve"> </w:t>
      </w:r>
      <w:r>
        <w:t xml:space="preserve">634</w:t>
      </w:r>
      <w:r>
        <w:t xml:space="preserve"> </w:t>
      </w:r>
      <w:r>
        <w:t xml:space="preserve">700</w:t>
      </w:r>
      <w:r>
        <w:t xml:space="preserve"> </w:t>
      </w:r>
      <w:r>
        <w:t xml:space="preserve">Impact of 20 % cost increase vs. default::</w:t>
      </w:r>
      <w:r>
        <w:t xml:space="preserve"> </w:t>
      </w:r>
      <w:r>
        <w:t xml:space="preserve">Solar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0.9%</w:t>
      </w:r>
      <w:r>
        <w:t xml:space="preserve"> </w:t>
      </w:r>
      <w:r>
        <w:t xml:space="preserve">1.0%</w:t>
      </w:r>
      <w:r>
        <w:t xml:space="preserve"> </w:t>
      </w:r>
      <w:r>
        <w:t xml:space="preserve">1.0%</w:t>
      </w:r>
      <w:r>
        <w:t xml:space="preserve"> </w:t>
      </w:r>
      <w:r>
        <w:t xml:space="preserve">Wind</w:t>
      </w:r>
      <w:r>
        <w:t xml:space="preserve"> </w:t>
      </w:r>
      <w:r>
        <w:t xml:space="preserve">9</w:t>
      </w:r>
      <w:r>
        <w:t xml:space="preserve"> </w:t>
      </w:r>
      <w:r>
        <w:t xml:space="preserve">14</w:t>
      </w:r>
      <w:r>
        <w:t xml:space="preserve"> </w:t>
      </w:r>
      <w:r>
        <w:t xml:space="preserve">17</w:t>
      </w:r>
      <w:r>
        <w:t xml:space="preserve"> </w:t>
      </w:r>
      <w:r>
        <w:t xml:space="preserve">1.7%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New fuels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0.6%</w:t>
      </w:r>
      <w:r>
        <w:t xml:space="preserve"> </w:t>
      </w:r>
      <w:r>
        <w:t xml:space="preserve">0.8%</w:t>
      </w:r>
      <w:r>
        <w:t xml:space="preserve"> </w:t>
      </w:r>
      <w:r>
        <w:t xml:space="preserve">1.2%</w:t>
      </w:r>
      <w:r>
        <w:t xml:space="preserve"> </w:t>
      </w:r>
      <w:r>
        <w:t xml:space="preserve">Heat pumps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2.4%</w:t>
      </w:r>
      <w:r>
        <w:t xml:space="preserve"> </w:t>
      </w:r>
      <w:r>
        <w:t xml:space="preserve">2.2%</w:t>
      </w:r>
      <w:r>
        <w:t xml:space="preserve"> </w:t>
      </w:r>
      <w:r>
        <w:t xml:space="preserve">1.6%</w:t>
      </w:r>
      <w:r>
        <w:t xml:space="preserve"> </w:t>
      </w:r>
      <w:r>
        <w:t xml:space="preserve">Cumulative increase on all of the above</w:t>
      </w:r>
      <w:r>
        <w:t xml:space="preserve"> </w:t>
      </w:r>
      <w:r>
        <w:t xml:space="preserve">31</w:t>
      </w:r>
      <w:r>
        <w:t xml:space="preserve"> </w:t>
      </w:r>
      <w:r>
        <w:t xml:space="preserve">38</w:t>
      </w:r>
      <w:r>
        <w:t xml:space="preserve"> </w:t>
      </w:r>
      <w:r>
        <w:t xml:space="preserve">44</w:t>
      </w:r>
      <w:r>
        <w:t xml:space="preserve"> </w:t>
      </w:r>
      <w:r>
        <w:t xml:space="preserve">5.5%</w:t>
      </w:r>
      <w:r>
        <w:t xml:space="preserve"> </w:t>
      </w:r>
      <w:r>
        <w:t xml:space="preserve">6.1%</w:t>
      </w:r>
      <w:r>
        <w:t xml:space="preserve"> </w:t>
      </w:r>
      <w:r>
        <w:t xml:space="preserve">6.3%</w:t>
      </w:r>
      <w:r>
        <w:t xml:space="preserve"> </w:t>
      </w:r>
      <w:r>
        <w:t xml:space="preserve">% change over default</w:t>
      </w:r>
      <w:r>
        <w:t xml:space="preserve"> </w:t>
      </w:r>
      <w:r>
        <w:t xml:space="preserve">Deviation vs. default (bn EUR</w:t>
      </w:r>
    </w:p>
    <w:p>
      <w:pPr>
        <w:pStyle w:val="FirstParagraph"/>
      </w:pPr>
      <w:r>
        <w:t xml:space="preserve">179</w:t>
      </w:r>
    </w:p>
    <w:p>
      <w:pPr>
        <w:pStyle w:val="BodyText"/>
      </w:pPr>
      <w:r>
        <w:t xml:space="preserve">Net-zero technologies are at the centre of strong geostrategic interests and at the core of</w:t>
      </w:r>
      <w:r>
        <w:t xml:space="preserve"> </w:t>
      </w:r>
      <w:r>
        <w:t xml:space="preserve">the global technological race, as exemplified by the United States’ Inflation Reduction</w:t>
      </w:r>
      <w:r>
        <w:t xml:space="preserve"> </w:t>
      </w:r>
      <w:r>
        <w:t xml:space="preserve">Act and China’s dominance in manufacturing of some cleantech. Fostering a competitive</w:t>
      </w:r>
      <w:r>
        <w:t xml:space="preserve"> </w:t>
      </w:r>
      <w:r>
        <w:t xml:space="preserve">and resilient European net-zero industry can play a significant role in reducing high</w:t>
      </w:r>
      <w:r>
        <w:t xml:space="preserve"> </w:t>
      </w:r>
      <w:r>
        <w:t xml:space="preserve">import dependence for key net-zero technologies, while guaranteeing affordable, reliable</w:t>
      </w:r>
      <w:r>
        <w:t xml:space="preserve"> </w:t>
      </w:r>
      <w:r>
        <w:t xml:space="preserve">and sustainable clean energy to EU citizens and businesses.</w:t>
      </w:r>
      <w:r>
        <w:br/>
      </w:r>
      <w:r>
        <w:t xml:space="preserve">This section estimates the investments needed to build an EU-based manufacturing</w:t>
      </w:r>
      <w:r>
        <w:t xml:space="preserve"> </w:t>
      </w:r>
      <w:r>
        <w:t xml:space="preserve">capacity for five key net-zero technologies: wind, solar PV, batteries, heat pumps and</w:t>
      </w:r>
      <w:r>
        <w:t xml:space="preserve"> </w:t>
      </w:r>
      <w:r>
        <w:t xml:space="preserve">electrolysers. The analysis focuses on the investment needs for the decade 2031-</w:t>
      </w:r>
      <w:r>
        <w:t xml:space="preserve"> </w:t>
      </w:r>
      <w:r>
        <w:t xml:space="preserve">2040 (279).</w:t>
      </w:r>
      <w:r>
        <w:br/>
      </w:r>
      <w:r>
        <w:t xml:space="preserve">Table 33: Manufacturing capacity and investment needs per technology (2031-2040)</w:t>
      </w:r>
    </w:p>
    <w:p>
      <w:pPr>
        <w:pStyle w:val="BodyText"/>
      </w:pPr>
      <w:r>
        <w:t xml:space="preserve">Note: manufacturing capacity needed and investment needs per technology. Capacity is expressed in GWh/year</w:t>
      </w:r>
      <w:r>
        <w:t xml:space="preserve"> </w:t>
      </w:r>
      <w:r>
        <w:t xml:space="preserve">for batteries and GW/year for the other technologies (GW of electricity for electrolysers, GWAC for solar PV)</w:t>
      </w:r>
      <w:r>
        <w:t xml:space="preserve"> </w:t>
      </w:r>
      <w:r>
        <w:t xml:space="preserve">Source: Commission own calculations based on PRIMES (280)</w:t>
      </w:r>
    </w:p>
    <w:p>
      <w:pPr>
        <w:pStyle w:val="BodyText"/>
      </w:pPr>
      <w:r>
        <w:t xml:space="preserve">In a scenario where the EU achieves the market shares indicated in the Net-Zero Industry</w:t>
      </w:r>
      <w:r>
        <w:t xml:space="preserve"> </w:t>
      </w:r>
      <w:r>
        <w:t xml:space="preserve">Act proposal(281), total investment needs reach a cumulative EUR 23 billion over 2031-</w:t>
      </w:r>
      <w:r>
        <w:t xml:space="preserve"> </w:t>
      </w:r>
      <w:r>
        <w:t xml:space="preserve">2040. Two thirds of those investments are for battery manufacturing, one fifth to one</w:t>
      </w:r>
      <w:r>
        <w:t xml:space="preserve"> </w:t>
      </w:r>
      <w:r>
        <w:t xml:space="preserve">quarter are for manufacturing of wind technologies, and electrolysers, solar PV and heat</w:t>
      </w:r>
      <w:r>
        <w:t xml:space="preserve"> </w:t>
      </w:r>
      <w:r>
        <w:t xml:space="preserve">pumps represent each between 2 and 6% of the total. This level of investment needs takes</w:t>
      </w:r>
      <w:r>
        <w:t xml:space="preserve"> </w:t>
      </w:r>
      <w:r>
        <w:t xml:space="preserve">into account that investments in manufacturing capacity already take place by 2030, so</w:t>
      </w:r>
      <w:r>
        <w:t xml:space="preserve"> </w:t>
      </w:r>
      <w:r>
        <w:t xml:space="preserve">the EU has already a manufacturing base in place in 2030. Manufacturing investment</w:t>
      </w:r>
      <w:r>
        <w:t xml:space="preserve"> </w:t>
      </w:r>
      <w:r>
        <w:t xml:space="preserve">needs would be lower in scenarios S1 and S2, as in 2040, net installed renewable power</w:t>
      </w:r>
      <w:r>
        <w:t xml:space="preserve"> </w:t>
      </w:r>
      <w:r>
        <w:t xml:space="preserve">capacity is lower by 7% in S2 and by 16% in S1 compared with S3.</w:t>
      </w:r>
      <w:r>
        <w:br/>
      </w:r>
      <w:r>
        <w:t xml:space="preserve">2.2.8. Technical feasibility</w:t>
      </w:r>
      <w:r>
        <w:t xml:space="preserve"> </w:t>
      </w:r>
      <w:r>
        <w:t xml:space="preserve">The cost-efficient decarbonisation relies on the deployment of net-zero technologies with</w:t>
      </w:r>
      <w:r>
        <w:t xml:space="preserve"> </w:t>
      </w:r>
      <w:r>
        <w:t xml:space="preserve">varying but sufficient degree of maturity to be used on a large scale. The maturity of</w:t>
      </w:r>
    </w:p>
    <w:p>
      <w:pPr>
        <w:pStyle w:val="Compact"/>
        <w:numPr>
          <w:ilvl w:val="0"/>
          <w:numId w:val="1118"/>
        </w:numPr>
      </w:pPr>
      <w:r>
        <w:t xml:space="preserve">Investment needs until 2030 have been assessed in the Commission Staff Working Document</w:t>
      </w:r>
      <w:r>
        <w:t xml:space="preserve"> </w:t>
      </w:r>
      <w:r>
        <w:t xml:space="preserve">Investment needs assessment and funding availabilities to strengthen EU’s Net-Zero technology</w:t>
      </w:r>
      <w:r>
        <w:t xml:space="preserve"> </w:t>
      </w:r>
      <w:r>
        <w:t xml:space="preserve">manufacturing capacity (SWD(2023) 68 final.</w:t>
      </w:r>
      <w:r>
        <w:br/>
      </w:r>
    </w:p>
    <w:p>
      <w:pPr>
        <w:pStyle w:val="Compact"/>
        <w:numPr>
          <w:ilvl w:val="0"/>
          <w:numId w:val="1118"/>
        </w:numPr>
      </w:pPr>
      <w:r>
        <w:t xml:space="preserve">See Annex 8 of SWD(2023) 68 final.</w:t>
      </w:r>
    </w:p>
    <w:p>
      <w:pPr>
        <w:pStyle w:val="Compact"/>
        <w:numPr>
          <w:ilvl w:val="0"/>
          <w:numId w:val="1118"/>
        </w:numPr>
      </w:pPr>
      <w:r>
        <w:t xml:space="preserve">Objectives of global market shares of 85% for wind, 45% for solar PV, 60% for heat pumps, 90% for</w:t>
      </w:r>
      <w:r>
        <w:t xml:space="preserve"> </w:t>
      </w:r>
      <w:r>
        <w:t xml:space="preserve">battery cells and 100% for electrolysers.</w:t>
      </w:r>
    </w:p>
    <w:p>
      <w:pPr>
        <w:pStyle w:val="FirstParagraph"/>
      </w:pPr>
      <w:r>
        <w:t xml:space="preserve">180</w:t>
      </w:r>
    </w:p>
    <w:p>
      <w:pPr>
        <w:pStyle w:val="BodyText"/>
      </w:pPr>
      <w:r>
        <w:t xml:space="preserve">technologies is an important driver of the projected portfolio of net-zero technologies. In</w:t>
      </w:r>
      <w:r>
        <w:t xml:space="preserve"> </w:t>
      </w:r>
      <w:r>
        <w:t xml:space="preserve">recent years, pressing innovation gaps have been addressed which resulted in significant</w:t>
      </w:r>
      <w:r>
        <w:t xml:space="preserve"> </w:t>
      </w:r>
      <w:r>
        <w:t xml:space="preserve">improvements of the technology readiness. (282) For the bulk of net-zero technologies</w:t>
      </w:r>
      <w:r>
        <w:t xml:space="preserve"> </w:t>
      </w:r>
      <w:r>
        <w:t xml:space="preserve">needed to reach the 2040 targets, the Technology Readiness Level (TRL) already</w:t>
      </w:r>
      <w:r>
        <w:t xml:space="preserve"> </w:t>
      </w:r>
      <w:r>
        <w:t xml:space="preserve">amounts to at least 8 (out of 9) which means that they are in an advanced deployment</w:t>
      </w:r>
      <w:r>
        <w:t xml:space="preserve"> </w:t>
      </w:r>
      <w:r>
        <w:t xml:space="preserve">stage. (283)</w:t>
      </w:r>
      <w:r>
        <w:br/>
      </w:r>
      <w:r>
        <w:t xml:space="preserve">DAC is at the lower end of the deployment stage having a TRL of 7. Bioenergy with</w:t>
      </w:r>
      <w:r>
        <w:t xml:space="preserve"> </w:t>
      </w:r>
      <w:r>
        <w:t xml:space="preserve">carbon capture and storage (BECCS) is the only technology that has a TRL of 5-6</w:t>
      </w:r>
      <w:r>
        <w:t xml:space="preserve"> </w:t>
      </w:r>
      <w:r>
        <w:t xml:space="preserve">(“Technology demonstrated in relevant environment”) indicating that it is not fully</w:t>
      </w:r>
      <w:r>
        <w:t xml:space="preserve"> </w:t>
      </w:r>
      <w:r>
        <w:t xml:space="preserve">established. However, there are already a variety of BECCS demonstration projects in</w:t>
      </w:r>
      <w:r>
        <w:t xml:space="preserve"> </w:t>
      </w:r>
      <w:r>
        <w:t xml:space="preserve">Japan, Norway, Sweden and the United Kingdom.</w:t>
      </w:r>
      <w:r>
        <w:t xml:space="preserve"> </w:t>
      </w:r>
      <w:r>
        <w:t xml:space="preserve">Due to their relatively low maturity, DAC and BECCS come into play only between</w:t>
      </w:r>
      <w:r>
        <w:t xml:space="preserve"> </w:t>
      </w:r>
      <w:r>
        <w:t xml:space="preserve">2030 and 2040 allowing the technology to be further developed over the coming years. In</w:t>
      </w:r>
      <w:r>
        <w:t xml:space="preserve"> </w:t>
      </w:r>
      <w:r>
        <w:t xml:space="preserve">2040, DAC and BECCS is projected to capture 16 MtCO2 (S1) to 155 MtCO2 (S3)</w:t>
      </w:r>
      <w:r>
        <w:t xml:space="preserve"> </w:t>
      </w:r>
      <w:r>
        <w:t xml:space="preserve">making up around 0.3% (S1) to 3.3% (S3) of 1990 total GHG emissions. The S3 scenario</w:t>
      </w:r>
      <w:r>
        <w:t xml:space="preserve"> </w:t>
      </w:r>
      <w:r>
        <w:t xml:space="preserve">anticipates decarbonisation via DAC up to 2040.</w:t>
      </w:r>
      <w:r>
        <w:br/>
      </w:r>
      <w:r>
        <w:t xml:space="preserve">2.2.9. Other related investment needs</w:t>
      </w:r>
      <w:r>
        <w:t xml:space="preserve"> </w:t>
      </w:r>
      <w:r>
        <w:t xml:space="preserve">The needs analysed above concern mainly the investment required to decarbonise the</w:t>
      </w:r>
      <w:r>
        <w:t xml:space="preserve"> </w:t>
      </w:r>
      <w:r>
        <w:t xml:space="preserve">energy system, and to some extent the investment required to increase the domestic</w:t>
      </w:r>
      <w:r>
        <w:t xml:space="preserve"> </w:t>
      </w:r>
      <w:r>
        <w:t xml:space="preserve">production of the clean technologies that will be essential to decarbonisation efforts.</w:t>
      </w:r>
      <w:r>
        <w:t xml:space="preserve"> </w:t>
      </w:r>
      <w:r>
        <w:t xml:space="preserve">Beyond the energy system, additional climate-related investments will be necessary in</w:t>
      </w:r>
      <w:r>
        <w:t xml:space="preserve"> </w:t>
      </w:r>
      <w:r>
        <w:t xml:space="preserve">the coming decades, in two main areas: LULUCF sectors and agriculture, and climate</w:t>
      </w:r>
      <w:r>
        <w:t xml:space="preserve"> </w:t>
      </w:r>
      <w:r>
        <w:t xml:space="preserve">adaptation.</w:t>
      </w:r>
      <w:r>
        <w:t xml:space="preserve"> </w:t>
      </w:r>
      <w:r>
        <w:t xml:space="preserve">Investment in the land sector. The Bioeconomy Strategy Progress Report 2022 (284)</w:t>
      </w:r>
      <w:r>
        <w:t xml:space="preserve"> </w:t>
      </w:r>
      <w:r>
        <w:t xml:space="preserve">finds that although at least EUR 2.7 billion of private investment have been unlocked to</w:t>
      </w:r>
      <w:r>
        <w:t xml:space="preserve"> </w:t>
      </w:r>
      <w:r>
        <w:t xml:space="preserve">develop new technologies for sustainable and circular bio-based value chains more is</w:t>
      </w:r>
      <w:r>
        <w:t xml:space="preserve"> </w:t>
      </w:r>
      <w:r>
        <w:t xml:space="preserve">needed to transfer knowledge into innovations due to the lack of financing. These</w:t>
      </w:r>
      <w:r>
        <w:t xml:space="preserve"> </w:t>
      </w:r>
      <w:r>
        <w:t xml:space="preserve">investments are needed for example to tap the biomass potential, new biorefineries and</w:t>
      </w:r>
      <w:r>
        <w:t xml:space="preserve"> </w:t>
      </w:r>
      <w:r>
        <w:t xml:space="preserve">plant lignocellulosic crops on EU cropland as feedstock for bioenergy.</w:t>
      </w:r>
      <w:r>
        <w:t xml:space="preserve"> </w:t>
      </w:r>
      <w:r>
        <w:t xml:space="preserve">The LULUCF sector plays already a very important role with its net removal, and it will</w:t>
      </w:r>
      <w:r>
        <w:t xml:space="preserve"> </w:t>
      </w:r>
      <w:r>
        <w:t xml:space="preserve">become even more important in the future. Importantly investments into the sector are</w:t>
      </w:r>
      <w:r>
        <w:t xml:space="preserve"> </w:t>
      </w:r>
      <w:r>
        <w:t xml:space="preserve">needed to maintain and enhance its capacity as a carbon sink, particularly considering the</w:t>
      </w:r>
      <w:r>
        <w:t xml:space="preserve"> </w:t>
      </w:r>
      <w:r>
        <w:t xml:space="preserve">recent decline of the LULUCF net removals. Nature-based removals in the LULUCF and</w:t>
      </w:r>
      <w:r>
        <w:t xml:space="preserve"> </w:t>
      </w:r>
      <w:r>
        <w:t xml:space="preserve">agricultural sector provide many options for implementation at large scale, but they</w:t>
      </w:r>
      <w:r>
        <w:t xml:space="preserve"> </w:t>
      </w:r>
      <w:r>
        <w:t xml:space="preserve">require significant additional investments. Examples for such nature-based removals are</w:t>
      </w:r>
      <w:r>
        <w:t xml:space="preserve"> </w:t>
      </w:r>
      <w:r>
        <w:t xml:space="preserve">afforestation and reforestation, peatland restoration activities, as well as the reduction of</w:t>
      </w:r>
    </w:p>
    <w:p>
      <w:pPr>
        <w:pStyle w:val="Compact"/>
        <w:numPr>
          <w:ilvl w:val="0"/>
          <w:numId w:val="1119"/>
        </w:numPr>
      </w:pPr>
      <w:r>
        <w:t xml:space="preserve">IEA (2023). “Net Zero Roadmap. A Global Pathway to Keep the 1.5°C Goal in Reach”</w:t>
      </w:r>
    </w:p>
    <w:p>
      <w:pPr>
        <w:pStyle w:val="Compact"/>
        <w:numPr>
          <w:ilvl w:val="0"/>
          <w:numId w:val="1119"/>
        </w:numPr>
      </w:pPr>
      <w:r>
        <w:t xml:space="preserve">The TRL evaluation is based on the EU’s Clean Energy Technology Observatory (CETO).</w:t>
      </w:r>
    </w:p>
    <w:p>
      <w:pPr>
        <w:pStyle w:val="Compact"/>
        <w:numPr>
          <w:ilvl w:val="0"/>
          <w:numId w:val="1119"/>
        </w:numPr>
      </w:pPr>
      <w:r>
        <w:t xml:space="preserve">European Commission, Directorate-General for Research and Innovation, European bioeconomy</w:t>
      </w:r>
      <w:r>
        <w:t xml:space="preserve"> </w:t>
      </w:r>
      <w:r>
        <w:t xml:space="preserve">policy – Stocktaking and future developments – Report from the Commission to the European</w:t>
      </w:r>
      <w:r>
        <w:t xml:space="preserve"> </w:t>
      </w:r>
      <w:r>
        <w:t xml:space="preserve">Parliament, the Council, the European Economic and Social Committee and the Committee of the</w:t>
      </w:r>
      <w:r>
        <w:t xml:space="preserve"> </w:t>
      </w:r>
      <w:r>
        <w:t xml:space="preserve">Regions, Publications Office of the European Union, 2022, https://data.europa.eu/doi/10.2777/997651</w:t>
      </w:r>
    </w:p>
    <w:p>
      <w:pPr>
        <w:pStyle w:val="FirstParagraph"/>
      </w:pPr>
      <w:r>
        <w:t xml:space="preserve">181</w:t>
      </w:r>
    </w:p>
    <w:p>
      <w:pPr>
        <w:pStyle w:val="BodyText"/>
      </w:pPr>
      <w:r>
        <w:t xml:space="preserve">emissions from agricultural soil (e.g., through practices such as agroforestry or</w:t>
      </w:r>
      <w:r>
        <w:t xml:space="preserve"> </w:t>
      </w:r>
      <w:r>
        <w:t xml:space="preserve">paludiculture). More generally, nature-based solutions currently receive only a small</w:t>
      </w:r>
      <w:r>
        <w:t xml:space="preserve"> </w:t>
      </w:r>
      <w:r>
        <w:t xml:space="preserve">proportion of the existing financing on climate-mitigation, if one considers their potential</w:t>
      </w:r>
      <w:r>
        <w:t xml:space="preserve"> </w:t>
      </w:r>
      <w:r>
        <w:t xml:space="preserve">(285). Globally, they can provide about one-third of the cost-effective climate mitigation</w:t>
      </w:r>
      <w:r>
        <w:t xml:space="preserve"> </w:t>
      </w:r>
      <w:r>
        <w:t xml:space="preserve">needed until 2030 to stabilize warming to below 2°C (286). Notably, offsets on the</w:t>
      </w:r>
      <w:r>
        <w:t xml:space="preserve"> </w:t>
      </w:r>
      <w:r>
        <w:t xml:space="preserve">voluntary market are of variable quality, which is why investments should be directed</w:t>
      </w:r>
      <w:r>
        <w:t xml:space="preserve"> </w:t>
      </w:r>
      <w:r>
        <w:t xml:space="preserve">towards nature-based solutions that are ecologically sound, socially equitable and</w:t>
      </w:r>
      <w:r>
        <w:t xml:space="preserve"> </w:t>
      </w:r>
      <w:r>
        <w:t xml:space="preserve">designed for the medium and long-term (287). According to GLOBIOM modelling, within</w:t>
      </w:r>
      <w:r>
        <w:t xml:space="preserve"> </w:t>
      </w:r>
      <w:r>
        <w:t xml:space="preserve">the EU about 85% of available nature-based solutions with costs up to 200 €/tCO2-eq are</w:t>
      </w:r>
      <w:r>
        <w:t xml:space="preserve"> </w:t>
      </w:r>
      <w:r>
        <w:t xml:space="preserve">available for up to 100 €/tCO2-eq in 2040 and about 65% for up to 50 €/tCO2-eq (see</w:t>
      </w:r>
      <w:r>
        <w:t xml:space="preserve"> </w:t>
      </w:r>
      <w:r>
        <w:t xml:space="preserve">Annex 8).</w:t>
      </w:r>
      <w:r>
        <w:br/>
      </w:r>
      <w:r>
        <w:t xml:space="preserve">Investments in adapatation. The European Climate Law requires the Union institutions</w:t>
      </w:r>
      <w:r>
        <w:t xml:space="preserve"> </w:t>
      </w:r>
      <w:r>
        <w:t xml:space="preserve">and Member States to ensure continuous progress in enhancing adaptive capacity,</w:t>
      </w:r>
      <w:r>
        <w:t xml:space="preserve"> </w:t>
      </w:r>
      <w:r>
        <w:t xml:space="preserve">strengthening resilience and reducing vulnerability to climate change. As part of this, the</w:t>
      </w:r>
      <w:r>
        <w:t xml:space="preserve"> </w:t>
      </w:r>
      <w:r>
        <w:t xml:space="preserve">Commission adopted a new EU strategy on adaptation to climate change in 2021 (288).</w:t>
      </w:r>
      <w:r>
        <w:t xml:space="preserve"> </w:t>
      </w:r>
      <w:r>
        <w:t xml:space="preserve">The strategy sets out how the European Union can adapt to the unavoidable impacts of</w:t>
      </w:r>
      <w:r>
        <w:t xml:space="preserve"> </w:t>
      </w:r>
      <w:r>
        <w:t xml:space="preserve">climate change and become climate resilient by 2050. It builds on four principal</w:t>
      </w:r>
      <w:r>
        <w:t xml:space="preserve"> </w:t>
      </w:r>
      <w:r>
        <w:t xml:space="preserve">objectives: smarter adaptation, faster adaptation, more systemic adaptation and stepped-</w:t>
      </w:r>
      <w:r>
        <w:t xml:space="preserve"> </w:t>
      </w:r>
      <w:r>
        <w:t xml:space="preserve">up international action on adaptation.</w:t>
      </w:r>
      <w:r>
        <w:t xml:space="preserve"> </w:t>
      </w:r>
      <w:r>
        <w:t xml:space="preserve">While the need for increased investment in climate adaptation and resilience is obvious,</w:t>
      </w:r>
      <w:r>
        <w:t xml:space="preserve"> </w:t>
      </w:r>
      <w:r>
        <w:t xml:space="preserve">there is a big knowledge gap regarding the scale of the investment needs, in part because</w:t>
      </w:r>
      <w:r>
        <w:t xml:space="preserve"> </w:t>
      </w:r>
      <w:r>
        <w:t xml:space="preserve">of methodological complexities. Existing estimates of adaptation investment needs at</w:t>
      </w:r>
      <w:r>
        <w:t xml:space="preserve"> </w:t>
      </w:r>
      <w:r>
        <w:t xml:space="preserve">Member State level vary significantly depending on the methods used, the underlying</w:t>
      </w:r>
      <w:r>
        <w:t xml:space="preserve"> </w:t>
      </w:r>
      <w:r>
        <w:t xml:space="preserve">assumptions (e.g., about the frequency and scale of hazards in future, or the time horizon</w:t>
      </w:r>
      <w:r>
        <w:t xml:space="preserve"> </w:t>
      </w:r>
      <w:r>
        <w:t xml:space="preserve">chosen), the hazards taken into consideration, or the level of adaptation/resilience sought.</w:t>
      </w:r>
      <w:r>
        <w:t xml:space="preserve"> </w:t>
      </w:r>
      <w:r>
        <w:t xml:space="preserve">The fact that the returns to investment are frequently reaped at the societal level rather</w:t>
      </w:r>
      <w:r>
        <w:t xml:space="preserve"> </w:t>
      </w:r>
      <w:r>
        <w:t xml:space="preserve">than at the individual level and insufficient knowledge about adaptation investments also</w:t>
      </w:r>
      <w:r>
        <w:t xml:space="preserve"> </w:t>
      </w:r>
      <w:r>
        <w:t xml:space="preserve">means that private agents do not sufficiently assess their own needs.</w:t>
      </w:r>
      <w:r>
        <w:t xml:space="preserve"> </w:t>
      </w:r>
      <w:r>
        <w:t xml:space="preserve">At EU level, there is currently no consolidated and coherent estimate of climate</w:t>
      </w:r>
      <w:r>
        <w:t xml:space="preserve"> </w:t>
      </w:r>
      <w:r>
        <w:t xml:space="preserve">adaptation investment needs. The Commission is nevertheless addressing this knowledge</w:t>
      </w:r>
      <w:r>
        <w:t xml:space="preserve"> </w:t>
      </w:r>
      <w:r>
        <w:t xml:space="preserve">gap via a number of initiatives, including the ongoing European Climate Risk</w:t>
      </w:r>
      <w:r>
        <w:t xml:space="preserve"> </w:t>
      </w:r>
      <w:r>
        <w:t xml:space="preserve">Assessment (289) exercise and a tender (290) that will lead to a comprehensive assessment</w:t>
      </w:r>
      <w:r>
        <w:t xml:space="preserve"> </w:t>
      </w:r>
      <w:r>
        <w:t xml:space="preserve">of adaptation investment needs at the EU level.</w:t>
      </w:r>
    </w:p>
    <w:p>
      <w:pPr>
        <w:pStyle w:val="Compact"/>
        <w:numPr>
          <w:ilvl w:val="0"/>
          <w:numId w:val="1120"/>
        </w:numPr>
      </w:pPr>
      <w:r>
        <w:t xml:space="preserve">Girardin, C. A., Jenkins, S., Seddon, N., Allen, M., Lewis, S. L., Wheeler, C. E., … &amp; Malhi, Y.</w:t>
      </w:r>
      <w:r>
        <w:t xml:space="preserve"> </w:t>
      </w:r>
      <w:r>
        <w:t xml:space="preserve">(2021). Nature-based solutions can help cool the planet—if we act now. Nature, 593(7858), 191-194.</w:t>
      </w:r>
    </w:p>
    <w:p>
      <w:pPr>
        <w:pStyle w:val="Compact"/>
        <w:numPr>
          <w:ilvl w:val="0"/>
          <w:numId w:val="1120"/>
        </w:numPr>
      </w:pPr>
      <w:r>
        <w:t xml:space="preserve">Griscom, Bronson W., Justin Adams, Peter W. Ellis, Richard A. Houghton, Guy Lomax, Daniela A.</w:t>
      </w:r>
      <w:r>
        <w:t xml:space="preserve"> </w:t>
      </w:r>
      <w:r>
        <w:t xml:space="preserve">Miteva, William H. Schlesinger et al. </w:t>
      </w:r>
      <w:r>
        <w:t xml:space="preserve">“Natural climate solutions.”</w:t>
      </w:r>
      <w:r>
        <w:t xml:space="preserve"> </w:t>
      </w:r>
      <w:r>
        <w:t xml:space="preserve">Proceedings of the National</w:t>
      </w:r>
      <w:r>
        <w:t xml:space="preserve"> </w:t>
      </w:r>
      <w:r>
        <w:t xml:space="preserve">Academy of Sciences 114, no. 44 (2017): 11645-11650.</w:t>
      </w:r>
    </w:p>
    <w:p>
      <w:pPr>
        <w:pStyle w:val="Compact"/>
        <w:numPr>
          <w:ilvl w:val="0"/>
          <w:numId w:val="1120"/>
        </w:numPr>
      </w:pPr>
      <w:r>
        <w:t xml:space="preserve">Girardin, C. A., Jenkins, S., Seddon, N., Allen, M., Lewis, S. L., Wheeler, C. E., … &amp; Malhi, Y.</w:t>
      </w:r>
      <w:r>
        <w:t xml:space="preserve"> </w:t>
      </w:r>
      <w:r>
        <w:t xml:space="preserve">(2021). Nature-based solutions can help cool the planet—if we act now. Nature, 593(7858), 191-194.</w:t>
      </w:r>
    </w:p>
    <w:p>
      <w:pPr>
        <w:pStyle w:val="Compact"/>
        <w:numPr>
          <w:ilvl w:val="0"/>
          <w:numId w:val="1120"/>
        </w:numPr>
      </w:pPr>
      <w:r>
        <w:t xml:space="preserve">COM(2021) 82 final and accompanying impact assessment SWD(2021) 25 final.</w:t>
      </w:r>
    </w:p>
    <w:p>
      <w:pPr>
        <w:pStyle w:val="Compact"/>
        <w:numPr>
          <w:ilvl w:val="0"/>
          <w:numId w:val="1120"/>
        </w:numPr>
      </w:pPr>
      <w:r>
        <w:t xml:space="preserve">European Climate Risk Assessment.</w:t>
      </w:r>
    </w:p>
    <w:p>
      <w:pPr>
        <w:pStyle w:val="Compact"/>
        <w:numPr>
          <w:ilvl w:val="0"/>
          <w:numId w:val="1120"/>
        </w:numPr>
      </w:pPr>
      <w:r>
        <w:t xml:space="preserve">CINEA/2023/OP/0013.</w:t>
      </w:r>
    </w:p>
    <w:p>
      <w:pPr>
        <w:pStyle w:val="FirstParagraph"/>
      </w:pPr>
      <w:r>
        <w:t xml:space="preserve">182</w:t>
      </w:r>
    </w:p>
    <w:p>
      <w:pPr>
        <w:pStyle w:val="BodyText"/>
      </w:pPr>
      <w:r>
        <w:t xml:space="preserve">2.2.10. The role of the public sector and carbon pricing revenues</w:t>
      </w:r>
      <w:r>
        <w:t xml:space="preserve"> </w:t>
      </w:r>
      <w:r>
        <w:t xml:space="preserve">As pointed at above, direct public sector investment is likely to be important but</w:t>
      </w:r>
      <w:r>
        <w:t xml:space="preserve"> </w:t>
      </w:r>
      <w:r>
        <w:t xml:space="preserve">contained to a relatively limited number of sectors. The key investment requirement on</w:t>
      </w:r>
      <w:r>
        <w:t xml:space="preserve"> </w:t>
      </w:r>
      <w:r>
        <w:t xml:space="preserve">the public sector will relate to the renovation of buildings and the shift to decarbonised</w:t>
      </w:r>
      <w:r>
        <w:t xml:space="preserve"> </w:t>
      </w:r>
      <w:r>
        <w:t xml:space="preserve">heating and cooling systems and transport modes across all levels of public</w:t>
      </w:r>
      <w:r>
        <w:t xml:space="preserve"> </w:t>
      </w:r>
      <w:r>
        <w:t xml:space="preserve">administration and public services.</w:t>
      </w:r>
      <w:r>
        <w:t xml:space="preserve"> </w:t>
      </w:r>
      <w:r>
        <w:t xml:space="preserve">Indirectly, however, the public sector is likely to play a much more significant role in</w:t>
      </w:r>
      <w:r>
        <w:t xml:space="preserve"> </w:t>
      </w:r>
      <w:r>
        <w:t xml:space="preserve">fostering the necessary levels of investment, as has been the case in the past. In past</w:t>
      </w:r>
      <w:r>
        <w:t xml:space="preserve"> </w:t>
      </w:r>
      <w:r>
        <w:t xml:space="preserve">decades, public funding at the level of the EU and Member States has played a critical</w:t>
      </w:r>
      <w:r>
        <w:t xml:space="preserve"> </w:t>
      </w:r>
      <w:r>
        <w:t xml:space="preserve">role in enabling the deployment of renewable electricity and the sharp reduction in the</w:t>
      </w:r>
      <w:r>
        <w:t xml:space="preserve"> </w:t>
      </w:r>
      <w:r>
        <w:t xml:space="preserve">costs of solar, wind or other renewable sources of energy. Similarly, Member States have</w:t>
      </w:r>
      <w:r>
        <w:t xml:space="preserve"> </w:t>
      </w:r>
      <w:r>
        <w:t xml:space="preserve">long provided support for the renovation of the residential housing stock. While such</w:t>
      </w:r>
      <w:r>
        <w:t xml:space="preserve"> </w:t>
      </w:r>
      <w:r>
        <w:t xml:space="preserve">expenditures are accounted as current expenditure in government accounts, in essence</w:t>
      </w:r>
      <w:r>
        <w:t xml:space="preserve"> </w:t>
      </w:r>
      <w:r>
        <w:t xml:space="preserve">they positive impact the capital stock of the economy as a whole.</w:t>
      </w:r>
      <w:r>
        <w:t xml:space="preserve"> </w:t>
      </w:r>
      <w:r>
        <w:t xml:space="preserve">Looking forward, public support will remain critical for the successful research,</w:t>
      </w:r>
      <w:r>
        <w:t xml:space="preserve"> </w:t>
      </w:r>
      <w:r>
        <w:t xml:space="preserve">development and deployment at scale of the technologies that will underpin the necessary</w:t>
      </w:r>
      <w:r>
        <w:t xml:space="preserve"> </w:t>
      </w:r>
      <w:r>
        <w:t xml:space="preserve">transformation of the EU economy. The need to ensure a fair transition will likely require</w:t>
      </w:r>
      <w:r>
        <w:t xml:space="preserve"> </w:t>
      </w:r>
      <w:r>
        <w:t xml:space="preserve">continued targeted support from the public sector for the renovation of the residential</w:t>
      </w:r>
      <w:r>
        <w:t xml:space="preserve"> </w:t>
      </w:r>
      <w:r>
        <w:t xml:space="preserve">building stock and the transition to carbon-free sources of heating and cooling. Similarly,</w:t>
      </w:r>
      <w:r>
        <w:t xml:space="preserve"> </w:t>
      </w:r>
      <w:r>
        <w:t xml:space="preserve">support might be needed in transport in order to address concerns about transport poverty</w:t>
      </w:r>
      <w:r>
        <w:t xml:space="preserve"> </w:t>
      </w:r>
      <w:r>
        <w:t xml:space="preserve">(section 2.4.1).</w:t>
      </w:r>
      <w:r>
        <w:t xml:space="preserve"> </w:t>
      </w:r>
      <w:r>
        <w:t xml:space="preserve">Similarly, direct public support will be essential for the decarbonisation of industry, the</w:t>
      </w:r>
      <w:r>
        <w:t xml:space="preserve"> </w:t>
      </w:r>
      <w:r>
        <w:t xml:space="preserve">deployment of renewable hydrogen at scale and the development of carbon capture and</w:t>
      </w:r>
      <w:r>
        <w:t xml:space="preserve"> </w:t>
      </w:r>
      <w:r>
        <w:t xml:space="preserve">storage/use. Finally, as evidenced recently with the adoption of the Inflation Reduction</w:t>
      </w:r>
      <w:r>
        <w:t xml:space="preserve"> </w:t>
      </w:r>
      <w:r>
        <w:t xml:space="preserve">Act in the United States, the Temporary Crisis and Transition Framework for State aid in</w:t>
      </w:r>
      <w:r>
        <w:t xml:space="preserve"> </w:t>
      </w:r>
      <w:r>
        <w:t xml:space="preserve">the EU, and the Commission proposal for the Net Zero Industry Act and Green Deal</w:t>
      </w:r>
      <w:r>
        <w:t xml:space="preserve"> </w:t>
      </w:r>
      <w:r>
        <w:t xml:space="preserve">Industrial Plan, public support will be essential for the EU to build or strengthen its</w:t>
      </w:r>
      <w:r>
        <w:t xml:space="preserve"> </w:t>
      </w:r>
      <w:r>
        <w:t xml:space="preserve">position in strategically and economically critical manufacturing sectors and their</w:t>
      </w:r>
      <w:r>
        <w:t xml:space="preserve"> </w:t>
      </w:r>
      <w:r>
        <w:t xml:space="preserve">associated value chains, including wind and solar energy technologies, electrolysers and</w:t>
      </w:r>
      <w:r>
        <w:t xml:space="preserve"> </w:t>
      </w:r>
      <w:r>
        <w:t xml:space="preserve">fuel cells, batteries and electricity storage, heat pumps and carbon capture and storage. It</w:t>
      </w:r>
      <w:r>
        <w:t xml:space="preserve"> </w:t>
      </w:r>
      <w:r>
        <w:t xml:space="preserve">is necessary to collectively address those challenges and coordinate national measures to</w:t>
      </w:r>
      <w:r>
        <w:t xml:space="preserve"> </w:t>
      </w:r>
      <w:r>
        <w:t xml:space="preserve">avoid any risk of distorting competition and fragmenting the single market.</w:t>
      </w:r>
      <w:r>
        <w:t xml:space="preserve"> </w:t>
      </w:r>
      <w:r>
        <w:t xml:space="preserve">The extent to which public finances could be affected by the transition itself and by the</w:t>
      </w:r>
      <w:r>
        <w:t xml:space="preserve"> </w:t>
      </w:r>
      <w:r>
        <w:t xml:space="preserve">policy options reviewed in this impact assessment will depend on a multiplicity of</w:t>
      </w:r>
      <w:r>
        <w:t xml:space="preserve"> </w:t>
      </w:r>
      <w:r>
        <w:t xml:space="preserve">factors, many of which will be determined at the level of Member States. On the revenue</w:t>
      </w:r>
      <w:r>
        <w:t xml:space="preserve"> </w:t>
      </w:r>
      <w:r>
        <w:t xml:space="preserve">side, there should be a base erosion for environmental taxes as the EU progresses towards</w:t>
      </w:r>
      <w:r>
        <w:t xml:space="preserve"> </w:t>
      </w:r>
      <w:r>
        <w:t xml:space="preserve">climate neutrality. In 2021, environmental taxes represented about 2.2% of GDP or 5.5%</w:t>
      </w:r>
      <w:r>
        <w:t xml:space="preserve"> </w:t>
      </w:r>
      <w:r>
        <w:t xml:space="preserve">of total government revenue from taxes and social contributions (291), the bulk of which</w:t>
      </w:r>
      <w:r>
        <w:t xml:space="preserve"> </w:t>
      </w:r>
      <w:r>
        <w:t xml:space="preserve">is linked to energy taxes linked to fossil fuels.</w:t>
      </w:r>
      <w:r>
        <w:t xml:space="preserve"> </w:t>
      </w:r>
      <w:r>
        <w:t xml:space="preserve">While no model-based assessment of direct and indirect public investment needs or</w:t>
      </w:r>
      <w:r>
        <w:t xml:space="preserve"> </w:t>
      </w:r>
      <w:r>
        <w:t xml:space="preserve">impacts on total government revenues has been carried out, the pathways considered in</w:t>
      </w:r>
    </w:p>
    <w:p>
      <w:pPr>
        <w:pStyle w:val="Compact"/>
        <w:numPr>
          <w:ilvl w:val="0"/>
          <w:numId w:val="1121"/>
        </w:numPr>
      </w:pPr>
      <w:r>
        <w:t xml:space="preserve">Environmental tax statistics</w:t>
      </w:r>
    </w:p>
    <w:p>
      <w:pPr>
        <w:pStyle w:val="FirstParagraph"/>
      </w:pPr>
      <w:r>
        <w:t xml:space="preserve">183</w:t>
      </w:r>
    </w:p>
    <w:p>
      <w:pPr>
        <w:pStyle w:val="BodyText"/>
      </w:pPr>
      <w:r>
        <w:t xml:space="preserve">this impact assessment provide an indication of the level of resources that the public</w:t>
      </w:r>
      <w:r>
        <w:t xml:space="preserve"> </w:t>
      </w:r>
      <w:r>
        <w:t xml:space="preserve">sector could obtain from carbon pricing. While the use of these revenues will face</w:t>
      </w:r>
      <w:r>
        <w:t xml:space="preserve"> </w:t>
      </w:r>
      <w:r>
        <w:t xml:space="preserve">competing demands, including to ensure a fair transition, they should be sizeable enough</w:t>
      </w:r>
      <w:r>
        <w:t xml:space="preserve"> </w:t>
      </w:r>
      <w:r>
        <w:t xml:space="preserve">to also fund public support for investment.</w:t>
      </w:r>
      <w:r>
        <w:t xml:space="preserve"> </w:t>
      </w:r>
      <w:r>
        <w:t xml:space="preserve">Revenues from carbon pricing are very difficult to predict. While the emissions pathways</w:t>
      </w:r>
      <w:r>
        <w:t xml:space="preserve"> </w:t>
      </w:r>
      <w:r>
        <w:t xml:space="preserve">for the sectors subject to the ETS (which will cover nearly the entire scope of domestic</w:t>
      </w:r>
      <w:r>
        <w:t xml:space="preserve"> </w:t>
      </w:r>
      <w:r>
        <w:t xml:space="preserve">CO2 emissions by 2030) are well defined in the scenarios, the price of ETS allowances is</w:t>
      </w:r>
      <w:r>
        <w:t xml:space="preserve"> </w:t>
      </w:r>
      <w:r>
        <w:t xml:space="preserve">not a variable that the Commission predicts as such. The revenues from carbon pricing</w:t>
      </w:r>
      <w:r>
        <w:t xml:space="preserve"> </w:t>
      </w:r>
      <w:r>
        <w:t xml:space="preserve">are nevertheless assessed on the basis of the carbon values that underpin the mitigation</w:t>
      </w:r>
      <w:r>
        <w:t xml:space="preserve"> </w:t>
      </w:r>
      <w:r>
        <w:t xml:space="preserve">scenarios in the PRIMES model. These are not predictions of ETS carbon prices per se,</w:t>
      </w:r>
      <w:r>
        <w:t xml:space="preserve"> </w:t>
      </w:r>
      <w:r>
        <w:t xml:space="preserve">but rather model-based carbon values necessary to achieve given levels of mitigation</w:t>
      </w:r>
      <w:r>
        <w:t xml:space="preserve"> </w:t>
      </w:r>
      <w:r>
        <w:t xml:space="preserve">under the policy and techno-economic assumptions made in each scenario. Using such</w:t>
      </w:r>
      <w:r>
        <w:t xml:space="preserve"> </w:t>
      </w:r>
      <w:r>
        <w:t xml:space="preserve">carbon values and based on the profile of CO2 emissions over the transition period,</w:t>
      </w:r>
      <w:r>
        <w:t xml:space="preserve"> </w:t>
      </w:r>
      <w:r>
        <w:t xml:space="preserve">carbon revenues are projected to peak around 2035. While carbon values are projected to</w:t>
      </w:r>
      <w:r>
        <w:t xml:space="preserve"> </w:t>
      </w:r>
      <w:r>
        <w:t xml:space="preserve">increase beyond that time, the fall in CO2 emissions will quickly erode the revenue base</w:t>
      </w:r>
      <w:r>
        <w:t xml:space="preserve"> </w:t>
      </w:r>
      <w:r>
        <w:t xml:space="preserve">itself.</w:t>
      </w:r>
      <w:r>
        <w:t xml:space="preserve"> </w:t>
      </w:r>
      <w:r>
        <w:t xml:space="preserve">At their peak, revenues from carbon pricing could amount to close to 0.7% of GDP,</w:t>
      </w:r>
      <w:r>
        <w:t xml:space="preserve"> </w:t>
      </w:r>
      <w:r>
        <w:t xml:space="preserve">which is significant in relation to the total energy investment needs for the transition to</w:t>
      </w:r>
      <w:r>
        <w:t xml:space="preserve"> </w:t>
      </w:r>
      <w:r>
        <w:t xml:space="preserve">climate neutrality, and the contribution that may be required from the public sector</w:t>
      </w:r>
      <w:r>
        <w:t xml:space="preserve"> </w:t>
      </w:r>
      <w:r>
        <w:t xml:space="preserve">(Figure 111). Between 2031 and 2050, total revenues from carbon pricing, based on the</w:t>
      </w:r>
      <w:r>
        <w:t xml:space="preserve"> </w:t>
      </w:r>
      <w:r>
        <w:t xml:space="preserve">carbon values from the PRIMES model, would amount to about EUR 1 500 billion. This</w:t>
      </w:r>
      <w:r>
        <w:t xml:space="preserve"> </w:t>
      </w:r>
      <w:r>
        <w:t xml:space="preserve">compares with cumulative energy system investment needs (excluding transport) of</w:t>
      </w:r>
      <w:r>
        <w:t xml:space="preserve"> </w:t>
      </w:r>
      <w:r>
        <w:t xml:space="preserve">about EUR 13 100 billion, i.e., close to 11% of the total. Such projections are obviously</w:t>
      </w:r>
      <w:r>
        <w:t xml:space="preserve"> </w:t>
      </w:r>
      <w:r>
        <w:t xml:space="preserve">very sensitive to assumptions regarding carbon values.</w:t>
      </w:r>
      <w:r>
        <w:t xml:space="preserve"> </w:t>
      </w:r>
      <w:r>
        <w:t xml:space="preserve">Figure 111: Carbon pricing payments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0.6%</w:t>
      </w:r>
      <w:r>
        <w:t xml:space="preserve"> </w:t>
      </w:r>
      <w:r>
        <w:t xml:space="preserve">0.7%</w:t>
      </w:r>
      <w:r>
        <w:t xml:space="preserve"> </w:t>
      </w:r>
      <w:r>
        <w:t xml:space="preserve">0.8%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% GDP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2.3.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2.3.1. Total energy system costs</w:t>
      </w:r>
      <w:r>
        <w:br/>
      </w:r>
      <w:r>
        <w:t xml:space="preserve">Total energy system costs (292) include capital costs (for energy installations such as</w:t>
      </w:r>
      <w:r>
        <w:t xml:space="preserve"> </w:t>
      </w:r>
      <w:r>
        <w:t xml:space="preserve">power plants and energy infrastructure, end-use equipment, appliances and energy related</w:t>
      </w:r>
      <w:r>
        <w:t xml:space="preserve"> </w:t>
      </w:r>
      <w:r>
        <w:t xml:space="preserve">costs of transport), energy purchase costs (fuels, electricity and heat) and direct</w:t>
      </w:r>
      <w:r>
        <w:t xml:space="preserve"> </w:t>
      </w:r>
      <w:r>
        <w:t xml:space="preserve">efficiency investment costs, the latter being also expenditures of capital nature. Capital</w:t>
      </w:r>
      <w:r>
        <w:t xml:space="preserve"> </w:t>
      </w:r>
      <w:r>
        <w:t xml:space="preserve">costs (also for the equipment that is scrapped prematurely, i.e., reflecting the costs of</w:t>
      </w:r>
      <w:r>
        <w:t xml:space="preserve"> </w:t>
      </w:r>
      <w:r>
        <w:t xml:space="preserve">stranded assets) are expressed in annuity payments, calculated on the basis of sector-</w:t>
      </w:r>
      <w:r>
        <w:t xml:space="preserve"> </w:t>
      </w:r>
      <w:r>
        <w:t xml:space="preserve">specific discount rates. For transport, only the additional capital costs for energy</w:t>
      </w:r>
      <w:r>
        <w:t xml:space="preserve"> </w:t>
      </w:r>
      <w:r>
        <w:t xml:space="preserve">purposes (additional capital costs for improving energy efficiency or for using alternative</w:t>
      </w:r>
      <w:r>
        <w:t xml:space="preserve"> </w:t>
      </w:r>
      <w:r>
        <w:t xml:space="preserve">fuels) are covered, but not other costs including the significant transport related</w:t>
      </w:r>
      <w:r>
        <w:t xml:space="preserve"> </w:t>
      </w:r>
      <w:r>
        <w:t xml:space="preserve">infrastructure costs e.g., related to rail to accommodate the increased rail capacity. Direct</w:t>
      </w:r>
      <w:r>
        <w:t xml:space="preserve"> </w:t>
      </w:r>
      <w:r>
        <w:t xml:space="preserve">efficiency investment costs include additional costs for house insulation, double/triple</w:t>
      </w:r>
      <w:r>
        <w:t xml:space="preserve"> </w:t>
      </w:r>
      <w:r>
        <w:t xml:space="preserve">glazing, control systems, energy management and for efficiency enhancing changes in</w:t>
      </w:r>
      <w:r>
        <w:t xml:space="preserve"> </w:t>
      </w:r>
      <w:r>
        <w:t xml:space="preserve">production processes not accounted for under energy capital and fuel/electricity purchase</w:t>
      </w:r>
      <w:r>
        <w:t xml:space="preserve"> </w:t>
      </w:r>
      <w:r>
        <w:t xml:space="preserve">costs. Unless specified, energy system costs do not include any disutility costs associated</w:t>
      </w:r>
      <w:r>
        <w:t xml:space="preserve"> </w:t>
      </w:r>
      <w:r>
        <w:t xml:space="preserve">with changed behaviour, nor the cost related to the auctioning of allowances that leads to</w:t>
      </w:r>
      <w:r>
        <w:t xml:space="preserve"> </w:t>
      </w:r>
      <w:r>
        <w:t xml:space="preserve">corresponding revenues that can be used in e.g., in the social climate fund. Energy</w:t>
      </w:r>
      <w:r>
        <w:t xml:space="preserve"> </w:t>
      </w:r>
      <w:r>
        <w:t xml:space="preserve">system costs are calculated ex-post after the model is solved (293).</w:t>
      </w:r>
    </w:p>
    <w:p>
      <w:pPr>
        <w:pStyle w:val="Compact"/>
        <w:numPr>
          <w:ilvl w:val="0"/>
          <w:numId w:val="1122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</w:p>
    <w:p>
      <w:pPr>
        <w:pStyle w:val="Compact"/>
        <w:numPr>
          <w:ilvl w:val="0"/>
          <w:numId w:val="1122"/>
        </w:numPr>
      </w:pPr>
      <w:r>
        <w:t xml:space="preserve">The calculated cost is influenced by the discount rate used. The discount rate of 10% is used to reflect</w:t>
      </w:r>
      <w:r>
        <w:t xml:space="preserve"> </w:t>
      </w:r>
      <w:r>
        <w:t xml:space="preserve">in the perspective of the private investor faced with real world investment constraints. It is also applied</w:t>
      </w:r>
      <w:r>
        <w:t xml:space="preserve"> </w:t>
      </w:r>
      <w:r>
        <w:t xml:space="preserve">ex-post to calculate system costs. The value of 10% is kept constant between modelling scenarios, to</w:t>
      </w:r>
      <w:r>
        <w:t xml:space="preserve"> </w:t>
      </w:r>
      <w:r>
        <w:t xml:space="preserve">ensure comparability across scenarios. For planning investments, the model uses slightly different</w:t>
      </w:r>
      <w:r>
        <w:t xml:space="preserve"> </w:t>
      </w:r>
      <w:r>
        <w:t xml:space="preserve">discount rates that are representative of investors’ hurdles rates in the sector. A detailed explanation of</w:t>
      </w:r>
      <w:r>
        <w:t xml:space="preserve"> </w:t>
      </w:r>
      <w:r>
        <w:t xml:space="preserve">this</w:t>
      </w:r>
      <w:r>
        <w:t xml:space="preserve"> </w:t>
      </w:r>
      <w:r>
        <w:t xml:space="preserve">methodology</w:t>
      </w:r>
      <w:r>
        <w:t xml:space="preserve"> </w:t>
      </w:r>
      <w:r>
        <w:t xml:space="preserve">is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annex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2016</w:t>
      </w:r>
      <w:r>
        <w:t xml:space="preserve"> </w:t>
      </w:r>
      <w:r>
        <w:t xml:space="preserve">reference</w:t>
      </w:r>
      <w:r>
        <w:t xml:space="preserve"> </w:t>
      </w:r>
      <w:r>
        <w:t xml:space="preserve">projection:</w:t>
      </w:r>
      <w:r>
        <w:t xml:space="preserve"> </w:t>
      </w:r>
      <w:r>
        <w:t xml:space="preserve">https://ec.europa.eu/energy/data-analysis/energy-modelling/eu-reference-scenario-2016_en.</w:t>
      </w:r>
    </w:p>
    <w:p>
      <w:pPr>
        <w:pStyle w:val="FirstParagraph"/>
      </w:pPr>
      <w:r>
        <w:t xml:space="preserve">185</w:t>
      </w:r>
    </w:p>
    <w:p>
      <w:pPr>
        <w:pStyle w:val="BodyText"/>
      </w:pPr>
      <w:r>
        <w:t xml:space="preserve">Table 34: Sectoral disaggregation of energy system costs (% difference vs. S2)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Total energy system costs are relatively close across scenarios. In 2031-2040 they are</w:t>
      </w:r>
      <w:r>
        <w:t xml:space="preserve"> </w:t>
      </w:r>
      <w:r>
        <w:t xml:space="preserve">2.1% lower in the S1 scenario and 1.5% higher in S3 compared with the S2 scenario. In</w:t>
      </w:r>
      <w:r>
        <w:t xml:space="preserve"> </w:t>
      </w:r>
      <w:r>
        <w:t xml:space="preserve">the residential sector, system costs are lower by 1.4% in S1 and higher by 1% in S3</w:t>
      </w:r>
      <w:r>
        <w:t xml:space="preserve"> </w:t>
      </w:r>
      <w:r>
        <w:t xml:space="preserve">compared with S2. While for the tertiary sector system costs are relatively similar across</w:t>
      </w:r>
      <w:r>
        <w:t xml:space="preserve"> </w:t>
      </w:r>
      <w:r>
        <w:t xml:space="preserve">scenarios, they are 3.1% lower in S1 and 2% higher in S3 compared with S2 in 2031-</w:t>
      </w:r>
      <w:r>
        <w:t xml:space="preserve"> </w:t>
      </w:r>
      <w:r>
        <w:t xml:space="preserve">2040. Capital costs and direct efficiency investment costs are increasing from S1 to S2</w:t>
      </w:r>
      <w:r>
        <w:t xml:space="preserve"> </w:t>
      </w:r>
      <w:r>
        <w:t xml:space="preserve">and S3 (-1.8% for S1 and +1.3% for S3 compared with S2 in 2031-2040), as higher</w:t>
      </w:r>
      <w:r>
        <w:t xml:space="preserve"> </w:t>
      </w:r>
      <w:r>
        <w:t xml:space="preserve">ambition requires investments. For the tertiary sector, higher ambition and investments</w:t>
      </w:r>
      <w:r>
        <w:t xml:space="preserve"> </w:t>
      </w:r>
      <w:r>
        <w:t xml:space="preserve">are also associated with lower energy purchases. This is illustrated by the fact that energy</w:t>
      </w:r>
      <w:r>
        <w:t xml:space="preserve"> </w:t>
      </w:r>
      <w:r>
        <w:t xml:space="preserve">purchases are higher by 0.3% in S1 vs S2 and lower by 0.5% in S3 vs S1 for this sector</w:t>
      </w:r>
      <w:r>
        <w:t xml:space="preserve"> </w:t>
      </w:r>
      <w:r>
        <w:t xml:space="preserve">in 2031-2040. For the following decade, the difference is even +0.8% and -1%</w:t>
      </w:r>
      <w:r>
        <w:t xml:space="preserve"> </w:t>
      </w:r>
      <w:r>
        <w:t xml:space="preserve">respectively for S1 and S3 vs S2. As regards LIFE, energy system costs are lower than</w:t>
      </w:r>
      <w:r>
        <w:t xml:space="preserve"> </w:t>
      </w:r>
      <w:r>
        <w:t xml:space="preserve">for the other scenarios in 2041-2050, as the increase in capital costs and direct efficiency</w:t>
      </w:r>
      <w:r>
        <w:t xml:space="preserve"> </w:t>
      </w:r>
      <w:r>
        <w:t xml:space="preserve">investment costs is more than compensated by the 5.5% decrease in energy purchases</w:t>
      </w:r>
      <w:r>
        <w:t xml:space="preserve"> </w:t>
      </w:r>
      <w:r>
        <w:t xml:space="preserve">compared with S3.</w:t>
      </w:r>
      <w:r>
        <w:br/>
      </w:r>
      <w:r>
        <w:t xml:space="preserve">EU27</w:t>
      </w:r>
      <w:r>
        <w:t xml:space="preserve"> </w:t>
      </w:r>
      <w:r>
        <w:t xml:space="preserve">S1 vs. </w:t>
      </w:r>
      <w:r>
        <w:t xml:space="preserve"> </w:t>
      </w:r>
      <w:r>
        <w:t xml:space="preserve">S2</w:t>
      </w:r>
      <w:r>
        <w:t xml:space="preserve"> </w:t>
      </w:r>
      <w:r>
        <w:t xml:space="preserve">S3 vs. </w:t>
      </w:r>
      <w:r>
        <w:t xml:space="preserve"> </w:t>
      </w:r>
      <w:r>
        <w:t xml:space="preserve">S2</w:t>
      </w:r>
      <w:r>
        <w:t xml:space="preserve"> </w:t>
      </w:r>
      <w:r>
        <w:t xml:space="preserve">LIFE vs. </w:t>
      </w:r>
      <w:r>
        <w:t xml:space="preserve"> </w:t>
      </w:r>
      <w:r>
        <w:t xml:space="preserve">S3</w:t>
      </w:r>
      <w:r>
        <w:t xml:space="preserve"> </w:t>
      </w:r>
      <w:r>
        <w:t xml:space="preserve">S1 vs. </w:t>
      </w:r>
      <w:r>
        <w:t xml:space="preserve"> </w:t>
      </w:r>
      <w:r>
        <w:t xml:space="preserve">S2</w:t>
      </w:r>
      <w:r>
        <w:t xml:space="preserve"> </w:t>
      </w:r>
      <w:r>
        <w:t xml:space="preserve">S3 vs. </w:t>
      </w:r>
      <w:r>
        <w:t xml:space="preserve"> </w:t>
      </w:r>
      <w:r>
        <w:t xml:space="preserve">S2</w:t>
      </w:r>
      <w:r>
        <w:t xml:space="preserve"> </w:t>
      </w:r>
      <w:r>
        <w:t xml:space="preserve">LIFE vs. </w:t>
      </w:r>
      <w:r>
        <w:t xml:space="preserve"> </w:t>
      </w:r>
      <w:r>
        <w:t xml:space="preserve">S3</w:t>
      </w:r>
      <w:r>
        <w:t xml:space="preserve"> </w:t>
      </w:r>
      <w:r>
        <w:t xml:space="preserve">Total energy system costs</w:t>
      </w:r>
      <w:r>
        <w:t xml:space="preserve"> </w:t>
      </w:r>
      <w:r>
        <w:t xml:space="preserve">-2.1%</w:t>
      </w:r>
      <w:r>
        <w:t xml:space="preserve"> </w:t>
      </w:r>
      <w:r>
        <w:t xml:space="preserve">1.5%</w:t>
      </w:r>
      <w:r>
        <w:t xml:space="preserve"> </w:t>
      </w:r>
      <w:r>
        <w:t xml:space="preserve">-2.6%</w:t>
      </w:r>
      <w:r>
        <w:t xml:space="preserve"> </w:t>
      </w:r>
      <w:r>
        <w:t xml:space="preserve">-0.8%</w:t>
      </w:r>
      <w:r>
        <w:t xml:space="preserve"> </w:t>
      </w:r>
      <w:r>
        <w:t xml:space="preserve">0.1%</w:t>
      </w:r>
      <w:r>
        <w:t xml:space="preserve"> </w:t>
      </w:r>
      <w:r>
        <w:t xml:space="preserve">-4.6%</w:t>
      </w:r>
      <w:r>
        <w:t xml:space="preserve"> </w:t>
      </w:r>
      <w:r>
        <w:t xml:space="preserve">Industry</w:t>
      </w:r>
      <w:r>
        <w:t xml:space="preserve"> </w:t>
      </w:r>
      <w:r>
        <w:t xml:space="preserve">-3.4%</w:t>
      </w:r>
      <w:r>
        <w:t xml:space="preserve"> </w:t>
      </w:r>
      <w:r>
        <w:t xml:space="preserve">2.3%</w:t>
      </w:r>
      <w:r>
        <w:t xml:space="preserve"> </w:t>
      </w:r>
      <w:r>
        <w:t xml:space="preserve">-3.8%</w:t>
      </w:r>
      <w:r>
        <w:t xml:space="preserve"> </w:t>
      </w:r>
      <w:r>
        <w:t xml:space="preserve">-1.1%</w:t>
      </w:r>
      <w:r>
        <w:t xml:space="preserve"> </w:t>
      </w:r>
      <w:r>
        <w:t xml:space="preserve">0.6%</w:t>
      </w:r>
      <w:r>
        <w:t xml:space="preserve"> </w:t>
      </w:r>
      <w:r>
        <w:t xml:space="preserve">-8.7%</w:t>
      </w:r>
      <w:r>
        <w:t xml:space="preserve"> </w:t>
      </w:r>
      <w:r>
        <w:t xml:space="preserve">Tertiary</w:t>
      </w:r>
      <w:r>
        <w:t xml:space="preserve"> </w:t>
      </w:r>
      <w:r>
        <w:t xml:space="preserve">-0.5%</w:t>
      </w:r>
      <w:r>
        <w:t xml:space="preserve"> </w:t>
      </w:r>
      <w:r>
        <w:t xml:space="preserve">0.5%</w:t>
      </w:r>
      <w:r>
        <w:t xml:space="preserve"> </w:t>
      </w:r>
      <w:r>
        <w:t xml:space="preserve">-1.1%</w:t>
      </w:r>
      <w:r>
        <w:t xml:space="preserve"> </w:t>
      </w:r>
      <w:r>
        <w:t xml:space="preserve">0.2%</w:t>
      </w:r>
      <w:r>
        <w:t xml:space="preserve"> </w:t>
      </w:r>
      <w:r>
        <w:t xml:space="preserve">-0.3%</w:t>
      </w:r>
      <w:r>
        <w:t xml:space="preserve"> </w:t>
      </w:r>
      <w:r>
        <w:t xml:space="preserve">-2.7%</w:t>
      </w:r>
      <w:r>
        <w:t xml:space="preserve"> </w:t>
      </w:r>
      <w:r>
        <w:t xml:space="preserve">Residential</w:t>
      </w:r>
      <w:r>
        <w:t xml:space="preserve"> </w:t>
      </w:r>
      <w:r>
        <w:t xml:space="preserve">-1.4%</w:t>
      </w:r>
      <w:r>
        <w:t xml:space="preserve"> </w:t>
      </w:r>
      <w:r>
        <w:t xml:space="preserve">1.0%</w:t>
      </w:r>
      <w:r>
        <w:t xml:space="preserve"> </w:t>
      </w:r>
      <w:r>
        <w:t xml:space="preserve">-1.4%</w:t>
      </w:r>
      <w:r>
        <w:t xml:space="preserve"> </w:t>
      </w:r>
      <w:r>
        <w:t xml:space="preserve">-0.6%</w:t>
      </w:r>
      <w:r>
        <w:t xml:space="preserve"> </w:t>
      </w:r>
      <w:r>
        <w:t xml:space="preserve">0.2%</w:t>
      </w:r>
      <w:r>
        <w:t xml:space="preserve"> </w:t>
      </w:r>
      <w:r>
        <w:t xml:space="preserve">-2.0%</w:t>
      </w:r>
      <w:r>
        <w:t xml:space="preserve"> </w:t>
      </w:r>
      <w:r>
        <w:t xml:space="preserve">Transport</w:t>
      </w:r>
      <w:r>
        <w:t xml:space="preserve"> </w:t>
      </w:r>
      <w:r>
        <w:t xml:space="preserve">-3.1%</w:t>
      </w:r>
      <w:r>
        <w:t xml:space="preserve"> </w:t>
      </w:r>
      <w:r>
        <w:t xml:space="preserve">2.0%</w:t>
      </w:r>
      <w:r>
        <w:t xml:space="preserve"> </w:t>
      </w:r>
      <w:r>
        <w:t xml:space="preserve">-4.0%</w:t>
      </w:r>
      <w:r>
        <w:t xml:space="preserve"> </w:t>
      </w:r>
      <w:r>
        <w:t xml:space="preserve">-1.4%</w:t>
      </w:r>
      <w:r>
        <w:t xml:space="preserve"> </w:t>
      </w:r>
      <w:r>
        <w:t xml:space="preserve">-0.1%</w:t>
      </w:r>
      <w:r>
        <w:t xml:space="preserve"> </w:t>
      </w:r>
      <w:r>
        <w:t xml:space="preserve">-6.0%</w:t>
      </w:r>
      <w:r>
        <w:t xml:space="preserve"> </w:t>
      </w:r>
      <w:r>
        <w:t xml:space="preserve">Capital and direct efficiency investment costs</w:t>
      </w:r>
      <w:r>
        <w:t xml:space="preserve"> </w:t>
      </w:r>
      <w:r>
        <w:t xml:space="preserve">-1.8%</w:t>
      </w:r>
      <w:r>
        <w:t xml:space="preserve"> </w:t>
      </w:r>
      <w:r>
        <w:t xml:space="preserve">1.7%</w:t>
      </w:r>
      <w:r>
        <w:t xml:space="preserve"> </w:t>
      </w:r>
      <w:r>
        <w:t xml:space="preserve">-2.4%</w:t>
      </w:r>
      <w:r>
        <w:t xml:space="preserve"> </w:t>
      </w:r>
      <w:r>
        <w:t xml:space="preserve">-1.3%</w:t>
      </w:r>
      <w:r>
        <w:t xml:space="preserve"> </w:t>
      </w:r>
      <w:r>
        <w:t xml:space="preserve">1.2%</w:t>
      </w:r>
      <w:r>
        <w:t xml:space="preserve"> </w:t>
      </w:r>
      <w:r>
        <w:t xml:space="preserve">-3.4%</w:t>
      </w:r>
      <w:r>
        <w:t xml:space="preserve"> </w:t>
      </w:r>
      <w:r>
        <w:t xml:space="preserve">Industry</w:t>
      </w:r>
      <w:r>
        <w:t xml:space="preserve"> </w:t>
      </w:r>
      <w:r>
        <w:t xml:space="preserve">-3.2%</w:t>
      </w:r>
      <w:r>
        <w:t xml:space="preserve"> </w:t>
      </w:r>
      <w:r>
        <w:t xml:space="preserve">1.6%</w:t>
      </w:r>
      <w:r>
        <w:t xml:space="preserve"> </w:t>
      </w:r>
      <w:r>
        <w:t xml:space="preserve">-3.5%</w:t>
      </w:r>
      <w:r>
        <w:t xml:space="preserve"> </w:t>
      </w:r>
      <w:r>
        <w:t xml:space="preserve">-2.0%</w:t>
      </w:r>
      <w:r>
        <w:t xml:space="preserve"> </w:t>
      </w:r>
      <w:r>
        <w:t xml:space="preserve">0.8%</w:t>
      </w:r>
      <w:r>
        <w:t xml:space="preserve"> </w:t>
      </w:r>
      <w:r>
        <w:t xml:space="preserve">-8.1%</w:t>
      </w:r>
      <w:r>
        <w:t xml:space="preserve"> </w:t>
      </w:r>
      <w:r>
        <w:t xml:space="preserve">Tertiary</w:t>
      </w:r>
      <w:r>
        <w:t xml:space="preserve"> </w:t>
      </w:r>
      <w:r>
        <w:t xml:space="preserve">-2.1%</w:t>
      </w:r>
      <w:r>
        <w:t xml:space="preserve"> </w:t>
      </w:r>
      <w:r>
        <w:t xml:space="preserve">2.4%</w:t>
      </w:r>
      <w:r>
        <w:t xml:space="preserve"> </w:t>
      </w:r>
      <w:r>
        <w:t xml:space="preserve">-1.9%</w:t>
      </w:r>
      <w:r>
        <w:t xml:space="preserve"> </w:t>
      </w:r>
      <w:r>
        <w:t xml:space="preserve">-0.7%</w:t>
      </w:r>
      <w:r>
        <w:t xml:space="preserve"> </w:t>
      </w:r>
      <w:r>
        <w:t xml:space="preserve">1.0%</w:t>
      </w:r>
      <w:r>
        <w:t xml:space="preserve"> </w:t>
      </w:r>
      <w:r>
        <w:t xml:space="preserve">-1.9%</w:t>
      </w:r>
      <w:r>
        <w:t xml:space="preserve"> </w:t>
      </w:r>
      <w:r>
        <w:t xml:space="preserve">Residential</w:t>
      </w:r>
      <w:r>
        <w:t xml:space="preserve"> </w:t>
      </w:r>
      <w:r>
        <w:t xml:space="preserve">-1.9%</w:t>
      </w:r>
      <w:r>
        <w:t xml:space="preserve"> </w:t>
      </w:r>
      <w:r>
        <w:t xml:space="preserve">1.6%</w:t>
      </w:r>
      <w:r>
        <w:t xml:space="preserve"> </w:t>
      </w:r>
      <w:r>
        <w:t xml:space="preserve">-1.6%</w:t>
      </w:r>
      <w:r>
        <w:t xml:space="preserve"> </w:t>
      </w:r>
      <w:r>
        <w:t xml:space="preserve">-1.0%</w:t>
      </w:r>
      <w:r>
        <w:t xml:space="preserve"> </w:t>
      </w:r>
      <w:r>
        <w:t xml:space="preserve">0.9%</w:t>
      </w:r>
      <w:r>
        <w:t xml:space="preserve"> </w:t>
      </w:r>
      <w:r>
        <w:t xml:space="preserve">-0.4%</w:t>
      </w:r>
      <w:r>
        <w:t xml:space="preserve"> </w:t>
      </w:r>
      <w:r>
        <w:t xml:space="preserve">Transport</w:t>
      </w:r>
      <w:r>
        <w:t xml:space="preserve"> </w:t>
      </w:r>
      <w:r>
        <w:t xml:space="preserve">-1.1%</w:t>
      </w:r>
      <w:r>
        <w:t xml:space="preserve"> </w:t>
      </w:r>
      <w:r>
        <w:t xml:space="preserve">1.6%</w:t>
      </w:r>
      <w:r>
        <w:t xml:space="preserve"> </w:t>
      </w:r>
      <w:r>
        <w:t xml:space="preserve">-4.0%</w:t>
      </w:r>
      <w:r>
        <w:t xml:space="preserve"> </w:t>
      </w:r>
      <w:r>
        <w:t xml:space="preserve">-2.0%</w:t>
      </w:r>
      <w:r>
        <w:t xml:space="preserve"> </w:t>
      </w:r>
      <w:r>
        <w:t xml:space="preserve">2.0%</w:t>
      </w:r>
      <w:r>
        <w:t xml:space="preserve"> </w:t>
      </w:r>
      <w:r>
        <w:t xml:space="preserve">-7.5%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-2.3%</w:t>
      </w:r>
      <w:r>
        <w:t xml:space="preserve"> </w:t>
      </w:r>
      <w:r>
        <w:t xml:space="preserve">1.3%</w:t>
      </w:r>
      <w:r>
        <w:t xml:space="preserve"> </w:t>
      </w:r>
      <w:r>
        <w:t xml:space="preserve">-2.7%</w:t>
      </w:r>
      <w:r>
        <w:t xml:space="preserve"> </w:t>
      </w:r>
      <w:r>
        <w:t xml:space="preserve">-0.4%</w:t>
      </w:r>
      <w:r>
        <w:t xml:space="preserve"> </w:t>
      </w:r>
      <w:r>
        <w:t xml:space="preserve">-0.7%</w:t>
      </w:r>
      <w:r>
        <w:t xml:space="preserve"> </w:t>
      </w:r>
      <w:r>
        <w:t xml:space="preserve">-5.5%</w:t>
      </w:r>
      <w:r>
        <w:t xml:space="preserve"> </w:t>
      </w:r>
      <w:r>
        <w:t xml:space="preserve">Industry</w:t>
      </w:r>
      <w:r>
        <w:t xml:space="preserve"> </w:t>
      </w:r>
      <w:r>
        <w:t xml:space="preserve">-3.4%</w:t>
      </w:r>
      <w:r>
        <w:t xml:space="preserve"> </w:t>
      </w:r>
      <w:r>
        <w:t xml:space="preserve">2.5%</w:t>
      </w:r>
      <w:r>
        <w:t xml:space="preserve"> </w:t>
      </w:r>
      <w:r>
        <w:t xml:space="preserve">-3.8%</w:t>
      </w:r>
      <w:r>
        <w:t xml:space="preserve"> </w:t>
      </w:r>
      <w:r>
        <w:t xml:space="preserve">-0.8%</w:t>
      </w:r>
      <w:r>
        <w:t xml:space="preserve"> </w:t>
      </w:r>
      <w:r>
        <w:t xml:space="preserve">0.5%</w:t>
      </w:r>
      <w:r>
        <w:t xml:space="preserve"> </w:t>
      </w:r>
      <w:r>
        <w:t xml:space="preserve">-8.9%</w:t>
      </w:r>
      <w:r>
        <w:t xml:space="preserve"> </w:t>
      </w:r>
      <w:r>
        <w:t xml:space="preserve">Tertiary</w:t>
      </w:r>
      <w:r>
        <w:t xml:space="preserve"> </w:t>
      </w:r>
      <w:r>
        <w:t xml:space="preserve">0.3%</w:t>
      </w:r>
      <w:r>
        <w:t xml:space="preserve"> </w:t>
      </w:r>
      <w:r>
        <w:t xml:space="preserve">-0.5%</w:t>
      </w:r>
      <w:r>
        <w:t xml:space="preserve"> </w:t>
      </w:r>
      <w:r>
        <w:t xml:space="preserve">-0.6%</w:t>
      </w:r>
      <w:r>
        <w:t xml:space="preserve"> </w:t>
      </w:r>
      <w:r>
        <w:t xml:space="preserve">0.8%</w:t>
      </w:r>
      <w:r>
        <w:t xml:space="preserve"> </w:t>
      </w:r>
      <w:r>
        <w:t xml:space="preserve">-1.0%</w:t>
      </w:r>
      <w:r>
        <w:t xml:space="preserve"> </w:t>
      </w:r>
      <w:r>
        <w:t xml:space="preserve">-3.1%</w:t>
      </w:r>
      <w:r>
        <w:t xml:space="preserve"> </w:t>
      </w:r>
      <w:r>
        <w:t xml:space="preserve">Residential</w:t>
      </w:r>
      <w:r>
        <w:t xml:space="preserve"> </w:t>
      </w:r>
      <w:r>
        <w:t xml:space="preserve">-0.7%</w:t>
      </w:r>
      <w:r>
        <w:t xml:space="preserve"> </w:t>
      </w:r>
      <w:r>
        <w:t xml:space="preserve">0.3%</w:t>
      </w:r>
      <w:r>
        <w:t xml:space="preserve"> </w:t>
      </w:r>
      <w:r>
        <w:t xml:space="preserve">-1.1%</w:t>
      </w:r>
      <w:r>
        <w:t xml:space="preserve"> </w:t>
      </w:r>
      <w:r>
        <w:t xml:space="preserve">0.0%</w:t>
      </w:r>
      <w:r>
        <w:t xml:space="preserve"> </w:t>
      </w:r>
      <w:r>
        <w:t xml:space="preserve">-0.8%</w:t>
      </w:r>
      <w:r>
        <w:t xml:space="preserve"> </w:t>
      </w:r>
      <w:r>
        <w:t xml:space="preserve">-4.3%</w:t>
      </w:r>
      <w:r>
        <w:t xml:space="preserve"> </w:t>
      </w:r>
      <w:r>
        <w:t xml:space="preserve">Transport</w:t>
      </w:r>
      <w:r>
        <w:t xml:space="preserve"> </w:t>
      </w:r>
      <w:r>
        <w:t xml:space="preserve">-3.9%</w:t>
      </w:r>
      <w:r>
        <w:t xml:space="preserve"> </w:t>
      </w:r>
      <w:r>
        <w:t xml:space="preserve">2.1%</w:t>
      </w:r>
      <w:r>
        <w:t xml:space="preserve"> </w:t>
      </w:r>
      <w:r>
        <w:t xml:space="preserve">-4.0%</w:t>
      </w:r>
      <w:r>
        <w:t xml:space="preserve"> </w:t>
      </w:r>
      <w:r>
        <w:t xml:space="preserve">-1.0%</w:t>
      </w:r>
      <w:r>
        <w:t xml:space="preserve"> </w:t>
      </w:r>
      <w:r>
        <w:t xml:space="preserve">-1.3%</w:t>
      </w:r>
      <w:r>
        <w:t xml:space="preserve"> </w:t>
      </w:r>
      <w:r>
        <w:t xml:space="preserve">-5.1%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Figure 112: Total energy system costs as a percentage of GDP</w:t>
      </w:r>
    </w:p>
    <w:p>
      <w:pPr>
        <w:pStyle w:val="BodyText"/>
      </w:pPr>
      <w:r>
        <w:t xml:space="preserve">Source: Commission based on the PRIMES model.</w:t>
      </w:r>
      <w:r>
        <w:t xml:space="preserve"> </w:t>
      </w:r>
      <w:r>
        <w:t xml:space="preserve">As a percentage of GDP, energy system costs decrease between 2030 and 2040 as GDP</w:t>
      </w:r>
      <w:r>
        <w:t xml:space="preserve"> </w:t>
      </w:r>
      <w:r>
        <w:t xml:space="preserve">growth offsets the slight increase in system costs. As a result, the percentage of system</w:t>
      </w:r>
      <w:r>
        <w:t xml:space="preserve"> </w:t>
      </w:r>
      <w:r>
        <w:t xml:space="preserve">costs over GDP decreases from 13.3% in 2030 to 11.7%-12.3% in 2040 and to 10.6% in</w:t>
      </w:r>
      <w:r>
        <w:t xml:space="preserve"> </w:t>
      </w:r>
      <w:r>
        <w:t xml:space="preserve">2050 for S1, S2 and S3 (10.4% for LIFE), as illustrated by Figure 112. In 2040, energy</w:t>
      </w:r>
      <w:r>
        <w:t xml:space="preserve"> </w:t>
      </w:r>
      <w:r>
        <w:t xml:space="preserve">system costs represent a lower share of GDP in S1 (11.7%) than in S2 (12.1%) and S3</w:t>
      </w:r>
      <w:r>
        <w:t xml:space="preserve"> </w:t>
      </w:r>
      <w:r>
        <w:t xml:space="preserve">and LIFE (12.2-12.3%). Decreasing energy purchases are the main reason for the</w:t>
      </w:r>
      <w:r>
        <w:t xml:space="preserve"> </w:t>
      </w:r>
      <w:r>
        <w:t xml:space="preserve">decrease in the share of energy system costs as a percentage of GDP.</w:t>
      </w:r>
      <w:r>
        <w:br/>
      </w:r>
      <w:r>
        <w:t xml:space="preserve">Importantly, energy system modelling captures well the energy system costs but the costs</w:t>
      </w:r>
      <w:r>
        <w:t xml:space="preserve"> </w:t>
      </w:r>
      <w:r>
        <w:t xml:space="preserve">associated with the transition are much broader and the challenge to address them much</w:t>
      </w:r>
      <w:r>
        <w:t xml:space="preserve"> </w:t>
      </w:r>
      <w:r>
        <w:t xml:space="preserve">bigger. Rapid structural change will lead to the devaluation of equipment and other assets</w:t>
      </w:r>
      <w:r>
        <w:t xml:space="preserve"> </w:t>
      </w:r>
      <w:r>
        <w:t xml:space="preserve">of several industries notably in fossil fuels extraction and processing. It will also force</w:t>
      </w:r>
      <w:r>
        <w:t xml:space="preserve"> </w:t>
      </w:r>
      <w:r>
        <w:t xml:space="preserve">consumers to replace durable consumer goods and renovate houses more quickly.</w:t>
      </w:r>
      <w:r>
        <w:t xml:space="preserve"> </w:t>
      </w:r>
      <w:r>
        <w:t xml:space="preserve">Workers with sector specific knowledge might lose part of their investment in training</w:t>
      </w:r>
      <w:r>
        <w:t xml:space="preserve"> </w:t>
      </w:r>
      <w:r>
        <w:t xml:space="preserve">and education. These phenomena will have to be addressed by active labour market</w:t>
      </w:r>
      <w:r>
        <w:t xml:space="preserve"> </w:t>
      </w:r>
      <w:r>
        <w:t xml:space="preserve">policies with greater demand on public expenditures.</w:t>
      </w:r>
      <w:r>
        <w:t xml:space="preserve"> </w:t>
      </w:r>
      <w:r>
        <w:t xml:space="preserve">2.3.2. Energy system costs and prices for industry</w:t>
      </w:r>
      <w:r>
        <w:br/>
      </w:r>
      <w:r>
        <w:t xml:space="preserve">Table 35 shows energy costs for industry in relative terms compared to S1. Necessary</w:t>
      </w:r>
      <w:r>
        <w:t xml:space="preserve"> </w:t>
      </w:r>
      <w:r>
        <w:t xml:space="preserve">implementation of low-carbon processes and energy efficiency improvements lead to</w:t>
      </w:r>
      <w:r>
        <w:t xml:space="preserve"> </w:t>
      </w:r>
      <w:r>
        <w:t xml:space="preserve">stronger differentiation of capital-related costs across scenarios for energy-intensive</w:t>
      </w:r>
      <w:r>
        <w:t xml:space="preserve"> </w:t>
      </w:r>
      <w:r>
        <w:t xml:space="preserve">industries in 2031-2040, with a difference of -3.4% for S1 and +1.7% for S3 compared</w:t>
      </w:r>
      <w:r>
        <w:t xml:space="preserve"> </w:t>
      </w:r>
      <w:r>
        <w:t xml:space="preserve">with S2 (respectively -2.6% and +1.4% for non-energy intensive industries). Energy</w:t>
      </w:r>
      <w:r>
        <w:t xml:space="preserve"> </w:t>
      </w:r>
      <w:r>
        <w:t xml:space="preserve">purchases increases across scenarios by 2040, with e-fuels driving the variation from S1</w:t>
      </w:r>
      <w:r>
        <w:t xml:space="preserve"> </w:t>
      </w:r>
      <w:r>
        <w:t xml:space="preserve">to S2 (-3.4% for S1 vs S2) and to S3 (+2.5% vs S2), in line with the level of</w:t>
      </w:r>
      <w:r>
        <w:t xml:space="preserve"> </w:t>
      </w:r>
      <w:r>
        <w:t xml:space="preserve">decarbonisation and their role to substitute remaining fossil fuels. The part of the energy</w:t>
      </w:r>
      <w:r>
        <w:t xml:space="preserve"> </w:t>
      </w:r>
      <w:r>
        <w:t xml:space="preserve">purchases that are linked to carbon revenues could also be channelled back toward</w:t>
      </w:r>
      <w:r>
        <w:t xml:space="preserve"> </w:t>
      </w:r>
      <w:r>
        <w:t xml:space="preserve">industry through funding mechanisms encouraging the transition.</w:t>
      </w:r>
      <w:r>
        <w:br/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Table 35: Energy system costs for industry (% difference vs. S2)</w:t>
      </w:r>
    </w:p>
    <w:p>
      <w:pPr>
        <w:pStyle w:val="BodyText"/>
      </w:pPr>
      <w:r>
        <w:t xml:space="preserve">Note: Energy purchases include carbon revenues.</w:t>
      </w:r>
      <w:r>
        <w:br/>
      </w:r>
      <w:r>
        <w:t xml:space="preserve">Source: PRIMES.</w:t>
      </w:r>
    </w:p>
    <w:p>
      <w:pPr>
        <w:pStyle w:val="BodyText"/>
      </w:pPr>
      <w:r>
        <w:t xml:space="preserve">Table 36 shows the evolution of the average electricity prices for industry in 2040 and</w:t>
      </w:r>
      <w:r>
        <w:t xml:space="preserve"> </w:t>
      </w:r>
      <w:r>
        <w:t xml:space="preserve">2050. They remain fairly stable on the long run and are similar across all scenarios,</w:t>
      </w:r>
      <w:r>
        <w:t xml:space="preserve"> </w:t>
      </w:r>
      <w:r>
        <w:t xml:space="preserve">reflecting the evolution of the electricity production system costs that evolve towards</w:t>
      </w:r>
      <w:r>
        <w:t xml:space="preserve"> </w:t>
      </w:r>
      <w:r>
        <w:t xml:space="preserve">lower operating costs and higher capital-related costs. Low-carbon capacities substitute</w:t>
      </w:r>
      <w:r>
        <w:t xml:space="preserve"> </w:t>
      </w:r>
      <w:r>
        <w:t xml:space="preserve">CO2-emitting assets progressively driving the system to a more capital-based structure</w:t>
      </w:r>
      <w:r>
        <w:t xml:space="preserve"> </w:t>
      </w:r>
      <w:r>
        <w:t xml:space="preserve">less exposed to fossil fuels prices.</w:t>
      </w:r>
      <w:r>
        <w:t xml:space="preserve"> </w:t>
      </w:r>
      <w:r>
        <w:t xml:space="preserve">EU27</w:t>
      </w:r>
      <w:r>
        <w:t xml:space="preserve"> </w:t>
      </w:r>
      <w:r>
        <w:t xml:space="preserve">S1 vs. S2 S3 vs. S2</w:t>
      </w:r>
      <w:r>
        <w:t xml:space="preserve"> </w:t>
      </w:r>
      <w:r>
        <w:t xml:space="preserve">LIFE vs. </w:t>
      </w:r>
      <w:r>
        <w:t xml:space="preserve"> </w:t>
      </w:r>
      <w:r>
        <w:t xml:space="preserve">S3</w:t>
      </w:r>
      <w:r>
        <w:t xml:space="preserve"> </w:t>
      </w:r>
      <w:r>
        <w:t xml:space="preserve">S1 vs. S2 S3 vs. S2</w:t>
      </w:r>
      <w:r>
        <w:t xml:space="preserve"> </w:t>
      </w:r>
      <w:r>
        <w:t xml:space="preserve">LIFE vs. </w:t>
      </w:r>
      <w:r>
        <w:t xml:space="preserve"> </w:t>
      </w:r>
      <w:r>
        <w:t xml:space="preserve">S3</w:t>
      </w:r>
      <w:r>
        <w:t xml:space="preserve"> </w:t>
      </w:r>
      <w:r>
        <w:t xml:space="preserve">Total energy system costs</w:t>
      </w:r>
      <w:r>
        <w:t xml:space="preserve"> </w:t>
      </w:r>
      <w:r>
        <w:t xml:space="preserve">-3.4%</w:t>
      </w:r>
      <w:r>
        <w:t xml:space="preserve"> </w:t>
      </w:r>
      <w:r>
        <w:t xml:space="preserve">2.3%</w:t>
      </w:r>
      <w:r>
        <w:t xml:space="preserve"> </w:t>
      </w:r>
      <w:r>
        <w:t xml:space="preserve">-3.8%</w:t>
      </w:r>
      <w:r>
        <w:t xml:space="preserve"> </w:t>
      </w:r>
      <w:r>
        <w:t xml:space="preserve">-1.1%</w:t>
      </w:r>
      <w:r>
        <w:t xml:space="preserve"> </w:t>
      </w:r>
      <w:r>
        <w:t xml:space="preserve">0.6%</w:t>
      </w:r>
      <w:r>
        <w:t xml:space="preserve"> </w:t>
      </w:r>
      <w:r>
        <w:t xml:space="preserve">-8.7%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-4.4%</w:t>
      </w:r>
      <w:r>
        <w:t xml:space="preserve"> </w:t>
      </w:r>
      <w:r>
        <w:t xml:space="preserve">2.9%</w:t>
      </w:r>
      <w:r>
        <w:t xml:space="preserve"> </w:t>
      </w:r>
      <w:r>
        <w:t xml:space="preserve">-5.0%</w:t>
      </w:r>
      <w:r>
        <w:t xml:space="preserve"> </w:t>
      </w:r>
      <w:r>
        <w:t xml:space="preserve">-1.3%</w:t>
      </w:r>
      <w:r>
        <w:t xml:space="preserve"> </w:t>
      </w:r>
      <w:r>
        <w:t xml:space="preserve">0.3%</w:t>
      </w:r>
      <w:r>
        <w:t xml:space="preserve"> </w:t>
      </w:r>
      <w:r>
        <w:t xml:space="preserve">-11.5%</w:t>
      </w:r>
      <w:r>
        <w:t xml:space="preserve"> </w:t>
      </w:r>
      <w:r>
        <w:t xml:space="preserve">Non-energy intensive industries</w:t>
      </w:r>
      <w:r>
        <w:t xml:space="preserve"> </w:t>
      </w:r>
      <w:r>
        <w:t xml:space="preserve">-1.1%</w:t>
      </w:r>
      <w:r>
        <w:t xml:space="preserve"> </w:t>
      </w:r>
      <w:r>
        <w:t xml:space="preserve">0.9%</w:t>
      </w:r>
      <w:r>
        <w:t xml:space="preserve"> </w:t>
      </w:r>
      <w:r>
        <w:t xml:space="preserve">-0.9%</w:t>
      </w:r>
      <w:r>
        <w:t xml:space="preserve"> </w:t>
      </w:r>
      <w:r>
        <w:t xml:space="preserve">-0.3%</w:t>
      </w:r>
      <w:r>
        <w:t xml:space="preserve"> </w:t>
      </w:r>
      <w:r>
        <w:t xml:space="preserve">1.3%</w:t>
      </w:r>
      <w:r>
        <w:t xml:space="preserve"> </w:t>
      </w:r>
      <w:r>
        <w:t xml:space="preserve">-1.7%</w:t>
      </w:r>
      <w:r>
        <w:t xml:space="preserve"> </w:t>
      </w:r>
      <w:r>
        <w:t xml:space="preserve">Capital and direct efficiency investment costs</w:t>
      </w:r>
      <w:r>
        <w:t xml:space="preserve"> </w:t>
      </w:r>
      <w:r>
        <w:t xml:space="preserve">-3.2%</w:t>
      </w:r>
      <w:r>
        <w:t xml:space="preserve"> </w:t>
      </w:r>
      <w:r>
        <w:t xml:space="preserve">1.6%</w:t>
      </w:r>
      <w:r>
        <w:t xml:space="preserve"> </w:t>
      </w:r>
      <w:r>
        <w:t xml:space="preserve">-3.5%</w:t>
      </w:r>
      <w:r>
        <w:t xml:space="preserve"> </w:t>
      </w:r>
      <w:r>
        <w:t xml:space="preserve">-2.0%</w:t>
      </w:r>
      <w:r>
        <w:t xml:space="preserve"> </w:t>
      </w:r>
      <w:r>
        <w:t xml:space="preserve">0.8%</w:t>
      </w:r>
      <w:r>
        <w:t xml:space="preserve"> </w:t>
      </w:r>
      <w:r>
        <w:t xml:space="preserve">-8.1%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-3.4%</w:t>
      </w:r>
      <w:r>
        <w:t xml:space="preserve"> </w:t>
      </w:r>
      <w:r>
        <w:t xml:space="preserve">1.7%</w:t>
      </w:r>
      <w:r>
        <w:t xml:space="preserve"> </w:t>
      </w:r>
      <w:r>
        <w:t xml:space="preserve">-4.5%</w:t>
      </w:r>
      <w:r>
        <w:t xml:space="preserve"> </w:t>
      </w:r>
      <w:r>
        <w:t xml:space="preserve">-1.8%</w:t>
      </w:r>
      <w:r>
        <w:t xml:space="preserve"> </w:t>
      </w:r>
      <w:r>
        <w:t xml:space="preserve">0.4%</w:t>
      </w:r>
      <w:r>
        <w:t xml:space="preserve"> </w:t>
      </w:r>
      <w:r>
        <w:t xml:space="preserve">-10.3%</w:t>
      </w:r>
      <w:r>
        <w:t xml:space="preserve"> </w:t>
      </w:r>
      <w:r>
        <w:t xml:space="preserve">Non-energy intensive industries</w:t>
      </w:r>
      <w:r>
        <w:t xml:space="preserve"> </w:t>
      </w:r>
      <w:r>
        <w:t xml:space="preserve">-2.6%</w:t>
      </w:r>
      <w:r>
        <w:t xml:space="preserve"> </w:t>
      </w:r>
      <w:r>
        <w:t xml:space="preserve">1.4%</w:t>
      </w:r>
      <w:r>
        <w:t xml:space="preserve"> </w:t>
      </w:r>
      <w:r>
        <w:t xml:space="preserve">-0.6%</w:t>
      </w:r>
      <w:r>
        <w:t xml:space="preserve"> </w:t>
      </w:r>
      <w:r>
        <w:t xml:space="preserve">-2.3%</w:t>
      </w:r>
      <w:r>
        <w:t xml:space="preserve"> </w:t>
      </w:r>
      <w:r>
        <w:t xml:space="preserve">1.9%</w:t>
      </w:r>
      <w:r>
        <w:t xml:space="preserve"> </w:t>
      </w:r>
      <w:r>
        <w:t xml:space="preserve">-1.9%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-3.4%</w:t>
      </w:r>
      <w:r>
        <w:t xml:space="preserve"> </w:t>
      </w:r>
      <w:r>
        <w:t xml:space="preserve">2.5%</w:t>
      </w:r>
      <w:r>
        <w:t xml:space="preserve"> </w:t>
      </w:r>
      <w:r>
        <w:t xml:space="preserve">-3.8%</w:t>
      </w:r>
      <w:r>
        <w:t xml:space="preserve"> </w:t>
      </w:r>
      <w:r>
        <w:t xml:space="preserve">-0.8%</w:t>
      </w:r>
      <w:r>
        <w:t xml:space="preserve"> </w:t>
      </w:r>
      <w:r>
        <w:t xml:space="preserve">0.5%</w:t>
      </w:r>
      <w:r>
        <w:t xml:space="preserve"> </w:t>
      </w:r>
      <w:r>
        <w:t xml:space="preserve">-8.9%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-4.7%</w:t>
      </w:r>
      <w:r>
        <w:t xml:space="preserve"> </w:t>
      </w:r>
      <w:r>
        <w:t xml:space="preserve">3.3%</w:t>
      </w:r>
      <w:r>
        <w:t xml:space="preserve"> </w:t>
      </w:r>
      <w:r>
        <w:t xml:space="preserve">-5.1%</w:t>
      </w:r>
      <w:r>
        <w:t xml:space="preserve"> </w:t>
      </w:r>
      <w:r>
        <w:t xml:space="preserve">-1.2%</w:t>
      </w:r>
      <w:r>
        <w:t xml:space="preserve"> </w:t>
      </w:r>
      <w:r>
        <w:t xml:space="preserve">0.3%</w:t>
      </w:r>
      <w:r>
        <w:t xml:space="preserve"> </w:t>
      </w:r>
      <w:r>
        <w:t xml:space="preserve">-11.9%</w:t>
      </w:r>
      <w:r>
        <w:t xml:space="preserve"> </w:t>
      </w:r>
      <w:r>
        <w:t xml:space="preserve">Non-energy intensive industries</w:t>
      </w:r>
      <w:r>
        <w:t xml:space="preserve"> </w:t>
      </w:r>
      <w:r>
        <w:t xml:space="preserve">-0.8%</w:t>
      </w:r>
      <w:r>
        <w:t xml:space="preserve"> </w:t>
      </w:r>
      <w:r>
        <w:t xml:space="preserve">0.8%</w:t>
      </w:r>
      <w:r>
        <w:t xml:space="preserve"> </w:t>
      </w:r>
      <w:r>
        <w:t xml:space="preserve">-1.0%</w:t>
      </w:r>
      <w:r>
        <w:t xml:space="preserve"> </w:t>
      </w:r>
      <w:r>
        <w:t xml:space="preserve">0.3%</w:t>
      </w:r>
      <w:r>
        <w:t xml:space="preserve"> </w:t>
      </w:r>
      <w:r>
        <w:t xml:space="preserve">1.1%</w:t>
      </w:r>
      <w:r>
        <w:t xml:space="preserve"> </w:t>
      </w:r>
      <w:r>
        <w:t xml:space="preserve">-1.7%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Table 36: Average final price of electricity for industry</w:t>
      </w:r>
      <w:r>
        <w:t xml:space="preserve"> </w:t>
      </w:r>
      <w:r>
        <w:t xml:space="preserve">EUR23/MWh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S1, S2, S3, LIFE</w:t>
      </w:r>
      <w:r>
        <w:t xml:space="preserve"> </w:t>
      </w:r>
      <w:r>
        <w:t xml:space="preserve">S1, S2, S3, LIFE</w:t>
      </w:r>
      <w:r>
        <w:t xml:space="preserve"> </w:t>
      </w:r>
      <w:r>
        <w:t xml:space="preserve">(S2)</w:t>
      </w:r>
      <w:r>
        <w:t xml:space="preserve"> </w:t>
      </w:r>
      <w:r>
        <w:t xml:space="preserve">Industry</w:t>
      </w:r>
      <w:r>
        <w:t xml:space="preserve"> </w:t>
      </w:r>
      <w:r>
        <w:t xml:space="preserve">133</w:t>
      </w:r>
      <w:r>
        <w:t xml:space="preserve"> </w:t>
      </w:r>
      <w:r>
        <w:t xml:space="preserve">130-131</w:t>
      </w:r>
      <w:r>
        <w:t xml:space="preserve"> </w:t>
      </w:r>
      <w:r>
        <w:t xml:space="preserve">131</w:t>
      </w:r>
      <w:r>
        <w:t xml:space="preserve"> </w:t>
      </w:r>
      <w:r>
        <w:t xml:space="preserve">Note: The electricity prices shown here reflects the evolution of the average electricity production costs to</w:t>
      </w:r>
      <w:r>
        <w:t xml:space="preserve"> </w:t>
      </w:r>
      <w:r>
        <w:t xml:space="preserve">supply industry (i.e., considering their load profile) as well as the taxes applied to the sector.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Figure 113: Consumption of electricity by industry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Figure 113 Shows also that electrification is delayed in the scenario S1 and has to</w:t>
      </w:r>
      <w:r>
        <w:t xml:space="preserve"> </w:t>
      </w:r>
      <w:r>
        <w:t xml:space="preserve">accelerate significantly in 2040-2045 to catch up with the needed level by 2050. In</w:t>
      </w:r>
      <w:r>
        <w:t xml:space="preserve"> </w:t>
      </w:r>
      <w:r>
        <w:t xml:space="preserve">scenario S1, the necessary increase of almost 20 Mtoe of electricity consumption by</w:t>
      </w:r>
      <w:r>
        <w:t xml:space="preserve"> </w:t>
      </w:r>
      <w:r>
        <w:t xml:space="preserve">industry in only 5 years between 2040 and 2045 will put the system under pressure and</w:t>
      </w:r>
      <w:r>
        <w:t xml:space="preserve"> </w:t>
      </w:r>
      <w:r>
        <w:t xml:space="preserve">will make it vulnerable to any possible delay in the deployment of some technologies</w:t>
      </w:r>
      <w:r>
        <w:t xml:space="preserve"> </w:t>
      </w:r>
      <w:r>
        <w:t xml:space="preserve">such as renewables or storage.</w:t>
      </w:r>
      <w:r>
        <w:t xml:space="preserve"> </w:t>
      </w:r>
      <w:r>
        <w:t xml:space="preserve">70</w:t>
      </w:r>
      <w:r>
        <w:t xml:space="preserve"> </w:t>
      </w:r>
      <w:r>
        <w:t xml:space="preserve">75</w:t>
      </w:r>
      <w:r>
        <w:t xml:space="preserve"> </w:t>
      </w:r>
      <w:r>
        <w:t xml:space="preserve">80</w:t>
      </w:r>
      <w:r>
        <w:t xml:space="preserve"> </w:t>
      </w:r>
      <w:r>
        <w:t xml:space="preserve">85</w:t>
      </w:r>
      <w:r>
        <w:t xml:space="preserve"> </w:t>
      </w:r>
      <w:r>
        <w:t xml:space="preserve">90</w:t>
      </w:r>
      <w:r>
        <w:t xml:space="preserve"> </w:t>
      </w:r>
      <w:r>
        <w:t xml:space="preserve">95</w:t>
      </w:r>
      <w:r>
        <w:t xml:space="preserve"> </w:t>
      </w:r>
      <w:r>
        <w:t xml:space="preserve">100</w:t>
      </w:r>
      <w:r>
        <w:t xml:space="preserve"> </w:t>
      </w:r>
      <w:r>
        <w:t xml:space="preserve">105</w:t>
      </w:r>
      <w:r>
        <w:t xml:space="preserve"> </w:t>
      </w:r>
      <w:r>
        <w:t xml:space="preserve">110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Figure 114: Consumption of gas by industry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Figure 114 Shows that the increase in electricity consumption is concomitant with a swift</w:t>
      </w:r>
      <w:r>
        <w:t xml:space="preserve"> </w:t>
      </w:r>
      <w:r>
        <w:t xml:space="preserve">decrease of gas consumption in industry. This is possible thanks to the investments made</w:t>
      </w:r>
      <w:r>
        <w:t xml:space="preserve"> </w:t>
      </w:r>
      <w:r>
        <w:t xml:space="preserve">by industry in energy equipment, both in energy efficiency and in switching from fossil</w:t>
      </w:r>
      <w:r>
        <w:t xml:space="preserve"> </w:t>
      </w:r>
      <w:r>
        <w:t xml:space="preserve">fuels to electricity. The phase-out of gas is slower in S1 compared with the other</w:t>
      </w:r>
      <w:r>
        <w:t xml:space="preserve"> </w:t>
      </w:r>
      <w:r>
        <w:t xml:space="preserve">scenarios due to the lower investments made in energy equipment but catches up with the</w:t>
      </w:r>
      <w:r>
        <w:t xml:space="preserve"> </w:t>
      </w:r>
      <w:r>
        <w:t xml:space="preserve">other scenarios by 2045. In all scenarios, gas consumption is reduced to around 10 Mtoe</w:t>
      </w:r>
      <w:r>
        <w:t xml:space="preserve"> </w:t>
      </w:r>
      <w:r>
        <w:t xml:space="preserve">for all EU industry in 2050.</w:t>
      </w:r>
      <w:r>
        <w:br/>
      </w:r>
      <w:r>
        <w:t xml:space="preserve">2.3.3. Energy system costs and prices for services</w:t>
      </w:r>
      <w:r>
        <w:br/>
      </w:r>
      <w:r>
        <w:t xml:space="preserve">For services, total energy system costs are 0.5% lower in S1 and 0.5% higher</w:t>
      </w:r>
      <w:r>
        <w:t xml:space="preserve"> </w:t>
      </w:r>
      <w:r>
        <w:t xml:space="preserve">respectively in S1 and S3 vs S2 for the decade 2031-2040 (Table 34). On the contrary,</w:t>
      </w:r>
      <w:r>
        <w:t xml:space="preserve"> </w:t>
      </w:r>
      <w:r>
        <w:t xml:space="preserve">for the following decade 2041-2050, energy system costs are slightly higher in S1</w:t>
      </w:r>
      <w:r>
        <w:t xml:space="preserve"> </w:t>
      </w:r>
      <w:r>
        <w:t xml:space="preserve">(+0.2%) and lower in S3 (-0.3%) compared with S2. This illustrates that more ambitious</w:t>
      </w:r>
      <w:r>
        <w:t xml:space="preserve"> </w:t>
      </w:r>
      <w:r>
        <w:t xml:space="preserve">scenarios lead to lower system costs for services. LIFE shows even lower cost, 2.7% less</w:t>
      </w:r>
      <w:r>
        <w:t xml:space="preserve"> </w:t>
      </w:r>
      <w:r>
        <w:t xml:space="preserve">than in the S3 scenario in 2041-2050.</w:t>
      </w:r>
      <w:r>
        <w:br/>
      </w:r>
      <w:r>
        <w:t xml:space="preserve">Increases in the capital-related cost in 2031-2040 are mostly related to investments to</w:t>
      </w:r>
      <w:r>
        <w:t xml:space="preserve"> </w:t>
      </w:r>
      <w:r>
        <w:t xml:space="preserve">renovate buildings, with stronger energy efficiency related renovation effort in S3 (up to</w:t>
      </w:r>
      <w:r>
        <w:t xml:space="preserve"> </w:t>
      </w:r>
      <w:r>
        <w:t xml:space="preserve">2.4% more) than in S2, and which results in lower energy purchases expenses. Indeed,</w:t>
      </w:r>
      <w:r>
        <w:t xml:space="preserve"> </w:t>
      </w:r>
      <w:r>
        <w:t xml:space="preserve">energy purchases are 0.5% lower in S3 compared with S2 in 2031-2040.</w:t>
      </w:r>
      <w:r>
        <w:br/>
      </w:r>
      <w:r>
        <w:t xml:space="preserve">Table 37 shows the evolution of the average electricity prices for services in 2040 and</w:t>
      </w:r>
      <w:r>
        <w:t xml:space="preserve"> </w:t>
      </w:r>
      <w:r>
        <w:t xml:space="preserve">2050, which follow a similar trend as the prices for industry, remaining fairly stable on</w:t>
      </w:r>
      <w:r>
        <w:t xml:space="preserve"> </w:t>
      </w:r>
      <w:r>
        <w:t xml:space="preserve">the long run and similar across all scenarios.</w:t>
      </w:r>
      <w:r>
        <w:br/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Mtoe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Table 37: Average final price of electricity for services</w:t>
      </w:r>
      <w:r>
        <w:t xml:space="preserve"> </w:t>
      </w:r>
      <w:r>
        <w:t xml:space="preserve">EUR23/MWh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S1, S2, S3, LIFE</w:t>
      </w:r>
      <w:r>
        <w:t xml:space="preserve"> </w:t>
      </w:r>
      <w:r>
        <w:t xml:space="preserve">S1, S2, S3, LIFE</w:t>
      </w:r>
      <w:r>
        <w:t xml:space="preserve"> </w:t>
      </w:r>
      <w:r>
        <w:t xml:space="preserve">(S2)</w:t>
      </w:r>
      <w:r>
        <w:t xml:space="preserve"> </w:t>
      </w:r>
      <w:r>
        <w:t xml:space="preserve">Services</w:t>
      </w:r>
      <w:r>
        <w:t xml:space="preserve"> </w:t>
      </w:r>
      <w:r>
        <w:t xml:space="preserve">255</w:t>
      </w:r>
      <w:r>
        <w:t xml:space="preserve"> </w:t>
      </w:r>
      <w:r>
        <w:t xml:space="preserve">249</w:t>
      </w:r>
      <w:r>
        <w:t xml:space="preserve"> </w:t>
      </w:r>
      <w:r>
        <w:t xml:space="preserve">255</w:t>
      </w:r>
      <w:r>
        <w:t xml:space="preserve"> </w:t>
      </w:r>
      <w:r>
        <w:t xml:space="preserve">Note: The electricity prices shown here reflects the evolution of the average electricity production costs to</w:t>
      </w:r>
      <w:r>
        <w:t xml:space="preserve"> </w:t>
      </w:r>
      <w:r>
        <w:t xml:space="preserve">supply the services sector (i.e., considering its load profile) as well as the taxes applied to the sector.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2.3.4. Energy system costs and prices for transport</w:t>
      </w:r>
      <w:r>
        <w:br/>
      </w:r>
      <w:r>
        <w:t xml:space="preserve">For transport too, total energy system costs are lower in S1 and higher in S3 compared to</w:t>
      </w:r>
      <w:r>
        <w:t xml:space="preserve"> </w:t>
      </w:r>
      <w:r>
        <w:t xml:space="preserve">S2, respectively 3-3.1% and +2% for the decade 2031-2040 (see Table 34). LIFE leads to</w:t>
      </w:r>
      <w:r>
        <w:t xml:space="preserve"> </w:t>
      </w:r>
      <w:r>
        <w:t xml:space="preserve">even lower system costs in 2041-2050, 6% lower than S3 in 2041-2050.</w:t>
      </w:r>
      <w:r>
        <w:br/>
      </w:r>
      <w:r>
        <w:t xml:space="preserve">For LIFE, an increase in car occupancy due to higher use of shared mobility, as well as a</w:t>
      </w:r>
      <w:r>
        <w:t xml:space="preserve"> </w:t>
      </w:r>
      <w:r>
        <w:t xml:space="preserve">stronger modal shift from passanger cars to public transport and rail explain the lower</w:t>
      </w:r>
      <w:r>
        <w:t xml:space="preserve"> </w:t>
      </w:r>
      <w:r>
        <w:t xml:space="preserve">capital related costs in both decades in S2 and S3 compared with S1. Higher capital-</w:t>
      </w:r>
      <w:r>
        <w:t xml:space="preserve"> </w:t>
      </w:r>
      <w:r>
        <w:t xml:space="preserve">related costs in S3 in 2031-2040 translate in lower energy purchases for this scenario in</w:t>
      </w:r>
      <w:r>
        <w:t xml:space="preserve"> </w:t>
      </w:r>
      <w:r>
        <w:t xml:space="preserve">the following decade (-1.3% in S3 vs S2).</w:t>
      </w:r>
      <w:r>
        <w:t xml:space="preserve"> </w:t>
      </w:r>
      <w:r>
        <w:t xml:space="preserve">Table 38 shows the evolution of prices of electricity and gasoline for private transport in</w:t>
      </w:r>
      <w:r>
        <w:t xml:space="preserve"> </w:t>
      </w:r>
      <w:r>
        <w:t xml:space="preserve">2040 and 2050, which remaining stable on the long run.</w:t>
      </w:r>
      <w:r>
        <w:br/>
      </w:r>
      <w:r>
        <w:t xml:space="preserve">Table 38: Energy prices for private transport in S2</w:t>
      </w:r>
    </w:p>
    <w:p>
      <w:pPr>
        <w:pStyle w:val="BodyText"/>
      </w:pPr>
      <w:r>
        <w:t xml:space="preserve">EUR23/MWh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Electricity*</w:t>
      </w:r>
      <w:r>
        <w:t xml:space="preserve"> </w:t>
      </w:r>
      <w:r>
        <w:t xml:space="preserve">226</w:t>
      </w:r>
      <w:r>
        <w:t xml:space="preserve"> </w:t>
      </w:r>
      <w:r>
        <w:t xml:space="preserve">222</w:t>
      </w:r>
      <w:r>
        <w:t xml:space="preserve"> </w:t>
      </w:r>
      <w:r>
        <w:t xml:space="preserve">225</w:t>
      </w:r>
      <w:r>
        <w:t xml:space="preserve"> </w:t>
      </w:r>
      <w:r>
        <w:t xml:space="preserve">Gasoline</w:t>
      </w:r>
      <w:r>
        <w:t xml:space="preserve"> </w:t>
      </w:r>
      <w:r>
        <w:t xml:space="preserve">215</w:t>
      </w:r>
      <w:r>
        <w:t xml:space="preserve"> </w:t>
      </w:r>
      <w:r>
        <w:t xml:space="preserve">279</w:t>
      </w:r>
      <w:r>
        <w:t xml:space="preserve"> </w:t>
      </w:r>
      <w:r>
        <w:t xml:space="preserve">280</w:t>
      </w:r>
    </w:p>
    <w:p>
      <w:pPr>
        <w:pStyle w:val="BodyText"/>
      </w:pPr>
      <w:r>
        <w:t xml:space="preserve">Note: *Average final price of electricity. The electricity prices shown here reflects the evolution of the average</w:t>
      </w:r>
      <w:r>
        <w:t xml:space="preserve"> </w:t>
      </w:r>
      <w:r>
        <w:t xml:space="preserve">electricity production costs to supply the sector of private transport (i.e., considering its load profile) as well as</w:t>
      </w:r>
      <w:r>
        <w:t xml:space="preserve"> </w:t>
      </w:r>
      <w:r>
        <w:t xml:space="preserve">the taxes applied to the sector.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2.3.5. Costs related to mitigation of GHG emissions in the LULUCF sector</w:t>
      </w:r>
      <w:r>
        <w:t xml:space="preserve"> </w:t>
      </w:r>
      <w:r>
        <w:t xml:space="preserve">and non-CO2 GHG emissions</w:t>
      </w:r>
      <w:r>
        <w:br/>
      </w:r>
      <w:r>
        <w:t xml:space="preserve">2.3.5.1.Sectoral mitigation costs</w:t>
      </w:r>
      <w:r>
        <w:t xml:space="preserve"> </w:t>
      </w:r>
      <w:r>
        <w:t xml:space="preserve">Table 39 provides an overview of the average annual costs in the LULUCF sector and for</w:t>
      </w:r>
      <w:r>
        <w:t xml:space="preserve"> </w:t>
      </w:r>
      <w:r>
        <w:t xml:space="preserve">non-CO2 emissions in the different scenarios. The costs are related to the implementation</w:t>
      </w:r>
      <w:r>
        <w:t xml:space="preserve"> </w:t>
      </w:r>
      <w:r>
        <w:t xml:space="preserve">of abatement technologies or nature-based removal solutions. The technical available</w:t>
      </w:r>
      <w:r>
        <w:t xml:space="preserve"> </w:t>
      </w:r>
      <w:r>
        <w:t xml:space="preserve">potential for nature-based removals and mitigation measures differs between the two</w:t>
      </w:r>
      <w:r>
        <w:t xml:space="preserve"> </w:t>
      </w:r>
      <w:r>
        <w:t xml:space="preserve">decades, leading to varying annual costs across decades, as the entire potential up to the</w:t>
      </w:r>
      <w:r>
        <w:t xml:space="preserve"> </w:t>
      </w:r>
      <w:r>
        <w:t xml:space="preserve">respective maximum carbon value is implemented.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Table 39: Costs related to GHG emissions mitigation in LULUCF and non-CO2</w:t>
      </w:r>
      <w:r>
        <w:br/>
      </w:r>
      <w:r>
        <w:t xml:space="preserve">Average annual costs</w:t>
      </w:r>
      <w:r>
        <w:br/>
      </w:r>
      <w:r>
        <w:t xml:space="preserve">[EUR 2023 billion/year]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Mitigation of LULUCF GHG</w:t>
      </w:r>
      <w:r>
        <w:t xml:space="preserve"> </w:t>
      </w:r>
      <w:r>
        <w:t xml:space="preserve">emissions</w:t>
      </w:r>
      <w:r>
        <w:t xml:space="preserve"> </w:t>
      </w:r>
      <w:r>
        <w:t xml:space="preserve">1.1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1.6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1.3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Mitigation of non-CO2 GHG</w:t>
      </w:r>
      <w:r>
        <w:t xml:space="preserve"> </w:t>
      </w:r>
      <w:r>
        <w:t xml:space="preserve">emissions</w:t>
      </w:r>
      <w:r>
        <w:t xml:space="preserve"> </w:t>
      </w:r>
      <w:r>
        <w:t xml:space="preserve">0.0</w:t>
      </w:r>
      <w:r>
        <w:t xml:space="preserve"> </w:t>
      </w:r>
      <w:r>
        <w:t xml:space="preserve">0.7</w:t>
      </w:r>
      <w:r>
        <w:t xml:space="preserve"> </w:t>
      </w:r>
      <w:r>
        <w:t xml:space="preserve">3.4</w:t>
      </w:r>
      <w:r>
        <w:t xml:space="preserve"> </w:t>
      </w:r>
      <w:r>
        <w:t xml:space="preserve">3.9</w:t>
      </w:r>
      <w:r>
        <w:t xml:space="preserve"> </w:t>
      </w:r>
      <w:r>
        <w:t xml:space="preserve">4.1</w:t>
      </w:r>
      <w:r>
        <w:t xml:space="preserve"> </w:t>
      </w:r>
      <w:r>
        <w:t xml:space="preserve">5.0</w:t>
      </w:r>
      <w:r>
        <w:t xml:space="preserve"> </w:t>
      </w:r>
      <w:r>
        <w:t xml:space="preserve">2.0</w:t>
      </w:r>
      <w:r>
        <w:t xml:space="preserve"> </w:t>
      </w:r>
      <w:r>
        <w:t xml:space="preserve">2.4</w:t>
      </w:r>
      <w:r>
        <w:t xml:space="preserve"> </w:t>
      </w:r>
      <w:r>
        <w:t xml:space="preserve">4.2</w:t>
      </w:r>
      <w:r>
        <w:t xml:space="preserve"> </w:t>
      </w:r>
      <w:r>
        <w:t xml:space="preserve">- of which in the agriculture</w:t>
      </w:r>
      <w:r>
        <w:t xml:space="preserve"> </w:t>
      </w:r>
      <w:r>
        <w:t xml:space="preserve">sector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3.2</w:t>
      </w:r>
      <w:r>
        <w:t xml:space="preserve"> </w:t>
      </w:r>
      <w:r>
        <w:t xml:space="preserve">3.8</w:t>
      </w:r>
      <w:r>
        <w:t xml:space="preserve"> </w:t>
      </w:r>
      <w:r>
        <w:t xml:space="preserve">3.9</w:t>
      </w:r>
      <w:r>
        <w:t xml:space="preserve"> </w:t>
      </w:r>
      <w:r>
        <w:t xml:space="preserve">4.8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Note: All costs are expressed in EUR2023.</w:t>
      </w:r>
      <w:r>
        <w:br/>
      </w:r>
      <w:r>
        <w:t xml:space="preserve">Source: GLOBIOM, GAINS.</w:t>
      </w:r>
      <w:r>
        <w:t xml:space="preserve"> </w:t>
      </w:r>
      <w:r>
        <w:t xml:space="preserve">S1 does not assume specific LULUCF and non-CO2 policies in 2040, showing smaller</w:t>
      </w:r>
      <w:r>
        <w:t xml:space="preserve"> </w:t>
      </w:r>
      <w:r>
        <w:t xml:space="preserve">mitigation costs for the 2031-2040 period. Both sectors have to contribute to meeting</w:t>
      </w:r>
      <w:r>
        <w:t xml:space="preserve"> </w:t>
      </w:r>
      <w:r>
        <w:t xml:space="preserve">climate neutrality in 2050 also in that scenario, which entails some mitigation action and</w:t>
      </w:r>
      <w:r>
        <w:t xml:space="preserve"> </w:t>
      </w:r>
      <w:r>
        <w:t xml:space="preserve">associated costs in the last decade 2041-2050.</w:t>
      </w:r>
      <w:r>
        <w:br/>
      </w:r>
      <w:r>
        <w:t xml:space="preserve">For LULUCF, additional nature-based removals such as improved forest management,</w:t>
      </w:r>
      <w:r>
        <w:t xml:space="preserve"> </w:t>
      </w:r>
      <w:r>
        <w:t xml:space="preserve">afforestation or rewetting are applied in S2 and S3 by 2040. The associated average</w:t>
      </w:r>
      <w:r>
        <w:t xml:space="preserve"> </w:t>
      </w:r>
      <w:r>
        <w:t xml:space="preserve">annual cost in these scenarios amount to EUR 2.5 billion in 2031-2040 and EUR 2.8</w:t>
      </w:r>
      <w:r>
        <w:t xml:space="preserve"> </w:t>
      </w:r>
      <w:r>
        <w:t xml:space="preserve">billion in 2041-2050.</w:t>
      </w:r>
      <w:r>
        <w:br/>
      </w:r>
      <w:r>
        <w:t xml:space="preserve">The average annual costs associated to mitigation of non-CO2 emissions over the 2031-</w:t>
      </w:r>
      <w:r>
        <w:t xml:space="preserve"> </w:t>
      </w:r>
      <w:r>
        <w:t xml:space="preserve">2040 period are around EUR 0.7 billion per year in S2 and around EUR 3.4 billion per</w:t>
      </w:r>
      <w:r>
        <w:t xml:space="preserve"> </w:t>
      </w:r>
      <w:r>
        <w:t xml:space="preserve">year in S3. Over the 2041-2050 period, the average annual costs are higher than in the</w:t>
      </w:r>
      <w:r>
        <w:t xml:space="preserve"> </w:t>
      </w:r>
      <w:r>
        <w:t xml:space="preserve">previous decade: EUR 3.9 billion in S1, EUR 4.1 billion in S2, and EUR 5 billion in S3.</w:t>
      </w:r>
      <w:r>
        <w:t xml:space="preserve"> </w:t>
      </w:r>
      <w:r>
        <w:t xml:space="preserve">Most of the annual mitigation costs take place in the agriculture sector, which represents</w:t>
      </w:r>
      <w:r>
        <w:t xml:space="preserve"> </w:t>
      </w:r>
      <w:r>
        <w:t xml:space="preserve">the bulk of the unabated non-CO2 GHG emissions after 2030. The mitigation costs of the</w:t>
      </w:r>
      <w:r>
        <w:t xml:space="preserve"> </w:t>
      </w:r>
      <w:r>
        <w:t xml:space="preserve">sector are reflected in the macro-economic analysis presented in section 2.3.6.</w:t>
      </w:r>
      <w:r>
        <w:t xml:space="preserve"> </w:t>
      </w:r>
      <w:r>
        <w:t xml:space="preserve">2.3.5.2.The LIFE variant</w:t>
      </w:r>
      <w:r>
        <w:t xml:space="preserve"> </w:t>
      </w:r>
      <w:r>
        <w:t xml:space="preserve">The LIFE variant shows limited impacts on the agricultural sector. An analysis with the</w:t>
      </w:r>
      <w:r>
        <w:t xml:space="preserve"> </w:t>
      </w:r>
      <w:r>
        <w:t xml:space="preserve">CAPRI model shows a decrease in 2040 by -5.4% (294) of the total revenues, most</w:t>
      </w:r>
      <w:r>
        <w:t xml:space="preserve"> </w:t>
      </w:r>
      <w:r>
        <w:t xml:space="preserve">pronounced in meat production (-12% to -20%), while other activities such as vegetables</w:t>
      </w:r>
      <w:r>
        <w:t xml:space="preserve"> </w:t>
      </w:r>
      <w:r>
        <w:t xml:space="preserve">and permanent crops benefit (+12%).</w:t>
      </w:r>
      <w:r>
        <w:br/>
      </w:r>
      <w:r>
        <w:t xml:space="preserve">The LIFE variant demonstrates that freed up land from fodder production could be used</w:t>
      </w:r>
      <w:r>
        <w:t xml:space="preserve"> </w:t>
      </w:r>
      <w:r>
        <w:t xml:space="preserve">for additional forest management land, which may counterbalance the overall decrease</w:t>
      </w:r>
      <w:r>
        <w:t xml:space="preserve"> </w:t>
      </w:r>
      <w:r>
        <w:t xml:space="preserve">with additional income opportunities for example through other agricultural products,</w:t>
      </w:r>
      <w:r>
        <w:t xml:space="preserve"> </w:t>
      </w:r>
      <w:r>
        <w:t xml:space="preserve">carbon farming, payment for ecosystem services (PES), and other activities.</w:t>
      </w:r>
    </w:p>
    <w:p>
      <w:pPr>
        <w:pStyle w:val="Compact"/>
        <w:numPr>
          <w:ilvl w:val="0"/>
          <w:numId w:val="1123"/>
        </w:numPr>
      </w:pPr>
      <w:r>
        <w:t xml:space="preserve">Consumer prices for products from organic agriculture are conservatively assumed to be similar to</w:t>
      </w:r>
      <w:r>
        <w:t xml:space="preserve"> </w:t>
      </w:r>
      <w:r>
        <w:t xml:space="preserve">conventional agricultural products. However lower outputs of products or higher quality of products</w:t>
      </w:r>
      <w:r>
        <w:t xml:space="preserve"> </w:t>
      </w:r>
      <w:r>
        <w:t xml:space="preserve">may lead to higher producer prices, partly buffering the losses. Also, consumers’ budgetary savings for</w:t>
      </w:r>
      <w:r>
        <w:t xml:space="preserve"> </w:t>
      </w:r>
      <w:r>
        <w:t xml:space="preserve">food, which result from changing diets, which may be reinvested into food products with higher</w:t>
      </w:r>
      <w:r>
        <w:t xml:space="preserve"> </w:t>
      </w:r>
      <w:r>
        <w:t xml:space="preserve">quality are not considered.</w:t>
      </w:r>
    </w:p>
    <w:p>
      <w:pPr>
        <w:pStyle w:val="FirstParagraph"/>
      </w:pPr>
      <w:r>
        <w:t xml:space="preserve">192</w:t>
      </w:r>
    </w:p>
    <w:p>
      <w:pPr>
        <w:pStyle w:val="BodyText"/>
      </w:pPr>
      <w:r>
        <w:t xml:space="preserve">2.3.6. Sectoral output and international trade</w:t>
      </w:r>
      <w:r>
        <w:t xml:space="preserve"> </w:t>
      </w:r>
      <w:r>
        <w:t xml:space="preserve">As highlighted in section 2.4.3, the impacts of the climate and energy transition and the</w:t>
      </w:r>
      <w:r>
        <w:t xml:space="preserve"> </w:t>
      </w:r>
      <w:r>
        <w:t xml:space="preserve">2040 target need to be assessed while bearing in mind a general context that is affected</w:t>
      </w:r>
      <w:r>
        <w:t xml:space="preserve"> </w:t>
      </w:r>
      <w:r>
        <w:t xml:space="preserve">by a multiplicity of factors, including the increased share of services in mature EU</w:t>
      </w:r>
      <w:r>
        <w:t xml:space="preserve"> </w:t>
      </w:r>
      <w:r>
        <w:t xml:space="preserve">economies, digitalisation, the projected gradual decline in the EU population and the</w:t>
      </w:r>
      <w:r>
        <w:t xml:space="preserve"> </w:t>
      </w:r>
      <w:r>
        <w:t xml:space="preserve">falling share of the EU in global GDP. Abstracting from such changes, the level of</w:t>
      </w:r>
      <w:r>
        <w:t xml:space="preserve"> </w:t>
      </w:r>
      <w:r>
        <w:t xml:space="preserve">ambition in 2040 does nevertheless impact sectoral output in somewhat contrasted</w:t>
      </w:r>
      <w:r>
        <w:t xml:space="preserve"> </w:t>
      </w:r>
      <w:r>
        <w:t xml:space="preserve">manners.</w:t>
      </w:r>
      <w:r>
        <w:t xml:space="preserve"> </w:t>
      </w:r>
      <w:r>
        <w:t xml:space="preserve">As expected, a higher level of ambition is associated with a bigger decline in the output</w:t>
      </w:r>
      <w:r>
        <w:t xml:space="preserve"> </w:t>
      </w:r>
      <w:r>
        <w:t xml:space="preserve">of fossil fuel industries by 2040. Output under S3 is about 6% lower compared to S2 in</w:t>
      </w:r>
      <w:r>
        <w:t xml:space="preserve"> </w:t>
      </w:r>
      <w:r>
        <w:t xml:space="preserve">2040 (fragmented action scenario), which already entails a sharp drop in the sector’s</w:t>
      </w:r>
      <w:r>
        <w:t xml:space="preserve"> </w:t>
      </w:r>
      <w:r>
        <w:t xml:space="preserve">activity relative to current levels (Table 40). The sector’s output is higher under S1 than</w:t>
      </w:r>
      <w:r>
        <w:t xml:space="preserve"> </w:t>
      </w:r>
      <w:r>
        <w:t xml:space="preserve">S2, but only temporarily as the levels converge by 2050. The output of energy intensive</w:t>
      </w:r>
      <w:r>
        <w:t xml:space="preserve"> </w:t>
      </w:r>
      <w:r>
        <w:t xml:space="preserve">industries is also projected to be affected by a higher level of ambition. The impact under</w:t>
      </w:r>
      <w:r>
        <w:t xml:space="preserve"> </w:t>
      </w:r>
      <w:r>
        <w:t xml:space="preserve">S3 is small at -0.2% (relative to S2) in 2040 and 2050 under the fragmented action</w:t>
      </w:r>
      <w:r>
        <w:t xml:space="preserve"> </w:t>
      </w:r>
      <w:r>
        <w:t xml:space="preserve">scenario. The lower level of ambition under S1 only generates a small positive impact of</w:t>
      </w:r>
      <w:r>
        <w:t xml:space="preserve"> </w:t>
      </w:r>
      <w:r>
        <w:t xml:space="preserve">+1.4% in 2040 and +0.2% in 2050, relative to S2 (fragmented action). It must be noted</w:t>
      </w:r>
      <w:r>
        <w:t xml:space="preserve"> </w:t>
      </w:r>
      <w:r>
        <w:t xml:space="preserve">also that the output of energy intensive industries is projected to continue growing across</w:t>
      </w:r>
      <w:r>
        <w:t xml:space="preserve"> </w:t>
      </w:r>
      <w:r>
        <w:t xml:space="preserve">all scenarios in future decades. The growth rate between 2015 and 2040 is projected to</w:t>
      </w:r>
      <w:r>
        <w:t xml:space="preserve"> </w:t>
      </w:r>
      <w:r>
        <w:t xml:space="preserve">range between 25.5% and 27.6%.</w:t>
      </w:r>
      <w:r>
        <w:t xml:space="preserve"> </w:t>
      </w:r>
      <w:r>
        <w:t xml:space="preserve">It must be noted also that under the global action scenario, the output of energy intensive</w:t>
      </w:r>
      <w:r>
        <w:t xml:space="preserve"> </w:t>
      </w:r>
      <w:r>
        <w:t xml:space="preserve">industries is higher than under the lower ambition S1 scenario both for S2 and S3, with</w:t>
      </w:r>
      <w:r>
        <w:t xml:space="preserve"> </w:t>
      </w:r>
      <w:r>
        <w:t xml:space="preserve">S3 yielding only a marginally lower output level than S2. This is driven by the early</w:t>
      </w:r>
      <w:r>
        <w:t xml:space="preserve"> </w:t>
      </w:r>
      <w:r>
        <w:t xml:space="preserve">adoption of decarbonised technologies in EU industry relative to the rest of the world,</w:t>
      </w:r>
      <w:r>
        <w:t xml:space="preserve"> </w:t>
      </w:r>
      <w:r>
        <w:t xml:space="preserve">which increases its competitiveness in a setting where the rest of the world also needs to</w:t>
      </w:r>
      <w:r>
        <w:t xml:space="preserve"> </w:t>
      </w:r>
      <w:r>
        <w:t xml:space="preserve">invest in low-carbon processes. In addition, the decarbonisation of production processes</w:t>
      </w:r>
      <w:r>
        <w:t xml:space="preserve"> </w:t>
      </w:r>
      <w:r>
        <w:t xml:space="preserve">in energy-intensive industries and the associated fall in fossil fuel inputs are susceptible</w:t>
      </w:r>
      <w:r>
        <w:t xml:space="preserve"> </w:t>
      </w:r>
      <w:r>
        <w:t xml:space="preserve">to shelter EU industry from potential shocks on fossil fuel prices. They would indeed be</w:t>
      </w:r>
      <w:r>
        <w:t xml:space="preserve"> </w:t>
      </w:r>
      <w:r>
        <w:t xml:space="preserve">impacted by such shocks to a lower extent than competitors elsewhere and less advanced</w:t>
      </w:r>
      <w:r>
        <w:t xml:space="preserve"> </w:t>
      </w:r>
      <w:r>
        <w:t xml:space="preserve">in their decarbonisation process.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Table 40: Sectoral output, deviation vs. S2 (%)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Other sectors that are likely to be affected by a higher level of ambition include transport</w:t>
      </w:r>
      <w:r>
        <w:t xml:space="preserve"> </w:t>
      </w:r>
      <w:r>
        <w:t xml:space="preserve">(road, maritime and air), equipment goods and consumer goods industries, which would</w:t>
      </w:r>
      <w:r>
        <w:t xml:space="preserve"> </w:t>
      </w:r>
      <w:r>
        <w:t xml:space="preserve">be impacted by the overall decline in GDP and private consumption. Under a global</w:t>
      </w:r>
      <w:r>
        <w:t xml:space="preserve"> </w:t>
      </w:r>
      <w:r>
        <w:t xml:space="preserve">action setting, these sectors could actually be better off with a higher level of climate</w:t>
      </w:r>
      <w:r>
        <w:t xml:space="preserve"> </w:t>
      </w:r>
      <w:r>
        <w:t xml:space="preserve">ambition as global demand for equipment goods linked to decarbonisation increases and</w:t>
      </w:r>
      <w:r>
        <w:t xml:space="preserve"> </w:t>
      </w:r>
      <w:r>
        <w:t xml:space="preserve">as the EU gains competitiveness and export market shares, thereby also driving up</w:t>
      </w:r>
      <w:r>
        <w:t xml:space="preserve"> </w:t>
      </w:r>
      <w:r>
        <w:t xml:space="preserve">transport activity (S2 and S3 both have a higher level of output under a global action</w:t>
      </w:r>
      <w:r>
        <w:t xml:space="preserve"> </w:t>
      </w:r>
      <w:r>
        <w:t xml:space="preserve">setting than S1 in 2050, with S3 only marginally lower than S2). Agriculture is mildly</w:t>
      </w:r>
      <w:r>
        <w:t xml:space="preserve"> </w:t>
      </w:r>
      <w:r>
        <w:t xml:space="preserve">affected by higher levels of ambition, with output only 2% higher under S1 than under S3</w:t>
      </w:r>
      <w:r>
        <w:t xml:space="preserve"> </w:t>
      </w:r>
      <w:r>
        <w:t xml:space="preserve">in 2040, and 1% lower under S3 than under S2. In contrast, output in the forestry sector</w:t>
      </w:r>
      <w:r>
        <w:t xml:space="preserve"> </w:t>
      </w:r>
      <w:r>
        <w:t xml:space="preserve">in 2040 is significantly higher under the higher ambition scenarios than under S1 as a</w:t>
      </w:r>
      <w:r>
        <w:t xml:space="preserve"> </w:t>
      </w:r>
      <w:r>
        <w:t xml:space="preserve">result of the increased demand for biomass. By 2050, the differences are much less</w:t>
      </w:r>
      <w:r>
        <w:t xml:space="preserve"> </w:t>
      </w:r>
      <w:r>
        <w:t xml:space="preserve">significant as biomass uses tend to converge across scenarios.</w:t>
      </w:r>
      <w:r>
        <w:t xml:space="preserve"> </w:t>
      </w:r>
      <w:r>
        <w:t xml:space="preserve">In terms of output shares, it is assumed that the past trend towards a more services-</w:t>
      </w:r>
      <w:r>
        <w:t xml:space="preserve"> </w:t>
      </w:r>
      <w:r>
        <w:t xml:space="preserve">oriented economy continues in the coming decades. Output in key industrial sectors,</w:t>
      </w:r>
      <w:r>
        <w:t xml:space="preserve"> </w:t>
      </w:r>
      <w:r>
        <w:t xml:space="preserve">including energy intensive industries, is projected to grow significantly between 2015</w:t>
      </w:r>
      <w:r>
        <w:t xml:space="preserve"> </w:t>
      </w:r>
      <w:r>
        <w:t xml:space="preserve">and 2040 or 2050, and the growth rates across sectors is affected by the level of climate</w:t>
      </w:r>
      <w:r>
        <w:t xml:space="preserve"> </w:t>
      </w:r>
      <w:r>
        <w:t xml:space="preserve">ambition for 2040 only to a very limited extent, with output levels in 2040 and 2050</w:t>
      </w:r>
      <w:r>
        <w:t xml:space="preserve"> </w:t>
      </w:r>
      <w:r>
        <w:t xml:space="preserve">broadly unchanged across the three scenarios (Table 41).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Fossil fuel industries</w:t>
      </w:r>
      <w:r>
        <w:t xml:space="preserve"> </w:t>
      </w:r>
      <w:r>
        <w:t xml:space="preserve">10.2%</w:t>
      </w:r>
      <w:r>
        <w:t xml:space="preserve"> </w:t>
      </w:r>
      <w:r>
        <w:t xml:space="preserve">-0.3%</w:t>
      </w:r>
      <w:r>
        <w:t xml:space="preserve"> </w:t>
      </w:r>
      <w:r>
        <w:t xml:space="preserve">15.0%</w:t>
      </w:r>
      <w:r>
        <w:t xml:space="preserve"> </w:t>
      </w:r>
      <w:r>
        <w:t xml:space="preserve">6.4%</w:t>
      </w:r>
      <w:r>
        <w:t xml:space="preserve"> </w:t>
      </w:r>
      <w:r>
        <w:t xml:space="preserve">-5.6%</w:t>
      </w:r>
      <w:r>
        <w:t xml:space="preserve"> </w:t>
      </w:r>
      <w:r>
        <w:t xml:space="preserve">-0.7%</w:t>
      </w:r>
      <w:r>
        <w:t xml:space="preserve"> </w:t>
      </w:r>
      <w:r>
        <w:t xml:space="preserve">-5.2%</w:t>
      </w:r>
      <w:r>
        <w:t xml:space="preserve"> </w:t>
      </w:r>
      <w:r>
        <w:t xml:space="preserve">-1.0%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1.4%</w:t>
      </w:r>
      <w:r>
        <w:t xml:space="preserve"> </w:t>
      </w:r>
      <w:r>
        <w:t xml:space="preserve">0.2%</w:t>
      </w:r>
      <w:r>
        <w:t xml:space="preserve"> </w:t>
      </w:r>
      <w:r>
        <w:t xml:space="preserve">-0.3%</w:t>
      </w:r>
      <w:r>
        <w:t xml:space="preserve"> </w:t>
      </w:r>
      <w:r>
        <w:t xml:space="preserve">-2.3%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-0.3%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0.7%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-0.1%</w:t>
      </w:r>
      <w:r>
        <w:t xml:space="preserve"> </w:t>
      </w:r>
      <w:r>
        <w:t xml:space="preserve">-0.4%</w:t>
      </w:r>
      <w:r>
        <w:t xml:space="preserve"> </w:t>
      </w:r>
      <w:r>
        <w:t xml:space="preserve">-0.1%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0.5%</w:t>
      </w:r>
      <w:r>
        <w:t xml:space="preserve"> </w:t>
      </w:r>
      <w:r>
        <w:t xml:space="preserve">0.2%</w:t>
      </w:r>
      <w:r>
        <w:t xml:space="preserve"> </w:t>
      </w:r>
      <w:r>
        <w:t xml:space="preserve">-1.3%</w:t>
      </w:r>
      <w:r>
        <w:t xml:space="preserve"> </w:t>
      </w:r>
      <w:r>
        <w:t xml:space="preserve">-4.9%</w:t>
      </w:r>
      <w:r>
        <w:t xml:space="preserve"> </w:t>
      </w:r>
      <w:r>
        <w:t xml:space="preserve">0.2%</w:t>
      </w:r>
      <w:r>
        <w:t xml:space="preserve"> </w:t>
      </w:r>
      <w:r>
        <w:t xml:space="preserve">-0.1%</w:t>
      </w:r>
      <w:r>
        <w:t xml:space="preserve"> </w:t>
      </w:r>
      <w:r>
        <w:t xml:space="preserve">0.3%</w:t>
      </w:r>
      <w:r>
        <w:t xml:space="preserve"> </w:t>
      </w:r>
      <w:r>
        <w:t xml:space="preserve">-0.1%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0.7%</w:t>
      </w:r>
      <w:r>
        <w:t xml:space="preserve"> </w:t>
      </w:r>
      <w:r>
        <w:t xml:space="preserve">0.1%</w:t>
      </w:r>
      <w:r>
        <w:t xml:space="preserve"> </w:t>
      </w:r>
      <w:r>
        <w:t xml:space="preserve">-0.8%</w:t>
      </w:r>
      <w:r>
        <w:t xml:space="preserve"> </w:t>
      </w:r>
      <w:r>
        <w:t xml:space="preserve">-3.6%</w:t>
      </w:r>
      <w:r>
        <w:t xml:space="preserve"> </w:t>
      </w:r>
      <w:r>
        <w:t xml:space="preserve">-0.6%</w:t>
      </w:r>
      <w:r>
        <w:t xml:space="preserve"> </w:t>
      </w:r>
      <w:r>
        <w:t xml:space="preserve">0.0%</w:t>
      </w:r>
      <w:r>
        <w:t xml:space="preserve"> </w:t>
      </w:r>
      <w:r>
        <w:t xml:space="preserve">-0.8%</w:t>
      </w:r>
      <w:r>
        <w:t xml:space="preserve"> </w:t>
      </w:r>
      <w:r>
        <w:t xml:space="preserve">-0.1%</w:t>
      </w:r>
      <w:r>
        <w:t xml:space="preserve"> </w:t>
      </w:r>
      <w:r>
        <w:t xml:space="preserve">Transport</w:t>
      </w:r>
      <w:r>
        <w:t xml:space="preserve"> </w:t>
      </w:r>
      <w:r>
        <w:t xml:space="preserve">2.0%</w:t>
      </w:r>
      <w:r>
        <w:t xml:space="preserve"> </w:t>
      </w:r>
      <w:r>
        <w:t xml:space="preserve">0.1%</w:t>
      </w:r>
      <w:r>
        <w:t xml:space="preserve"> </w:t>
      </w:r>
      <w:r>
        <w:t xml:space="preserve">1.0%</w:t>
      </w:r>
      <w:r>
        <w:t xml:space="preserve"> </w:t>
      </w:r>
      <w:r>
        <w:t xml:space="preserve">-3.1%</w:t>
      </w:r>
      <w:r>
        <w:t xml:space="preserve"> </w:t>
      </w:r>
      <w:r>
        <w:t xml:space="preserve">-1.0%</w:t>
      </w:r>
      <w:r>
        <w:t xml:space="preserve"> </w:t>
      </w:r>
      <w:r>
        <w:t xml:space="preserve">-0.2%</w:t>
      </w:r>
      <w:r>
        <w:t xml:space="preserve"> </w:t>
      </w:r>
      <w:r>
        <w:t xml:space="preserve">-1.1%</w:t>
      </w:r>
      <w:r>
        <w:t xml:space="preserve"> </w:t>
      </w:r>
      <w:r>
        <w:t xml:space="preserve">-0.1%</w:t>
      </w:r>
      <w:r>
        <w:t xml:space="preserve"> </w:t>
      </w:r>
      <w:r>
        <w:t xml:space="preserve">Construction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0.3%</w:t>
      </w:r>
      <w:r>
        <w:t xml:space="preserve"> </w:t>
      </w:r>
      <w:r>
        <w:t xml:space="preserve">0.5%</w:t>
      </w:r>
      <w:r>
        <w:t xml:space="preserve"> </w:t>
      </w:r>
      <w:r>
        <w:t xml:space="preserve">-0.1%</w:t>
      </w:r>
      <w:r>
        <w:t xml:space="preserve"> </w:t>
      </w:r>
      <w:r>
        <w:t xml:space="preserve">0.6%</w:t>
      </w:r>
      <w:r>
        <w:t xml:space="preserve"> </w:t>
      </w:r>
      <w:r>
        <w:t xml:space="preserve">-0.1%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0.5%</w:t>
      </w:r>
      <w:r>
        <w:t xml:space="preserve"> </w:t>
      </w:r>
      <w:r>
        <w:t xml:space="preserve">0.1%</w:t>
      </w:r>
      <w:r>
        <w:t xml:space="preserve"> </w:t>
      </w:r>
      <w:r>
        <w:t xml:space="preserve">1.1%</w:t>
      </w:r>
      <w:r>
        <w:t xml:space="preserve"> </w:t>
      </w:r>
      <w:r>
        <w:t xml:space="preserve">1.5%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Non-market services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Agriculture</w:t>
      </w:r>
      <w:r>
        <w:t xml:space="preserve"> </w:t>
      </w:r>
      <w:r>
        <w:t xml:space="preserve">2.0%</w:t>
      </w:r>
      <w:r>
        <w:t xml:space="preserve"> </w:t>
      </w:r>
      <w:r>
        <w:t xml:space="preserve">0.1%</w:t>
      </w:r>
      <w:r>
        <w:t xml:space="preserve"> </w:t>
      </w:r>
      <w:r>
        <w:t xml:space="preserve">1.0%</w:t>
      </w:r>
      <w:r>
        <w:t xml:space="preserve"> </w:t>
      </w:r>
      <w:r>
        <w:t xml:space="preserve">-3.1%</w:t>
      </w:r>
      <w:r>
        <w:t xml:space="preserve"> </w:t>
      </w:r>
      <w:r>
        <w:t xml:space="preserve">-1.0%</w:t>
      </w:r>
      <w:r>
        <w:t xml:space="preserve"> </w:t>
      </w:r>
      <w:r>
        <w:t xml:space="preserve">-0.2%</w:t>
      </w:r>
      <w:r>
        <w:t xml:space="preserve"> </w:t>
      </w:r>
      <w:r>
        <w:t xml:space="preserve">-1.1%</w:t>
      </w:r>
      <w:r>
        <w:t xml:space="preserve"> </w:t>
      </w:r>
      <w:r>
        <w:t xml:space="preserve">-0.1%</w:t>
      </w:r>
      <w:r>
        <w:t xml:space="preserve"> </w:t>
      </w:r>
      <w:r>
        <w:t xml:space="preserve">Forestry</w:t>
      </w:r>
      <w:r>
        <w:t xml:space="preserve"> </w:t>
      </w:r>
      <w:r>
        <w:t xml:space="preserve">-10.9%</w:t>
      </w:r>
      <w:r>
        <w:t xml:space="preserve"> </w:t>
      </w:r>
      <w:r>
        <w:t xml:space="preserve">-1.0%</w:t>
      </w:r>
      <w:r>
        <w:t xml:space="preserve"> </w:t>
      </w:r>
      <w:r>
        <w:t xml:space="preserve">-13.1%</w:t>
      </w:r>
      <w:r>
        <w:t xml:space="preserve"> </w:t>
      </w:r>
      <w:r>
        <w:t xml:space="preserve">-6.8%</w:t>
      </w:r>
      <w:r>
        <w:t xml:space="preserve"> </w:t>
      </w:r>
      <w:r>
        <w:t xml:space="preserve">-0.5%</w:t>
      </w:r>
      <w:r>
        <w:t xml:space="preserve"> </w:t>
      </w:r>
      <w:r>
        <w:t xml:space="preserve">-2.2%</w:t>
      </w:r>
      <w:r>
        <w:t xml:space="preserve"> </w:t>
      </w:r>
      <w:r>
        <w:t xml:space="preserve">-1.4%</w:t>
      </w:r>
      <w:r>
        <w:t xml:space="preserve"> </w:t>
      </w:r>
      <w:r>
        <w:t xml:space="preserve">-2.3%</w:t>
      </w:r>
      <w:r>
        <w:t xml:space="preserve"> </w:t>
      </w:r>
      <w:r>
        <w:t xml:space="preserve">Memo:</w:t>
      </w:r>
      <w:r>
        <w:t xml:space="preserve"> </w:t>
      </w:r>
      <w:r>
        <w:t xml:space="preserve">GDP</w:t>
      </w:r>
      <w:r>
        <w:t xml:space="preserve"> </w:t>
      </w:r>
      <w:r>
        <w:t xml:space="preserve">0.5%</w:t>
      </w:r>
      <w:r>
        <w:t xml:space="preserve"> </w:t>
      </w:r>
      <w:r>
        <w:t xml:space="preserve">0.1%</w:t>
      </w:r>
      <w:r>
        <w:t xml:space="preserve"> </w:t>
      </w:r>
      <w:r>
        <w:t xml:space="preserve">0.6%</w:t>
      </w:r>
      <w:r>
        <w:t xml:space="preserve"> </w:t>
      </w:r>
      <w:r>
        <w:t xml:space="preserve">0.2%</w:t>
      </w:r>
      <w:r>
        <w:t xml:space="preserve"> </w:t>
      </w:r>
      <w:r>
        <w:t xml:space="preserve">-0.2%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-0.1%</w:t>
      </w:r>
      <w:r>
        <w:t xml:space="preserve"> </w:t>
      </w:r>
      <w:r>
        <w:t xml:space="preserve">S1 fragmented</w:t>
      </w:r>
      <w:r>
        <w:t xml:space="preserve"> </w:t>
      </w:r>
      <w:r>
        <w:t xml:space="preserve">S1 global</w:t>
      </w:r>
      <w:r>
        <w:t xml:space="preserve"> </w:t>
      </w:r>
      <w:r>
        <w:t xml:space="preserve">S3 fragmented</w:t>
      </w:r>
      <w:r>
        <w:t xml:space="preserve"> </w:t>
      </w:r>
      <w:r>
        <w:t xml:space="preserve">S3 global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Table 41: Sectoral output, % change vs. 2015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The secular trend towards a relatively higher growth rate in services than in industry</w:t>
      </w:r>
      <w:r>
        <w:t xml:space="preserve"> </w:t>
      </w:r>
      <w:r>
        <w:t xml:space="preserve">nevertheless implies that the share of energy intensive industries, consumer goods</w:t>
      </w:r>
      <w:r>
        <w:t xml:space="preserve"> </w:t>
      </w:r>
      <w:r>
        <w:t xml:space="preserve">industries and transport equipment is projected to decline across scenarios over the</w:t>
      </w:r>
      <w:r>
        <w:t xml:space="preserve"> </w:t>
      </w:r>
      <w:r>
        <w:t xml:space="preserve">coming decades, with a corresponding increase in the share of market services. The share</w:t>
      </w:r>
      <w:r>
        <w:t xml:space="preserve"> </w:t>
      </w:r>
      <w:r>
        <w:t xml:space="preserve">of fossil fuel industries in total sectoral output would become negligible by 2040 already</w:t>
      </w:r>
      <w:r>
        <w:t xml:space="preserve"> </w:t>
      </w:r>
      <w:r>
        <w:t xml:space="preserve">across scenarios, at about 0.5% of the total (Table 42).</w:t>
      </w:r>
      <w:r>
        <w:t xml:space="preserve"> </w:t>
      </w:r>
      <w:r>
        <w:t xml:space="preserve">Table 42: Sectoral output, share of total (%)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The extent to which SMEs are affected by the trends described above is in good part</w:t>
      </w:r>
      <w:r>
        <w:t xml:space="preserve"> </w:t>
      </w:r>
      <w:r>
        <w:t xml:space="preserve">determined by the sectors of activity in which SMEs are most prominent. As indicated in</w:t>
      </w:r>
      <w:r>
        <w:t xml:space="preserve"> </w:t>
      </w:r>
      <w:r>
        <w:t xml:space="preserve">Table 27 (section 2.2.3), around 66% of SMEs are active in services sectors and close to</w:t>
      </w:r>
      <w:r>
        <w:t xml:space="preserve"> </w:t>
      </w:r>
      <w:r>
        <w:t xml:space="preserve">55% of their total gross value added and employment are generated in services. Another</w:t>
      </w:r>
      <w:r>
        <w:t xml:space="preserve"> </w:t>
      </w:r>
      <w:r>
        <w:t xml:space="preserve">20% of SMEs and 16-18% of gross value added and employment are accounted for by</w:t>
      </w:r>
      <w:r>
        <w:t xml:space="preserve"> </w:t>
      </w:r>
      <w:r>
        <w:t xml:space="preserve">the construction sector. Overall, SMEs therefore seem to be well positioned to gain from</w:t>
      </w:r>
      <w:r>
        <w:t xml:space="preserve"> </w:t>
      </w:r>
      <w:r>
        <w:t xml:space="preserve">the projected continued rise in the share of market services in the economy and from a</w:t>
      </w:r>
      <w:r>
        <w:t xml:space="preserve"> </w:t>
      </w:r>
      <w:r>
        <w:t xml:space="preserve">very resilient construction sector. In contrast, a very small proportion of SMEs are</w:t>
      </w:r>
      <w:r>
        <w:t xml:space="preserve"> </w:t>
      </w:r>
      <w:r>
        <w:t xml:space="preserve">involved in fossil fuel industries, mining and extraction or energy intensive industries,</w:t>
      </w:r>
      <w:r>
        <w:t xml:space="preserve"> </w:t>
      </w:r>
      <w:r>
        <w:t xml:space="preserve">and they account for a very small share of the gross value added and employment of the</w:t>
      </w:r>
      <w:r>
        <w:t xml:space="preserve"> </w:t>
      </w:r>
      <w:r>
        <w:t xml:space="preserve">SME sector.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Fossil fuel industries</w:t>
      </w:r>
      <w:r>
        <w:t xml:space="preserve"> </w:t>
      </w:r>
      <w:r>
        <w:t xml:space="preserve">-32.9%</w:t>
      </w:r>
      <w:r>
        <w:t xml:space="preserve"> </w:t>
      </w:r>
      <w:r>
        <w:t xml:space="preserve">-59.4%</w:t>
      </w:r>
      <w:r>
        <w:t xml:space="preserve"> </w:t>
      </w:r>
      <w:r>
        <w:t xml:space="preserve">-73.0%</w:t>
      </w:r>
      <w:r>
        <w:t xml:space="preserve"> </w:t>
      </w:r>
      <w:r>
        <w:t xml:space="preserve">-63.1%</w:t>
      </w:r>
      <w:r>
        <w:t xml:space="preserve"> </w:t>
      </w:r>
      <w:r>
        <w:t xml:space="preserve">-72.9%</w:t>
      </w:r>
      <w:r>
        <w:t xml:space="preserve"> </w:t>
      </w:r>
      <w:r>
        <w:t xml:space="preserve">-65.2%</w:t>
      </w:r>
      <w:r>
        <w:t xml:space="preserve"> </w:t>
      </w:r>
      <w:r>
        <w:t xml:space="preserve">-73.1%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17.6%</w:t>
      </w:r>
      <w:r>
        <w:t xml:space="preserve"> </w:t>
      </w:r>
      <w:r>
        <w:t xml:space="preserve">27.6%</w:t>
      </w:r>
      <w:r>
        <w:t xml:space="preserve"> </w:t>
      </w:r>
      <w:r>
        <w:t xml:space="preserve">39.7%</w:t>
      </w:r>
      <w:r>
        <w:t xml:space="preserve"> </w:t>
      </w:r>
      <w:r>
        <w:t xml:space="preserve">25.8%</w:t>
      </w:r>
      <w:r>
        <w:t xml:space="preserve"> </w:t>
      </w:r>
      <w:r>
        <w:t xml:space="preserve">39.4%</w:t>
      </w:r>
      <w:r>
        <w:t xml:space="preserve"> </w:t>
      </w:r>
      <w:r>
        <w:t xml:space="preserve">25.5%</w:t>
      </w:r>
      <w:r>
        <w:t xml:space="preserve"> </w:t>
      </w:r>
      <w:r>
        <w:t xml:space="preserve">39.1%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15.3%</w:t>
      </w:r>
      <w:r>
        <w:t xml:space="preserve"> </w:t>
      </w:r>
      <w:r>
        <w:t xml:space="preserve">30.8%</w:t>
      </w:r>
      <w:r>
        <w:t xml:space="preserve"> </w:t>
      </w:r>
      <w:r>
        <w:t xml:space="preserve">43.3%</w:t>
      </w:r>
      <w:r>
        <w:t xml:space="preserve"> </w:t>
      </w:r>
      <w:r>
        <w:t xml:space="preserve">30.0%</w:t>
      </w:r>
      <w:r>
        <w:t xml:space="preserve"> </w:t>
      </w:r>
      <w:r>
        <w:t xml:space="preserve">43.1%</w:t>
      </w:r>
      <w:r>
        <w:t xml:space="preserve"> </w:t>
      </w:r>
      <w:r>
        <w:t xml:space="preserve">29.4%</w:t>
      </w:r>
      <w:r>
        <w:t xml:space="preserve"> </w:t>
      </w:r>
      <w:r>
        <w:t xml:space="preserve">43.0%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21.5%</w:t>
      </w:r>
      <w:r>
        <w:t xml:space="preserve"> </w:t>
      </w:r>
      <w:r>
        <w:t xml:space="preserve">38.7%</w:t>
      </w:r>
      <w:r>
        <w:t xml:space="preserve"> </w:t>
      </w:r>
      <w:r>
        <w:t xml:space="preserve">58.6%</w:t>
      </w:r>
      <w:r>
        <w:t xml:space="preserve"> </w:t>
      </w:r>
      <w:r>
        <w:t xml:space="preserve">38.0%</w:t>
      </w:r>
      <w:r>
        <w:t xml:space="preserve"> </w:t>
      </w:r>
      <w:r>
        <w:t xml:space="preserve">58.3%</w:t>
      </w:r>
      <w:r>
        <w:t xml:space="preserve"> </w:t>
      </w:r>
      <w:r>
        <w:t xml:space="preserve">38.3%</w:t>
      </w:r>
      <w:r>
        <w:t xml:space="preserve"> </w:t>
      </w:r>
      <w:r>
        <w:t xml:space="preserve">58.1%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12.6%</w:t>
      </w:r>
      <w:r>
        <w:t xml:space="preserve"> </w:t>
      </w:r>
      <w:r>
        <w:t xml:space="preserve">21.3%</w:t>
      </w:r>
      <w:r>
        <w:t xml:space="preserve"> </w:t>
      </w:r>
      <w:r>
        <w:t xml:space="preserve">31.4%</w:t>
      </w:r>
      <w:r>
        <w:t xml:space="preserve"> </w:t>
      </w:r>
      <w:r>
        <w:t xml:space="preserve">20.4%</w:t>
      </w:r>
      <w:r>
        <w:t xml:space="preserve"> </w:t>
      </w:r>
      <w:r>
        <w:t xml:space="preserve">31.3%</w:t>
      </w:r>
      <w:r>
        <w:t xml:space="preserve"> </w:t>
      </w:r>
      <w:r>
        <w:t xml:space="preserve">19.7%</w:t>
      </w:r>
      <w:r>
        <w:t xml:space="preserve"> </w:t>
      </w:r>
      <w:r>
        <w:t xml:space="preserve">31.2%</w:t>
      </w:r>
      <w:r>
        <w:t xml:space="preserve"> </w:t>
      </w:r>
      <w:r>
        <w:t xml:space="preserve">Transport</w:t>
      </w:r>
      <w:r>
        <w:t xml:space="preserve"> </w:t>
      </w:r>
      <w:r>
        <w:t xml:space="preserve">25.7%</w:t>
      </w:r>
      <w:r>
        <w:t xml:space="preserve"> </w:t>
      </w:r>
      <w:r>
        <w:t xml:space="preserve">44.5%</w:t>
      </w:r>
      <w:r>
        <w:t xml:space="preserve"> </w:t>
      </w:r>
      <w:r>
        <w:t xml:space="preserve">68.1%</w:t>
      </w:r>
      <w:r>
        <w:t xml:space="preserve"> </w:t>
      </w:r>
      <w:r>
        <w:t xml:space="preserve">41.7%</w:t>
      </w:r>
      <w:r>
        <w:t xml:space="preserve"> </w:t>
      </w:r>
      <w:r>
        <w:t xml:space="preserve">67.9%</w:t>
      </w:r>
      <w:r>
        <w:t xml:space="preserve"> </w:t>
      </w:r>
      <w:r>
        <w:t xml:space="preserve">40.2%</w:t>
      </w:r>
      <w:r>
        <w:t xml:space="preserve"> </w:t>
      </w:r>
      <w:r>
        <w:t xml:space="preserve">67.6%</w:t>
      </w:r>
      <w:r>
        <w:t xml:space="preserve"> </w:t>
      </w:r>
      <w:r>
        <w:t xml:space="preserve">Construction</w:t>
      </w:r>
      <w:r>
        <w:t xml:space="preserve"> </w:t>
      </w:r>
      <w:r>
        <w:t xml:space="preserve">27.9%</w:t>
      </w:r>
      <w:r>
        <w:t xml:space="preserve"> </w:t>
      </w:r>
      <w:r>
        <w:t xml:space="preserve">47.9%</w:t>
      </w:r>
      <w:r>
        <w:t xml:space="preserve"> </w:t>
      </w:r>
      <w:r>
        <w:t xml:space="preserve">70.7%</w:t>
      </w:r>
      <w:r>
        <w:t xml:space="preserve"> </w:t>
      </w:r>
      <w:r>
        <w:t xml:space="preserve">47.9%</w:t>
      </w:r>
      <w:r>
        <w:t xml:space="preserve"> </w:t>
      </w:r>
      <w:r>
        <w:t xml:space="preserve">70.3%</w:t>
      </w:r>
      <w:r>
        <w:t xml:space="preserve"> </w:t>
      </w:r>
      <w:r>
        <w:t xml:space="preserve">48.7%</w:t>
      </w:r>
      <w:r>
        <w:t xml:space="preserve"> </w:t>
      </w:r>
      <w:r>
        <w:t xml:space="preserve">70.2%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22.6%</w:t>
      </w:r>
      <w:r>
        <w:t xml:space="preserve"> </w:t>
      </w:r>
      <w:r>
        <w:t xml:space="preserve">40.5%</w:t>
      </w:r>
      <w:r>
        <w:t xml:space="preserve"> </w:t>
      </w:r>
      <w:r>
        <w:t xml:space="preserve">62.6%</w:t>
      </w:r>
      <w:r>
        <w:t xml:space="preserve"> </w:t>
      </w:r>
      <w:r>
        <w:t xml:space="preserve">39.9%</w:t>
      </w:r>
      <w:r>
        <w:t xml:space="preserve"> </w:t>
      </w:r>
      <w:r>
        <w:t xml:space="preserve">62.4%</w:t>
      </w:r>
      <w:r>
        <w:t xml:space="preserve"> </w:t>
      </w:r>
      <w:r>
        <w:t xml:space="preserve">39.5%</w:t>
      </w:r>
      <w:r>
        <w:t xml:space="preserve"> </w:t>
      </w:r>
      <w:r>
        <w:t xml:space="preserve">62.4%</w:t>
      </w:r>
      <w:r>
        <w:t xml:space="preserve"> </w:t>
      </w:r>
      <w:r>
        <w:t xml:space="preserve">Non-market services</w:t>
      </w:r>
      <w:r>
        <w:t xml:space="preserve"> </w:t>
      </w:r>
      <w:r>
        <w:t xml:space="preserve">21.3%</w:t>
      </w:r>
      <w:r>
        <w:t xml:space="preserve"> </w:t>
      </w:r>
      <w:r>
        <w:t xml:space="preserve">38.3%</w:t>
      </w:r>
      <w:r>
        <w:t xml:space="preserve"> </w:t>
      </w:r>
      <w:r>
        <w:t xml:space="preserve">59.7%</w:t>
      </w:r>
      <w:r>
        <w:t xml:space="preserve"> </w:t>
      </w:r>
      <w:r>
        <w:t xml:space="preserve">38.0%</w:t>
      </w:r>
      <w:r>
        <w:t xml:space="preserve"> </w:t>
      </w:r>
      <w:r>
        <w:t xml:space="preserve">59.7%</w:t>
      </w:r>
      <w:r>
        <w:t xml:space="preserve"> </w:t>
      </w:r>
      <w:r>
        <w:t xml:space="preserve">37.8%</w:t>
      </w:r>
      <w:r>
        <w:t xml:space="preserve"> </w:t>
      </w:r>
      <w:r>
        <w:t xml:space="preserve">59.7%</w:t>
      </w:r>
      <w:r>
        <w:t xml:space="preserve"> </w:t>
      </w:r>
      <w:r>
        <w:t xml:space="preserve">Agriculture and forestry</w:t>
      </w:r>
      <w:r>
        <w:t xml:space="preserve"> </w:t>
      </w:r>
      <w:r>
        <w:t xml:space="preserve">9.7%</w:t>
      </w:r>
      <w:r>
        <w:t xml:space="preserve"> </w:t>
      </w:r>
      <w:r>
        <w:t xml:space="preserve">33.6%</w:t>
      </w:r>
      <w:r>
        <w:t xml:space="preserve"> </w:t>
      </w:r>
      <w:r>
        <w:t xml:space="preserve">47.8%</w:t>
      </w:r>
      <w:r>
        <w:t xml:space="preserve"> </w:t>
      </w:r>
      <w:r>
        <w:t xml:space="preserve">36.6%</w:t>
      </w:r>
      <w:r>
        <w:t xml:space="preserve"> </w:t>
      </w:r>
      <w:r>
        <w:t xml:space="preserve">47.4%</w:t>
      </w:r>
      <w:r>
        <w:t xml:space="preserve"> </w:t>
      </w:r>
      <w:r>
        <w:t xml:space="preserve">36.3%</w:t>
      </w:r>
      <w:r>
        <w:t xml:space="preserve"> </w:t>
      </w:r>
      <w:r>
        <w:t xml:space="preserve">46.3%</w:t>
      </w:r>
      <w:r>
        <w:t xml:space="preserve"> </w:t>
      </w:r>
      <w:r>
        <w:t xml:space="preserve">Memo:</w:t>
      </w:r>
      <w:r>
        <w:t xml:space="preserve"> </w:t>
      </w:r>
      <w:r>
        <w:t xml:space="preserve">GDP</w:t>
      </w:r>
      <w:r>
        <w:t xml:space="preserve"> </w:t>
      </w:r>
      <w:r>
        <w:t xml:space="preserve">22.8%</w:t>
      </w:r>
      <w:r>
        <w:t xml:space="preserve"> </w:t>
      </w:r>
      <w:r>
        <w:t xml:space="preserve">40.6%</w:t>
      </w:r>
      <w:r>
        <w:t xml:space="preserve"> </w:t>
      </w:r>
      <w:r>
        <w:t xml:space="preserve">62.1%</w:t>
      </w:r>
      <w:r>
        <w:t xml:space="preserve"> </w:t>
      </w:r>
      <w:r>
        <w:t xml:space="preserve">39.9%</w:t>
      </w:r>
      <w:r>
        <w:t xml:space="preserve"> </w:t>
      </w:r>
      <w:r>
        <w:t xml:space="preserve">61.9%</w:t>
      </w:r>
      <w:r>
        <w:t xml:space="preserve"> </w:t>
      </w:r>
      <w:r>
        <w:t xml:space="preserve">39.5%</w:t>
      </w:r>
      <w:r>
        <w:t xml:space="preserve"> </w:t>
      </w:r>
      <w:r>
        <w:t xml:space="preserve">61.8%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Fossil fuel industries</w:t>
      </w:r>
      <w:r>
        <w:t xml:space="preserve"> </w:t>
      </w:r>
      <w:r>
        <w:t xml:space="preserve">1.6%</w:t>
      </w:r>
      <w:r>
        <w:t xml:space="preserve"> </w:t>
      </w:r>
      <w:r>
        <w:t xml:space="preserve">1.1%</w:t>
      </w:r>
      <w:r>
        <w:t xml:space="preserve"> </w:t>
      </w:r>
      <w:r>
        <w:t xml:space="preserve">0.6%</w:t>
      </w:r>
      <w:r>
        <w:t xml:space="preserve"> </w:t>
      </w:r>
      <w:r>
        <w:t xml:space="preserve">0.3%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10.4%</w:t>
      </w:r>
      <w:r>
        <w:t xml:space="preserve"> </w:t>
      </w:r>
      <w:r>
        <w:t xml:space="preserve">9.7%</w:t>
      </w:r>
      <w:r>
        <w:t xml:space="preserve"> </w:t>
      </w:r>
      <w:r>
        <w:t xml:space="preserve">9.3%</w:t>
      </w:r>
      <w:r>
        <w:t xml:space="preserve"> </w:t>
      </w:r>
      <w:r>
        <w:t xml:space="preserve">8.9%</w:t>
      </w:r>
      <w:r>
        <w:t xml:space="preserve"> </w:t>
      </w:r>
      <w:r>
        <w:t xml:space="preserve">9.2%</w:t>
      </w:r>
      <w:r>
        <w:t xml:space="preserve"> </w:t>
      </w:r>
      <w:r>
        <w:t xml:space="preserve">8.9%</w:t>
      </w:r>
      <w:r>
        <w:t xml:space="preserve"> </w:t>
      </w:r>
      <w:r>
        <w:t xml:space="preserve">9.2%</w:t>
      </w:r>
      <w:r>
        <w:t xml:space="preserve"> </w:t>
      </w:r>
      <w:r>
        <w:t xml:space="preserve">8.9%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3.8%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3.4%</w:t>
      </w:r>
      <w:r>
        <w:t xml:space="preserve"> </w:t>
      </w:r>
      <w:r>
        <w:t xml:space="preserve">3.5%</w:t>
      </w:r>
      <w:r>
        <w:t xml:space="preserve"> </w:t>
      </w:r>
      <w:r>
        <w:t xml:space="preserve">3.4%</w:t>
      </w:r>
      <w:r>
        <w:t xml:space="preserve"> </w:t>
      </w:r>
      <w:r>
        <w:t xml:space="preserve">3.5%</w:t>
      </w:r>
      <w:r>
        <w:t xml:space="preserve"> </w:t>
      </w:r>
      <w:r>
        <w:t xml:space="preserve">3.4%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6.3%</w:t>
      </w:r>
      <w:r>
        <w:t xml:space="preserve"> </w:t>
      </w:r>
      <w:r>
        <w:t xml:space="preserve">6.2%</w:t>
      </w:r>
      <w:r>
        <w:t xml:space="preserve"> </w:t>
      </w:r>
      <w:r>
        <w:t xml:space="preserve">6.3%</w:t>
      </w:r>
      <w:r>
        <w:t xml:space="preserve"> </w:t>
      </w:r>
      <w:r>
        <w:t xml:space="preserve">6.2%</w:t>
      </w:r>
      <w:r>
        <w:t xml:space="preserve"> </w:t>
      </w:r>
      <w:r>
        <w:t xml:space="preserve">6.3%</w:t>
      </w:r>
      <w:r>
        <w:t xml:space="preserve"> </w:t>
      </w:r>
      <w:r>
        <w:t xml:space="preserve">6.2%</w:t>
      </w:r>
      <w:r>
        <w:t xml:space="preserve"> </w:t>
      </w:r>
      <w:r>
        <w:t xml:space="preserve">6.3%</w:t>
      </w:r>
      <w:r>
        <w:t xml:space="preserve"> </w:t>
      </w:r>
      <w:r>
        <w:t xml:space="preserve">6.2%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6.0%</w:t>
      </w:r>
      <w:r>
        <w:t xml:space="preserve"> </w:t>
      </w:r>
      <w:r>
        <w:t xml:space="preserve">5.7%</w:t>
      </w:r>
      <w:r>
        <w:t xml:space="preserve"> </w:t>
      </w:r>
      <w:r>
        <w:t xml:space="preserve">5.4%</w:t>
      </w:r>
      <w:r>
        <w:t xml:space="preserve"> </w:t>
      </w:r>
      <w:r>
        <w:t xml:space="preserve">5.1%</w:t>
      </w:r>
      <w:r>
        <w:t xml:space="preserve"> </w:t>
      </w:r>
      <w:r>
        <w:t xml:space="preserve">5.4%</w:t>
      </w:r>
      <w:r>
        <w:t xml:space="preserve"> </w:t>
      </w:r>
      <w:r>
        <w:t xml:space="preserve">5.1%</w:t>
      </w:r>
      <w:r>
        <w:t xml:space="preserve"> </w:t>
      </w:r>
      <w:r>
        <w:t xml:space="preserve">5.4%</w:t>
      </w:r>
      <w:r>
        <w:t xml:space="preserve"> </w:t>
      </w:r>
      <w:r>
        <w:t xml:space="preserve">5.1%</w:t>
      </w:r>
      <w:r>
        <w:t xml:space="preserve"> </w:t>
      </w:r>
      <w:r>
        <w:t xml:space="preserve">Transport</w:t>
      </w:r>
      <w:r>
        <w:t xml:space="preserve"> </w:t>
      </w:r>
      <w:r>
        <w:t xml:space="preserve">4.6%</w:t>
      </w:r>
      <w:r>
        <w:t xml:space="preserve"> </w:t>
      </w:r>
      <w:r>
        <w:t xml:space="preserve">5.1%</w:t>
      </w:r>
      <w:r>
        <w:t xml:space="preserve"> </w:t>
      </w:r>
      <w:r>
        <w:t xml:space="preserve">5.2%</w:t>
      </w:r>
      <w:r>
        <w:t xml:space="preserve"> </w:t>
      </w:r>
      <w:r>
        <w:t xml:space="preserve">5.3%</w:t>
      </w:r>
      <w:r>
        <w:t xml:space="preserve"> </w:t>
      </w:r>
      <w:r>
        <w:t xml:space="preserve">5.1%</w:t>
      </w:r>
      <w:r>
        <w:t xml:space="preserve"> </w:t>
      </w:r>
      <w:r>
        <w:t xml:space="preserve">5.3%</w:t>
      </w:r>
      <w:r>
        <w:t xml:space="preserve"> </w:t>
      </w:r>
      <w:r>
        <w:t xml:space="preserve">5.1%</w:t>
      </w:r>
      <w:r>
        <w:t xml:space="preserve"> </w:t>
      </w:r>
      <w:r>
        <w:t xml:space="preserve">5.3%</w:t>
      </w:r>
      <w:r>
        <w:t xml:space="preserve"> </w:t>
      </w:r>
      <w:r>
        <w:t xml:space="preserve">Construction</w:t>
      </w:r>
      <w:r>
        <w:t xml:space="preserve"> </w:t>
      </w:r>
      <w:r>
        <w:t xml:space="preserve">7.3%</w:t>
      </w:r>
      <w:r>
        <w:t xml:space="preserve"> </w:t>
      </w:r>
      <w:r>
        <w:t xml:space="preserve">7.2%</w:t>
      </w:r>
      <w:r>
        <w:t xml:space="preserve"> </w:t>
      </w:r>
      <w:r>
        <w:t xml:space="preserve">7.3%</w:t>
      </w:r>
      <w:r>
        <w:t xml:space="preserve"> </w:t>
      </w:r>
      <w:r>
        <w:t xml:space="preserve">7.3%</w:t>
      </w:r>
      <w:r>
        <w:t xml:space="preserve"> </w:t>
      </w:r>
      <w:r>
        <w:t xml:space="preserve">7.3%</w:t>
      </w:r>
      <w:r>
        <w:t xml:space="preserve"> </w:t>
      </w:r>
      <w:r>
        <w:t xml:space="preserve">7.3%</w:t>
      </w:r>
      <w:r>
        <w:t xml:space="preserve"> </w:t>
      </w:r>
      <w:r>
        <w:t xml:space="preserve">7.4%</w:t>
      </w:r>
      <w:r>
        <w:t xml:space="preserve"> </w:t>
      </w:r>
      <w:r>
        <w:t xml:space="preserve">7.3%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38.3%</w:t>
      </w:r>
      <w:r>
        <w:t xml:space="preserve"> </w:t>
      </w:r>
      <w:r>
        <w:t xml:space="preserve">39.3%</w:t>
      </w:r>
      <w:r>
        <w:t xml:space="preserve"> </w:t>
      </w:r>
      <w:r>
        <w:t xml:space="preserve">39.6%</w:t>
      </w:r>
      <w:r>
        <w:t xml:space="preserve"> </w:t>
      </w:r>
      <w:r>
        <w:t xml:space="preserve">39.9%</w:t>
      </w:r>
      <w:r>
        <w:t xml:space="preserve"> </w:t>
      </w:r>
      <w:r>
        <w:t xml:space="preserve">39.6%</w:t>
      </w:r>
      <w:r>
        <w:t xml:space="preserve"> </w:t>
      </w:r>
      <w:r>
        <w:t xml:space="preserve">39.9%</w:t>
      </w:r>
      <w:r>
        <w:t xml:space="preserve"> </w:t>
      </w:r>
      <w:r>
        <w:t xml:space="preserve">39.6%</w:t>
      </w:r>
      <w:r>
        <w:t xml:space="preserve"> </w:t>
      </w:r>
      <w:r>
        <w:t xml:space="preserve">39.9%</w:t>
      </w:r>
      <w:r>
        <w:t xml:space="preserve"> </w:t>
      </w:r>
      <w:r>
        <w:t xml:space="preserve">Non-market services</w:t>
      </w:r>
      <w:r>
        <w:t xml:space="preserve"> </w:t>
      </w:r>
      <w:r>
        <w:t xml:space="preserve">14.7%</w:t>
      </w:r>
      <w:r>
        <w:t xml:space="preserve"> </w:t>
      </w:r>
      <w:r>
        <w:t xml:space="preserve">15.0%</w:t>
      </w:r>
      <w:r>
        <w:t xml:space="preserve"> </w:t>
      </w:r>
      <w:r>
        <w:t xml:space="preserve">15.0%</w:t>
      </w:r>
      <w:r>
        <w:t xml:space="preserve"> </w:t>
      </w:r>
      <w:r>
        <w:t xml:space="preserve">15.1%</w:t>
      </w:r>
      <w:r>
        <w:t xml:space="preserve"> </w:t>
      </w:r>
      <w:r>
        <w:t xml:space="preserve">15.1%</w:t>
      </w:r>
      <w:r>
        <w:t xml:space="preserve"> </w:t>
      </w:r>
      <w:r>
        <w:t xml:space="preserve">15.1%</w:t>
      </w:r>
      <w:r>
        <w:t xml:space="preserve"> </w:t>
      </w:r>
      <w:r>
        <w:t xml:space="preserve">15.1%</w:t>
      </w:r>
      <w:r>
        <w:t xml:space="preserve"> </w:t>
      </w:r>
      <w:r>
        <w:t xml:space="preserve">15.1%</w:t>
      </w:r>
      <w:r>
        <w:t xml:space="preserve"> </w:t>
      </w:r>
      <w:r>
        <w:t xml:space="preserve">Agriculture and forestry</w:t>
      </w:r>
      <w:r>
        <w:t xml:space="preserve"> </w:t>
      </w:r>
      <w:r>
        <w:t xml:space="preserve">1.8%</w:t>
      </w:r>
      <w:r>
        <w:t xml:space="preserve"> </w:t>
      </w:r>
      <w:r>
        <w:t xml:space="preserve">1.7%</w:t>
      </w:r>
      <w:r>
        <w:t xml:space="preserve"> </w:t>
      </w:r>
      <w:r>
        <w:t xml:space="preserve">1.8%</w:t>
      </w:r>
      <w:r>
        <w:t xml:space="preserve"> </w:t>
      </w:r>
      <w:r>
        <w:t xml:space="preserve">1.7%</w:t>
      </w:r>
      <w:r>
        <w:t xml:space="preserve"> </w:t>
      </w:r>
      <w:r>
        <w:t xml:space="preserve">1.8%</w:t>
      </w:r>
      <w:r>
        <w:t xml:space="preserve"> </w:t>
      </w:r>
      <w:r>
        <w:t xml:space="preserve">1.7%</w:t>
      </w:r>
      <w:r>
        <w:t xml:space="preserve"> </w:t>
      </w:r>
      <w:r>
        <w:t xml:space="preserve">1.8%</w:t>
      </w:r>
      <w:r>
        <w:t xml:space="preserve"> </w:t>
      </w:r>
      <w:r>
        <w:t xml:space="preserve">1.7%</w:t>
      </w:r>
      <w:r>
        <w:t xml:space="preserve"> </w:t>
      </w:r>
      <w:r>
        <w:t xml:space="preserve">Other</w:t>
      </w:r>
      <w:r>
        <w:t xml:space="preserve"> </w:t>
      </w:r>
      <w:r>
        <w:t xml:space="preserve">5.2%</w:t>
      </w:r>
      <w:r>
        <w:t xml:space="preserve"> </w:t>
      </w:r>
      <w:r>
        <w:t xml:space="preserve">5.5%</w:t>
      </w:r>
      <w:r>
        <w:t xml:space="preserve"> </w:t>
      </w:r>
      <w:r>
        <w:t xml:space="preserve">6.0%</w:t>
      </w:r>
      <w:r>
        <w:t xml:space="preserve"> </w:t>
      </w:r>
      <w:r>
        <w:t xml:space="preserve">6.7%</w:t>
      </w:r>
      <w:r>
        <w:t xml:space="preserve"> </w:t>
      </w:r>
      <w:r>
        <w:t xml:space="preserve">6.1%</w:t>
      </w:r>
      <w:r>
        <w:t xml:space="preserve"> </w:t>
      </w:r>
      <w:r>
        <w:t xml:space="preserve">6.7%</w:t>
      </w:r>
      <w:r>
        <w:t xml:space="preserve"> </w:t>
      </w:r>
      <w:r>
        <w:t xml:space="preserve">6.1%</w:t>
      </w:r>
      <w:r>
        <w:t xml:space="preserve"> </w:t>
      </w:r>
      <w:r>
        <w:t xml:space="preserve">6.7%</w:t>
      </w:r>
      <w:r>
        <w:t xml:space="preserve"> </w:t>
      </w:r>
      <w:r>
        <w:t xml:space="preserve">S3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The impact of the scenarios on EU businesses, particularly on competitiveness, can also</w:t>
      </w:r>
      <w:r>
        <w:t xml:space="preserve"> </w:t>
      </w:r>
      <w:r>
        <w:t xml:space="preserve">be viewed through the lens of their impact on the EU’s export market shares across a</w:t>
      </w:r>
      <w:r>
        <w:t xml:space="preserve"> </w:t>
      </w:r>
      <w:r>
        <w:t xml:space="preserve">range of sectors. The EU is not only the world’s largest economy, but also the largest</w:t>
      </w:r>
      <w:r>
        <w:t xml:space="preserve"> </w:t>
      </w:r>
      <w:r>
        <w:t xml:space="preserve">trading block, with a share of around 17% of global exports currently (Table 43). Export</w:t>
      </w:r>
      <w:r>
        <w:t xml:space="preserve"> </w:t>
      </w:r>
      <w:r>
        <w:t xml:space="preserve">market shares are somewhat larger than this overall figure for energy intensive industries</w:t>
      </w:r>
      <w:r>
        <w:t xml:space="preserve"> </w:t>
      </w:r>
      <w:r>
        <w:t xml:space="preserve">and significantly larger for transport equipment and market services. Given that the EU</w:t>
      </w:r>
      <w:r>
        <w:t xml:space="preserve"> </w:t>
      </w:r>
      <w:r>
        <w:t xml:space="preserve">economy is projected to grow slower than most other large economies in the world,</w:t>
      </w:r>
      <w:r>
        <w:t xml:space="preserve"> </w:t>
      </w:r>
      <w:r>
        <w:t xml:space="preserve">mainly as a result of contrasted population trends and the maturity of its economy, the</w:t>
      </w:r>
      <w:r>
        <w:t xml:space="preserve"> </w:t>
      </w:r>
      <w:r>
        <w:t xml:space="preserve">share in global exports is set to decline in the coming decades. This pattern is unlikely to</w:t>
      </w:r>
      <w:r>
        <w:t xml:space="preserve"> </w:t>
      </w:r>
      <w:r>
        <w:t xml:space="preserve">be much affected by the degree of climate ambition by 2040 and the three main scenarios</w:t>
      </w:r>
      <w:r>
        <w:t xml:space="preserve"> </w:t>
      </w:r>
      <w:r>
        <w:t xml:space="preserve">show very similar patterns for all key sectors of the economy.</w:t>
      </w:r>
      <w:r>
        <w:t xml:space="preserve"> </w:t>
      </w:r>
      <w:r>
        <w:t xml:space="preserve">A more relevant factor concerning export market shares lies in the degree to which the</w:t>
      </w:r>
      <w:r>
        <w:t xml:space="preserve"> </w:t>
      </w:r>
      <w:r>
        <w:t xml:space="preserve">rest of the world is projected to step up efforts to mitigate greenhouse gas emissions. A</w:t>
      </w:r>
      <w:r>
        <w:t xml:space="preserve"> </w:t>
      </w:r>
      <w:r>
        <w:t xml:space="preserve">higher degree of ambition outside the EU (global action) is projected to increase the EU’s</w:t>
      </w:r>
      <w:r>
        <w:t xml:space="preserve"> </w:t>
      </w:r>
      <w:r>
        <w:t xml:space="preserve">export market shares across the board compared to a scenario with lower ambition</w:t>
      </w:r>
      <w:r>
        <w:t xml:space="preserve"> </w:t>
      </w:r>
      <w:r>
        <w:t xml:space="preserve">(fragmented action). The benefits of a “first-mover” advantage for EU exporters is</w:t>
      </w:r>
      <w:r>
        <w:t xml:space="preserve"> </w:t>
      </w:r>
      <w:r>
        <w:t xml:space="preserve">significant for most sectors, with the exception of market services, where decarbonisation</w:t>
      </w:r>
      <w:r>
        <w:t xml:space="preserve"> </w:t>
      </w:r>
      <w:r>
        <w:t xml:space="preserve">is a less relevant factor.</w:t>
      </w:r>
      <w:r>
        <w:t xml:space="preserve"> </w:t>
      </w:r>
      <w:r>
        <w:t xml:space="preserve">Table 43: EU shares in global exports (% of total)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Besides affecting domestic businesses, the level of ambition for 2040 is susceptible to</w:t>
      </w:r>
      <w:r>
        <w:t xml:space="preserve"> </w:t>
      </w:r>
      <w:r>
        <w:t xml:space="preserve">affect partner countries via trade channels, as the EU is also a major importer, with a</w:t>
      </w:r>
      <w:r>
        <w:t xml:space="preserve"> </w:t>
      </w:r>
      <w:r>
        <w:t xml:space="preserve">share in world imports similar to its share in world exports of close to 18%. As is the</w:t>
      </w:r>
      <w:r>
        <w:t xml:space="preserve"> </w:t>
      </w:r>
      <w:r>
        <w:t xml:space="preserve">case on the export side, this share is set to decline in the coming decades with higher</w:t>
      </w:r>
      <w:r>
        <w:t xml:space="preserve"> </w:t>
      </w:r>
      <w:r>
        <w:t xml:space="preserve">economic growth rates elsewhere, but the EU will remain a major global trading partner,</w:t>
      </w:r>
      <w:r>
        <w:t xml:space="preserve"> </w:t>
      </w:r>
      <w:r>
        <w:t xml:space="preserve">also on account of its openness and number of free trade agreements. As is again the case</w:t>
      </w:r>
      <w:r>
        <w:t xml:space="preserve"> </w:t>
      </w:r>
      <w:r>
        <w:t xml:space="preserve">on the export side, there is very little differentiation across scenarios (level of ambition)</w:t>
      </w:r>
      <w:r>
        <w:t xml:space="preserve"> </w:t>
      </w:r>
      <w:r>
        <w:t xml:space="preserve">in terms of the absolute amounts of EU imports or their share in global imports. The</w:t>
      </w:r>
      <w:r>
        <w:t xml:space="preserve"> </w:t>
      </w:r>
      <w:r>
        <w:t xml:space="preserve">changing nature of the EU economy, however, implies that the share of the EU’s imports</w:t>
      </w:r>
      <w:r>
        <w:t xml:space="preserve"> </w:t>
      </w:r>
      <w:r>
        <w:t xml:space="preserve">in global imports could decline faster for some sectors than for others. In particular, the</w:t>
      </w:r>
      <w:r>
        <w:t xml:space="preserve"> </w:t>
      </w:r>
      <w:r>
        <w:t xml:space="preserve">EU’s share of imports of goods from energy intensive industries in world trade could</w:t>
      </w:r>
      <w:r>
        <w:t xml:space="preserve"> </w:t>
      </w:r>
      <w:r>
        <w:t xml:space="preserve">decline significantly, while its share in global imports of consumer goods and market</w:t>
      </w:r>
      <w:r>
        <w:t xml:space="preserve"> </w:t>
      </w:r>
      <w:r>
        <w:t xml:space="preserve">services could remain broadly stable. In turn, the EU’s place as an importer of agriculture</w:t>
      </w:r>
      <w:r>
        <w:t xml:space="preserve"> </w:t>
      </w:r>
      <w:r>
        <w:t xml:space="preserve">and forestry products is projected to increase in relative terms (Table 44).</w:t>
      </w:r>
      <w:r>
        <w:t xml:space="preserve"> </w:t>
      </w:r>
      <w:r>
        <w:t xml:space="preserve">As is the case on the export side, a bigger impact is projected to arise depending on</w:t>
      </w:r>
      <w:r>
        <w:t xml:space="preserve"> </w:t>
      </w:r>
      <w:r>
        <w:t xml:space="preserve">whether the rest of the world implements a higher degree of climate ambition (global</w:t>
      </w:r>
      <w:r>
        <w:t xml:space="preserve"> </w:t>
      </w:r>
      <w:r>
        <w:t xml:space="preserve">action) or not (fragmented action). Under a global action scenario, the EU’s share in</w:t>
      </w:r>
      <w:r>
        <w:t xml:space="preserve"> </w:t>
      </w:r>
      <w:r>
        <w:t xml:space="preserve">world imports is projected to be slightly higher than under a fragmented action scenario</w:t>
      </w:r>
      <w:r>
        <w:t xml:space="preserve"> </w:t>
      </w:r>
      <w:r>
        <w:t xml:space="preserve">overall, with a most significant positive impact in terms of market services. As far as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Scenario 3</w:t>
      </w:r>
      <w:r>
        <w:t xml:space="preserve"> </w:t>
      </w:r>
      <w:r>
        <w:t xml:space="preserve">All exports</w:t>
      </w:r>
      <w:r>
        <w:t xml:space="preserve"> </w:t>
      </w:r>
      <w:r>
        <w:t xml:space="preserve">17.8%</w:t>
      </w:r>
      <w:r>
        <w:t xml:space="preserve"> </w:t>
      </w:r>
      <w:r>
        <w:t xml:space="preserve">17.2%</w:t>
      </w:r>
      <w:r>
        <w:t xml:space="preserve"> </w:t>
      </w:r>
      <w:r>
        <w:t xml:space="preserve">16.8%</w:t>
      </w:r>
      <w:r>
        <w:t xml:space="preserve"> </w:t>
      </w:r>
      <w:r>
        <w:t xml:space="preserve">16.1%</w:t>
      </w:r>
      <w:r>
        <w:t xml:space="preserve"> </w:t>
      </w:r>
      <w:r>
        <w:t xml:space="preserve">15.9%</w:t>
      </w:r>
      <w:r>
        <w:t xml:space="preserve"> </w:t>
      </w:r>
      <w:r>
        <w:t xml:space="preserve">17.6%</w:t>
      </w:r>
      <w:r>
        <w:t xml:space="preserve"> </w:t>
      </w:r>
      <w:r>
        <w:t xml:space="preserve">16.6%</w:t>
      </w:r>
      <w:r>
        <w:t xml:space="preserve"> </w:t>
      </w:r>
      <w:r>
        <w:t xml:space="preserve">16.8%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19.1%</w:t>
      </w:r>
      <w:r>
        <w:t xml:space="preserve"> </w:t>
      </w:r>
      <w:r>
        <w:t xml:space="preserve">19.7%</w:t>
      </w:r>
      <w:r>
        <w:t xml:space="preserve"> </w:t>
      </w:r>
      <w:r>
        <w:t xml:space="preserve">18.3%</w:t>
      </w:r>
      <w:r>
        <w:t xml:space="preserve"> </w:t>
      </w:r>
      <w:r>
        <w:t xml:space="preserve">17.1%</w:t>
      </w:r>
      <w:r>
        <w:t xml:space="preserve"> </w:t>
      </w:r>
      <w:r>
        <w:t xml:space="preserve">16.8%</w:t>
      </w:r>
      <w:r>
        <w:t xml:space="preserve"> </w:t>
      </w:r>
      <w:r>
        <w:t xml:space="preserve">19.8%</w:t>
      </w:r>
      <w:r>
        <w:t xml:space="preserve"> </w:t>
      </w:r>
      <w:r>
        <w:t xml:space="preserve">17.6%</w:t>
      </w:r>
      <w:r>
        <w:t xml:space="preserve"> </w:t>
      </w:r>
      <w:r>
        <w:t xml:space="preserve">17.5%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28.7%</w:t>
      </w:r>
      <w:r>
        <w:t xml:space="preserve"> </w:t>
      </w:r>
      <w:r>
        <w:t xml:space="preserve">28.4%</w:t>
      </w:r>
      <w:r>
        <w:t xml:space="preserve"> </w:t>
      </w:r>
      <w:r>
        <w:t xml:space="preserve">26.4%</w:t>
      </w:r>
      <w:r>
        <w:t xml:space="preserve"> </w:t>
      </w:r>
      <w:r>
        <w:t xml:space="preserve">25.0%</w:t>
      </w:r>
      <w:r>
        <w:t xml:space="preserve"> </w:t>
      </w:r>
      <w:r>
        <w:t xml:space="preserve">24.1%</w:t>
      </w:r>
      <w:r>
        <w:t xml:space="preserve"> </w:t>
      </w:r>
      <w:r>
        <w:t xml:space="preserve">26.9%</w:t>
      </w:r>
      <w:r>
        <w:t xml:space="preserve"> </w:t>
      </w:r>
      <w:r>
        <w:t xml:space="preserve">25.0%</w:t>
      </w:r>
      <w:r>
        <w:t xml:space="preserve"> </w:t>
      </w:r>
      <w:r>
        <w:t xml:space="preserve">24.3%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22.1%</w:t>
      </w:r>
      <w:r>
        <w:t xml:space="preserve"> </w:t>
      </w:r>
      <w:r>
        <w:t xml:space="preserve">21.1%</w:t>
      </w:r>
      <w:r>
        <w:t xml:space="preserve"> </w:t>
      </w:r>
      <w:r>
        <w:t xml:space="preserve">19.2%</w:t>
      </w:r>
      <w:r>
        <w:t xml:space="preserve"> </w:t>
      </w:r>
      <w:r>
        <w:t xml:space="preserve">17.1%</w:t>
      </w:r>
      <w:r>
        <w:t xml:space="preserve"> </w:t>
      </w:r>
      <w:r>
        <w:t xml:space="preserve">16.7%</w:t>
      </w:r>
      <w:r>
        <w:t xml:space="preserve"> </w:t>
      </w:r>
      <w:r>
        <w:t xml:space="preserve">21.1%</w:t>
      </w:r>
      <w:r>
        <w:t xml:space="preserve"> </w:t>
      </w:r>
      <w:r>
        <w:t xml:space="preserve">17.8%</w:t>
      </w:r>
      <w:r>
        <w:t xml:space="preserve"> </w:t>
      </w:r>
      <w:r>
        <w:t xml:space="preserve">18.7%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15.0%</w:t>
      </w:r>
      <w:r>
        <w:t xml:space="preserve"> </w:t>
      </w:r>
      <w:r>
        <w:t xml:space="preserve">14.1%</w:t>
      </w:r>
      <w:r>
        <w:t xml:space="preserve"> </w:t>
      </w:r>
      <w:r>
        <w:t xml:space="preserve">13.4%</w:t>
      </w:r>
      <w:r>
        <w:t xml:space="preserve"> </w:t>
      </w:r>
      <w:r>
        <w:t xml:space="preserve">12.3%</w:t>
      </w:r>
      <w:r>
        <w:t xml:space="preserve"> </w:t>
      </w:r>
      <w:r>
        <w:t xml:space="preserve">12.0%</w:t>
      </w:r>
      <w:r>
        <w:t xml:space="preserve"> </w:t>
      </w:r>
      <w:r>
        <w:t xml:space="preserve">14.1%</w:t>
      </w:r>
      <w:r>
        <w:t xml:space="preserve"> </w:t>
      </w:r>
      <w:r>
        <w:t xml:space="preserve">13.0%</w:t>
      </w:r>
      <w:r>
        <w:t xml:space="preserve"> </w:t>
      </w:r>
      <w:r>
        <w:t xml:space="preserve">13.6%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25.2%</w:t>
      </w:r>
      <w:r>
        <w:t xml:space="preserve"> </w:t>
      </w:r>
      <w:r>
        <w:t xml:space="preserve">23.9%</w:t>
      </w:r>
      <w:r>
        <w:t xml:space="preserve"> </w:t>
      </w:r>
      <w:r>
        <w:t xml:space="preserve">23.7%</w:t>
      </w:r>
      <w:r>
        <w:t xml:space="preserve"> </w:t>
      </w:r>
      <w:r>
        <w:t xml:space="preserve">22.7%</w:t>
      </w:r>
      <w:r>
        <w:t xml:space="preserve"> </w:t>
      </w:r>
      <w:r>
        <w:t xml:space="preserve">21.5%</w:t>
      </w:r>
      <w:r>
        <w:t xml:space="preserve"> </w:t>
      </w:r>
      <w:r>
        <w:t xml:space="preserve">21.4%</w:t>
      </w:r>
      <w:r>
        <w:t xml:space="preserve"> </w:t>
      </w:r>
      <w:r>
        <w:t xml:space="preserve">21.7%</w:t>
      </w:r>
      <w:r>
        <w:t xml:space="preserve"> </w:t>
      </w:r>
      <w:r>
        <w:t xml:space="preserve">19.1%</w:t>
      </w:r>
      <w:r>
        <w:t xml:space="preserve"> </w:t>
      </w:r>
      <w:r>
        <w:t xml:space="preserve">Agriculture and forestry</w:t>
      </w:r>
      <w:r>
        <w:t xml:space="preserve"> </w:t>
      </w:r>
      <w:r>
        <w:t xml:space="preserve">8.2%</w:t>
      </w:r>
      <w:r>
        <w:t xml:space="preserve"> </w:t>
      </w:r>
      <w:r>
        <w:t xml:space="preserve">7.6%</w:t>
      </w:r>
      <w:r>
        <w:t xml:space="preserve"> </w:t>
      </w:r>
      <w:r>
        <w:t xml:space="preserve">7.8%</w:t>
      </w:r>
      <w:r>
        <w:t xml:space="preserve"> </w:t>
      </w:r>
      <w:r>
        <w:t xml:space="preserve">6.7%</w:t>
      </w:r>
      <w:r>
        <w:t xml:space="preserve"> </w:t>
      </w:r>
      <w:r>
        <w:t xml:space="preserve">6.0%</w:t>
      </w:r>
      <w:r>
        <w:t xml:space="preserve"> </w:t>
      </w:r>
      <w:r>
        <w:t xml:space="preserve">9.2%</w:t>
      </w:r>
      <w:r>
        <w:t xml:space="preserve"> </w:t>
      </w:r>
      <w:r>
        <w:t xml:space="preserve">7.1%</w:t>
      </w:r>
      <w:r>
        <w:t xml:space="preserve"> </w:t>
      </w:r>
      <w:r>
        <w:t xml:space="preserve">6.3%</w:t>
      </w:r>
      <w:r>
        <w:t xml:space="preserve"> </w:t>
      </w:r>
      <w:r>
        <w:t xml:space="preserve">Fragmented</w:t>
      </w:r>
      <w:r>
        <w:t xml:space="preserve"> </w:t>
      </w:r>
      <w:r>
        <w:t xml:space="preserve">Global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more carbon-intensive products are concerned (e.g., energy intensive industries, transport</w:t>
      </w:r>
      <w:r>
        <w:t xml:space="preserve"> </w:t>
      </w:r>
      <w:r>
        <w:t xml:space="preserve">equipment or consumer goods), the EU would account for a smaller share of global</w:t>
      </w:r>
      <w:r>
        <w:t xml:space="preserve"> </w:t>
      </w:r>
      <w:r>
        <w:t xml:space="preserve">imports under a global action scenario than under a fragmented action scenario. This is</w:t>
      </w:r>
      <w:r>
        <w:t xml:space="preserve"> </w:t>
      </w:r>
      <w:r>
        <w:t xml:space="preserve">the converse of the “first mover advantage” highlighted above, as trading partners would</w:t>
      </w:r>
      <w:r>
        <w:t xml:space="preserve"> </w:t>
      </w:r>
      <w:r>
        <w:t xml:space="preserve">be in a situation of “second mover” under a global action scenario, which would reduce</w:t>
      </w:r>
      <w:r>
        <w:t xml:space="preserve"> </w:t>
      </w:r>
      <w:r>
        <w:t xml:space="preserve">imports by the EU as domestic producers gain in terms of competitiveness.</w:t>
      </w:r>
      <w:r>
        <w:t xml:space="preserve"> </w:t>
      </w:r>
      <w:r>
        <w:t xml:space="preserve">Table 44: EU shares in global imports (% of total)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The extent to which the EU’s trade partners may be affected by the transition and the</w:t>
      </w:r>
      <w:r>
        <w:t xml:space="preserve"> </w:t>
      </w:r>
      <w:r>
        <w:t xml:space="preserve">level of ambition for 2040 also depend to a significant extent on the type of goods that</w:t>
      </w:r>
      <w:r>
        <w:t xml:space="preserve"> </w:t>
      </w:r>
      <w:r>
        <w:t xml:space="preserve">the EU imports, and how this may change over time and across scenarios. Table 45</w:t>
      </w:r>
      <w:r>
        <w:t xml:space="preserve"> </w:t>
      </w:r>
      <w:r>
        <w:t xml:space="preserve">provides further detail on the projected structure of EU imports. Fossil fuels (coal, crude</w:t>
      </w:r>
      <w:r>
        <w:t xml:space="preserve"> </w:t>
      </w:r>
      <w:r>
        <w:t xml:space="preserve">oil, oil and gas) currently represent an important share of the EU’s total imports. The</w:t>
      </w:r>
      <w:r>
        <w:t xml:space="preserve"> </w:t>
      </w:r>
      <w:r>
        <w:t xml:space="preserve">share and absolute value of such imports are projected to decline sharply as the EU</w:t>
      </w:r>
      <w:r>
        <w:t xml:space="preserve"> </w:t>
      </w:r>
      <w:r>
        <w:t xml:space="preserve">decarbonises its energy system (Section 2.6.1) across all scenarios. A higher level of</w:t>
      </w:r>
      <w:r>
        <w:t xml:space="preserve"> </w:t>
      </w:r>
      <w:r>
        <w:t xml:space="preserve">ambition (S3) is associated with an even faster drop than a lower level of ambition (S1</w:t>
      </w:r>
      <w:r>
        <w:t xml:space="preserve"> </w:t>
      </w:r>
      <w:r>
        <w:t xml:space="preserve">and S2), but the trend is clear and inevitable with fossil fuel imports projected to account</w:t>
      </w:r>
      <w:r>
        <w:t xml:space="preserve"> </w:t>
      </w:r>
      <w:r>
        <w:t xml:space="preserve">for no more than 3% of the EU’s total imports by 2050 (Table 45). Although trade in the</w:t>
      </w:r>
      <w:r>
        <w:t xml:space="preserve"> </w:t>
      </w:r>
      <w:r>
        <w:t xml:space="preserve">raw materials critical for the climate and energy transition is not captured explicitly in the</w:t>
      </w:r>
      <w:r>
        <w:t xml:space="preserve"> </w:t>
      </w:r>
      <w:r>
        <w:t xml:space="preserve">JRC-GEM-E3 macro-economic model, the EU is likely to import a higher level of such</w:t>
      </w:r>
      <w:r>
        <w:t xml:space="preserve"> </w:t>
      </w:r>
      <w:r>
        <w:t xml:space="preserve">goods as the transition progresses (Section 1.9.4).</w:t>
      </w:r>
      <w:r>
        <w:t xml:space="preserve"> </w:t>
      </w:r>
      <w:r>
        <w:t xml:space="preserve">The share of imports of goods from energy intensive industries and transport equipment</w:t>
      </w:r>
      <w:r>
        <w:t xml:space="preserve"> </w:t>
      </w:r>
      <w:r>
        <w:t xml:space="preserve">in total EU imports is projected to decline across scenarios, but this is likely mostly due</w:t>
      </w:r>
      <w:r>
        <w:t xml:space="preserve"> </w:t>
      </w:r>
      <w:r>
        <w:t xml:space="preserve">to factors unrelated to the climate transition and the level of ambition for 2040, such as</w:t>
      </w:r>
      <w:r>
        <w:t xml:space="preserve"> </w:t>
      </w:r>
      <w:r>
        <w:t xml:space="preserve">the maturity of the economy and the gradual decline in the EU population in the long</w:t>
      </w:r>
      <w:r>
        <w:t xml:space="preserve"> </w:t>
      </w:r>
      <w:r>
        <w:t xml:space="preserve">term. In contrast, the share of imports of consumer goods, equipment goods, market</w:t>
      </w:r>
      <w:r>
        <w:t xml:space="preserve"> </w:t>
      </w:r>
      <w:r>
        <w:t xml:space="preserve">services and agriculture and forestry in total EU imports could increase over the coming</w:t>
      </w:r>
      <w:r>
        <w:t xml:space="preserve"> </w:t>
      </w:r>
      <w:r>
        <w:t xml:space="preserve">decades. The share of market services, in particular, could rise sharply as it offsets the</w:t>
      </w:r>
      <w:r>
        <w:t xml:space="preserve"> </w:t>
      </w:r>
      <w:r>
        <w:t xml:space="preserve">falling share of fossil fuel imports. Finally, the contrast between trends under fragmented</w:t>
      </w:r>
      <w:r>
        <w:t xml:space="preserve"> </w:t>
      </w:r>
      <w:r>
        <w:t xml:space="preserve">action vs. global action scenarios are confirmed by figures regarding sectoral shares in</w:t>
      </w:r>
      <w:r>
        <w:t xml:space="preserve"> </w:t>
      </w:r>
      <w:r>
        <w:t xml:space="preserve">EU total imports.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Scenario 3</w:t>
      </w:r>
      <w:r>
        <w:t xml:space="preserve"> </w:t>
      </w:r>
      <w:r>
        <w:t xml:space="preserve">All imports</w:t>
      </w:r>
      <w:r>
        <w:t xml:space="preserve"> </w:t>
      </w:r>
      <w:r>
        <w:t xml:space="preserve">17.6%</w:t>
      </w:r>
      <w:r>
        <w:t xml:space="preserve"> </w:t>
      </w:r>
      <w:r>
        <w:t xml:space="preserve">17.3%</w:t>
      </w:r>
      <w:r>
        <w:t xml:space="preserve"> </w:t>
      </w:r>
      <w:r>
        <w:t xml:space="preserve">16.4%</w:t>
      </w:r>
      <w:r>
        <w:t xml:space="preserve"> </w:t>
      </w:r>
      <w:r>
        <w:t xml:space="preserve">15.7%</w:t>
      </w:r>
      <w:r>
        <w:t xml:space="preserve"> </w:t>
      </w:r>
      <w:r>
        <w:t xml:space="preserve">15.4%</w:t>
      </w:r>
      <w:r>
        <w:t xml:space="preserve"> </w:t>
      </w:r>
      <w:r>
        <w:t xml:space="preserve">16.4%</w:t>
      </w:r>
      <w:r>
        <w:t xml:space="preserve"> </w:t>
      </w:r>
      <w:r>
        <w:t xml:space="preserve">15.8%</w:t>
      </w:r>
      <w:r>
        <w:t xml:space="preserve"> </w:t>
      </w:r>
      <w:r>
        <w:t xml:space="preserve">15.7%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14.8%</w:t>
      </w:r>
      <w:r>
        <w:t xml:space="preserve"> </w:t>
      </w:r>
      <w:r>
        <w:t xml:space="preserve">14.4%</w:t>
      </w:r>
      <w:r>
        <w:t xml:space="preserve"> </w:t>
      </w:r>
      <w:r>
        <w:t xml:space="preserve">12.8%</w:t>
      </w:r>
      <w:r>
        <w:t xml:space="preserve"> </w:t>
      </w:r>
      <w:r>
        <w:t xml:space="preserve">12.0%</w:t>
      </w:r>
      <w:r>
        <w:t xml:space="preserve"> </w:t>
      </w:r>
      <w:r>
        <w:t xml:space="preserve">11.2%</w:t>
      </w:r>
      <w:r>
        <w:t xml:space="preserve"> </w:t>
      </w:r>
      <w:r>
        <w:t xml:space="preserve">12.2%</w:t>
      </w:r>
      <w:r>
        <w:t xml:space="preserve"> </w:t>
      </w:r>
      <w:r>
        <w:t xml:space="preserve">11.8%</w:t>
      </w:r>
      <w:r>
        <w:t xml:space="preserve"> </w:t>
      </w:r>
      <w:r>
        <w:t xml:space="preserve">11.0%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11.2%</w:t>
      </w:r>
      <w:r>
        <w:t xml:space="preserve"> </w:t>
      </w:r>
      <w:r>
        <w:t xml:space="preserve">11.6%</w:t>
      </w:r>
      <w:r>
        <w:t xml:space="preserve"> </w:t>
      </w:r>
      <w:r>
        <w:t xml:space="preserve">10.7%</w:t>
      </w:r>
      <w:r>
        <w:t xml:space="preserve"> </w:t>
      </w:r>
      <w:r>
        <w:t xml:space="preserve">10.6%</w:t>
      </w:r>
      <w:r>
        <w:t xml:space="preserve"> </w:t>
      </w:r>
      <w:r>
        <w:t xml:space="preserve">10.1%</w:t>
      </w:r>
      <w:r>
        <w:t xml:space="preserve"> </w:t>
      </w:r>
      <w:r>
        <w:t xml:space="preserve">10.7%</w:t>
      </w:r>
      <w:r>
        <w:t xml:space="preserve"> </w:t>
      </w:r>
      <w:r>
        <w:t xml:space="preserve">10.7%</w:t>
      </w:r>
      <w:r>
        <w:t xml:space="preserve"> </w:t>
      </w:r>
      <w:r>
        <w:t xml:space="preserve">10.3%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13.4%</w:t>
      </w:r>
      <w:r>
        <w:t xml:space="preserve"> </w:t>
      </w:r>
      <w:r>
        <w:t xml:space="preserve">13.1%</w:t>
      </w:r>
      <w:r>
        <w:t xml:space="preserve"> </w:t>
      </w:r>
      <w:r>
        <w:t xml:space="preserve">12.3%</w:t>
      </w:r>
      <w:r>
        <w:t xml:space="preserve"> </w:t>
      </w:r>
      <w:r>
        <w:t xml:space="preserve">11.8%</w:t>
      </w:r>
      <w:r>
        <w:t xml:space="preserve"> </w:t>
      </w:r>
      <w:r>
        <w:t xml:space="preserve">10.9%</w:t>
      </w:r>
      <w:r>
        <w:t xml:space="preserve"> </w:t>
      </w:r>
      <w:r>
        <w:t xml:space="preserve">11.7%</w:t>
      </w:r>
      <w:r>
        <w:t xml:space="preserve"> </w:t>
      </w:r>
      <w:r>
        <w:t xml:space="preserve">11.5%</w:t>
      </w:r>
      <w:r>
        <w:t xml:space="preserve"> </w:t>
      </w:r>
      <w:r>
        <w:t xml:space="preserve">10.4%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18.7%</w:t>
      </w:r>
      <w:r>
        <w:t xml:space="preserve"> </w:t>
      </w:r>
      <w:r>
        <w:t xml:space="preserve">18.9%</w:t>
      </w:r>
      <w:r>
        <w:t xml:space="preserve"> </w:t>
      </w:r>
      <w:r>
        <w:t xml:space="preserve">18.6%</w:t>
      </w:r>
      <w:r>
        <w:t xml:space="preserve"> </w:t>
      </w:r>
      <w:r>
        <w:t xml:space="preserve">18.5%</w:t>
      </w:r>
      <w:r>
        <w:t xml:space="preserve"> </w:t>
      </w:r>
      <w:r>
        <w:t xml:space="preserve">18.4%</w:t>
      </w:r>
      <w:r>
        <w:t xml:space="preserve"> </w:t>
      </w:r>
      <w:r>
        <w:t xml:space="preserve">18.2%</w:t>
      </w:r>
      <w:r>
        <w:t xml:space="preserve"> </w:t>
      </w:r>
      <w:r>
        <w:t xml:space="preserve">18.1%</w:t>
      </w:r>
      <w:r>
        <w:t xml:space="preserve"> </w:t>
      </w:r>
      <w:r>
        <w:t xml:space="preserve">17.3%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29.6%</w:t>
      </w:r>
      <w:r>
        <w:t xml:space="preserve"> </w:t>
      </w:r>
      <w:r>
        <w:t xml:space="preserve">31.0%</w:t>
      </w:r>
      <w:r>
        <w:t xml:space="preserve"> </w:t>
      </w:r>
      <w:r>
        <w:t xml:space="preserve">30.1%</w:t>
      </w:r>
      <w:r>
        <w:t xml:space="preserve"> </w:t>
      </w:r>
      <w:r>
        <w:t xml:space="preserve">29.6%</w:t>
      </w:r>
      <w:r>
        <w:t xml:space="preserve"> </w:t>
      </w:r>
      <w:r>
        <w:t xml:space="preserve">29.9%</w:t>
      </w:r>
      <w:r>
        <w:t xml:space="preserve"> </w:t>
      </w:r>
      <w:r>
        <w:t xml:space="preserve">31.8%</w:t>
      </w:r>
      <w:r>
        <w:t xml:space="preserve"> </w:t>
      </w:r>
      <w:r>
        <w:t xml:space="preserve">30.1%</w:t>
      </w:r>
      <w:r>
        <w:t xml:space="preserve"> </w:t>
      </w:r>
      <w:r>
        <w:t xml:space="preserve">31.4%</w:t>
      </w:r>
      <w:r>
        <w:t xml:space="preserve"> </w:t>
      </w:r>
      <w:r>
        <w:t xml:space="preserve">Agriculture and forestry</w:t>
      </w:r>
      <w:r>
        <w:t xml:space="preserve"> </w:t>
      </w:r>
      <w:r>
        <w:t xml:space="preserve">17.6%</w:t>
      </w:r>
      <w:r>
        <w:t xml:space="preserve"> </w:t>
      </w:r>
      <w:r>
        <w:t xml:space="preserve">17.3%</w:t>
      </w:r>
      <w:r>
        <w:t xml:space="preserve"> </w:t>
      </w:r>
      <w:r>
        <w:t xml:space="preserve">16.3%</w:t>
      </w:r>
      <w:r>
        <w:t xml:space="preserve"> </w:t>
      </w:r>
      <w:r>
        <w:t xml:space="preserve">18.5%</w:t>
      </w:r>
      <w:r>
        <w:t xml:space="preserve"> </w:t>
      </w:r>
      <w:r>
        <w:t xml:space="preserve">19.7%</w:t>
      </w:r>
      <w:r>
        <w:t xml:space="preserve"> </w:t>
      </w:r>
      <w:r>
        <w:t xml:space="preserve">15.5%</w:t>
      </w:r>
      <w:r>
        <w:t xml:space="preserve"> </w:t>
      </w:r>
      <w:r>
        <w:t xml:space="preserve">17.3%</w:t>
      </w:r>
      <w:r>
        <w:t xml:space="preserve"> </w:t>
      </w:r>
      <w:r>
        <w:t xml:space="preserve">17.4%</w:t>
      </w:r>
      <w:r>
        <w:t xml:space="preserve"> </w:t>
      </w:r>
      <w:r>
        <w:t xml:space="preserve">Fragmented</w:t>
      </w:r>
      <w:r>
        <w:t xml:space="preserve"> </w:t>
      </w:r>
      <w:r>
        <w:t xml:space="preserve">Global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Table 45: Structure of EU imports (% of total)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How such trends in the composition of EU imports and in the size of the EU in global</w:t>
      </w:r>
      <w:r>
        <w:t xml:space="preserve"> </w:t>
      </w:r>
      <w:r>
        <w:t xml:space="preserve">imports could affect trading partners will depend on the composition of their own exports</w:t>
      </w:r>
      <w:r>
        <w:t xml:space="preserve"> </w:t>
      </w:r>
      <w:r>
        <w:t xml:space="preserve">and the extent to which they depend on the EU as a market for their goods and services.</w:t>
      </w:r>
      <w:r>
        <w:t xml:space="preserve"> </w:t>
      </w:r>
      <w:r>
        <w:t xml:space="preserve">The JRC-GEM-E3 model cannot be the basis for a detailed assessment of how individual</w:t>
      </w:r>
      <w:r>
        <w:t xml:space="preserve"> </w:t>
      </w:r>
      <w:r>
        <w:t xml:space="preserve">countries and trade in specific commodities could be affected by the transition to climate</w:t>
      </w:r>
      <w:r>
        <w:t xml:space="preserve"> </w:t>
      </w:r>
      <w:r>
        <w:t xml:space="preserve">neutrality and the level of ambition for the 2040 target as it lacks the level of granularity</w:t>
      </w:r>
      <w:r>
        <w:t xml:space="preserve"> </w:t>
      </w:r>
      <w:r>
        <w:t xml:space="preserve">required to do so. It nevertheless provides useful indications of what could be the impact</w:t>
      </w:r>
      <w:r>
        <w:t xml:space="preserve"> </w:t>
      </w:r>
      <w:r>
        <w:t xml:space="preserve">of the transition in terms of broad trade aggregates and possible trends.</w:t>
      </w:r>
      <w:r>
        <w:t xml:space="preserve"> </w:t>
      </w:r>
      <w:r>
        <w:t xml:space="preserve">The sharp decline in fossil fuel imports over the course of the transition will affect the</w:t>
      </w:r>
      <w:r>
        <w:t xml:space="preserve"> </w:t>
      </w:r>
      <w:r>
        <w:t xml:space="preserve">Middle East most negatively, together with other major exporters of fossil fuels</w:t>
      </w:r>
      <w:r>
        <w:t xml:space="preserve"> </w:t>
      </w:r>
      <w:r>
        <w:t xml:space="preserve">elsewhere. The share of imports from the Middle East in total EU imports could fall by as</w:t>
      </w:r>
      <w:r>
        <w:t xml:space="preserve"> </w:t>
      </w:r>
      <w:r>
        <w:t xml:space="preserve">much as 2 percentage points between 2015 and 2050 under all scenarios (Table 46). This</w:t>
      </w:r>
      <w:r>
        <w:t xml:space="preserve"> </w:t>
      </w:r>
      <w:r>
        <w:t xml:space="preserve">trend could potentially be reduced if trade in RFNBOs were to pick up, though the</w:t>
      </w:r>
      <w:r>
        <w:t xml:space="preserve"> </w:t>
      </w:r>
      <w:r>
        <w:t xml:space="preserve">modelling does not suggest that the latter could compensate for the fall in exports of</w:t>
      </w:r>
      <w:r>
        <w:t xml:space="preserve"> </w:t>
      </w:r>
      <w:r>
        <w:t xml:space="preserve">fossil fuels (295).</w:t>
      </w:r>
      <w:r>
        <w:t xml:space="preserve"> </w:t>
      </w:r>
      <w:r>
        <w:t xml:space="preserve">In contrast, the modelling indicates that Africa could benefit from an increase in the share</w:t>
      </w:r>
      <w:r>
        <w:t xml:space="preserve"> </w:t>
      </w:r>
      <w:r>
        <w:t xml:space="preserve">it represents as the place of origin for total EU imports. The increase in the continent’s</w:t>
      </w:r>
      <w:r>
        <w:t xml:space="preserve"> </w:t>
      </w:r>
      <w:r>
        <w:t xml:space="preserve">share as the origin of EU imports could be significant for primary goods, namely crops,</w:t>
      </w:r>
      <w:r>
        <w:t xml:space="preserve"> </w:t>
      </w:r>
      <w:r>
        <w:t xml:space="preserve">livestock and forestry, but the modelling shows a positive evolution for other sectors,</w:t>
      </w:r>
      <w:r>
        <w:t xml:space="preserve"> </w:t>
      </w:r>
      <w:r>
        <w:t xml:space="preserve">including energy intensive goods and market services. Overall, the rising share of Africa</w:t>
      </w:r>
      <w:r>
        <w:t xml:space="preserve"> </w:t>
      </w:r>
      <w:r>
        <w:t xml:space="preserve">in EU imports and the increase in imports over time could lead total EU imports from</w:t>
      </w:r>
      <w:r>
        <w:t xml:space="preserve"> </w:t>
      </w:r>
      <w:r>
        <w:t xml:space="preserve">Africa to more than double between 2020 and 2050.</w:t>
      </w:r>
      <w:r>
        <w:t xml:space="preserve"> </w:t>
      </w:r>
      <w:r>
        <w:t xml:space="preserve">The difference across scenarios is minimal, as the trends are driven by the overall climate</w:t>
      </w:r>
      <w:r>
        <w:t xml:space="preserve"> </w:t>
      </w:r>
      <w:r>
        <w:t xml:space="preserve">and energy transition and wider economic considerations. Similarly, the geographic</w:t>
      </w:r>
      <w:r>
        <w:t xml:space="preserve"> </w:t>
      </w:r>
      <w:r>
        <w:t xml:space="preserve">origin of EU imports does not change much between the fragmented and global action</w:t>
      </w:r>
      <w:r>
        <w:t xml:space="preserve"> </w:t>
      </w:r>
      <w:r>
        <w:t xml:space="preserve">scenarios, at last as far as total imports are concerned. This is likely linked to the fact that</w:t>
      </w:r>
    </w:p>
    <w:p>
      <w:pPr>
        <w:pStyle w:val="Compact"/>
        <w:numPr>
          <w:ilvl w:val="0"/>
          <w:numId w:val="1124"/>
        </w:numPr>
      </w:pPr>
      <w:r>
        <w:t xml:space="preserve">This was analysed in more details in the Joint Research Centre’s Global Energy and Climate Outlook</w:t>
      </w:r>
      <w:r>
        <w:t xml:space="preserve"> </w:t>
      </w:r>
      <w:r>
        <w:t xml:space="preserve">2022: Energy trade in a decarbonised world.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Scenario 3</w:t>
      </w:r>
      <w:r>
        <w:t xml:space="preserve"> </w:t>
      </w:r>
      <w:r>
        <w:t xml:space="preserve">Coal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Crude oil</w:t>
      </w:r>
      <w:r>
        <w:t xml:space="preserve"> </w:t>
      </w:r>
      <w:r>
        <w:t xml:space="preserve">10.5%</w:t>
      </w:r>
      <w:r>
        <w:t xml:space="preserve"> </w:t>
      </w:r>
      <w:r>
        <w:t xml:space="preserve">8.7%</w:t>
      </w:r>
      <w:r>
        <w:t xml:space="preserve"> </w:t>
      </w:r>
      <w:r>
        <w:t xml:space="preserve">6.0%</w:t>
      </w:r>
      <w:r>
        <w:t xml:space="preserve"> </w:t>
      </w:r>
      <w:r>
        <w:t xml:space="preserve">2.9%</w:t>
      </w:r>
      <w:r>
        <w:t xml:space="preserve"> </w:t>
      </w:r>
      <w:r>
        <w:t xml:space="preserve">1.6%</w:t>
      </w:r>
      <w:r>
        <w:t xml:space="preserve"> </w:t>
      </w:r>
      <w:r>
        <w:t xml:space="preserve">6.7%</w:t>
      </w:r>
      <w:r>
        <w:t xml:space="preserve"> </w:t>
      </w:r>
      <w:r>
        <w:t xml:space="preserve">2.8%</w:t>
      </w:r>
      <w:r>
        <w:t xml:space="preserve"> </w:t>
      </w:r>
      <w:r>
        <w:t xml:space="preserve">1.5%</w:t>
      </w:r>
      <w:r>
        <w:t xml:space="preserve"> </w:t>
      </w:r>
      <w:r>
        <w:t xml:space="preserve">Oil</w:t>
      </w:r>
      <w:r>
        <w:t xml:space="preserve"> </w:t>
      </w:r>
      <w:r>
        <w:t xml:space="preserve">2.4%</w:t>
      </w:r>
      <w:r>
        <w:t xml:space="preserve"> </w:t>
      </w:r>
      <w:r>
        <w:t xml:space="preserve">2.5%</w:t>
      </w:r>
      <w:r>
        <w:t xml:space="preserve"> </w:t>
      </w:r>
      <w:r>
        <w:t xml:space="preserve">2.4%</w:t>
      </w:r>
      <w:r>
        <w:t xml:space="preserve"> </w:t>
      </w:r>
      <w:r>
        <w:t xml:space="preserve">1.2%</w:t>
      </w:r>
      <w:r>
        <w:t xml:space="preserve"> </w:t>
      </w:r>
      <w:r>
        <w:t xml:space="preserve">0.9%</w:t>
      </w:r>
      <w:r>
        <w:t xml:space="preserve"> </w:t>
      </w:r>
      <w:r>
        <w:t xml:space="preserve">2.0%</w:t>
      </w:r>
      <w:r>
        <w:t xml:space="preserve"> </w:t>
      </w:r>
      <w:r>
        <w:t xml:space="preserve">1.1%</w:t>
      </w:r>
      <w:r>
        <w:t xml:space="preserve"> </w:t>
      </w:r>
      <w:r>
        <w:t xml:space="preserve">0.8%</w:t>
      </w:r>
      <w:r>
        <w:t xml:space="preserve"> </w:t>
      </w:r>
      <w:r>
        <w:t xml:space="preserve">Gas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1.3%</w:t>
      </w:r>
      <w:r>
        <w:t xml:space="preserve"> </w:t>
      </w:r>
      <w:r>
        <w:t xml:space="preserve">0.7%</w:t>
      </w:r>
      <w:r>
        <w:t xml:space="preserve"> </w:t>
      </w:r>
      <w:r>
        <w:t xml:space="preserve">0.4%</w:t>
      </w:r>
      <w:r>
        <w:t xml:space="preserve"> </w:t>
      </w:r>
      <w:r>
        <w:t xml:space="preserve">1.4%</w:t>
      </w:r>
      <w:r>
        <w:t xml:space="preserve"> </w:t>
      </w:r>
      <w:r>
        <w:t xml:space="preserve">0.7%</w:t>
      </w:r>
      <w:r>
        <w:t xml:space="preserve"> </w:t>
      </w:r>
      <w:r>
        <w:t xml:space="preserve">0.4%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16.1%</w:t>
      </w:r>
      <w:r>
        <w:t xml:space="preserve"> </w:t>
      </w:r>
      <w:r>
        <w:t xml:space="preserve">15.6%</w:t>
      </w:r>
      <w:r>
        <w:t xml:space="preserve"> </w:t>
      </w:r>
      <w:r>
        <w:t xml:space="preserve">14.5%</w:t>
      </w:r>
      <w:r>
        <w:t xml:space="preserve"> </w:t>
      </w:r>
      <w:r>
        <w:t xml:space="preserve">15.5%</w:t>
      </w:r>
      <w:r>
        <w:t xml:space="preserve"> </w:t>
      </w:r>
      <w:r>
        <w:t xml:space="preserve">15.4%</w:t>
      </w:r>
      <w:r>
        <w:t xml:space="preserve"> </w:t>
      </w:r>
      <w:r>
        <w:t xml:space="preserve">14.2%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4.8%</w:t>
      </w:r>
      <w:r>
        <w:t xml:space="preserve"> </w:t>
      </w:r>
      <w:r>
        <w:t xml:space="preserve">4.9%</w:t>
      </w:r>
      <w:r>
        <w:t xml:space="preserve"> </w:t>
      </w:r>
      <w:r>
        <w:t xml:space="preserve">4.6%</w:t>
      </w:r>
      <w:r>
        <w:t xml:space="preserve"> </w:t>
      </w:r>
      <w:r>
        <w:t xml:space="preserve">4.5%</w:t>
      </w:r>
      <w:r>
        <w:t xml:space="preserve"> </w:t>
      </w:r>
      <w:r>
        <w:t xml:space="preserve">4.1%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4.1%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8.3%</w:t>
      </w:r>
      <w:r>
        <w:t xml:space="preserve"> </w:t>
      </w:r>
      <w:r>
        <w:t xml:space="preserve">9.1%</w:t>
      </w:r>
      <w:r>
        <w:t xml:space="preserve"> </w:t>
      </w:r>
      <w:r>
        <w:t xml:space="preserve">10.0%</w:t>
      </w:r>
      <w:r>
        <w:t xml:space="preserve"> </w:t>
      </w:r>
      <w:r>
        <w:t xml:space="preserve">11.2%</w:t>
      </w:r>
      <w:r>
        <w:t xml:space="preserve"> </w:t>
      </w:r>
      <w:r>
        <w:t xml:space="preserve">11.5%</w:t>
      </w:r>
      <w:r>
        <w:t xml:space="preserve"> </w:t>
      </w:r>
      <w:r>
        <w:t xml:space="preserve">9.5%</w:t>
      </w:r>
      <w:r>
        <w:t xml:space="preserve"> </w:t>
      </w:r>
      <w:r>
        <w:t xml:space="preserve">11.0%</w:t>
      </w:r>
      <w:r>
        <w:t xml:space="preserve"> </w:t>
      </w:r>
      <w:r>
        <w:t xml:space="preserve">11.0%</w:t>
      </w:r>
      <w:r>
        <w:t xml:space="preserve"> </w:t>
      </w:r>
      <w:r>
        <w:t xml:space="preserve">Consumer good industries</w:t>
      </w:r>
      <w:r>
        <w:t xml:space="preserve"> </w:t>
      </w:r>
      <w:r>
        <w:t xml:space="preserve">10.3%</w:t>
      </w:r>
      <w:r>
        <w:t xml:space="preserve"> </w:t>
      </w:r>
      <w:r>
        <w:t xml:space="preserve">10.5%</w:t>
      </w:r>
      <w:r>
        <w:t xml:space="preserve"> </w:t>
      </w:r>
      <w:r>
        <w:t xml:space="preserve">11.0%</w:t>
      </w:r>
      <w:r>
        <w:t xml:space="preserve"> </w:t>
      </w:r>
      <w:r>
        <w:t xml:space="preserve">11.6%</w:t>
      </w:r>
      <w:r>
        <w:t xml:space="preserve"> </w:t>
      </w:r>
      <w:r>
        <w:t xml:space="preserve">11.8%</w:t>
      </w:r>
      <w:r>
        <w:t xml:space="preserve"> </w:t>
      </w:r>
      <w:r>
        <w:t xml:space="preserve">10.7%</w:t>
      </w:r>
      <w:r>
        <w:t xml:space="preserve"> </w:t>
      </w:r>
      <w:r>
        <w:t xml:space="preserve">11.3%</w:t>
      </w:r>
      <w:r>
        <w:t xml:space="preserve"> </w:t>
      </w:r>
      <w:r>
        <w:t xml:space="preserve">10.9%</w:t>
      </w:r>
      <w:r>
        <w:t xml:space="preserve"> </w:t>
      </w:r>
      <w:r>
        <w:t xml:space="preserve">Electric goods</w:t>
      </w:r>
      <w:r>
        <w:t xml:space="preserve"> </w:t>
      </w:r>
      <w:r>
        <w:t xml:space="preserve">11.1%</w:t>
      </w:r>
      <w:r>
        <w:t xml:space="preserve"> </w:t>
      </w:r>
      <w:r>
        <w:t xml:space="preserve">11.5%</w:t>
      </w:r>
      <w:r>
        <w:t xml:space="preserve"> </w:t>
      </w:r>
      <w:r>
        <w:t xml:space="preserve">11.5%</w:t>
      </w:r>
      <w:r>
        <w:t xml:space="preserve"> </w:t>
      </w:r>
      <w:r>
        <w:t xml:space="preserve">11.6%</w:t>
      </w:r>
      <w:r>
        <w:t xml:space="preserve"> </w:t>
      </w:r>
      <w:r>
        <w:t xml:space="preserve">11.0%</w:t>
      </w:r>
      <w:r>
        <w:t xml:space="preserve"> </w:t>
      </w:r>
      <w:r>
        <w:t xml:space="preserve">11.3%</w:t>
      </w:r>
      <w:r>
        <w:t xml:space="preserve"> </w:t>
      </w:r>
      <w:r>
        <w:t xml:space="preserve">11.5%</w:t>
      </w:r>
      <w:r>
        <w:t xml:space="preserve"> </w:t>
      </w:r>
      <w:r>
        <w:t xml:space="preserve">10.9%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18.2%</w:t>
      </w:r>
      <w:r>
        <w:t xml:space="preserve"> </w:t>
      </w:r>
      <w:r>
        <w:t xml:space="preserve">19.9%</w:t>
      </w:r>
      <w:r>
        <w:t xml:space="preserve"> </w:t>
      </w:r>
      <w:r>
        <w:t xml:space="preserve">22.1%</w:t>
      </w:r>
      <w:r>
        <w:t xml:space="preserve"> </w:t>
      </w:r>
      <w:r>
        <w:t xml:space="preserve">24.0%</w:t>
      </w:r>
      <w:r>
        <w:t xml:space="preserve"> </w:t>
      </w:r>
      <w:r>
        <w:t xml:space="preserve">26.3%</w:t>
      </w:r>
      <w:r>
        <w:t xml:space="preserve"> </w:t>
      </w:r>
      <w:r>
        <w:t xml:space="preserve">23.8%</w:t>
      </w:r>
      <w:r>
        <w:t xml:space="preserve"> </w:t>
      </w:r>
      <w:r>
        <w:t xml:space="preserve">25.0%</w:t>
      </w:r>
      <w:r>
        <w:t xml:space="preserve"> </w:t>
      </w:r>
      <w:r>
        <w:t xml:space="preserve">28.5%</w:t>
      </w:r>
      <w:r>
        <w:t xml:space="preserve"> </w:t>
      </w:r>
      <w:r>
        <w:t xml:space="preserve">Agriculture and forestry</w:t>
      </w:r>
      <w:r>
        <w:t xml:space="preserve"> </w:t>
      </w:r>
      <w:r>
        <w:t xml:space="preserve">2.9%</w:t>
      </w:r>
      <w:r>
        <w:t xml:space="preserve"> </w:t>
      </w:r>
      <w:r>
        <w:t xml:space="preserve">2.8%</w:t>
      </w:r>
      <w:r>
        <w:t xml:space="preserve"> </w:t>
      </w:r>
      <w:r>
        <w:t xml:space="preserve">3.0%</w:t>
      </w:r>
      <w:r>
        <w:t xml:space="preserve"> </w:t>
      </w:r>
      <w:r>
        <w:t xml:space="preserve">3.7%</w:t>
      </w:r>
      <w:r>
        <w:t xml:space="preserve"> </w:t>
      </w:r>
      <w:r>
        <w:t xml:space="preserve">4.0%</w:t>
      </w:r>
      <w:r>
        <w:t xml:space="preserve"> </w:t>
      </w:r>
      <w:r>
        <w:t xml:space="preserve">2.8%</w:t>
      </w:r>
      <w:r>
        <w:t xml:space="preserve"> </w:t>
      </w:r>
      <w:r>
        <w:t xml:space="preserve">3.7%</w:t>
      </w:r>
      <w:r>
        <w:t xml:space="preserve"> </w:t>
      </w:r>
      <w:r>
        <w:t xml:space="preserve">4.1%</w:t>
      </w:r>
      <w:r>
        <w:t xml:space="preserve"> </w:t>
      </w:r>
      <w:r>
        <w:t xml:space="preserve">Other</w:t>
      </w:r>
      <w:r>
        <w:t xml:space="preserve"> </w:t>
      </w:r>
      <w:r>
        <w:t xml:space="preserve">11.2%</w:t>
      </w:r>
      <w:r>
        <w:t xml:space="preserve"> </w:t>
      </w:r>
      <w:r>
        <w:t xml:space="preserve">9.7%</w:t>
      </w:r>
      <w:r>
        <w:t xml:space="preserve"> </w:t>
      </w:r>
      <w:r>
        <w:t xml:space="preserve">11.8%</w:t>
      </w:r>
      <w:r>
        <w:t xml:space="preserve"> </w:t>
      </w:r>
      <w:r>
        <w:t xml:space="preserve">13.0%</w:t>
      </w:r>
      <w:r>
        <w:t xml:space="preserve"> </w:t>
      </w:r>
      <w:r>
        <w:t xml:space="preserve">13.9%</w:t>
      </w:r>
      <w:r>
        <w:t xml:space="preserve"> </w:t>
      </w:r>
      <w:r>
        <w:t xml:space="preserve">11.6%</w:t>
      </w:r>
      <w:r>
        <w:t xml:space="preserve"> </w:t>
      </w:r>
      <w:r>
        <w:t xml:space="preserve">12.9%</w:t>
      </w:r>
      <w:r>
        <w:t xml:space="preserve"> </w:t>
      </w:r>
      <w:r>
        <w:t xml:space="preserve">13.6%</w:t>
      </w:r>
      <w:r>
        <w:t xml:space="preserve"> </w:t>
      </w:r>
      <w:r>
        <w:t xml:space="preserve">Fragmented</w:t>
      </w:r>
      <w:r>
        <w:t xml:space="preserve"> </w:t>
      </w:r>
      <w:r>
        <w:t xml:space="preserve">Global</w:t>
      </w:r>
    </w:p>
    <w:p>
      <w:pPr>
        <w:pStyle w:val="FirstParagraph"/>
      </w:pPr>
      <w:r>
        <w:t xml:space="preserve">198</w:t>
      </w:r>
    </w:p>
    <w:p>
      <w:pPr>
        <w:pStyle w:val="BodyText"/>
      </w:pPr>
      <w:r>
        <w:t xml:space="preserve">all EU partners are required to significantly step up mitigation efforts under the global</w:t>
      </w:r>
      <w:r>
        <w:t xml:space="preserve"> </w:t>
      </w:r>
      <w:r>
        <w:t xml:space="preserve">action scenario, which means they are all similarly affected. One can notice, however,</w:t>
      </w:r>
      <w:r>
        <w:t xml:space="preserve"> </w:t>
      </w:r>
      <w:r>
        <w:t xml:space="preserve">that the share of imports from the OECD slightly increases between the fragmented and</w:t>
      </w:r>
      <w:r>
        <w:t xml:space="preserve"> </w:t>
      </w:r>
      <w:r>
        <w:t xml:space="preserve">global action scenarios, which is likely linked to their lower initial carbon intensity than</w:t>
      </w:r>
      <w:r>
        <w:t xml:space="preserve"> </w:t>
      </w:r>
      <w:r>
        <w:t xml:space="preserve">other regions, including as far as energy intensive industries are concerned.</w:t>
      </w:r>
      <w:r>
        <w:t xml:space="preserve"> </w:t>
      </w:r>
      <w:r>
        <w:t xml:space="preserve">Table 46: Origin of EU imports by main trading parterns (% of total EU imports, S3)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The cost-efficient decarbonisation relies on the deployment of net-zero technologies with</w:t>
      </w:r>
      <w:r>
        <w:t xml:space="preserve"> </w:t>
      </w:r>
      <w:r>
        <w:t xml:space="preserve">varying but sufficient degree of maturity to be used on a large scale. The maturity of</w:t>
      </w:r>
      <w:r>
        <w:t xml:space="preserve"> </w:t>
      </w:r>
      <w:r>
        <w:t xml:space="preserve">technologies is an important driver of the projected portfolio of net-zero technologies. In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imports</w:t>
      </w:r>
      <w:r>
        <w:t xml:space="preserve"> </w:t>
      </w:r>
      <w:r>
        <w:t xml:space="preserve">Africa</w:t>
      </w:r>
      <w:r>
        <w:t xml:space="preserve"> </w:t>
      </w:r>
      <w:r>
        <w:t xml:space="preserve">6.9%</w:t>
      </w:r>
      <w:r>
        <w:t xml:space="preserve"> </w:t>
      </w:r>
      <w:r>
        <w:t xml:space="preserve">6.8%</w:t>
      </w:r>
      <w:r>
        <w:t xml:space="preserve"> </w:t>
      </w:r>
      <w:r>
        <w:t xml:space="preserve">7.5%</w:t>
      </w:r>
      <w:r>
        <w:t xml:space="preserve"> </w:t>
      </w:r>
      <w:r>
        <w:t xml:space="preserve">8.7%</w:t>
      </w:r>
      <w:r>
        <w:t xml:space="preserve"> </w:t>
      </w:r>
      <w:r>
        <w:t xml:space="preserve">10.2%</w:t>
      </w:r>
      <w:r>
        <w:t xml:space="preserve"> </w:t>
      </w:r>
      <w:r>
        <w:t xml:space="preserve">7.8%</w:t>
      </w:r>
      <w:r>
        <w:t xml:space="preserve"> </w:t>
      </w:r>
      <w:r>
        <w:t xml:space="preserve">8.7%</w:t>
      </w:r>
      <w:r>
        <w:t xml:space="preserve"> </w:t>
      </w:r>
      <w:r>
        <w:t xml:space="preserve">10.3%</w:t>
      </w:r>
      <w:r>
        <w:t xml:space="preserve"> </w:t>
      </w:r>
      <w:r>
        <w:t xml:space="preserve">China</w:t>
      </w:r>
      <w:r>
        <w:t xml:space="preserve"> </w:t>
      </w:r>
      <w:r>
        <w:t xml:space="preserve">15.2%</w:t>
      </w:r>
      <w:r>
        <w:t xml:space="preserve"> </w:t>
      </w:r>
      <w:r>
        <w:t xml:space="preserve">16.2%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16.4%</w:t>
      </w:r>
      <w:r>
        <w:t xml:space="preserve"> </w:t>
      </w:r>
      <w:r>
        <w:t xml:space="preserve">16.8%</w:t>
      </w:r>
      <w:r>
        <w:t xml:space="preserve"> </w:t>
      </w:r>
      <w:r>
        <w:t xml:space="preserve">17.1%</w:t>
      </w:r>
      <w:r>
        <w:t xml:space="preserve"> </w:t>
      </w:r>
      <w:r>
        <w:t xml:space="preserve">16.1%</w:t>
      </w:r>
      <w:r>
        <w:t xml:space="preserve"> </w:t>
      </w:r>
      <w:r>
        <w:t xml:space="preserve">India</w:t>
      </w:r>
      <w:r>
        <w:t xml:space="preserve"> </w:t>
      </w:r>
      <w:r>
        <w:t xml:space="preserve">3.0%</w:t>
      </w:r>
      <w:r>
        <w:t xml:space="preserve"> </w:t>
      </w:r>
      <w:r>
        <w:t xml:space="preserve">3.2%</w:t>
      </w:r>
      <w:r>
        <w:t xml:space="preserve"> </w:t>
      </w:r>
      <w:r>
        <w:t xml:space="preserve">4.3%</w:t>
      </w:r>
      <w:r>
        <w:t xml:space="preserve"> </w:t>
      </w:r>
      <w:r>
        <w:t xml:space="preserve">5.0%</w:t>
      </w:r>
      <w:r>
        <w:t xml:space="preserve"> </w:t>
      </w:r>
      <w:r>
        <w:t xml:space="preserve">5.6%</w:t>
      </w:r>
      <w:r>
        <w:t xml:space="preserve"> </w:t>
      </w:r>
      <w:r>
        <w:t xml:space="preserve">4.4%</w:t>
      </w:r>
      <w:r>
        <w:t xml:space="preserve"> </w:t>
      </w:r>
      <w:r>
        <w:t xml:space="preserve">5.0%</w:t>
      </w:r>
      <w:r>
        <w:t xml:space="preserve"> </w:t>
      </w:r>
      <w:r>
        <w:t xml:space="preserve">5.5%</w:t>
      </w:r>
      <w:r>
        <w:t xml:space="preserve"> </w:t>
      </w:r>
      <w:r>
        <w:t xml:space="preserve">Latin America</w:t>
      </w:r>
      <w:r>
        <w:t xml:space="preserve"> </w:t>
      </w:r>
      <w:r>
        <w:t xml:space="preserve">4.7%</w:t>
      </w:r>
      <w:r>
        <w:t xml:space="preserve"> </w:t>
      </w:r>
      <w:r>
        <w:t xml:space="preserve">4.4%</w:t>
      </w:r>
      <w:r>
        <w:t xml:space="preserve"> </w:t>
      </w:r>
      <w:r>
        <w:t xml:space="preserve">4.6%</w:t>
      </w:r>
      <w:r>
        <w:t xml:space="preserve"> </w:t>
      </w:r>
      <w:r>
        <w:t xml:space="preserve">4.8%</w:t>
      </w:r>
      <w:r>
        <w:t xml:space="preserve"> </w:t>
      </w:r>
      <w:r>
        <w:t xml:space="preserve">4.9%</w:t>
      </w:r>
      <w:r>
        <w:t xml:space="preserve"> </w:t>
      </w:r>
      <w:r>
        <w:t xml:space="preserve">4.7%</w:t>
      </w:r>
      <w:r>
        <w:t xml:space="preserve"> </w:t>
      </w:r>
      <w:r>
        <w:t xml:space="preserve">4.8%</w:t>
      </w:r>
      <w:r>
        <w:t xml:space="preserve"> </w:t>
      </w:r>
      <w:r>
        <w:t xml:space="preserve">4.8%</w:t>
      </w:r>
      <w:r>
        <w:t xml:space="preserve"> </w:t>
      </w:r>
      <w:r>
        <w:t xml:space="preserve">Middle East</w:t>
      </w:r>
      <w:r>
        <w:t xml:space="preserve"> </w:t>
      </w:r>
      <w:r>
        <w:t xml:space="preserve">5.4%</w:t>
      </w:r>
      <w:r>
        <w:t xml:space="preserve"> </w:t>
      </w:r>
      <w:r>
        <w:t xml:space="preserve">5.2%</w:t>
      </w:r>
      <w:r>
        <w:t xml:space="preserve"> </w:t>
      </w:r>
      <w:r>
        <w:t xml:space="preserve">4.4%</w:t>
      </w:r>
      <w:r>
        <w:t xml:space="preserve"> </w:t>
      </w:r>
      <w:r>
        <w:t xml:space="preserve">4.3%</w:t>
      </w:r>
      <w:r>
        <w:t xml:space="preserve"> </w:t>
      </w:r>
      <w:r>
        <w:t xml:space="preserve">4.3%</w:t>
      </w:r>
      <w:r>
        <w:t xml:space="preserve"> </w:t>
      </w:r>
      <w:r>
        <w:t xml:space="preserve">4.5%</w:t>
      </w:r>
      <w:r>
        <w:t xml:space="preserve"> </w:t>
      </w:r>
      <w:r>
        <w:t xml:space="preserve">4.5%</w:t>
      </w:r>
      <w:r>
        <w:t xml:space="preserve"> </w:t>
      </w:r>
      <w:r>
        <w:t xml:space="preserve">4.9%</w:t>
      </w:r>
      <w:r>
        <w:t xml:space="preserve"> </w:t>
      </w:r>
      <w:r>
        <w:t xml:space="preserve">OECD</w:t>
      </w:r>
      <w:r>
        <w:t xml:space="preserve"> </w:t>
      </w:r>
      <w:r>
        <w:t xml:space="preserve">44.2%</w:t>
      </w:r>
      <w:r>
        <w:t xml:space="preserve"> </w:t>
      </w:r>
      <w:r>
        <w:t xml:space="preserve">43.5%</w:t>
      </w:r>
      <w:r>
        <w:t xml:space="preserve"> </w:t>
      </w:r>
      <w:r>
        <w:t xml:space="preserve">42.6%</w:t>
      </w:r>
      <w:r>
        <w:t xml:space="preserve"> </w:t>
      </w:r>
      <w:r>
        <w:t xml:space="preserve">41.7%</w:t>
      </w:r>
      <w:r>
        <w:t xml:space="preserve"> </w:t>
      </w:r>
      <w:r>
        <w:t xml:space="preserve">40.6%</w:t>
      </w:r>
      <w:r>
        <w:t xml:space="preserve"> </w:t>
      </w:r>
      <w:r>
        <w:t xml:space="preserve">43.0%</w:t>
      </w:r>
      <w:r>
        <w:t xml:space="preserve"> </w:t>
      </w:r>
      <w:r>
        <w:t xml:space="preserve">42.2%</w:t>
      </w:r>
      <w:r>
        <w:t xml:space="preserve"> </w:t>
      </w:r>
      <w:r>
        <w:t xml:space="preserve">41.4%</w:t>
      </w:r>
      <w:r>
        <w:t xml:space="preserve"> </w:t>
      </w:r>
      <w:r>
        <w:t xml:space="preserve">Other Asia</w:t>
      </w:r>
      <w:r>
        <w:t xml:space="preserve"> </w:t>
      </w:r>
      <w:r>
        <w:t xml:space="preserve">9.3%</w:t>
      </w:r>
      <w:r>
        <w:t xml:space="preserve"> </w:t>
      </w:r>
      <w:r>
        <w:t xml:space="preserve">9.4%</w:t>
      </w:r>
      <w:r>
        <w:t xml:space="preserve"> </w:t>
      </w:r>
      <w:r>
        <w:t xml:space="preserve">10.4%</w:t>
      </w:r>
      <w:r>
        <w:t xml:space="preserve"> </w:t>
      </w:r>
      <w:r>
        <w:t xml:space="preserve">11.5%</w:t>
      </w:r>
      <w:r>
        <w:t xml:space="preserve"> </w:t>
      </w:r>
      <w:r>
        <w:t xml:space="preserve">12.3%</w:t>
      </w:r>
      <w:r>
        <w:t xml:space="preserve"> </w:t>
      </w:r>
      <w:r>
        <w:t xml:space="preserve">10.6%</w:t>
      </w:r>
      <w:r>
        <w:t xml:space="preserve"> </w:t>
      </w:r>
      <w:r>
        <w:t xml:space="preserve">11.6%</w:t>
      </w:r>
      <w:r>
        <w:t xml:space="preserve"> </w:t>
      </w:r>
      <w:r>
        <w:t xml:space="preserve">11.7%</w:t>
      </w:r>
      <w:r>
        <w:t xml:space="preserve"> </w:t>
      </w:r>
      <w:r>
        <w:t xml:space="preserve">Rest of Euro-Asia</w:t>
      </w:r>
      <w:r>
        <w:t xml:space="preserve"> </w:t>
      </w:r>
      <w:r>
        <w:t xml:space="preserve">11.3%</w:t>
      </w:r>
      <w:r>
        <w:t xml:space="preserve"> </w:t>
      </w:r>
      <w:r>
        <w:t xml:space="preserve">11.3%</w:t>
      </w:r>
      <w:r>
        <w:t xml:space="preserve"> </w:t>
      </w:r>
      <w:r>
        <w:t xml:space="preserve">8.6%</w:t>
      </w:r>
      <w:r>
        <w:t xml:space="preserve"> </w:t>
      </w:r>
      <w:r>
        <w:t xml:space="preserve">6.6%</w:t>
      </w:r>
      <w:r>
        <w:t xml:space="preserve"> </w:t>
      </w:r>
      <w:r>
        <w:t xml:space="preserve">5.7%</w:t>
      </w:r>
      <w:r>
        <w:t xml:space="preserve"> </w:t>
      </w:r>
      <w:r>
        <w:t xml:space="preserve">8.2%</w:t>
      </w:r>
      <w:r>
        <w:t xml:space="preserve"> </w:t>
      </w:r>
      <w:r>
        <w:t xml:space="preserve">6.1%</w:t>
      </w:r>
      <w:r>
        <w:t xml:space="preserve"> </w:t>
      </w:r>
      <w:r>
        <w:t xml:space="preserve">5.4%</w:t>
      </w:r>
      <w:r>
        <w:t xml:space="preserve"> </w:t>
      </w:r>
      <w:r>
        <w:t xml:space="preserve">Crops, livestock and forestry</w:t>
      </w:r>
      <w:r>
        <w:t xml:space="preserve"> </w:t>
      </w:r>
      <w:r>
        <w:t xml:space="preserve">Africa</w:t>
      </w:r>
      <w:r>
        <w:t xml:space="preserve"> </w:t>
      </w:r>
      <w:r>
        <w:t xml:space="preserve">18.7%</w:t>
      </w:r>
      <w:r>
        <w:t xml:space="preserve"> </w:t>
      </w:r>
      <w:r>
        <w:t xml:space="preserve">19.8%</w:t>
      </w:r>
      <w:r>
        <w:t xml:space="preserve"> </w:t>
      </w:r>
      <w:r>
        <w:t xml:space="preserve">22.1%</w:t>
      </w:r>
      <w:r>
        <w:t xml:space="preserve"> </w:t>
      </w:r>
      <w:r>
        <w:t xml:space="preserve">26.7%</w:t>
      </w:r>
      <w:r>
        <w:t xml:space="preserve"> </w:t>
      </w:r>
      <w:r>
        <w:t xml:space="preserve">30.9%</w:t>
      </w:r>
      <w:r>
        <w:t xml:space="preserve"> </w:t>
      </w:r>
      <w:r>
        <w:t xml:space="preserve">24.0%</w:t>
      </w:r>
      <w:r>
        <w:t xml:space="preserve"> </w:t>
      </w:r>
      <w:r>
        <w:t xml:space="preserve">29.9%</w:t>
      </w:r>
      <w:r>
        <w:t xml:space="preserve"> </w:t>
      </w:r>
      <w:r>
        <w:t xml:space="preserve">38.5%</w:t>
      </w:r>
      <w:r>
        <w:t xml:space="preserve"> </w:t>
      </w:r>
      <w:r>
        <w:t xml:space="preserve">China</w:t>
      </w:r>
      <w:r>
        <w:t xml:space="preserve"> </w:t>
      </w:r>
      <w:r>
        <w:t xml:space="preserve">4.4%</w:t>
      </w:r>
      <w:r>
        <w:t xml:space="preserve"> </w:t>
      </w:r>
      <w:r>
        <w:t xml:space="preserve">4.7%</w:t>
      </w:r>
      <w:r>
        <w:t xml:space="preserve"> </w:t>
      </w:r>
      <w:r>
        <w:t xml:space="preserve">5.1%</w:t>
      </w:r>
      <w:r>
        <w:t xml:space="preserve"> </w:t>
      </w:r>
      <w:r>
        <w:t xml:space="preserve">4.7%</w:t>
      </w:r>
      <w:r>
        <w:t xml:space="preserve"> </w:t>
      </w:r>
      <w:r>
        <w:t xml:space="preserve">4.3%</w:t>
      </w:r>
      <w:r>
        <w:t xml:space="preserve"> </w:t>
      </w:r>
      <w:r>
        <w:t xml:space="preserve">4.8%</w:t>
      </w:r>
      <w:r>
        <w:t xml:space="preserve"> </w:t>
      </w:r>
      <w:r>
        <w:t xml:space="preserve">4.6%</w:t>
      </w:r>
      <w:r>
        <w:t xml:space="preserve"> </w:t>
      </w:r>
      <w:r>
        <w:t xml:space="preserve">7.2%</w:t>
      </w:r>
      <w:r>
        <w:t xml:space="preserve"> </w:t>
      </w:r>
      <w:r>
        <w:t xml:space="preserve">India</w:t>
      </w:r>
      <w:r>
        <w:t xml:space="preserve"> </w:t>
      </w:r>
      <w:r>
        <w:t xml:space="preserve">2.6%</w:t>
      </w:r>
      <w:r>
        <w:t xml:space="preserve"> </w:t>
      </w:r>
      <w:r>
        <w:t xml:space="preserve">2.7%</w:t>
      </w:r>
      <w:r>
        <w:t xml:space="preserve"> </w:t>
      </w:r>
      <w:r>
        <w:t xml:space="preserve">3.5%</w:t>
      </w:r>
      <w:r>
        <w:t xml:space="preserve"> </w:t>
      </w:r>
      <w:r>
        <w:t xml:space="preserve">3.9%</w:t>
      </w:r>
      <w:r>
        <w:t xml:space="preserve"> </w:t>
      </w:r>
      <w:r>
        <w:t xml:space="preserve">4.5%</w:t>
      </w:r>
      <w:r>
        <w:t xml:space="preserve"> </w:t>
      </w:r>
      <w:r>
        <w:t xml:space="preserve">3.5%</w:t>
      </w:r>
      <w:r>
        <w:t xml:space="preserve"> </w:t>
      </w:r>
      <w:r>
        <w:t xml:space="preserve">3.1%</w:t>
      </w:r>
      <w:r>
        <w:t xml:space="preserve"> </w:t>
      </w:r>
      <w:r>
        <w:t xml:space="preserve">3.4%</w:t>
      </w:r>
      <w:r>
        <w:t xml:space="preserve"> </w:t>
      </w:r>
      <w:r>
        <w:t xml:space="preserve">Latin America</w:t>
      </w:r>
      <w:r>
        <w:t xml:space="preserve"> </w:t>
      </w:r>
      <w:r>
        <w:t xml:space="preserve">23.6%</w:t>
      </w:r>
      <w:r>
        <w:t xml:space="preserve"> </w:t>
      </w:r>
      <w:r>
        <w:t xml:space="preserve">22.7%</w:t>
      </w:r>
      <w:r>
        <w:t xml:space="preserve"> </w:t>
      </w:r>
      <w:r>
        <w:t xml:space="preserve">21.4%</w:t>
      </w:r>
      <w:r>
        <w:t xml:space="preserve"> </w:t>
      </w:r>
      <w:r>
        <w:t xml:space="preserve">19.4%</w:t>
      </w:r>
      <w:r>
        <w:t xml:space="preserve"> </w:t>
      </w:r>
      <w:r>
        <w:t xml:space="preserve">18.0%</w:t>
      </w:r>
      <w:r>
        <w:t xml:space="preserve"> </w:t>
      </w:r>
      <w:r>
        <w:t xml:space="preserve">23.4%</w:t>
      </w:r>
      <w:r>
        <w:t xml:space="preserve"> </w:t>
      </w:r>
      <w:r>
        <w:t xml:space="preserve">20.1%</w:t>
      </w:r>
      <w:r>
        <w:t xml:space="preserve"> </w:t>
      </w:r>
      <w:r>
        <w:t xml:space="preserve">17.9%</w:t>
      </w:r>
      <w:r>
        <w:t xml:space="preserve"> </w:t>
      </w:r>
      <w:r>
        <w:t xml:space="preserve">Middle East</w:t>
      </w:r>
      <w:r>
        <w:t xml:space="preserve"> </w:t>
      </w:r>
      <w:r>
        <w:t xml:space="preserve">3.3%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3.6%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4.3%</w:t>
      </w:r>
      <w:r>
        <w:t xml:space="preserve"> </w:t>
      </w:r>
      <w:r>
        <w:t xml:space="preserve">4.3%</w:t>
      </w:r>
      <w:r>
        <w:t xml:space="preserve"> </w:t>
      </w:r>
      <w:r>
        <w:t xml:space="preserve">OECD</w:t>
      </w:r>
      <w:r>
        <w:t xml:space="preserve"> </w:t>
      </w:r>
      <w:r>
        <w:t xml:space="preserve">29.6%</w:t>
      </w:r>
      <w:r>
        <w:t xml:space="preserve"> </w:t>
      </w:r>
      <w:r>
        <w:t xml:space="preserve">28.7%</w:t>
      </w:r>
      <w:r>
        <w:t xml:space="preserve"> </w:t>
      </w:r>
      <w:r>
        <w:t xml:space="preserve">28.1%</w:t>
      </w:r>
      <w:r>
        <w:t xml:space="preserve"> </w:t>
      </w:r>
      <w:r>
        <w:t xml:space="preserve">25.3%</w:t>
      </w:r>
      <w:r>
        <w:t xml:space="preserve"> </w:t>
      </w:r>
      <w:r>
        <w:t xml:space="preserve">23.4%</w:t>
      </w:r>
      <w:r>
        <w:t xml:space="preserve"> </w:t>
      </w:r>
      <w:r>
        <w:t xml:space="preserve">23.6%</w:t>
      </w:r>
      <w:r>
        <w:t xml:space="preserve"> </w:t>
      </w:r>
      <w:r>
        <w:t xml:space="preserve">22.3%</w:t>
      </w:r>
      <w:r>
        <w:t xml:space="preserve"> </w:t>
      </w:r>
      <w:r>
        <w:t xml:space="preserve">17.1%</w:t>
      </w:r>
      <w:r>
        <w:t xml:space="preserve"> </w:t>
      </w:r>
      <w:r>
        <w:t xml:space="preserve">Other Asia</w:t>
      </w:r>
      <w:r>
        <w:t xml:space="preserve"> </w:t>
      </w:r>
      <w:r>
        <w:t xml:space="preserve">6.4%</w:t>
      </w:r>
      <w:r>
        <w:t xml:space="preserve"> </w:t>
      </w:r>
      <w:r>
        <w:t xml:space="preserve">6.5%</w:t>
      </w:r>
      <w:r>
        <w:t xml:space="preserve"> </w:t>
      </w:r>
      <w:r>
        <w:t xml:space="preserve">7.0%</w:t>
      </w:r>
      <w:r>
        <w:t xml:space="preserve"> </w:t>
      </w:r>
      <w:r>
        <w:t xml:space="preserve">6.9%</w:t>
      </w:r>
      <w:r>
        <w:t xml:space="preserve"> </w:t>
      </w:r>
      <w:r>
        <w:t xml:space="preserve">6.8%</w:t>
      </w:r>
      <w:r>
        <w:t xml:space="preserve"> </w:t>
      </w:r>
      <w:r>
        <w:t xml:space="preserve">7.8%</w:t>
      </w:r>
      <w:r>
        <w:t xml:space="preserve"> </w:t>
      </w:r>
      <w:r>
        <w:t xml:space="preserve">5.7%</w:t>
      </w:r>
      <w:r>
        <w:t xml:space="preserve"> </w:t>
      </w:r>
      <w:r>
        <w:t xml:space="preserve">2.4%</w:t>
      </w:r>
      <w:r>
        <w:t xml:space="preserve"> </w:t>
      </w:r>
      <w:r>
        <w:t xml:space="preserve">Rest of Euro-Asia</w:t>
      </w:r>
      <w:r>
        <w:t xml:space="preserve"> </w:t>
      </w:r>
      <w:r>
        <w:t xml:space="preserve">11.3%</w:t>
      </w:r>
      <w:r>
        <w:t xml:space="preserve"> </w:t>
      </w:r>
      <w:r>
        <w:t xml:space="preserve">11.3%</w:t>
      </w:r>
      <w:r>
        <w:t xml:space="preserve"> </w:t>
      </w:r>
      <w:r>
        <w:t xml:space="preserve">9.6%</w:t>
      </w:r>
      <w:r>
        <w:t xml:space="preserve"> </w:t>
      </w:r>
      <w:r>
        <w:t xml:space="preserve">9.6%</w:t>
      </w:r>
      <w:r>
        <w:t xml:space="preserve"> </w:t>
      </w:r>
      <w:r>
        <w:t xml:space="preserve">8.6%</w:t>
      </w:r>
      <w:r>
        <w:t xml:space="preserve"> </w:t>
      </w:r>
      <w:r>
        <w:t xml:space="preserve">9.3%</w:t>
      </w:r>
      <w:r>
        <w:t xml:space="preserve"> </w:t>
      </w:r>
      <w:r>
        <w:t xml:space="preserve">10.0%</w:t>
      </w:r>
      <w:r>
        <w:t xml:space="preserve"> </w:t>
      </w:r>
      <w:r>
        <w:t xml:space="preserve">9.2%</w:t>
      </w:r>
      <w:r>
        <w:t xml:space="preserve"> </w:t>
      </w:r>
      <w:r>
        <w:t xml:space="preserve">Energy intensive goods</w:t>
      </w:r>
      <w:r>
        <w:t xml:space="preserve"> </w:t>
      </w:r>
      <w:r>
        <w:t xml:space="preserve">Africa</w:t>
      </w:r>
      <w:r>
        <w:t xml:space="preserve"> </w:t>
      </w:r>
      <w:r>
        <w:t xml:space="preserve">6.1%</w:t>
      </w:r>
      <w:r>
        <w:t xml:space="preserve"> </w:t>
      </w:r>
      <w:r>
        <w:t xml:space="preserve">6.5%</w:t>
      </w:r>
      <w:r>
        <w:t xml:space="preserve"> </w:t>
      </w:r>
      <w:r>
        <w:t xml:space="preserve">7.4%</w:t>
      </w:r>
      <w:r>
        <w:t xml:space="preserve"> </w:t>
      </w:r>
      <w:r>
        <w:t xml:space="preserve">8.4%</w:t>
      </w:r>
      <w:r>
        <w:t xml:space="preserve"> </w:t>
      </w:r>
      <w:r>
        <w:t xml:space="preserve">8.1%</w:t>
      </w:r>
      <w:r>
        <w:t xml:space="preserve"> </w:t>
      </w:r>
      <w:r>
        <w:t xml:space="preserve">8.2%</w:t>
      </w:r>
      <w:r>
        <w:t xml:space="preserve"> </w:t>
      </w:r>
      <w:r>
        <w:t xml:space="preserve">8.8%</w:t>
      </w:r>
      <w:r>
        <w:t xml:space="preserve"> </w:t>
      </w:r>
      <w:r>
        <w:t xml:space="preserve">8.1%</w:t>
      </w:r>
      <w:r>
        <w:t xml:space="preserve"> </w:t>
      </w:r>
      <w:r>
        <w:t xml:space="preserve">China</w:t>
      </w:r>
      <w:r>
        <w:t xml:space="preserve"> </w:t>
      </w:r>
      <w:r>
        <w:t xml:space="preserve">9.3%</w:t>
      </w:r>
      <w:r>
        <w:t xml:space="preserve"> </w:t>
      </w:r>
      <w:r>
        <w:t xml:space="preserve">9.8%</w:t>
      </w:r>
      <w:r>
        <w:t xml:space="preserve"> </w:t>
      </w:r>
      <w:r>
        <w:t xml:space="preserve">10.6%</w:t>
      </w:r>
      <w:r>
        <w:t xml:space="preserve"> </w:t>
      </w:r>
      <w:r>
        <w:t xml:space="preserve">10.6%</w:t>
      </w:r>
      <w:r>
        <w:t xml:space="preserve"> </w:t>
      </w:r>
      <w:r>
        <w:t xml:space="preserve">10.6%</w:t>
      </w:r>
      <w:r>
        <w:t xml:space="preserve"> </w:t>
      </w:r>
      <w:r>
        <w:t xml:space="preserve">9.6%</w:t>
      </w:r>
      <w:r>
        <w:t xml:space="preserve"> </w:t>
      </w:r>
      <w:r>
        <w:t xml:space="preserve">10.5%</w:t>
      </w:r>
      <w:r>
        <w:t xml:space="preserve"> </w:t>
      </w:r>
      <w:r>
        <w:t xml:space="preserve">10.3%</w:t>
      </w:r>
      <w:r>
        <w:t xml:space="preserve"> </w:t>
      </w:r>
      <w:r>
        <w:t xml:space="preserve">India</w:t>
      </w:r>
      <w:r>
        <w:t xml:space="preserve"> </w:t>
      </w:r>
      <w:r>
        <w:t xml:space="preserve">2.3%</w:t>
      </w:r>
      <w:r>
        <w:t xml:space="preserve"> </w:t>
      </w:r>
      <w:r>
        <w:t xml:space="preserve">2.4%</w:t>
      </w:r>
      <w:r>
        <w:t xml:space="preserve"> </w:t>
      </w:r>
      <w:r>
        <w:t xml:space="preserve">2.7%</w:t>
      </w:r>
      <w:r>
        <w:t xml:space="preserve"> </w:t>
      </w:r>
      <w:r>
        <w:t xml:space="preserve">2.9%</w:t>
      </w:r>
      <w:r>
        <w:t xml:space="preserve"> </w:t>
      </w:r>
      <w:r>
        <w:t xml:space="preserve">2.9%</w:t>
      </w:r>
      <w:r>
        <w:t xml:space="preserve"> </w:t>
      </w:r>
      <w:r>
        <w:t xml:space="preserve">2.5%</w:t>
      </w:r>
      <w:r>
        <w:t xml:space="preserve"> </w:t>
      </w:r>
      <w:r>
        <w:t xml:space="preserve">2.8%</w:t>
      </w:r>
      <w:r>
        <w:t xml:space="preserve"> </w:t>
      </w:r>
      <w:r>
        <w:t xml:space="preserve">2.7%</w:t>
      </w:r>
      <w:r>
        <w:t xml:space="preserve"> </w:t>
      </w:r>
      <w:r>
        <w:t xml:space="preserve">Latin America</w:t>
      </w:r>
      <w:r>
        <w:t xml:space="preserve"> </w:t>
      </w:r>
      <w:r>
        <w:t xml:space="preserve">5.5%</w:t>
      </w:r>
      <w:r>
        <w:t xml:space="preserve"> </w:t>
      </w:r>
      <w:r>
        <w:t xml:space="preserve">4.9%</w:t>
      </w:r>
      <w:r>
        <w:t xml:space="preserve"> </w:t>
      </w:r>
      <w:r>
        <w:t xml:space="preserve">5.2%</w:t>
      </w:r>
      <w:r>
        <w:t xml:space="preserve"> </w:t>
      </w:r>
      <w:r>
        <w:t xml:space="preserve">5.3%</w:t>
      </w:r>
      <w:r>
        <w:t xml:space="preserve"> </w:t>
      </w:r>
      <w:r>
        <w:t xml:space="preserve">5.5%</w:t>
      </w:r>
      <w:r>
        <w:t xml:space="preserve"> </w:t>
      </w:r>
      <w:r>
        <w:t xml:space="preserve">5.7%</w:t>
      </w:r>
      <w:r>
        <w:t xml:space="preserve"> </w:t>
      </w:r>
      <w:r>
        <w:t xml:space="preserve">5.4%</w:t>
      </w:r>
      <w:r>
        <w:t xml:space="preserve"> </w:t>
      </w:r>
      <w:r>
        <w:t xml:space="preserve">5.5%</w:t>
      </w:r>
      <w:r>
        <w:t xml:space="preserve"> </w:t>
      </w:r>
      <w:r>
        <w:t xml:space="preserve">Middle East</w:t>
      </w:r>
      <w:r>
        <w:t xml:space="preserve"> </w:t>
      </w:r>
      <w:r>
        <w:t xml:space="preserve">4.7%</w:t>
      </w:r>
      <w:r>
        <w:t xml:space="preserve"> </w:t>
      </w:r>
      <w:r>
        <w:t xml:space="preserve">4.4%</w:t>
      </w:r>
      <w:r>
        <w:t xml:space="preserve"> </w:t>
      </w:r>
      <w:r>
        <w:t xml:space="preserve">3.9%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3.7%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OECD</w:t>
      </w:r>
      <w:r>
        <w:t xml:space="preserve"> </w:t>
      </w:r>
      <w:r>
        <w:t xml:space="preserve">56.0%</w:t>
      </w:r>
      <w:r>
        <w:t xml:space="preserve"> </w:t>
      </w:r>
      <w:r>
        <w:t xml:space="preserve">55.8%</w:t>
      </w:r>
      <w:r>
        <w:t xml:space="preserve"> </w:t>
      </w:r>
      <w:r>
        <w:t xml:space="preserve">54.7%</w:t>
      </w:r>
      <w:r>
        <w:t xml:space="preserve"> </w:t>
      </w:r>
      <w:r>
        <w:t xml:space="preserve">53.2%</w:t>
      </w:r>
      <w:r>
        <w:t xml:space="preserve"> </w:t>
      </w:r>
      <w:r>
        <w:t xml:space="preserve">53.0%</w:t>
      </w:r>
      <w:r>
        <w:t xml:space="preserve"> </w:t>
      </w:r>
      <w:r>
        <w:t xml:space="preserve">59.1%</w:t>
      </w:r>
      <w:r>
        <w:t xml:space="preserve"> </w:t>
      </w:r>
      <w:r>
        <w:t xml:space="preserve">55.0%</w:t>
      </w:r>
      <w:r>
        <w:t xml:space="preserve"> </w:t>
      </w:r>
      <w:r>
        <w:t xml:space="preserve">56.1%</w:t>
      </w:r>
      <w:r>
        <w:t xml:space="preserve"> </w:t>
      </w:r>
      <w:r>
        <w:t xml:space="preserve">Other Asia</w:t>
      </w:r>
      <w:r>
        <w:t xml:space="preserve"> </w:t>
      </w:r>
      <w:r>
        <w:t xml:space="preserve">4.7%</w:t>
      </w:r>
      <w:r>
        <w:t xml:space="preserve"> </w:t>
      </w:r>
      <w:r>
        <w:t xml:space="preserve">5.1%</w:t>
      </w:r>
      <w:r>
        <w:t xml:space="preserve"> </w:t>
      </w:r>
      <w:r>
        <w:t xml:space="preserve">6.0%</w:t>
      </w:r>
      <w:r>
        <w:t xml:space="preserve"> </w:t>
      </w:r>
      <w:r>
        <w:t xml:space="preserve">7.1%</w:t>
      </w:r>
      <w:r>
        <w:t xml:space="preserve"> </w:t>
      </w:r>
      <w:r>
        <w:t xml:space="preserve">8.5%</w:t>
      </w:r>
      <w:r>
        <w:t xml:space="preserve"> </w:t>
      </w:r>
      <w:r>
        <w:t xml:space="preserve">6.5%</w:t>
      </w:r>
      <w:r>
        <w:t xml:space="preserve"> </w:t>
      </w:r>
      <w:r>
        <w:t xml:space="preserve">7.4%</w:t>
      </w:r>
      <w:r>
        <w:t xml:space="preserve"> </w:t>
      </w:r>
      <w:r>
        <w:t xml:space="preserve">8.7%</w:t>
      </w:r>
      <w:r>
        <w:t xml:space="preserve"> </w:t>
      </w:r>
      <w:r>
        <w:t xml:space="preserve">Rest of Euro-Asia</w:t>
      </w:r>
      <w:r>
        <w:t xml:space="preserve"> </w:t>
      </w:r>
      <w:r>
        <w:t xml:space="preserve">11.4%</w:t>
      </w:r>
      <w:r>
        <w:t xml:space="preserve"> </w:t>
      </w:r>
      <w:r>
        <w:t xml:space="preserve">11.2%</w:t>
      </w:r>
      <w:r>
        <w:t xml:space="preserve"> </w:t>
      </w:r>
      <w:r>
        <w:t xml:space="preserve">9.4%</w:t>
      </w:r>
      <w:r>
        <w:t xml:space="preserve"> </w:t>
      </w:r>
      <w:r>
        <w:t xml:space="preserve">8.5%</w:t>
      </w:r>
      <w:r>
        <w:t xml:space="preserve"> </w:t>
      </w:r>
      <w:r>
        <w:t xml:space="preserve">7.4%</w:t>
      </w:r>
      <w:r>
        <w:t xml:space="preserve"> </w:t>
      </w:r>
      <w:r>
        <w:t xml:space="preserve">4.7%</w:t>
      </w:r>
      <w:r>
        <w:t xml:space="preserve"> </w:t>
      </w:r>
      <w:r>
        <w:t xml:space="preserve">6.0%</w:t>
      </w:r>
      <w:r>
        <w:t xml:space="preserve"> </w:t>
      </w:r>
      <w:r>
        <w:t xml:space="preserve">4.6%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Africa</w:t>
      </w:r>
      <w:r>
        <w:t xml:space="preserve"> </w:t>
      </w:r>
      <w:r>
        <w:t xml:space="preserve">2.3%</w:t>
      </w:r>
      <w:r>
        <w:t xml:space="preserve"> </w:t>
      </w:r>
      <w:r>
        <w:t xml:space="preserve">2.5%</w:t>
      </w:r>
      <w:r>
        <w:t xml:space="preserve"> </w:t>
      </w:r>
      <w:r>
        <w:t xml:space="preserve">2.9%</w:t>
      </w:r>
      <w:r>
        <w:t xml:space="preserve"> </w:t>
      </w:r>
      <w:r>
        <w:t xml:space="preserve">3.7%</w:t>
      </w:r>
      <w:r>
        <w:t xml:space="preserve"> </w:t>
      </w:r>
      <w:r>
        <w:t xml:space="preserve">4.5%</w:t>
      </w:r>
      <w:r>
        <w:t xml:space="preserve"> </w:t>
      </w:r>
      <w:r>
        <w:t xml:space="preserve">2.5%</w:t>
      </w:r>
      <w:r>
        <w:t xml:space="preserve"> </w:t>
      </w:r>
      <w:r>
        <w:t xml:space="preserve">3.5%</w:t>
      </w:r>
      <w:r>
        <w:t xml:space="preserve"> </w:t>
      </w:r>
      <w:r>
        <w:t xml:space="preserve">4.2%</w:t>
      </w:r>
      <w:r>
        <w:t xml:space="preserve"> </w:t>
      </w:r>
      <w:r>
        <w:t xml:space="preserve">China</w:t>
      </w:r>
      <w:r>
        <w:t xml:space="preserve"> </w:t>
      </w:r>
      <w:r>
        <w:t xml:space="preserve">11.5%</w:t>
      </w:r>
      <w:r>
        <w:t xml:space="preserve"> </w:t>
      </w:r>
      <w:r>
        <w:t xml:space="preserve">12.4%</w:t>
      </w:r>
      <w:r>
        <w:t xml:space="preserve"> </w:t>
      </w:r>
      <w:r>
        <w:t xml:space="preserve">13.5%</w:t>
      </w:r>
      <w:r>
        <w:t xml:space="preserve"> </w:t>
      </w:r>
      <w:r>
        <w:t xml:space="preserve">13.2%</w:t>
      </w:r>
      <w:r>
        <w:t xml:space="preserve"> </w:t>
      </w:r>
      <w:r>
        <w:t xml:space="preserve">12.4%</w:t>
      </w:r>
      <w:r>
        <w:t xml:space="preserve"> </w:t>
      </w:r>
      <w:r>
        <w:t xml:space="preserve">14.2%</w:t>
      </w:r>
      <w:r>
        <w:t xml:space="preserve"> </w:t>
      </w:r>
      <w:r>
        <w:t xml:space="preserve">12.4%</w:t>
      </w:r>
      <w:r>
        <w:t xml:space="preserve"> </w:t>
      </w:r>
      <w:r>
        <w:t xml:space="preserve">10.6%</w:t>
      </w:r>
      <w:r>
        <w:t xml:space="preserve"> </w:t>
      </w:r>
      <w:r>
        <w:t xml:space="preserve">India</w:t>
      </w:r>
      <w:r>
        <w:t xml:space="preserve"> </w:t>
      </w:r>
      <w:r>
        <w:t xml:space="preserve">6.9%</w:t>
      </w:r>
      <w:r>
        <w:t xml:space="preserve"> </w:t>
      </w:r>
      <w:r>
        <w:t xml:space="preserve">7.0%</w:t>
      </w:r>
      <w:r>
        <w:t xml:space="preserve"> </w:t>
      </w:r>
      <w:r>
        <w:t xml:space="preserve">9.0%</w:t>
      </w:r>
      <w:r>
        <w:t xml:space="preserve"> </w:t>
      </w:r>
      <w:r>
        <w:t xml:space="preserve">9.9%</w:t>
      </w:r>
      <w:r>
        <w:t xml:space="preserve"> </w:t>
      </w:r>
      <w:r>
        <w:t xml:space="preserve">10.9%</w:t>
      </w:r>
      <w:r>
        <w:t xml:space="preserve"> </w:t>
      </w:r>
      <w:r>
        <w:t xml:space="preserve">10.6%</w:t>
      </w:r>
      <w:r>
        <w:t xml:space="preserve"> </w:t>
      </w:r>
      <w:r>
        <w:t xml:space="preserve">10.0%</w:t>
      </w:r>
      <w:r>
        <w:t xml:space="preserve"> </w:t>
      </w:r>
      <w:r>
        <w:t xml:space="preserve">11.9%</w:t>
      </w:r>
      <w:r>
        <w:t xml:space="preserve"> </w:t>
      </w:r>
      <w:r>
        <w:t xml:space="preserve">Latin America</w:t>
      </w:r>
      <w:r>
        <w:t xml:space="preserve"> </w:t>
      </w:r>
      <w:r>
        <w:t xml:space="preserve">4.2%</w:t>
      </w:r>
      <w:r>
        <w:t xml:space="preserve"> </w:t>
      </w:r>
      <w:r>
        <w:t xml:space="preserve">4.0%</w:t>
      </w:r>
      <w:r>
        <w:t xml:space="preserve"> </w:t>
      </w:r>
      <w:r>
        <w:t xml:space="preserve">4.1%</w:t>
      </w:r>
      <w:r>
        <w:t xml:space="preserve"> </w:t>
      </w:r>
      <w:r>
        <w:t xml:space="preserve">4.2%</w:t>
      </w:r>
      <w:r>
        <w:t xml:space="preserve"> </w:t>
      </w:r>
      <w:r>
        <w:t xml:space="preserve">4.2%</w:t>
      </w:r>
      <w:r>
        <w:t xml:space="preserve"> </w:t>
      </w:r>
      <w:r>
        <w:t xml:space="preserve">3.6%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Middle East</w:t>
      </w:r>
      <w:r>
        <w:t xml:space="preserve"> </w:t>
      </w:r>
      <w:r>
        <w:t xml:space="preserve">5.8%</w:t>
      </w:r>
      <w:r>
        <w:t xml:space="preserve"> </w:t>
      </w:r>
      <w:r>
        <w:t xml:space="preserve">5.8%</w:t>
      </w:r>
      <w:r>
        <w:t xml:space="preserve"> </w:t>
      </w:r>
      <w:r>
        <w:t xml:space="preserve">4.6%</w:t>
      </w:r>
      <w:r>
        <w:t xml:space="preserve"> </w:t>
      </w:r>
      <w:r>
        <w:t xml:space="preserve">5.0%</w:t>
      </w:r>
      <w:r>
        <w:t xml:space="preserve"> </w:t>
      </w:r>
      <w:r>
        <w:t xml:space="preserve">5.1%</w:t>
      </w:r>
      <w:r>
        <w:t xml:space="preserve"> </w:t>
      </w:r>
      <w:r>
        <w:t xml:space="preserve">6.7%</w:t>
      </w:r>
      <w:r>
        <w:t xml:space="preserve"> </w:t>
      </w:r>
      <w:r>
        <w:t xml:space="preserve">7.6%</w:t>
      </w:r>
      <w:r>
        <w:t xml:space="preserve"> </w:t>
      </w:r>
      <w:r>
        <w:t xml:space="preserve">9.1%</w:t>
      </w:r>
      <w:r>
        <w:t xml:space="preserve"> </w:t>
      </w:r>
      <w:r>
        <w:t xml:space="preserve">OECD</w:t>
      </w:r>
      <w:r>
        <w:t xml:space="preserve"> </w:t>
      </w:r>
      <w:r>
        <w:t xml:space="preserve">53.8%</w:t>
      </w:r>
      <w:r>
        <w:t xml:space="preserve"> </w:t>
      </w:r>
      <w:r>
        <w:t xml:space="preserve">52.2%</w:t>
      </w:r>
      <w:r>
        <w:t xml:space="preserve"> </w:t>
      </w:r>
      <w:r>
        <w:t xml:space="preserve">50.2%</w:t>
      </w:r>
      <w:r>
        <w:t xml:space="preserve"> </w:t>
      </w:r>
      <w:r>
        <w:t xml:space="preserve">48.0%</w:t>
      </w:r>
      <w:r>
        <w:t xml:space="preserve"> </w:t>
      </w:r>
      <w:r>
        <w:t xml:space="preserve">46.5%</w:t>
      </w:r>
      <w:r>
        <w:t xml:space="preserve"> </w:t>
      </w:r>
      <w:r>
        <w:t xml:space="preserve">46.6%</w:t>
      </w:r>
      <w:r>
        <w:t xml:space="preserve"> </w:t>
      </w:r>
      <w:r>
        <w:t xml:space="preserve">46.7%</w:t>
      </w:r>
      <w:r>
        <w:t xml:space="preserve"> </w:t>
      </w:r>
      <w:r>
        <w:t xml:space="preserve">42.6%</w:t>
      </w:r>
      <w:r>
        <w:t xml:space="preserve"> </w:t>
      </w:r>
      <w:r>
        <w:t xml:space="preserve">Other Asia</w:t>
      </w:r>
      <w:r>
        <w:t xml:space="preserve"> </w:t>
      </w:r>
      <w:r>
        <w:t xml:space="preserve">11.6%</w:t>
      </w:r>
      <w:r>
        <w:t xml:space="preserve"> </w:t>
      </w:r>
      <w:r>
        <w:t xml:space="preserve">11.8%</w:t>
      </w:r>
      <w:r>
        <w:t xml:space="preserve"> </w:t>
      </w:r>
      <w:r>
        <w:t xml:space="preserve">12.4%</w:t>
      </w:r>
      <w:r>
        <w:t xml:space="preserve"> </w:t>
      </w:r>
      <w:r>
        <w:t xml:space="preserve">12.9%</w:t>
      </w:r>
      <w:r>
        <w:t xml:space="preserve"> </w:t>
      </w:r>
      <w:r>
        <w:t xml:space="preserve">13.4%</w:t>
      </w:r>
      <w:r>
        <w:t xml:space="preserve"> </w:t>
      </w:r>
      <w:r>
        <w:t xml:space="preserve">11.1%</w:t>
      </w:r>
      <w:r>
        <w:t xml:space="preserve"> </w:t>
      </w:r>
      <w:r>
        <w:t xml:space="preserve">12.4%</w:t>
      </w:r>
      <w:r>
        <w:t xml:space="preserve"> </w:t>
      </w:r>
      <w:r>
        <w:t xml:space="preserve">14.6%</w:t>
      </w:r>
      <w:r>
        <w:t xml:space="preserve"> </w:t>
      </w:r>
      <w:r>
        <w:t xml:space="preserve">Rest of Euro-Asia</w:t>
      </w:r>
      <w:r>
        <w:t xml:space="preserve"> </w:t>
      </w:r>
      <w:r>
        <w:t xml:space="preserve">4.0%</w:t>
      </w:r>
      <w:r>
        <w:t xml:space="preserve"> </w:t>
      </w:r>
      <w:r>
        <w:t xml:space="preserve">4.3%</w:t>
      </w:r>
      <w:r>
        <w:t xml:space="preserve"> </w:t>
      </w:r>
      <w:r>
        <w:t xml:space="preserve">3.2%</w:t>
      </w:r>
      <w:r>
        <w:t xml:space="preserve"> </w:t>
      </w:r>
      <w:r>
        <w:t xml:space="preserve">3.1%</w:t>
      </w:r>
      <w:r>
        <w:t xml:space="preserve"> </w:t>
      </w:r>
      <w:r>
        <w:t xml:space="preserve">3.0%</w:t>
      </w:r>
      <w:r>
        <w:t xml:space="preserve"> </w:t>
      </w:r>
      <w:r>
        <w:t xml:space="preserve">4.8%</w:t>
      </w:r>
      <w:r>
        <w:t xml:space="preserve"> </w:t>
      </w:r>
      <w:r>
        <w:t xml:space="preserve">3.3%</w:t>
      </w:r>
      <w:r>
        <w:t xml:space="preserve"> </w:t>
      </w:r>
      <w:r>
        <w:t xml:space="preserve">2.9%</w:t>
      </w:r>
      <w:r>
        <w:t xml:space="preserve"> </w:t>
      </w:r>
      <w:r>
        <w:t xml:space="preserve">Fragmented</w:t>
      </w:r>
      <w:r>
        <w:t xml:space="preserve"> </w:t>
      </w:r>
      <w:r>
        <w:t xml:space="preserve">Global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recent years, pressing innovation gaps have been addressed which resulted in significant</w:t>
      </w:r>
      <w:r>
        <w:t xml:space="preserve"> </w:t>
      </w:r>
      <w:r>
        <w:t xml:space="preserve">improvements of the technology readiness (296). For the bulk of net-zero technologies</w:t>
      </w:r>
      <w:r>
        <w:t xml:space="preserve"> </w:t>
      </w:r>
      <w:r>
        <w:t xml:space="preserve">needed to reach the 2040 targets, the Technology Readiness Level (TRL) already</w:t>
      </w:r>
      <w:r>
        <w:t xml:space="preserve"> </w:t>
      </w:r>
      <w:r>
        <w:t xml:space="preserve">amounts to at least 8 (out of 9) which means that they are in an advanced deployment</w:t>
      </w:r>
      <w:r>
        <w:t xml:space="preserve"> </w:t>
      </w:r>
      <w:r>
        <w:t xml:space="preserve">stage. (297)</w:t>
      </w:r>
      <w:r>
        <w:t xml:space="preserve"> </w:t>
      </w:r>
      <w:r>
        <w:t xml:space="preserve">DAC is at the lower end of the deployment stage having a TRL of 7. Bioenergy with</w:t>
      </w:r>
      <w:r>
        <w:t xml:space="preserve"> </w:t>
      </w:r>
      <w:r>
        <w:t xml:space="preserve">carbon capture and storage (BECCS) is the only technology that has a TRL of 5-6</w:t>
      </w:r>
      <w:r>
        <w:t xml:space="preserve"> </w:t>
      </w:r>
      <w:r>
        <w:t xml:space="preserve">(“Technology demonstrated in relevant environment”) indicating that is not fully</w:t>
      </w:r>
      <w:r>
        <w:t xml:space="preserve"> </w:t>
      </w:r>
      <w:r>
        <w:t xml:space="preserve">established. However, there are already a variety of BECCS demonstration projects in</w:t>
      </w:r>
      <w:r>
        <w:t xml:space="preserve"> </w:t>
      </w:r>
      <w:r>
        <w:t xml:space="preserve">Japan, Norway, Sweden and the United Kingdom.</w:t>
      </w:r>
      <w:r>
        <w:t xml:space="preserve"> </w:t>
      </w:r>
      <w:r>
        <w:t xml:space="preserve">Due to their relatively low maturity, DAC and BECCS come into play only between</w:t>
      </w:r>
      <w:r>
        <w:t xml:space="preserve"> </w:t>
      </w:r>
      <w:r>
        <w:t xml:space="preserve">2030 and 2040 allowing the technology to be further developed over the coming years. In</w:t>
      </w:r>
      <w:r>
        <w:t xml:space="preserve"> </w:t>
      </w:r>
      <w:r>
        <w:t xml:space="preserve">2040, DAC and BECCS is projected to capture 16 MtCO2 (S1) to 155 MtCO2 (S3)</w:t>
      </w:r>
      <w:r>
        <w:t xml:space="preserve"> </w:t>
      </w:r>
      <w:r>
        <w:t xml:space="preserve">making up around 0.3% (S1) to 3.3% (S3) of 1990 total GHG emissions. The S3 scenario</w:t>
      </w:r>
      <w:r>
        <w:t xml:space="preserve"> </w:t>
      </w:r>
      <w:r>
        <w:t xml:space="preserve">anticipates decarbonisation via DAC up to 2040.</w:t>
      </w:r>
      <w:r>
        <w:br/>
      </w:r>
      <w:r>
        <w:t xml:space="preserve">2.4.</w:t>
      </w:r>
      <w:r>
        <w:t xml:space="preserve"> </w:t>
      </w:r>
      <w:r>
        <w:t xml:space="preserve">Social impacts and just transition</w:t>
      </w:r>
      <w:r>
        <w:t xml:space="preserve"> </w:t>
      </w:r>
      <w:r>
        <w:t xml:space="preserve">2.4.1. Fuel expenses, energy and transport poverty, distributional impacts</w:t>
      </w:r>
      <w:r>
        <w:t xml:space="preserve"> </w:t>
      </w:r>
      <w:r>
        <w:t xml:space="preserve">Energy-related expenses (298) represent a high share of total expenditure for a large</w:t>
      </w:r>
      <w:r>
        <w:t xml:space="preserve"> </w:t>
      </w:r>
      <w:r>
        <w:t xml:space="preserve">proportion of EU households, in particular middle- and low-income households. The</w:t>
      </w:r>
      <w:r>
        <w:t xml:space="preserve"> </w:t>
      </w:r>
      <w:r>
        <w:t xml:space="preserve">recent increase in energy prices has generated major negative social impacts and</w:t>
      </w:r>
      <w:r>
        <w:t xml:space="preserve"> </w:t>
      </w:r>
      <w:r>
        <w:t xml:space="preserve">increased the rates of energy (and transport) poverty. Assessing the implications of the</w:t>
      </w:r>
      <w:r>
        <w:t xml:space="preserve"> </w:t>
      </w:r>
      <w:r>
        <w:t xml:space="preserve">energy transition and the 2040 policy options on energy system costs for households is</w:t>
      </w:r>
      <w:r>
        <w:t xml:space="preserve"> </w:t>
      </w:r>
      <w:r>
        <w:t xml:space="preserve">therefore of critical importance.</w:t>
      </w:r>
      <w:r>
        <w:t xml:space="preserve"> </w:t>
      </w:r>
      <w:r>
        <w:t xml:space="preserve">The following assessment is based on model results, reflecting the current legislation and</w:t>
      </w:r>
      <w:r>
        <w:t xml:space="preserve"> </w:t>
      </w:r>
      <w:r>
        <w:t xml:space="preserve">understanding of the possible evolution of technologies and costs. This assessment will</w:t>
      </w:r>
      <w:r>
        <w:t xml:space="preserve"> </w:t>
      </w:r>
      <w:r>
        <w:t xml:space="preserve">feed into the development of the future policy framework and support measures in the</w:t>
      </w:r>
      <w:r>
        <w:t xml:space="preserve"> </w:t>
      </w:r>
      <w:r>
        <w:t xml:space="preserve">coming years to meet the 2040 target and will determine the actual costs and how they</w:t>
      </w:r>
      <w:r>
        <w:t xml:space="preserve"> </w:t>
      </w:r>
      <w:r>
        <w:t xml:space="preserve">impact individuals, regions and society.</w:t>
      </w:r>
      <w:r>
        <w:t xml:space="preserve"> </w:t>
      </w:r>
      <w:r>
        <w:t xml:space="preserve">The cost structure is characterised by an increase of capital-related costs in purchasing</w:t>
      </w:r>
      <w:r>
        <w:t xml:space="preserve"> </w:t>
      </w:r>
      <w:r>
        <w:t xml:space="preserve">more efficient appliances and investment in enhancing the energy insulation of</w:t>
      </w:r>
      <w:r>
        <w:t xml:space="preserve"> </w:t>
      </w:r>
      <w:r>
        <w:t xml:space="preserve">dwellings. This increase allows savings on energy purchases despite the assumed</w:t>
      </w:r>
      <w:r>
        <w:t xml:space="preserve"> </w:t>
      </w:r>
      <w:r>
        <w:t xml:space="preserve">increasing fossil fuels international prices over time and the impact of ETS revenues and</w:t>
      </w:r>
      <w:r>
        <w:t xml:space="preserve"> </w:t>
      </w:r>
      <w:r>
        <w:t xml:space="preserve">diffusion of new low carbon fuels.</w:t>
      </w:r>
      <w:r>
        <w:br/>
      </w:r>
      <w:r>
        <w:t xml:space="preserve">The relative importance of energy-related cost for households in private consumption is</w:t>
      </w:r>
      <w:r>
        <w:t xml:space="preserve"> </w:t>
      </w:r>
      <w:r>
        <w:t xml:space="preserve">projected to decline in 2041-2050 compared to 2031-2040, due to the decreasing</w:t>
      </w:r>
      <w:r>
        <w:t xml:space="preserve"> </w:t>
      </w:r>
      <w:r>
        <w:t xml:space="preserve">importance of fuel purchases in all scenarios. For instance, the share of private</w:t>
      </w:r>
    </w:p>
    <w:p>
      <w:pPr>
        <w:pStyle w:val="Compact"/>
        <w:numPr>
          <w:ilvl w:val="0"/>
          <w:numId w:val="1125"/>
        </w:numPr>
      </w:pPr>
      <w:r>
        <w:t xml:space="preserve">IEA (2023): “Net Zero Roadmap. A Global Pathway to Keep the 1.5°C Goal in Reach”</w:t>
      </w:r>
    </w:p>
    <w:p>
      <w:pPr>
        <w:pStyle w:val="Compact"/>
        <w:numPr>
          <w:ilvl w:val="0"/>
          <w:numId w:val="1125"/>
        </w:numPr>
      </w:pPr>
      <w:r>
        <w:t xml:space="preserve">The TRL evaluation is based on the EU’s Clean Energy Technology Observatory (CETO).</w:t>
      </w:r>
    </w:p>
    <w:p>
      <w:pPr>
        <w:pStyle w:val="Compact"/>
        <w:numPr>
          <w:ilvl w:val="0"/>
          <w:numId w:val="1125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</w:p>
    <w:p>
      <w:pPr>
        <w:pStyle w:val="FirstParagraph"/>
      </w:pPr>
      <w:r>
        <w:t xml:space="preserve">200</w:t>
      </w:r>
    </w:p>
    <w:p>
      <w:pPr>
        <w:pStyle w:val="BodyText"/>
      </w:pPr>
      <w:r>
        <w:t xml:space="preserve">consumption dedicated to energy-related expenditures decreases from 8.1%-8.2% to</w:t>
      </w:r>
      <w:r>
        <w:t xml:space="preserve"> </w:t>
      </w:r>
      <w:r>
        <w:t xml:space="preserve">7.1% between the decades 2031-2040 and 2041-2050. Anticipated action in S3, driven by</w:t>
      </w:r>
      <w:r>
        <w:t xml:space="preserve"> </w:t>
      </w:r>
      <w:r>
        <w:t xml:space="preserve">a larger direct efficiency investments (see section 2.2), also translates in a slightly higher</w:t>
      </w:r>
      <w:r>
        <w:t xml:space="preserve"> </w:t>
      </w:r>
      <w:r>
        <w:t xml:space="preserve">share of energy-related expenses in S3 in 2031-2040, where it represents 8.2% of private</w:t>
      </w:r>
      <w:r>
        <w:t xml:space="preserve"> </w:t>
      </w:r>
      <w:r>
        <w:t xml:space="preserve">consumption as opposed to 8% in S1 and 8.1% in S2. Electricity prices are projected to</w:t>
      </w:r>
      <w:r>
        <w:t xml:space="preserve"> </w:t>
      </w:r>
      <w:r>
        <w:t xml:space="preserve">be very similar across both periods in real terms.</w:t>
      </w:r>
      <w:r>
        <w:br/>
      </w:r>
      <w:r>
        <w:t xml:space="preserve">Table 47: Average annual energy system costs as % of private consumption and average</w:t>
      </w:r>
      <w:r>
        <w:t xml:space="preserve"> </w:t>
      </w:r>
      <w:r>
        <w:t xml:space="preserve">final price of electricity for households in the residential sector</w:t>
      </w:r>
      <w:r>
        <w:t xml:space="preserve"> </w:t>
      </w:r>
      <w:r>
        <w:t xml:space="preserve">Average across all income</w:t>
      </w:r>
      <w:r>
        <w:t xml:space="preserve"> </w:t>
      </w:r>
      <w:r>
        <w:t xml:space="preserve">categories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Total (% of private consumption)</w:t>
      </w:r>
      <w:r>
        <w:t xml:space="preserve"> </w:t>
      </w:r>
      <w:r>
        <w:t xml:space="preserve">8.0%</w:t>
      </w:r>
      <w:r>
        <w:t xml:space="preserve"> </w:t>
      </w:r>
      <w:r>
        <w:t xml:space="preserve">8.1%</w:t>
      </w:r>
      <w:r>
        <w:t xml:space="preserve"> </w:t>
      </w:r>
      <w:r>
        <w:t xml:space="preserve">8.2%</w:t>
      </w:r>
      <w:r>
        <w:t xml:space="preserve"> </w:t>
      </w:r>
      <w:r>
        <w:t xml:space="preserve">8.1%</w:t>
      </w:r>
      <w:r>
        <w:t xml:space="preserve"> </w:t>
      </w:r>
      <w:r>
        <w:t xml:space="preserve">7.1%</w:t>
      </w:r>
      <w:r>
        <w:t xml:space="preserve"> </w:t>
      </w:r>
      <w:r>
        <w:t xml:space="preserve">7.1%</w:t>
      </w:r>
      <w:r>
        <w:t xml:space="preserve"> </w:t>
      </w:r>
      <w:r>
        <w:t xml:space="preserve">7.1%</w:t>
      </w:r>
      <w:r>
        <w:t xml:space="preserve"> </w:t>
      </w:r>
      <w:r>
        <w:t xml:space="preserve">7.0%</w:t>
      </w:r>
      <w:r>
        <w:t xml:space="preserve"> </w:t>
      </w:r>
      <w:r>
        <w:t xml:space="preserve">Capital related costs*</w:t>
      </w:r>
      <w:r>
        <w:t xml:space="preserve"> </w:t>
      </w:r>
      <w:r>
        <w:t xml:space="preserve">4.5%</w:t>
      </w:r>
      <w:r>
        <w:t xml:space="preserve"> </w:t>
      </w:r>
      <w:r>
        <w:t xml:space="preserve">4.6%</w:t>
      </w:r>
      <w:r>
        <w:t xml:space="preserve"> </w:t>
      </w:r>
      <w:r>
        <w:t xml:space="preserve">4.7%</w:t>
      </w:r>
      <w:r>
        <w:t xml:space="preserve"> </w:t>
      </w:r>
      <w:r>
        <w:t xml:space="preserve">4.6%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Energy purchases**</w:t>
      </w:r>
      <w:r>
        <w:t xml:space="preserve"> </w:t>
      </w:r>
      <w:r>
        <w:t xml:space="preserve">3.4%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3.4%</w:t>
      </w:r>
      <w:r>
        <w:t xml:space="preserve"> </w:t>
      </w:r>
      <w:r>
        <w:t xml:space="preserve">3.0%</w:t>
      </w:r>
      <w:r>
        <w:t xml:space="preserve"> </w:t>
      </w:r>
      <w:r>
        <w:t xml:space="preserve">3.0%</w:t>
      </w:r>
      <w:r>
        <w:t xml:space="preserve"> </w:t>
      </w:r>
      <w:r>
        <w:t xml:space="preserve">3.0%</w:t>
      </w:r>
      <w:r>
        <w:t xml:space="preserve"> </w:t>
      </w:r>
      <w:r>
        <w:t xml:space="preserve">2.8%</w:t>
      </w:r>
      <w:r>
        <w:t xml:space="preserve"> </w:t>
      </w:r>
      <w:r>
        <w:t xml:space="preserve">Low Income Categories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Total (% of private consumption)</w:t>
      </w:r>
      <w:r>
        <w:t xml:space="preserve"> </w:t>
      </w:r>
      <w:r>
        <w:t xml:space="preserve">14.0%</w:t>
      </w:r>
      <w:r>
        <w:t xml:space="preserve"> </w:t>
      </w:r>
      <w:r>
        <w:t xml:space="preserve">14.3%</w:t>
      </w:r>
      <w:r>
        <w:t xml:space="preserve"> </w:t>
      </w:r>
      <w:r>
        <w:t xml:space="preserve">14.4%</w:t>
      </w:r>
      <w:r>
        <w:t xml:space="preserve"> </w:t>
      </w:r>
      <w:r>
        <w:t xml:space="preserve">14.2%</w:t>
      </w:r>
      <w:r>
        <w:t xml:space="preserve"> </w:t>
      </w:r>
      <w:r>
        <w:t xml:space="preserve">12.0%</w:t>
      </w:r>
      <w:r>
        <w:t xml:space="preserve"> </w:t>
      </w:r>
      <w:r>
        <w:t xml:space="preserve">12.0%</w:t>
      </w:r>
      <w:r>
        <w:t xml:space="preserve"> </w:t>
      </w:r>
      <w:r>
        <w:t xml:space="preserve">12.1%</w:t>
      </w:r>
      <w:r>
        <w:t xml:space="preserve"> </w:t>
      </w:r>
      <w:r>
        <w:t xml:space="preserve">11.8%</w:t>
      </w:r>
      <w:r>
        <w:t xml:space="preserve"> </w:t>
      </w:r>
      <w:r>
        <w:t xml:space="preserve">Capital related costs</w:t>
      </w:r>
      <w:r>
        <w:t xml:space="preserve"> </w:t>
      </w:r>
      <w:r>
        <w:t xml:space="preserve">7.8%</w:t>
      </w:r>
      <w:r>
        <w:t xml:space="preserve"> </w:t>
      </w:r>
      <w:r>
        <w:t xml:space="preserve">7.9%</w:t>
      </w:r>
      <w:r>
        <w:t xml:space="preserve"> </w:t>
      </w:r>
      <w:r>
        <w:t xml:space="preserve">8.1%</w:t>
      </w:r>
      <w:r>
        <w:t xml:space="preserve"> </w:t>
      </w:r>
      <w:r>
        <w:t xml:space="preserve">7.9%</w:t>
      </w:r>
      <w:r>
        <w:t xml:space="preserve"> </w:t>
      </w:r>
      <w:r>
        <w:t xml:space="preserve">6.5%</w:t>
      </w:r>
      <w:r>
        <w:t xml:space="preserve"> </w:t>
      </w:r>
      <w:r>
        <w:t xml:space="preserve">6.5%</w:t>
      </w:r>
      <w:r>
        <w:t xml:space="preserve"> </w:t>
      </w:r>
      <w:r>
        <w:t xml:space="preserve">6.6%</w:t>
      </w:r>
      <w:r>
        <w:t xml:space="preserve"> </w:t>
      </w:r>
      <w:r>
        <w:t xml:space="preserve">6.6%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6.3%</w:t>
      </w:r>
      <w:r>
        <w:t xml:space="preserve"> </w:t>
      </w:r>
      <w:r>
        <w:t xml:space="preserve">6.3%</w:t>
      </w:r>
      <w:r>
        <w:t xml:space="preserve"> </w:t>
      </w:r>
      <w:r>
        <w:t xml:space="preserve">6.3%</w:t>
      </w:r>
      <w:r>
        <w:t xml:space="preserve"> </w:t>
      </w:r>
      <w:r>
        <w:t xml:space="preserve">6.3%</w:t>
      </w:r>
      <w:r>
        <w:t xml:space="preserve"> </w:t>
      </w:r>
      <w:r>
        <w:t xml:space="preserve">5.5%</w:t>
      </w:r>
      <w:r>
        <w:t xml:space="preserve"> </w:t>
      </w:r>
      <w:r>
        <w:t xml:space="preserve">5.5%</w:t>
      </w:r>
      <w:r>
        <w:t xml:space="preserve"> </w:t>
      </w:r>
      <w:r>
        <w:t xml:space="preserve">5.4%</w:t>
      </w:r>
      <w:r>
        <w:t xml:space="preserve"> </w:t>
      </w:r>
      <w:r>
        <w:t xml:space="preserve">5.2%</w:t>
      </w:r>
      <w:r>
        <w:t xml:space="preserve"> </w:t>
      </w:r>
      <w:r>
        <w:t xml:space="preserve">Electricity price (EUR/MWh)***</w:t>
      </w:r>
      <w:r>
        <w:t xml:space="preserve"> </w:t>
      </w:r>
      <w:r>
        <w:t xml:space="preserve">Residential</w:t>
      </w:r>
      <w:r>
        <w:t xml:space="preserve"> </w:t>
      </w:r>
      <w:r>
        <w:t xml:space="preserve">288</w:t>
      </w:r>
      <w:r>
        <w:t xml:space="preserve"> </w:t>
      </w:r>
      <w:r>
        <w:t xml:space="preserve">288</w:t>
      </w:r>
      <w:r>
        <w:t xml:space="preserve"> </w:t>
      </w:r>
      <w:r>
        <w:t xml:space="preserve">288</w:t>
      </w:r>
      <w:r>
        <w:t xml:space="preserve"> </w:t>
      </w:r>
      <w:r>
        <w:t xml:space="preserve">288</w:t>
      </w:r>
      <w:r>
        <w:t xml:space="preserve"> </w:t>
      </w:r>
      <w:r>
        <w:t xml:space="preserve">289</w:t>
      </w:r>
      <w:r>
        <w:t xml:space="preserve"> </w:t>
      </w:r>
      <w:r>
        <w:t xml:space="preserve">290</w:t>
      </w:r>
      <w:r>
        <w:t xml:space="preserve"> </w:t>
      </w:r>
      <w:r>
        <w:t xml:space="preserve">290</w:t>
      </w:r>
      <w:r>
        <w:t xml:space="preserve"> </w:t>
      </w:r>
      <w:r>
        <w:t xml:space="preserve">290</w:t>
      </w:r>
      <w:r>
        <w:t xml:space="preserve"> </w:t>
      </w:r>
      <w:r>
        <w:t xml:space="preserve">Note: * includes purchase of appliances and cost of renovation. ** It does not include carbon revenues.</w:t>
      </w:r>
      <w:r>
        <w:t xml:space="preserve"> </w:t>
      </w:r>
      <w:r>
        <w:t xml:space="preserve">*** Average final price of electricity. The electricity price shown here reflects the evolution of the average</w:t>
      </w:r>
      <w:r>
        <w:t xml:space="preserve"> </w:t>
      </w:r>
      <w:r>
        <w:t xml:space="preserve">electricity production cost to supply the sector (i.e. considering its load profile) as well as the taxes applied to</w:t>
      </w:r>
      <w:r>
        <w:t xml:space="preserve"> </w:t>
      </w:r>
      <w:r>
        <w:t xml:space="preserve">the sector.</w:t>
      </w:r>
      <w:r>
        <w:t xml:space="preserve"> </w:t>
      </w:r>
      <w:r>
        <w:t xml:space="preserve">Source: PRIMES.</w:t>
      </w:r>
    </w:p>
    <w:p>
      <w:pPr>
        <w:pStyle w:val="BodyText"/>
      </w:pPr>
      <w:r>
        <w:t xml:space="preserve">Figure 115: Annual fuel purchasing expenses in buildings per low-income household</w:t>
      </w:r>
    </w:p>
    <w:p>
      <w:pPr>
        <w:pStyle w:val="BodyText"/>
      </w:pPr>
      <w:r>
        <w:t xml:space="preserve">Source: PRIMES model.</w:t>
      </w:r>
      <w:r>
        <w:t xml:space="preserve"> </w:t>
      </w:r>
      <w:r>
        <w:t xml:space="preserve">Figure 116 illustrates that improved insulation leads to a decrease in annual fuel</w:t>
      </w:r>
      <w:r>
        <w:t xml:space="preserve"> </w:t>
      </w:r>
      <w:r>
        <w:t xml:space="preserve">purchasing expenses, in particular for high-income households. As a result, the gap</w:t>
      </w:r>
      <w:r>
        <w:t xml:space="preserve"> </w:t>
      </w:r>
      <w:r>
        <w:t xml:space="preserve">between expenses of different types of households closes and the level of expenses is</w:t>
      </w:r>
      <w:r>
        <w:t xml:space="preserve"> </w:t>
      </w:r>
      <w:r>
        <w:t xml:space="preserve">closer for all categories in 2040 than in 2020. Low-income households have higher</w:t>
      </w:r>
      <w:r>
        <w:t xml:space="preserve"> </w:t>
      </w:r>
      <w:r>
        <w:t xml:space="preserve">annual fuel expenses than middle-income households as of 2030, due to their dwellings</w:t>
      </w:r>
      <w:r>
        <w:t xml:space="preserve"> </w:t>
      </w:r>
      <w:r>
        <w:t xml:space="preserve">1700</w:t>
      </w:r>
      <w:r>
        <w:t xml:space="preserve"> </w:t>
      </w:r>
      <w:r>
        <w:t xml:space="preserve">1750</w:t>
      </w:r>
      <w:r>
        <w:t xml:space="preserve"> </w:t>
      </w:r>
      <w:r>
        <w:t xml:space="preserve">1800</w:t>
      </w:r>
      <w:r>
        <w:t xml:space="preserve"> </w:t>
      </w:r>
      <w:r>
        <w:t xml:space="preserve">1850</w:t>
      </w:r>
      <w:r>
        <w:t xml:space="preserve"> </w:t>
      </w:r>
      <w:r>
        <w:t xml:space="preserve">1900</w:t>
      </w:r>
      <w:r>
        <w:t xml:space="preserve"> </w:t>
      </w:r>
      <w:r>
        <w:t xml:space="preserve">1950</w:t>
      </w:r>
      <w:r>
        <w:t xml:space="preserve"> </w:t>
      </w:r>
      <w:r>
        <w:t xml:space="preserve">2000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not being as well insulated, despite significant efforts in renovation. For all households,</w:t>
      </w:r>
      <w:r>
        <w:t xml:space="preserve"> </w:t>
      </w:r>
      <w:r>
        <w:t xml:space="preserve">fuel expenses are on a downward trend as of 2025 (despite a temporary increase in 2045),</w:t>
      </w:r>
      <w:r>
        <w:t xml:space="preserve"> </w:t>
      </w:r>
      <w:r>
        <w:t xml:space="preserve">illustrating that investments in renovation of buildings pay off.</w:t>
      </w:r>
      <w:r>
        <w:br/>
      </w:r>
      <w:r>
        <w:t xml:space="preserve">Figure 116: Annual fuel purchasing expenses in buildings in S2</w:t>
      </w:r>
    </w:p>
    <w:p>
      <w:pPr>
        <w:pStyle w:val="BodyText"/>
      </w:pPr>
      <w:r>
        <w:t xml:space="preserve">Source: PRIMES model.</w:t>
      </w:r>
      <w:r>
        <w:t xml:space="preserve"> </w:t>
      </w:r>
      <w:r>
        <w:t xml:space="preserve">Following the post-COVID recovery, annual expenditures for private vehicles (299) are</w:t>
      </w:r>
      <w:r>
        <w:t xml:space="preserve"> </w:t>
      </w:r>
      <w:r>
        <w:t xml:space="preserve">projected to increase in all scenarios by 2040, from around EUR 3770 per year per</w:t>
      </w:r>
      <w:r>
        <w:t xml:space="preserve"> </w:t>
      </w:r>
      <w:r>
        <w:t xml:space="preserve">household during 2021-2025 to around EUR 4610-4660 per year per household in the S1,</w:t>
      </w:r>
      <w:r>
        <w:t xml:space="preserve"> </w:t>
      </w:r>
      <w:r>
        <w:t xml:space="preserve">S2 and S3 scenarios and around EUR 4065 in LIFE during 2036-2040 (see Figure 117).</w:t>
      </w:r>
      <w:r>
        <w:t xml:space="preserve"> </w:t>
      </w:r>
      <w:r>
        <w:t xml:space="preserve">These changes are driven by the increase in the capital expenditures for the replacement</w:t>
      </w:r>
      <w:r>
        <w:t xml:space="preserve"> </w:t>
      </w:r>
      <w:r>
        <w:t xml:space="preserve">of the vehicle fleet, including for meeting the CO2 standards regulation. Post-2040,</w:t>
      </w:r>
      <w:r>
        <w:t xml:space="preserve"> </w:t>
      </w:r>
      <w:r>
        <w:t xml:space="preserve">households’ expenditures for private vehicles are projected to remain stable or slightly go</w:t>
      </w:r>
      <w:r>
        <w:t xml:space="preserve"> </w:t>
      </w:r>
      <w:r>
        <w:t xml:space="preserve">down. In LIFE, the annual expenditures for private vehicles are lower, mostly because of</w:t>
      </w:r>
      <w:r>
        <w:t xml:space="preserve"> </w:t>
      </w:r>
      <w:r>
        <w:t xml:space="preserve">lower activity by passenger car (expressed in passenger-km) due to modal shift to active</w:t>
      </w:r>
      <w:r>
        <w:t xml:space="preserve"> </w:t>
      </w:r>
      <w:r>
        <w:t xml:space="preserve">modes and collective transport, and because of higher use of shared mobility. Expressed</w:t>
      </w:r>
      <w:r>
        <w:t xml:space="preserve"> </w:t>
      </w:r>
      <w:r>
        <w:t xml:space="preserve">as share of private consumption, annual expenditures for private vehicles are however</w:t>
      </w:r>
      <w:r>
        <w:t xml:space="preserve"> </w:t>
      </w:r>
      <w:r>
        <w:t xml:space="preserve">projected to be stable over time until 2040 and decrease after 2040, from around 7.5-</w:t>
      </w:r>
      <w:r>
        <w:t xml:space="preserve"> </w:t>
      </w:r>
      <w:r>
        <w:t xml:space="preserve">8.5% during 2021-2025 and 2036-2040 to 6-7% during 2046-2050. This is mainly due to</w:t>
      </w:r>
      <w:r>
        <w:t xml:space="preserve"> </w:t>
      </w:r>
      <w:r>
        <w:t xml:space="preserve">the sustained increase in the private consumption over time following the post-COVID</w:t>
      </w:r>
      <w:r>
        <w:t xml:space="preserve"> </w:t>
      </w:r>
      <w:r>
        <w:t xml:space="preserve">recovery.</w:t>
      </w:r>
    </w:p>
    <w:p>
      <w:pPr>
        <w:pStyle w:val="Compact"/>
        <w:numPr>
          <w:ilvl w:val="0"/>
          <w:numId w:val="1126"/>
        </w:numPr>
      </w:pPr>
      <w:r>
        <w:t xml:space="preserve">The annual expenditures for private vehicles cover the total expenditures to purchase vehicles as well</w:t>
      </w:r>
      <w:r>
        <w:t xml:space="preserve"> </w:t>
      </w:r>
      <w:r>
        <w:t xml:space="preserve">as the fixed operation costs (excluding taxes).</w:t>
      </w:r>
      <w:r>
        <w:t xml:space="preserve"> </w:t>
      </w:r>
      <w:r>
        <w:t xml:space="preserve">EUR2023/Household</w:t>
      </w:r>
      <w:r>
        <w:t xml:space="preserve"> </w:t>
      </w:r>
      <w:r>
        <w:t xml:space="preserve">1650</w:t>
      </w:r>
      <w:r>
        <w:t xml:space="preserve"> </w:t>
      </w:r>
      <w:r>
        <w:t xml:space="preserve">1700</w:t>
      </w:r>
      <w:r>
        <w:t xml:space="preserve"> </w:t>
      </w:r>
      <w:r>
        <w:t xml:space="preserve">1750</w:t>
      </w:r>
      <w:r>
        <w:t xml:space="preserve"> </w:t>
      </w:r>
      <w:r>
        <w:t xml:space="preserve">1800</w:t>
      </w:r>
      <w:r>
        <w:t xml:space="preserve"> </w:t>
      </w:r>
      <w:r>
        <w:t xml:space="preserve">1850</w:t>
      </w:r>
      <w:r>
        <w:t xml:space="preserve"> </w:t>
      </w:r>
      <w:r>
        <w:t xml:space="preserve">1900</w:t>
      </w:r>
      <w:r>
        <w:t xml:space="preserve"> </w:t>
      </w:r>
      <w:r>
        <w:t xml:space="preserve">1950</w:t>
      </w:r>
      <w:r>
        <w:t xml:space="preserve"> </w:t>
      </w:r>
      <w:r>
        <w:t xml:space="preserve">2000</w:t>
      </w:r>
      <w:r>
        <w:t xml:space="preserve"> </w:t>
      </w:r>
      <w:r>
        <w:t xml:space="preserve">2050</w:t>
      </w:r>
      <w:r>
        <w:t xml:space="preserve"> </w:t>
      </w:r>
      <w:r>
        <w:t xml:space="preserve">2100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Low-income</w:t>
      </w:r>
      <w:r>
        <w:t xml:space="preserve"> </w:t>
      </w:r>
      <w:r>
        <w:t xml:space="preserve">households</w:t>
      </w:r>
      <w:r>
        <w:t xml:space="preserve"> </w:t>
      </w:r>
      <w:r>
        <w:t xml:space="preserve">Middle-</w:t>
      </w:r>
      <w:r>
        <w:t xml:space="preserve"> </w:t>
      </w:r>
      <w:r>
        <w:t xml:space="preserve">income</w:t>
      </w:r>
      <w:r>
        <w:t xml:space="preserve"> </w:t>
      </w:r>
      <w:r>
        <w:t xml:space="preserve">households</w:t>
      </w:r>
      <w:r>
        <w:t xml:space="preserve"> </w:t>
      </w:r>
      <w:r>
        <w:t xml:space="preserve">High-income</w:t>
      </w:r>
      <w:r>
        <w:t xml:space="preserve"> </w:t>
      </w:r>
      <w:r>
        <w:t xml:space="preserve">households</w:t>
      </w:r>
    </w:p>
    <w:p>
      <w:pPr>
        <w:pStyle w:val="FirstParagraph"/>
      </w:pPr>
      <w:r>
        <w:t xml:space="preserve">202</w:t>
      </w:r>
    </w:p>
    <w:p>
      <w:pPr>
        <w:pStyle w:val="BodyText"/>
      </w:pPr>
      <w:r>
        <w:t xml:space="preserve">Figure 117: Annual expenditures for private vehicles per household</w:t>
      </w:r>
    </w:p>
    <w:p>
      <w:pPr>
        <w:pStyle w:val="BodyText"/>
      </w:pPr>
      <w:r>
        <w:t xml:space="preserve">Note: Expenditures are expressed in EUR’2023.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Expenditures for transport-related energy purchases by households are projected to</w:t>
      </w:r>
      <w:r>
        <w:t xml:space="preserve"> </w:t>
      </w:r>
      <w:r>
        <w:t xml:space="preserve">reduce from around EUR 1450 per year per household during 2021-2030 (21-23% of</w:t>
      </w:r>
      <w:r>
        <w:t xml:space="preserve"> </w:t>
      </w:r>
      <w:r>
        <w:t xml:space="preserve">total transport expenditures per household) to around EUR 915-1025 per year per</w:t>
      </w:r>
      <w:r>
        <w:t xml:space="preserve"> </w:t>
      </w:r>
      <w:r>
        <w:t xml:space="preserve">household during 2036-2040 (13-15% of total transport expenditures per household) and</w:t>
      </w:r>
      <w:r>
        <w:t xml:space="preserve"> </w:t>
      </w:r>
      <w:r>
        <w:t xml:space="preserve">EUR 480-550 during 2046-2050 (around 7-9% of total transport expenditures), driven by</w:t>
      </w:r>
      <w:r>
        <w:t xml:space="preserve"> </w:t>
      </w:r>
      <w:r>
        <w:t xml:space="preserve">the use of more energy efficient vehicles and multimodality. Scenario S1 shows the</w:t>
      </w:r>
      <w:r>
        <w:t xml:space="preserve"> </w:t>
      </w:r>
      <w:r>
        <w:t xml:space="preserve">highest decrease in expenditures for energy purchases by 2040, around EUR 65 higher</w:t>
      </w:r>
      <w:r>
        <w:t xml:space="preserve"> </w:t>
      </w:r>
      <w:r>
        <w:t xml:space="preserve">per year per household than in scenario S2 and around EUR 105 higher than in scenario</w:t>
      </w:r>
      <w:r>
        <w:t xml:space="preserve"> </w:t>
      </w:r>
      <w:r>
        <w:t xml:space="preserve">S3 (see Figure 118). Expressed as share of private consumption, total annual</w:t>
      </w:r>
      <w:r>
        <w:t xml:space="preserve"> </w:t>
      </w:r>
      <w:r>
        <w:t xml:space="preserve">expenditures on energy products are projected to decrease over time (from 3.2% during</w:t>
      </w:r>
      <w:r>
        <w:t xml:space="preserve"> </w:t>
      </w:r>
      <w:r>
        <w:t xml:space="preserve">2021-2025 to 1.7-1.9% during 2036-2040 and 0.8-0.9% during 2046-2050), due to the</w:t>
      </w:r>
      <w:r>
        <w:t xml:space="preserve"> </w:t>
      </w:r>
      <w:r>
        <w:t xml:space="preserve">sustained increase in the private consumption over time.</w:t>
      </w:r>
      <w:r>
        <w:t xml:space="preserve"> </w:t>
      </w:r>
      <w:r>
        <w:t xml:space="preserve">Figure 118: Annual expenditures for transport-related energy purchases per household</w:t>
      </w:r>
    </w:p>
    <w:p>
      <w:pPr>
        <w:pStyle w:val="BodyText"/>
      </w:pPr>
      <w:r>
        <w:t xml:space="preserve">Note: Expenditures are expressed in EUR’2023.</w:t>
      </w:r>
      <w:r>
        <w:t xml:space="preserve"> </w:t>
      </w:r>
      <w:r>
        <w:t xml:space="preserve">Source: PRIMES</w:t>
      </w:r>
      <w:r>
        <w:t xml:space="preserve"> </w:t>
      </w:r>
      <w:r>
        <w:t xml:space="preserve">Annual expenditures on transport services are projected to increase from EUR 830 per</w:t>
      </w:r>
      <w:r>
        <w:t xml:space="preserve"> </w:t>
      </w:r>
      <w:r>
        <w:t xml:space="preserve">3000</w:t>
      </w:r>
      <w:r>
        <w:t xml:space="preserve"> </w:t>
      </w:r>
      <w:r>
        <w:t xml:space="preserve">3200</w:t>
      </w:r>
      <w:r>
        <w:t xml:space="preserve"> </w:t>
      </w:r>
      <w:r>
        <w:t xml:space="preserve">3400</w:t>
      </w:r>
      <w:r>
        <w:t xml:space="preserve"> </w:t>
      </w:r>
      <w:r>
        <w:t xml:space="preserve">3600</w:t>
      </w:r>
      <w:r>
        <w:t xml:space="preserve"> </w:t>
      </w:r>
      <w:r>
        <w:t xml:space="preserve">3800</w:t>
      </w:r>
      <w:r>
        <w:t xml:space="preserve"> </w:t>
      </w:r>
      <w:r>
        <w:t xml:space="preserve">4000</w:t>
      </w:r>
      <w:r>
        <w:t xml:space="preserve"> </w:t>
      </w:r>
      <w:r>
        <w:t xml:space="preserve">4200</w:t>
      </w:r>
      <w:r>
        <w:t xml:space="preserve"> </w:t>
      </w:r>
      <w:r>
        <w:t xml:space="preserve">4400</w:t>
      </w:r>
      <w:r>
        <w:t xml:space="preserve"> </w:t>
      </w:r>
      <w:r>
        <w:t xml:space="preserve">4600</w:t>
      </w:r>
      <w:r>
        <w:t xml:space="preserve"> </w:t>
      </w:r>
      <w:r>
        <w:t xml:space="preserve">4800</w:t>
      </w:r>
      <w:r>
        <w:t xml:space="preserve"> </w:t>
      </w:r>
      <w:r>
        <w:t xml:space="preserve">2021-2025</w:t>
      </w:r>
      <w:r>
        <w:t xml:space="preserve"> </w:t>
      </w:r>
      <w:r>
        <w:t xml:space="preserve">2026-2030</w:t>
      </w:r>
      <w:r>
        <w:t xml:space="preserve"> </w:t>
      </w:r>
      <w:r>
        <w:t xml:space="preserve">2031-2035</w:t>
      </w:r>
      <w:r>
        <w:t xml:space="preserve"> </w:t>
      </w:r>
      <w:r>
        <w:t xml:space="preserve">2036-2040</w:t>
      </w:r>
      <w:r>
        <w:t xml:space="preserve"> </w:t>
      </w:r>
      <w:r>
        <w:t xml:space="preserve">2041-2045</w:t>
      </w:r>
      <w:r>
        <w:t xml:space="preserve"> </w:t>
      </w:r>
      <w:r>
        <w:t xml:space="preserve">2046-2050</w:t>
      </w:r>
      <w:r>
        <w:t xml:space="preserve"> </w:t>
      </w:r>
      <w:r>
        <w:t xml:space="preserve">Euro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1400</w:t>
      </w:r>
      <w:r>
        <w:t xml:space="preserve"> </w:t>
      </w:r>
      <w:r>
        <w:t xml:space="preserve">1600</w:t>
      </w:r>
      <w:r>
        <w:t xml:space="preserve"> </w:t>
      </w:r>
      <w:r>
        <w:t xml:space="preserve">2021-2025</w:t>
      </w:r>
      <w:r>
        <w:t xml:space="preserve"> </w:t>
      </w:r>
      <w:r>
        <w:t xml:space="preserve">2026-2030</w:t>
      </w:r>
      <w:r>
        <w:t xml:space="preserve"> </w:t>
      </w:r>
      <w:r>
        <w:t xml:space="preserve">2031-2035</w:t>
      </w:r>
      <w:r>
        <w:t xml:space="preserve"> </w:t>
      </w:r>
      <w:r>
        <w:t xml:space="preserve">2036-2040</w:t>
      </w:r>
      <w:r>
        <w:t xml:space="preserve"> </w:t>
      </w:r>
      <w:r>
        <w:t xml:space="preserve">2041-2045</w:t>
      </w:r>
      <w:r>
        <w:t xml:space="preserve"> </w:t>
      </w:r>
      <w:r>
        <w:t xml:space="preserve">2046-2050</w:t>
      </w:r>
      <w:r>
        <w:t xml:space="preserve"> </w:t>
      </w:r>
      <w:r>
        <w:t xml:space="preserve">Euro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year per household in 2021-2025 (13% of total transport expenditures per household) to</w:t>
      </w:r>
      <w:r>
        <w:t xml:space="preserve"> </w:t>
      </w:r>
      <w:r>
        <w:t xml:space="preserve">around EUR 995-1040 per year per household during 2036-2040 (14-15% of total</w:t>
      </w:r>
      <w:r>
        <w:t xml:space="preserve"> </w:t>
      </w:r>
      <w:r>
        <w:t xml:space="preserve">transport expenditures per household) and around EUR 1095-1135 during 2046-2050</w:t>
      </w:r>
      <w:r>
        <w:t xml:space="preserve"> </w:t>
      </w:r>
      <w:r>
        <w:t xml:space="preserve">(17-18% of total transport expenditures), as shown in Figure 119. This projected increase</w:t>
      </w:r>
      <w:r>
        <w:t xml:space="preserve"> </w:t>
      </w:r>
      <w:r>
        <w:t xml:space="preserve">is linked to higher use of public transport and multimodality. Expressed as share of</w:t>
      </w:r>
      <w:r>
        <w:t xml:space="preserve"> </w:t>
      </w:r>
      <w:r>
        <w:t xml:space="preserve">private consumption, total annual expenditures on transport services are however</w:t>
      </w:r>
      <w:r>
        <w:t xml:space="preserve"> </w:t>
      </w:r>
      <w:r>
        <w:t xml:space="preserve">projected to remain relatively stable over time at around 1.8-1.9% due to the sustained</w:t>
      </w:r>
      <w:r>
        <w:t xml:space="preserve"> </w:t>
      </w:r>
      <w:r>
        <w:t xml:space="preserve">increase in private consumption.</w:t>
      </w:r>
      <w:r>
        <w:br/>
      </w:r>
      <w:r>
        <w:t xml:space="preserve">Figure 119: Annual expenditures for transport services per household</w:t>
      </w:r>
    </w:p>
    <w:p>
      <w:pPr>
        <w:pStyle w:val="BodyText"/>
      </w:pPr>
      <w:r>
        <w:t xml:space="preserve">Note: Expenditures are expressed in EUR’2023.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The concept of transport poverty describes the situation of people who are unable to</w:t>
      </w:r>
      <w:r>
        <w:t xml:space="preserve"> </w:t>
      </w:r>
      <w:r>
        <w:t xml:space="preserve">meet the costs of private or public transport or do not have access (including availability),</w:t>
      </w:r>
      <w:r>
        <w:t xml:space="preserve"> </w:t>
      </w:r>
      <w:r>
        <w:t xml:space="preserve">especially to public transport. The co-legislators agreed on a definition of transport</w:t>
      </w:r>
      <w:r>
        <w:t xml:space="preserve"> </w:t>
      </w:r>
      <w:r>
        <w:t xml:space="preserve">poverty in the context of the Social Climate Fund (300). No appropriate EU indicators</w:t>
      </w:r>
      <w:r>
        <w:t xml:space="preserve"> </w:t>
      </w:r>
      <w:r>
        <w:t xml:space="preserve">currently exist to regularly monitor the affordability of transport services. However,</w:t>
      </w:r>
      <w:r>
        <w:t xml:space="preserve"> </w:t>
      </w:r>
      <w:r>
        <w:t xml:space="preserve">according to the latest available data from Eurostat, 2.4 % of all people in the EU and</w:t>
      </w:r>
      <w:r>
        <w:t xml:space="preserve"> </w:t>
      </w:r>
      <w:r>
        <w:t xml:space="preserve">5.8% of those at risk of poverty cannot afford to use public transport regularly (301). In</w:t>
      </w:r>
      <w:r>
        <w:t xml:space="preserve"> </w:t>
      </w:r>
      <w:r>
        <w:t xml:space="preserve">addition to costs, access to transport depends on other factors, including the quality and</w:t>
      </w:r>
      <w:r>
        <w:t xml:space="preserve"> </w:t>
      </w:r>
      <w:r>
        <w:t xml:space="preserve">frequency of services, the state of the infrastructure and accessibility (both digital and</w:t>
      </w:r>
      <w:r>
        <w:t xml:space="preserve"> </w:t>
      </w:r>
      <w:r>
        <w:t xml:space="preserve">physical). Due to the lack of data, it is not possible to assess the evolution of the transport</w:t>
      </w:r>
    </w:p>
    <w:p>
      <w:pPr>
        <w:pStyle w:val="Compact"/>
        <w:numPr>
          <w:ilvl w:val="0"/>
          <w:numId w:val="1127"/>
        </w:numPr>
      </w:pPr>
      <w:r>
        <w:t xml:space="preserve">Regulation (EU) 2023/955 of the European Parliament and of the Council of 10 May 2023</w:t>
      </w:r>
      <w:r>
        <w:t xml:space="preserve"> </w:t>
      </w:r>
      <w:r>
        <w:t xml:space="preserve">establishing a Social Climate Fund and amending Regulation (EU) 2021/1060: ‘transport poverty’ means</w:t>
      </w:r>
      <w:r>
        <w:t xml:space="preserve"> </w:t>
      </w:r>
      <w:r>
        <w:t xml:space="preserve">individuals’ and households’ inability or difficulty to meet the costs of private or public transport, or their</w:t>
      </w:r>
      <w:r>
        <w:t xml:space="preserve"> </w:t>
      </w:r>
      <w:r>
        <w:t xml:space="preserve">lack of or limited access to transport needed for their access to essential socio-economic services and</w:t>
      </w:r>
      <w:r>
        <w:t xml:space="preserve"> </w:t>
      </w:r>
      <w:r>
        <w:t xml:space="preserve">activities, taking into account the national and spatial context.</w:t>
      </w:r>
    </w:p>
    <w:p>
      <w:pPr>
        <w:pStyle w:val="Compact"/>
        <w:numPr>
          <w:ilvl w:val="0"/>
          <w:numId w:val="1127"/>
        </w:numPr>
      </w:pPr>
      <w:r>
        <w:t xml:space="preserve">Information collected ad hoc by Eurostat in 2014. New data on affordability of public transport will be</w:t>
      </w:r>
      <w:r>
        <w:t xml:space="preserve"> </w:t>
      </w:r>
      <w:r>
        <w:t xml:space="preserve">collected by Eurostat in 2024, as part of the new ad hoc module on access to services. See Commission</w:t>
      </w:r>
      <w:r>
        <w:t xml:space="preserve"> </w:t>
      </w:r>
      <w:r>
        <w:t xml:space="preserve">Implementing Regulation (EU) 2022/2498 of 9 December 2022 specifying technical items of data sets of</w:t>
      </w:r>
      <w:r>
        <w:t xml:space="preserve"> </w:t>
      </w:r>
      <w:r>
        <w:t xml:space="preserve">the sample survey in the income and living conditions domain on access to services pursuant to Regulation</w:t>
      </w:r>
      <w:r>
        <w:t xml:space="preserve"> </w:t>
      </w:r>
      <w:r>
        <w:t xml:space="preserve">(EU) 2019/1700 of the European Parliament and of the Council.</w:t>
      </w:r>
      <w:r>
        <w:t xml:space="preserve"> </w:t>
      </w:r>
      <w:r>
        <w:t xml:space="preserve">550</w:t>
      </w:r>
      <w:r>
        <w:t xml:space="preserve"> </w:t>
      </w:r>
      <w:r>
        <w:t xml:space="preserve">650</w:t>
      </w:r>
      <w:r>
        <w:t xml:space="preserve"> </w:t>
      </w:r>
      <w:r>
        <w:t xml:space="preserve">750</w:t>
      </w:r>
      <w:r>
        <w:t xml:space="preserve"> </w:t>
      </w:r>
      <w:r>
        <w:t xml:space="preserve">850</w:t>
      </w:r>
      <w:r>
        <w:t xml:space="preserve"> </w:t>
      </w:r>
      <w:r>
        <w:t xml:space="preserve">950</w:t>
      </w:r>
      <w:r>
        <w:t xml:space="preserve"> </w:t>
      </w:r>
      <w:r>
        <w:t xml:space="preserve">1050</w:t>
      </w:r>
      <w:r>
        <w:t xml:space="preserve"> </w:t>
      </w:r>
      <w:r>
        <w:t xml:space="preserve">1150</w:t>
      </w:r>
      <w:r>
        <w:t xml:space="preserve"> </w:t>
      </w:r>
      <w:r>
        <w:t xml:space="preserve">1250</w:t>
      </w:r>
      <w:r>
        <w:t xml:space="preserve"> </w:t>
      </w:r>
      <w:r>
        <w:t xml:space="preserve">2021-2025</w:t>
      </w:r>
      <w:r>
        <w:t xml:space="preserve"> </w:t>
      </w:r>
      <w:r>
        <w:t xml:space="preserve">2026-2030</w:t>
      </w:r>
      <w:r>
        <w:t xml:space="preserve"> </w:t>
      </w:r>
      <w:r>
        <w:t xml:space="preserve">2031-2035</w:t>
      </w:r>
      <w:r>
        <w:t xml:space="preserve"> </w:t>
      </w:r>
      <w:r>
        <w:t xml:space="preserve">2036-2040</w:t>
      </w:r>
      <w:r>
        <w:t xml:space="preserve"> </w:t>
      </w:r>
      <w:r>
        <w:t xml:space="preserve">2041-2045</w:t>
      </w:r>
      <w:r>
        <w:t xml:space="preserve"> </w:t>
      </w:r>
      <w:r>
        <w:t xml:space="preserve">2046-2050</w:t>
      </w:r>
      <w:r>
        <w:t xml:space="preserve"> </w:t>
      </w:r>
      <w:r>
        <w:t xml:space="preserve">Euro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</w:p>
    <w:p>
      <w:pPr>
        <w:pStyle w:val="FirstParagraph"/>
      </w:pPr>
      <w:r>
        <w:t xml:space="preserve">204</w:t>
      </w:r>
    </w:p>
    <w:p>
      <w:pPr>
        <w:pStyle w:val="BodyText"/>
      </w:pPr>
      <w:r>
        <w:t xml:space="preserve">poverty over time in the scenarios. It is however clear that up-to-date EU-level data on</w:t>
      </w:r>
      <w:r>
        <w:t xml:space="preserve"> </w:t>
      </w:r>
      <w:r>
        <w:t xml:space="preserve">transport affordability is needed to closely monitor developments over time.</w:t>
      </w:r>
      <w:r>
        <w:br/>
      </w:r>
      <w:r>
        <w:t xml:space="preserve">2.4.2. Electricity prices</w:t>
      </w:r>
      <w:r>
        <w:t xml:space="preserve"> </w:t>
      </w:r>
      <w:r>
        <w:t xml:space="preserve">Low-income households are particularly vulnerable to electricity price increases. The</w:t>
      </w:r>
      <w:r>
        <w:t xml:space="preserve"> </w:t>
      </w:r>
      <w:r>
        <w:t xml:space="preserve">Commission proposal to reform the electricity market design on 14 March 2023 (302)</w:t>
      </w:r>
      <w:r>
        <w:t xml:space="preserve"> </w:t>
      </w:r>
      <w:r>
        <w:t xml:space="preserve">aims at strengthening consumer protection, particularly for the most vulnerable</w:t>
      </w:r>
      <w:r>
        <w:t xml:space="preserve"> </w:t>
      </w:r>
      <w:r>
        <w:t xml:space="preserve">households. With this reform, consumers would be entitled to secure fixed-price</w:t>
      </w:r>
      <w:r>
        <w:t xml:space="preserve"> </w:t>
      </w:r>
      <w:r>
        <w:t xml:space="preserve">contracts, with the option of multiple or combined tailor-made contracts, as well as</w:t>
      </w:r>
      <w:r>
        <w:t xml:space="preserve"> </w:t>
      </w:r>
      <w:r>
        <w:t xml:space="preserve">access to clearer pre-contractual information.</w:t>
      </w:r>
      <w:r>
        <w:t xml:space="preserve"> </w:t>
      </w:r>
      <w:r>
        <w:t xml:space="preserve">For the most vulnerables, a supplier of last resort would be selected so that no consumer</w:t>
      </w:r>
      <w:r>
        <w:t xml:space="preserve"> </w:t>
      </w:r>
      <w:r>
        <w:t xml:space="preserve">ends up without electricity in case of supplier failure. This is complemented by an</w:t>
      </w:r>
      <w:r>
        <w:t xml:space="preserve"> </w:t>
      </w:r>
      <w:r>
        <w:t xml:space="preserve">obligation on Member States to ensure that vulnerable customers are protected from</w:t>
      </w:r>
      <w:r>
        <w:t xml:space="preserve"> </w:t>
      </w:r>
      <w:r>
        <w:t xml:space="preserve">electricity disconnections. Also, the proposal suggests allowing Member States to extend</w:t>
      </w:r>
      <w:r>
        <w:t xml:space="preserve"> </w:t>
      </w:r>
      <w:r>
        <w:t xml:space="preserve">regulated retail prices to households and SMEs in the event of a crisis. The possibility to</w:t>
      </w:r>
      <w:r>
        <w:t xml:space="preserve"> </w:t>
      </w:r>
      <w:r>
        <w:t xml:space="preserve">access renewable energy directly through participation in energy sharing arrangements</w:t>
      </w:r>
      <w:r>
        <w:t xml:space="preserve"> </w:t>
      </w:r>
      <w:r>
        <w:t xml:space="preserve">allow all consumers to benefit from renewable energy, hence being less subject to</w:t>
      </w:r>
      <w:r>
        <w:t xml:space="preserve"> </w:t>
      </w:r>
      <w:r>
        <w:t xml:space="preserve">electricity wholesale prices movements which depend on fossil fuel prices.</w:t>
      </w:r>
      <w:r>
        <w:t xml:space="preserve"> </w:t>
      </w:r>
      <w:r>
        <w:t xml:space="preserve">The Social Climate Fund (‘the Fund’) aims at addressing any social impacts that arise</w:t>
      </w:r>
      <w:r>
        <w:t xml:space="preserve"> </w:t>
      </w:r>
      <w:r>
        <w:t xml:space="preserve">from the extension of the emissions trading system to the building and road transport</w:t>
      </w:r>
      <w:r>
        <w:t xml:space="preserve"> </w:t>
      </w:r>
      <w:r>
        <w:t xml:space="preserve">sectors. This is achieved by financing temporary direct income support for vulnerable</w:t>
      </w:r>
      <w:r>
        <w:t xml:space="preserve"> </w:t>
      </w:r>
      <w:r>
        <w:t xml:space="preserve">households and supporting measures and investments that reduce emissions in the road</w:t>
      </w:r>
      <w:r>
        <w:t xml:space="preserve"> </w:t>
      </w:r>
      <w:r>
        <w:t xml:space="preserve">transport and buildings sectors. As a result, this contributes to reducing costs for</w:t>
      </w:r>
      <w:r>
        <w:t xml:space="preserve"> </w:t>
      </w:r>
      <w:r>
        <w:t xml:space="preserve">vulnerable households, micro-enterprises, and transport users.</w:t>
      </w:r>
      <w:r>
        <w:br/>
      </w:r>
      <w:r>
        <w:t xml:space="preserve">For the transport sector, the fund grants an improved access to zero- and low-emission</w:t>
      </w:r>
      <w:r>
        <w:t xml:space="preserve"> </w:t>
      </w:r>
      <w:r>
        <w:t xml:space="preserve">mobility and transport with financial support to purchase low emission vehicles. It can</w:t>
      </w:r>
      <w:r>
        <w:t xml:space="preserve"> </w:t>
      </w:r>
      <w:r>
        <w:t xml:space="preserve">also serve to provide free access to public transport or adapted tariffs for access to public</w:t>
      </w:r>
      <w:r>
        <w:t xml:space="preserve"> </w:t>
      </w:r>
      <w:r>
        <w:t xml:space="preserve">transport.</w:t>
      </w:r>
      <w:r>
        <w:t xml:space="preserve"> </w:t>
      </w:r>
      <w:r>
        <w:t xml:space="preserve">2.4.3. Sectoral employment, skills and occupation groups</w:t>
      </w:r>
      <w:r>
        <w:t xml:space="preserve"> </w:t>
      </w:r>
      <w:r>
        <w:t xml:space="preserve">2.4.3.1.General impacts</w:t>
      </w:r>
      <w:r>
        <w:t xml:space="preserve"> </w:t>
      </w:r>
      <w:r>
        <w:t xml:space="preserve">As indicated in previous impact assessments and confirmed in Section 2.1.1, the</w:t>
      </w:r>
      <w:r>
        <w:t xml:space="preserve"> </w:t>
      </w:r>
      <w:r>
        <w:t xml:space="preserve">transition to climate neutrality is projected to have a limited impact on aggregate</w:t>
      </w:r>
      <w:r>
        <w:t xml:space="preserve"> </w:t>
      </w:r>
      <w:r>
        <w:t xml:space="preserve">employment, driven primarily by the expected impacts on GDP. However, the</w:t>
      </w:r>
      <w:r>
        <w:t xml:space="preserve"> </w:t>
      </w:r>
      <w:r>
        <w:t xml:space="preserve">consequences of the transition on workers, the labour market and skills will still be</w:t>
      </w:r>
      <w:r>
        <w:t xml:space="preserve"> </w:t>
      </w:r>
      <w:r>
        <w:t xml:space="preserve">significant. While some sectors including a large share of services activities (303), which</w:t>
      </w:r>
      <w:r>
        <w:t xml:space="preserve"> </w:t>
      </w:r>
      <w:r>
        <w:t xml:space="preserve">represent a major share of the labour market, are likely to be affected marginally, other</w:t>
      </w:r>
      <w:r>
        <w:t xml:space="preserve"> </w:t>
      </w:r>
      <w:r>
        <w:t xml:space="preserve">sectors will undergo very significant transformations whether in terms of employment</w:t>
      </w:r>
      <w:r>
        <w:t xml:space="preserve"> </w:t>
      </w:r>
      <w:r>
        <w:t xml:space="preserve">levels or skills needs and occupations. A limited number of sectors accounting for a small</w:t>
      </w:r>
    </w:p>
    <w:p>
      <w:pPr>
        <w:pStyle w:val="Compact"/>
        <w:numPr>
          <w:ilvl w:val="0"/>
          <w:numId w:val="1128"/>
        </w:numPr>
      </w:pPr>
      <w:r>
        <w:t xml:space="preserve">Proposal for a REGULATION OF THE EUROPEAN PARLIAMENT AND OF THE COUNCIL</w:t>
      </w:r>
      <w:r>
        <w:t xml:space="preserve"> </w:t>
      </w:r>
      <w:r>
        <w:t xml:space="preserve">amending Regulations (EU) 2019/943 and (EU) 2019/942 as well as Directives (EU) 2018/2001 and</w:t>
      </w:r>
      <w:r>
        <w:t xml:space="preserve"> </w:t>
      </w:r>
      <w:r>
        <w:t xml:space="preserve">(EU) 2019/944 to improve the Union’s electricity market design</w:t>
      </w:r>
    </w:p>
    <w:p>
      <w:pPr>
        <w:pStyle w:val="FirstParagraph"/>
      </w:pPr>
      <w:r>
        <w:t xml:space="preserve">205</w:t>
      </w:r>
    </w:p>
    <w:p>
      <w:pPr>
        <w:pStyle w:val="BodyText"/>
      </w:pPr>
      <w:r>
        <w:t xml:space="preserve">share of total employment will decline sharply, while significant employment</w:t>
      </w:r>
      <w:r>
        <w:t xml:space="preserve"> </w:t>
      </w:r>
      <w:r>
        <w:t xml:space="preserve">opportunities should emerge elsewhere.</w:t>
      </w:r>
      <w:r>
        <w:t xml:space="preserve"> </w:t>
      </w:r>
      <w:r>
        <w:t xml:space="preserve">While macro-economic models project that the transition will have a limited effect on</w:t>
      </w:r>
      <w:r>
        <w:t xml:space="preserve"> </w:t>
      </w:r>
      <w:r>
        <w:t xml:space="preserve">aggregate employment relative to a business-as-usual scenario, it is important to bear in</w:t>
      </w:r>
      <w:r>
        <w:t xml:space="preserve"> </w:t>
      </w:r>
      <w:r>
        <w:t xml:space="preserve">mind the evolving general context, and in particular demographic and technological</w:t>
      </w:r>
      <w:r>
        <w:t xml:space="preserve"> </w:t>
      </w:r>
      <w:r>
        <w:t xml:space="preserve">changes that impact the labor market independently from climate objectives and policies.</w:t>
      </w:r>
      <w:r>
        <w:t xml:space="preserve"> </w:t>
      </w:r>
      <w:r>
        <w:t xml:space="preserve">The EU’s population is projected to decline slowly from the mid-2020s onwards</w:t>
      </w:r>
      <w:r>
        <w:t xml:space="preserve"> </w:t>
      </w:r>
      <w:r>
        <w:t xml:space="preserve">alongside continued ageing. As a result, the overall employment will be on a significant</w:t>
      </w:r>
      <w:r>
        <w:t xml:space="preserve"> </w:t>
      </w:r>
      <w:r>
        <w:t xml:space="preserve">declining trend at EU level. The age dependency ratio is projected to increase from</w:t>
      </w:r>
      <w:r>
        <w:t xml:space="preserve"> </w:t>
      </w:r>
      <w:r>
        <w:t xml:space="preserve">around 55% currently to around 75% by 2050, as the population of working age (15-64)</w:t>
      </w:r>
      <w:r>
        <w:t xml:space="preserve"> </w:t>
      </w:r>
      <w:r>
        <w:t xml:space="preserve">declines by almost 13% (close to 37 million people). Other structural and technological</w:t>
      </w:r>
      <w:r>
        <w:t xml:space="preserve"> </w:t>
      </w:r>
      <w:r>
        <w:t xml:space="preserve">changes will also affect the labour market and skills demand in fundamental ways. The</w:t>
      </w:r>
      <w:r>
        <w:t xml:space="preserve"> </w:t>
      </w:r>
      <w:r>
        <w:t xml:space="preserve">rapid development and uptake of artificial intelligence could upend many services jobs</w:t>
      </w:r>
      <w:r>
        <w:t xml:space="preserve"> </w:t>
      </w:r>
      <w:r>
        <w:t xml:space="preserve">that have been so far relatively sheltered from structural changes and that represent a</w:t>
      </w:r>
      <w:r>
        <w:t xml:space="preserve"> </w:t>
      </w:r>
      <w:r>
        <w:t xml:space="preserve">large share of total employment in the EU.</w:t>
      </w:r>
      <w:r>
        <w:t xml:space="preserve"> </w:t>
      </w:r>
      <w:r>
        <w:t xml:space="preserve">In addition, it must be noted that the structure of employment in the EU has not been</w:t>
      </w:r>
      <w:r>
        <w:t xml:space="preserve"> </w:t>
      </w:r>
      <w:r>
        <w:t xml:space="preserve">static in recent years. Even looking back only about a decade and in a context of a rising</w:t>
      </w:r>
      <w:r>
        <w:t xml:space="preserve"> </w:t>
      </w:r>
      <w:r>
        <w:t xml:space="preserve">number of total jobs, significant changes have taken place in terms of employment by</w:t>
      </w:r>
      <w:r>
        <w:t xml:space="preserve"> </w:t>
      </w:r>
      <w:r>
        <w:t xml:space="preserve">economic activity, by occupation and by wage dynamics. Services (market and non-</w:t>
      </w:r>
      <w:r>
        <w:t xml:space="preserve"> </w:t>
      </w:r>
      <w:r>
        <w:t xml:space="preserve">market) activities currently represent close to 130 million jobs, or 65% of total EU</w:t>
      </w:r>
      <w:r>
        <w:t xml:space="preserve"> </w:t>
      </w:r>
      <w:r>
        <w:t xml:space="preserve">employment, up from 60% in 2008 (Table 48). Public administration, education, health</w:t>
      </w:r>
      <w:r>
        <w:t xml:space="preserve"> </w:t>
      </w:r>
      <w:r>
        <w:t xml:space="preserve">and social work account for nearly 40% of services employment.</w:t>
      </w:r>
      <w:r>
        <w:t xml:space="preserve"> </w:t>
      </w:r>
      <w:r>
        <w:t xml:space="preserve">In contrast, the share of industry and manufacturing in total employment declined by</w:t>
      </w:r>
      <w:r>
        <w:t xml:space="preserve"> </w:t>
      </w:r>
      <w:r>
        <w:t xml:space="preserve">around 2 percentage points between 2008 and 2022 (to 16% of the total), even though the</w:t>
      </w:r>
      <w:r>
        <w:t xml:space="preserve"> </w:t>
      </w:r>
      <w:r>
        <w:t xml:space="preserve">number of jobs has remained broadly stable in the past decade. Construction, architecture</w:t>
      </w:r>
      <w:r>
        <w:t xml:space="preserve"> </w:t>
      </w:r>
      <w:r>
        <w:t xml:space="preserve">and engineering are another major source of jobs in the EU at around 8% of the total,</w:t>
      </w:r>
      <w:r>
        <w:t xml:space="preserve"> </w:t>
      </w:r>
      <w:r>
        <w:t xml:space="preserve">though its share also declined by about 1 percentage point between 2008 and 2022.</w:t>
      </w:r>
      <w:r>
        <w:t xml:space="preserve"> </w:t>
      </w:r>
      <w:r>
        <w:t xml:space="preserve">Finally, agriculture, fisheries and fishing, and fossil fuel extraction and refining have</w:t>
      </w:r>
      <w:r>
        <w:t xml:space="preserve"> </w:t>
      </w:r>
      <w:r>
        <w:t xml:space="preserve">experienced a significant decline in the level and share of employment. While the share</w:t>
      </w:r>
      <w:r>
        <w:t xml:space="preserve"> </w:t>
      </w:r>
      <w:r>
        <w:t xml:space="preserve">of agriculture employment remains significant at 3.5% of the total currently, employment</w:t>
      </w:r>
      <w:r>
        <w:t xml:space="preserve"> </w:t>
      </w:r>
      <w:r>
        <w:t xml:space="preserve">in fossil fuel extraction and refining was down to about 370 000 jobs in 2022, 40% below</w:t>
      </w:r>
      <w:r>
        <w:t xml:space="preserve"> </w:t>
      </w:r>
      <w:r>
        <w:t xml:space="preserve">the level in 2008.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Table 48: Employment by economic activity (million people and % of total)</w:t>
      </w:r>
    </w:p>
    <w:p>
      <w:pPr>
        <w:pStyle w:val="BodyText"/>
      </w:pPr>
      <w:r>
        <w:t xml:space="preserve">Source: Eurostat. (304)</w:t>
      </w:r>
      <w:r>
        <w:t xml:space="preserve"> </w:t>
      </w:r>
      <w:r>
        <w:t xml:space="preserve">The recent trends in sectoral employment in the EU are mirrored in the evolution of</w:t>
      </w:r>
      <w:r>
        <w:t xml:space="preserve"> </w:t>
      </w:r>
      <w:r>
        <w:t xml:space="preserve">employment by occupations (Table 49), which also reflects the rising trend in tertiary</w:t>
      </w:r>
      <w:r>
        <w:t xml:space="preserve"> </w:t>
      </w:r>
      <w:r>
        <w:t xml:space="preserve">educational attainment among the population in general and among those aged 25-34 in</w:t>
      </w:r>
      <w:r>
        <w:t xml:space="preserve"> </w:t>
      </w:r>
      <w:r>
        <w:t xml:space="preserve">particular. For the latter, attainment in tertiary education rose from 23.1% of the total</w:t>
      </w:r>
      <w:r>
        <w:t xml:space="preserve"> </w:t>
      </w:r>
      <w:r>
        <w:t xml:space="preserve">population in 2002 to 42% in 2022. The increase was particularly sharp among women</w:t>
      </w:r>
      <w:r>
        <w:t xml:space="preserve"> </w:t>
      </w:r>
      <w:r>
        <w:t xml:space="preserve">with a rate of 47.6% in 2022, compared to a rate of 36.5% for men. The share of</w:t>
      </w:r>
      <w:r>
        <w:t xml:space="preserve"> </w:t>
      </w:r>
      <w:r>
        <w:t xml:space="preserve">professionals and managers in total employment increased by 4.5 percentage points in the</w:t>
      </w:r>
      <w:r>
        <w:t xml:space="preserve"> </w:t>
      </w:r>
      <w:r>
        <w:t xml:space="preserve">past decade to 26.7% of the total in 2022. This contrasts sharply with occupations whose</w:t>
      </w:r>
      <w:r>
        <w:t xml:space="preserve"> </w:t>
      </w:r>
      <w:r>
        <w:t xml:space="preserve">share in total employment declined over the same period, mainly service and sales</w:t>
      </w:r>
      <w:r>
        <w:t xml:space="preserve"> </w:t>
      </w:r>
      <w:r>
        <w:t xml:space="preserve">workers, crafts and trade, elementary occupations and agriculture, forestry and fisheries.</w:t>
      </w:r>
      <w:r>
        <w:t xml:space="preserve"> </w:t>
      </w:r>
      <w:r>
        <w:t xml:space="preserve">The absolute number of workers with these occupations has nevertheless remained</w:t>
      </w:r>
      <w:r>
        <w:t xml:space="preserve"> </w:t>
      </w:r>
      <w:r>
        <w:t xml:space="preserve">broadly stable (except skilled workers in agriculture) as total employment was on a rising</w:t>
      </w:r>
      <w:r>
        <w:t xml:space="preserve"> </w:t>
      </w:r>
      <w:r>
        <w:t xml:space="preserve">trend.</w:t>
      </w:r>
    </w:p>
    <w:p>
      <w:pPr>
        <w:pStyle w:val="Compact"/>
        <w:numPr>
          <w:ilvl w:val="0"/>
          <w:numId w:val="1129"/>
        </w:numPr>
      </w:pPr>
      <w:r>
        <w:t xml:space="preserve">The table is based on an aggregation of NACE 2 sectors. Fossil fuel sectors (B05, B06, C19); other</w:t>
      </w:r>
      <w:r>
        <w:t xml:space="preserve"> </w:t>
      </w:r>
      <w:r>
        <w:t xml:space="preserve">mining and extraction activities (B07, B08, B09); energy intensive industries (C17, C20, C21, C23,</w:t>
      </w:r>
      <w:r>
        <w:t xml:space="preserve"> </w:t>
      </w:r>
      <w:r>
        <w:t xml:space="preserve">C24); manufacturing of transport equipment (C29, C30); manufacturing of electrical equipment and</w:t>
      </w:r>
      <w:r>
        <w:t xml:space="preserve"> </w:t>
      </w:r>
      <w:r>
        <w:t xml:space="preserve">other machinery (C27, C28); other manufacturing (all other C codes); electricity, gas, steam and air</w:t>
      </w:r>
      <w:r>
        <w:t xml:space="preserve"> </w:t>
      </w:r>
      <w:r>
        <w:t xml:space="preserve">conditioning supply (D35); construction and architecture services (F41, F42, F43, M71); transport and</w:t>
      </w:r>
      <w:r>
        <w:t xml:space="preserve"> </w:t>
      </w:r>
      <w:r>
        <w:t xml:space="preserve">storage (H49 to H53); services (all codes not listed in other sectors); water, treatment and waste (E36</w:t>
      </w:r>
      <w:r>
        <w:t xml:space="preserve"> </w:t>
      </w:r>
      <w:r>
        <w:t xml:space="preserve">to E39); agriculture, forestry and fishing (A01, A02, A03).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Fossil fuel sectors</w:t>
      </w:r>
      <w:r>
        <w:t xml:space="preserve"> </w:t>
      </w:r>
      <w:r>
        <w:t xml:space="preserve">0.60</w:t>
      </w:r>
      <w:r>
        <w:t xml:space="preserve"> </w:t>
      </w:r>
      <w:r>
        <w:t xml:space="preserve">0.51</w:t>
      </w:r>
      <w:r>
        <w:t xml:space="preserve"> </w:t>
      </w:r>
      <w:r>
        <w:t xml:space="preserve">0.46</w:t>
      </w:r>
      <w:r>
        <w:t xml:space="preserve"> </w:t>
      </w:r>
      <w:r>
        <w:t xml:space="preserve">0.41</w:t>
      </w:r>
      <w:r>
        <w:t xml:space="preserve"> </w:t>
      </w:r>
      <w:r>
        <w:t xml:space="preserve">0.37</w:t>
      </w:r>
      <w:r>
        <w:t xml:space="preserve"> </w:t>
      </w:r>
      <w:r>
        <w:t xml:space="preserve">(% total)</w:t>
      </w:r>
      <w:r>
        <w:t xml:space="preserve"> </w:t>
      </w:r>
      <w:r>
        <w:t xml:space="preserve">(0.3%)</w:t>
      </w:r>
      <w:r>
        <w:t xml:space="preserve"> </w:t>
      </w:r>
      <w:r>
        <w:t xml:space="preserve">(0.3%)</w:t>
      </w:r>
      <w:r>
        <w:t xml:space="preserve"> </w:t>
      </w:r>
      <w:r>
        <w:t xml:space="preserve">(0.2%)</w:t>
      </w:r>
      <w:r>
        <w:t xml:space="preserve"> </w:t>
      </w:r>
      <w:r>
        <w:t xml:space="preserve">(0.2%)</w:t>
      </w:r>
      <w:r>
        <w:t xml:space="preserve"> </w:t>
      </w:r>
      <w:r>
        <w:t xml:space="preserve">(0.2%)</w:t>
      </w:r>
      <w:r>
        <w:t xml:space="preserve"> </w:t>
      </w:r>
      <w:r>
        <w:t xml:space="preserve">Other mining and extraction activities</w:t>
      </w:r>
      <w:r>
        <w:t xml:space="preserve"> </w:t>
      </w:r>
      <w:r>
        <w:t xml:space="preserve">0.32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0.33</w:t>
      </w:r>
      <w:r>
        <w:t xml:space="preserve"> </w:t>
      </w:r>
      <w:r>
        <w:t xml:space="preserve">(% total)</w:t>
      </w:r>
      <w:r>
        <w:t xml:space="preserve"> </w:t>
      </w:r>
      <w:r>
        <w:t xml:space="preserve">(0.2%)</w:t>
      </w:r>
      <w:r>
        <w:t xml:space="preserve"> </w:t>
      </w:r>
      <w:r>
        <w:t xml:space="preserve">(0.2%)</w:t>
      </w:r>
      <w:r>
        <w:t xml:space="preserve"> </w:t>
      </w:r>
      <w:r>
        <w:t xml:space="preserve">(0.2%)</w:t>
      </w:r>
      <w:r>
        <w:t xml:space="preserve"> </w:t>
      </w:r>
      <w:r>
        <w:t xml:space="preserve">(0.2%)</w:t>
      </w:r>
      <w:r>
        <w:t xml:space="preserve"> </w:t>
      </w:r>
      <w:r>
        <w:t xml:space="preserve">(0.2%)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5.03</w:t>
      </w:r>
      <w:r>
        <w:t xml:space="preserve"> </w:t>
      </w:r>
      <w:r>
        <w:t xml:space="preserve">4.70</w:t>
      </w:r>
      <w:r>
        <w:t xml:space="preserve"> </w:t>
      </w:r>
      <w:r>
        <w:t xml:space="preserve">4.90</w:t>
      </w:r>
      <w:r>
        <w:t xml:space="preserve"> </w:t>
      </w:r>
      <w:r>
        <w:t xml:space="preserve">4.87</w:t>
      </w:r>
      <w:r>
        <w:t xml:space="preserve"> </w:t>
      </w:r>
      <w:r>
        <w:t xml:space="preserve">4.98</w:t>
      </w:r>
      <w:r>
        <w:t xml:space="preserve"> </w:t>
      </w:r>
      <w:r>
        <w:t xml:space="preserve">(% total)</w:t>
      </w:r>
      <w:r>
        <w:t xml:space="preserve"> </w:t>
      </w:r>
      <w:r>
        <w:t xml:space="preserve">(2.7%)</w:t>
      </w:r>
      <w:r>
        <w:t xml:space="preserve"> </w:t>
      </w:r>
      <w:r>
        <w:t xml:space="preserve">(2.5%)</w:t>
      </w:r>
      <w:r>
        <w:t xml:space="preserve"> </w:t>
      </w:r>
      <w:r>
        <w:t xml:space="preserve">(2.6%)</w:t>
      </w:r>
      <w:r>
        <w:t xml:space="preserve"> </w:t>
      </w:r>
      <w:r>
        <w:t xml:space="preserve">(2.5%)</w:t>
      </w:r>
      <w:r>
        <w:t xml:space="preserve"> </w:t>
      </w:r>
      <w:r>
        <w:t xml:space="preserve">(2.5%)</w:t>
      </w:r>
      <w:r>
        <w:t xml:space="preserve"> </w:t>
      </w:r>
      <w:r>
        <w:t xml:space="preserve">Manufacturing of transport equipment (incl. parts and accessories)</w:t>
      </w:r>
      <w:r>
        <w:t xml:space="preserve"> </w:t>
      </w:r>
      <w:r>
        <w:t xml:space="preserve">3.44</w:t>
      </w:r>
      <w:r>
        <w:t xml:space="preserve"> </w:t>
      </w:r>
      <w:r>
        <w:t xml:space="preserve">3.84</w:t>
      </w:r>
      <w:r>
        <w:t xml:space="preserve"> </w:t>
      </w:r>
      <w:r>
        <w:t xml:space="preserve">4.15</w:t>
      </w:r>
      <w:r>
        <w:t xml:space="preserve"> </w:t>
      </w:r>
      <w:r>
        <w:t xml:space="preserve">4.05</w:t>
      </w:r>
      <w:r>
        <w:t xml:space="preserve"> </w:t>
      </w:r>
      <w:r>
        <w:t xml:space="preserve">3.84</w:t>
      </w:r>
      <w:r>
        <w:t xml:space="preserve"> </w:t>
      </w:r>
      <w:r>
        <w:t xml:space="preserve">(% total)</w:t>
      </w:r>
      <w:r>
        <w:t xml:space="preserve"> </w:t>
      </w:r>
      <w:r>
        <w:t xml:space="preserve">(1.9%)</w:t>
      </w:r>
      <w:r>
        <w:t xml:space="preserve"> </w:t>
      </w:r>
      <w:r>
        <w:t xml:space="preserve">(2.1%)</w:t>
      </w:r>
      <w:r>
        <w:t xml:space="preserve"> </w:t>
      </w:r>
      <w:r>
        <w:t xml:space="preserve">(2.2%)</w:t>
      </w:r>
      <w:r>
        <w:t xml:space="preserve"> </w:t>
      </w:r>
      <w:r>
        <w:t xml:space="preserve">(2.1%)</w:t>
      </w:r>
      <w:r>
        <w:t xml:space="preserve"> </w:t>
      </w:r>
      <w:r>
        <w:t xml:space="preserve">(1.9%)</w:t>
      </w:r>
      <w:r>
        <w:t xml:space="preserve"> </w:t>
      </w:r>
      <w:r>
        <w:t xml:space="preserve">Manufacturing of electrical equipment and other machinery</w:t>
      </w:r>
      <w:r>
        <w:t xml:space="preserve"> </w:t>
      </w:r>
      <w:r>
        <w:t xml:space="preserve">3.97</w:t>
      </w:r>
      <w:r>
        <w:t xml:space="preserve"> </w:t>
      </w:r>
      <w:r>
        <w:t xml:space="preserve">4.34</w:t>
      </w:r>
      <w:r>
        <w:t xml:space="preserve"> </w:t>
      </w:r>
      <w:r>
        <w:t xml:space="preserve">4.57</w:t>
      </w:r>
      <w:r>
        <w:t xml:space="preserve"> </w:t>
      </w:r>
      <w:r>
        <w:t xml:space="preserve">4.57</w:t>
      </w:r>
      <w:r>
        <w:t xml:space="preserve"> </w:t>
      </w:r>
      <w:r>
        <w:t xml:space="preserve">4.58</w:t>
      </w:r>
      <w:r>
        <w:t xml:space="preserve"> </w:t>
      </w:r>
      <w:r>
        <w:t xml:space="preserve">(% total)</w:t>
      </w:r>
      <w:r>
        <w:t xml:space="preserve"> </w:t>
      </w:r>
      <w:r>
        <w:t xml:space="preserve">(2.2%)</w:t>
      </w:r>
      <w:r>
        <w:t xml:space="preserve"> </w:t>
      </w:r>
      <w:r>
        <w:t xml:space="preserve">(2.3%)</w:t>
      </w:r>
      <w:r>
        <w:t xml:space="preserve"> </w:t>
      </w:r>
      <w:r>
        <w:t xml:space="preserve">(2.4%)</w:t>
      </w:r>
      <w:r>
        <w:t xml:space="preserve"> </w:t>
      </w:r>
      <w:r>
        <w:t xml:space="preserve">(2.4%)</w:t>
      </w:r>
      <w:r>
        <w:t xml:space="preserve"> </w:t>
      </w:r>
      <w:r>
        <w:t xml:space="preserve">(2.3%)</w:t>
      </w:r>
      <w:r>
        <w:t xml:space="preserve"> </w:t>
      </w:r>
      <w:r>
        <w:t xml:space="preserve">Other manufacturing</w:t>
      </w:r>
      <w:r>
        <w:t xml:space="preserve"> </w:t>
      </w:r>
      <w:r>
        <w:t xml:space="preserve">18.07</w:t>
      </w:r>
      <w:r>
        <w:t xml:space="preserve"> </w:t>
      </w:r>
      <w:r>
        <w:t xml:space="preserve">17.60</w:t>
      </w:r>
      <w:r>
        <w:t xml:space="preserve"> </w:t>
      </w:r>
      <w:r>
        <w:t xml:space="preserve">17.96</w:t>
      </w:r>
      <w:r>
        <w:t xml:space="preserve"> </w:t>
      </w:r>
      <w:r>
        <w:t xml:space="preserve">17.77</w:t>
      </w:r>
      <w:r>
        <w:t xml:space="preserve"> </w:t>
      </w:r>
      <w:r>
        <w:t xml:space="preserve">18.08</w:t>
      </w:r>
      <w:r>
        <w:t xml:space="preserve"> </w:t>
      </w:r>
      <w:r>
        <w:t xml:space="preserve">(% total)</w:t>
      </w:r>
      <w:r>
        <w:t xml:space="preserve"> </w:t>
      </w:r>
      <w:r>
        <w:t xml:space="preserve">(9.8%)</w:t>
      </w:r>
      <w:r>
        <w:t xml:space="preserve"> </w:t>
      </w:r>
      <w:r>
        <w:t xml:space="preserve">(9.5%)</w:t>
      </w:r>
      <w:r>
        <w:t xml:space="preserve"> </w:t>
      </w:r>
      <w:r>
        <w:t xml:space="preserve">(9.4%)</w:t>
      </w:r>
      <w:r>
        <w:t xml:space="preserve"> </w:t>
      </w:r>
      <w:r>
        <w:t xml:space="preserve">(9.2%)</w:t>
      </w:r>
      <w:r>
        <w:t xml:space="preserve"> </w:t>
      </w:r>
      <w:r>
        <w:t xml:space="preserve">(9.2%)</w:t>
      </w:r>
      <w:r>
        <w:t xml:space="preserve"> </w:t>
      </w:r>
      <w:r>
        <w:t xml:space="preserve">Electricity, gas, steam and air conditioning supply</w:t>
      </w:r>
      <w:r>
        <w:t xml:space="preserve"> </w:t>
      </w:r>
      <w:r>
        <w:t xml:space="preserve">1.47</w:t>
      </w:r>
      <w:r>
        <w:t xml:space="preserve"> </w:t>
      </w:r>
      <w:r>
        <w:t xml:space="preserve">1.37</w:t>
      </w:r>
      <w:r>
        <w:t xml:space="preserve"> </w:t>
      </w:r>
      <w:r>
        <w:t xml:space="preserve">1.46</w:t>
      </w:r>
      <w:r>
        <w:t xml:space="preserve"> </w:t>
      </w:r>
      <w:r>
        <w:t xml:space="preserve">1.50</w:t>
      </w:r>
      <w:r>
        <w:t xml:space="preserve"> </w:t>
      </w:r>
      <w:r>
        <w:t xml:space="preserve">1.48</w:t>
      </w:r>
      <w:r>
        <w:t xml:space="preserve"> </w:t>
      </w:r>
      <w:r>
        <w:t xml:space="preserve">(% total)</w:t>
      </w:r>
      <w:r>
        <w:t xml:space="preserve"> </w:t>
      </w:r>
      <w:r>
        <w:t xml:space="preserve">(0.8%)</w:t>
      </w:r>
      <w:r>
        <w:t xml:space="preserve"> </w:t>
      </w:r>
      <w:r>
        <w:t xml:space="preserve">(0.7%)</w:t>
      </w:r>
      <w:r>
        <w:t xml:space="preserve"> </w:t>
      </w:r>
      <w:r>
        <w:t xml:space="preserve">(0.8%)</w:t>
      </w:r>
      <w:r>
        <w:t xml:space="preserve"> </w:t>
      </w:r>
      <w:r>
        <w:t xml:space="preserve">(0.8%)</w:t>
      </w:r>
      <w:r>
        <w:t xml:space="preserve"> </w:t>
      </w:r>
      <w:r>
        <w:t xml:space="preserve">(0.7%)</w:t>
      </w:r>
      <w:r>
        <w:t xml:space="preserve"> </w:t>
      </w:r>
      <w:r>
        <w:t xml:space="preserve">Construction and architecture services</w:t>
      </w:r>
      <w:r>
        <w:t xml:space="preserve"> </w:t>
      </w:r>
      <w:r>
        <w:t xml:space="preserve">16.29</w:t>
      </w:r>
      <w:r>
        <w:t xml:space="preserve"> </w:t>
      </w:r>
      <w:r>
        <w:t xml:space="preserve">14.89</w:t>
      </w:r>
      <w:r>
        <w:t xml:space="preserve"> </w:t>
      </w:r>
      <w:r>
        <w:t xml:space="preserve">15.37</w:t>
      </w:r>
      <w:r>
        <w:t xml:space="preserve"> </w:t>
      </w:r>
      <w:r>
        <w:t xml:space="preserve">15.68</w:t>
      </w:r>
      <w:r>
        <w:t xml:space="preserve"> </w:t>
      </w:r>
      <w:r>
        <w:t xml:space="preserve">16.25</w:t>
      </w:r>
      <w:r>
        <w:t xml:space="preserve"> </w:t>
      </w:r>
      <w:r>
        <w:t xml:space="preserve">(% total)</w:t>
      </w:r>
      <w:r>
        <w:t xml:space="preserve"> </w:t>
      </w:r>
      <w:r>
        <w:t xml:space="preserve">(8.9%)</w:t>
      </w:r>
      <w:r>
        <w:t xml:space="preserve"> </w:t>
      </w:r>
      <w:r>
        <w:t xml:space="preserve">(8.0%)</w:t>
      </w:r>
      <w:r>
        <w:t xml:space="preserve"> </w:t>
      </w:r>
      <w:r>
        <w:t xml:space="preserve">(8.0%)</w:t>
      </w:r>
      <w:r>
        <w:t xml:space="preserve"> </w:t>
      </w:r>
      <w:r>
        <w:t xml:space="preserve">(8.1%)</w:t>
      </w:r>
      <w:r>
        <w:t xml:space="preserve"> </w:t>
      </w:r>
      <w:r>
        <w:t xml:space="preserve">(8.2%)</w:t>
      </w:r>
      <w:r>
        <w:t xml:space="preserve"> </w:t>
      </w:r>
      <w:r>
        <w:t xml:space="preserve">Transport and storage</w:t>
      </w:r>
      <w:r>
        <w:t xml:space="preserve"> </w:t>
      </w:r>
      <w:r>
        <w:t xml:space="preserve">9.43</w:t>
      </w:r>
      <w:r>
        <w:t xml:space="preserve"> </w:t>
      </w:r>
      <w:r>
        <w:t xml:space="preserve">9.67</w:t>
      </w:r>
      <w:r>
        <w:t xml:space="preserve"> </w:t>
      </w:r>
      <w:r>
        <w:t xml:space="preserve">10.06</w:t>
      </w:r>
      <w:r>
        <w:t xml:space="preserve"> </w:t>
      </w:r>
      <w:r>
        <w:t xml:space="preserve">10.26</w:t>
      </w:r>
      <w:r>
        <w:t xml:space="preserve"> </w:t>
      </w:r>
      <w:r>
        <w:t xml:space="preserve">10.50</w:t>
      </w:r>
      <w:r>
        <w:t xml:space="preserve"> </w:t>
      </w:r>
      <w:r>
        <w:t xml:space="preserve">(% total)</w:t>
      </w:r>
      <w:r>
        <w:t xml:space="preserve"> </w:t>
      </w:r>
      <w:r>
        <w:t xml:space="preserve">(5.1%)</w:t>
      </w:r>
      <w:r>
        <w:t xml:space="preserve"> </w:t>
      </w:r>
      <w:r>
        <w:t xml:space="preserve">(5.2%)</w:t>
      </w:r>
      <w:r>
        <w:t xml:space="preserve"> </w:t>
      </w:r>
      <w:r>
        <w:t xml:space="preserve">(5.2%)</w:t>
      </w:r>
      <w:r>
        <w:t xml:space="preserve"> </w:t>
      </w:r>
      <w:r>
        <w:t xml:space="preserve">(5.3%)</w:t>
      </w:r>
      <w:r>
        <w:t xml:space="preserve"> </w:t>
      </w:r>
      <w:r>
        <w:t xml:space="preserve">(5.3%)</w:t>
      </w:r>
      <w:r>
        <w:t xml:space="preserve"> </w:t>
      </w:r>
      <w:r>
        <w:t xml:space="preserve">Services</w:t>
      </w:r>
      <w:r>
        <w:t xml:space="preserve"> </w:t>
      </w:r>
      <w:r>
        <w:t xml:space="preserve">113.92</w:t>
      </w:r>
      <w:r>
        <w:t xml:space="preserve"> </w:t>
      </w:r>
      <w:r>
        <w:t xml:space="preserve">118.28</w:t>
      </w:r>
      <w:r>
        <w:t xml:space="preserve"> </w:t>
      </w:r>
      <w:r>
        <w:t xml:space="preserve">123.20</w:t>
      </w:r>
      <w:r>
        <w:t xml:space="preserve"> </w:t>
      </w:r>
      <w:r>
        <w:t xml:space="preserve">124.85</w:t>
      </w:r>
      <w:r>
        <w:t xml:space="preserve"> </w:t>
      </w:r>
      <w:r>
        <w:t xml:space="preserve">128.15</w:t>
      </w:r>
      <w:r>
        <w:t xml:space="preserve"> </w:t>
      </w:r>
      <w:r>
        <w:t xml:space="preserve">(% total)</w:t>
      </w:r>
      <w:r>
        <w:t xml:space="preserve"> </w:t>
      </w:r>
      <w:r>
        <w:t xml:space="preserve">(62.0%)</w:t>
      </w:r>
      <w:r>
        <w:t xml:space="preserve"> </w:t>
      </w:r>
      <w:r>
        <w:t xml:space="preserve">(63.7%)</w:t>
      </w:r>
      <w:r>
        <w:t xml:space="preserve"> </w:t>
      </w:r>
      <w:r>
        <w:t xml:space="preserve">(64.2%)</w:t>
      </w:r>
      <w:r>
        <w:t xml:space="preserve"> </w:t>
      </w:r>
      <w:r>
        <w:t xml:space="preserve">(64.7%)</w:t>
      </w:r>
      <w:r>
        <w:t xml:space="preserve"> </w:t>
      </w:r>
      <w:r>
        <w:t xml:space="preserve">(65.0%)</w:t>
      </w:r>
      <w:r>
        <w:t xml:space="preserve"> </w:t>
      </w:r>
      <w:r>
        <w:t xml:space="preserve">Water supply, sewerage, waste management</w:t>
      </w:r>
      <w:r>
        <w:t xml:space="preserve"> </w:t>
      </w:r>
      <w:r>
        <w:t xml:space="preserve">1.37</w:t>
      </w:r>
      <w:r>
        <w:t xml:space="preserve"> </w:t>
      </w:r>
      <w:r>
        <w:t xml:space="preserve">1.47</w:t>
      </w:r>
      <w:r>
        <w:t xml:space="preserve"> </w:t>
      </w:r>
      <w:r>
        <w:t xml:space="preserve">1.61</w:t>
      </w:r>
      <w:r>
        <w:t xml:space="preserve"> </w:t>
      </w:r>
      <w:r>
        <w:t xml:space="preserve">1.62</w:t>
      </w:r>
      <w:r>
        <w:t xml:space="preserve"> </w:t>
      </w:r>
      <w:r>
        <w:t xml:space="preserve">1.64</w:t>
      </w:r>
      <w:r>
        <w:t xml:space="preserve"> </w:t>
      </w:r>
      <w:r>
        <w:t xml:space="preserve">(% total)</w:t>
      </w:r>
      <w:r>
        <w:t xml:space="preserve"> </w:t>
      </w:r>
      <w:r>
        <w:t xml:space="preserve">(0.7%)</w:t>
      </w:r>
      <w:r>
        <w:t xml:space="preserve"> </w:t>
      </w:r>
      <w:r>
        <w:t xml:space="preserve">(0.8%)</w:t>
      </w:r>
      <w:r>
        <w:t xml:space="preserve"> </w:t>
      </w:r>
      <w:r>
        <w:t xml:space="preserve">(0.8%)</w:t>
      </w:r>
      <w:r>
        <w:t xml:space="preserve"> </w:t>
      </w:r>
      <w:r>
        <w:t xml:space="preserve">(0.8%)</w:t>
      </w:r>
      <w:r>
        <w:t xml:space="preserve"> </w:t>
      </w:r>
      <w:r>
        <w:t xml:space="preserve">(0.8%)</w:t>
      </w:r>
      <w:r>
        <w:t xml:space="preserve"> </w:t>
      </w:r>
      <w:r>
        <w:t xml:space="preserve">Agriculture, forestry and fishing</w:t>
      </w:r>
      <w:r>
        <w:t xml:space="preserve"> </w:t>
      </w:r>
      <w:r>
        <w:t xml:space="preserve">9.79</w:t>
      </w:r>
      <w:r>
        <w:t xml:space="preserve"> </w:t>
      </w:r>
      <w:r>
        <w:t xml:space="preserve">8.76</w:t>
      </w:r>
      <w:r>
        <w:t xml:space="preserve"> </w:t>
      </w:r>
      <w:r>
        <w:t xml:space="preserve">7.72</w:t>
      </w:r>
      <w:r>
        <w:t xml:space="preserve"> </w:t>
      </w:r>
      <w:r>
        <w:t xml:space="preserve">6.98</w:t>
      </w:r>
      <w:r>
        <w:t xml:space="preserve"> </w:t>
      </w:r>
      <w:r>
        <w:t xml:space="preserve">6.91</w:t>
      </w:r>
      <w:r>
        <w:t xml:space="preserve"> </w:t>
      </w:r>
      <w:r>
        <w:t xml:space="preserve">% total</w:t>
      </w:r>
      <w:r>
        <w:t xml:space="preserve"> </w:t>
      </w:r>
      <w:r>
        <w:t xml:space="preserve">(5.3%)</w:t>
      </w:r>
      <w:r>
        <w:t xml:space="preserve"> </w:t>
      </w:r>
      <w:r>
        <w:t xml:space="preserve">(4.7%)</w:t>
      </w:r>
      <w:r>
        <w:t xml:space="preserve"> </w:t>
      </w:r>
      <w:r>
        <w:t xml:space="preserve">(4.0%)</w:t>
      </w:r>
      <w:r>
        <w:t xml:space="preserve"> </w:t>
      </w:r>
      <w:r>
        <w:t xml:space="preserve">(3.6%)</w:t>
      </w:r>
      <w:r>
        <w:t xml:space="preserve"> </w:t>
      </w:r>
      <w:r>
        <w:t xml:space="preserve">(3.5%)</w:t>
      </w:r>
    </w:p>
    <w:p>
      <w:pPr>
        <w:pStyle w:val="FirstParagraph"/>
      </w:pPr>
      <w:r>
        <w:t xml:space="preserve">207</w:t>
      </w:r>
    </w:p>
    <w:p>
      <w:pPr>
        <w:pStyle w:val="BodyText"/>
      </w:pPr>
      <w:r>
        <w:t xml:space="preserve">Table 49: Employment by occupations</w:t>
      </w:r>
    </w:p>
    <w:p>
      <w:pPr>
        <w:pStyle w:val="BodyText"/>
      </w:pPr>
      <w:r>
        <w:t xml:space="preserve">Source: Eurostat. (305)</w:t>
      </w:r>
      <w:r>
        <w:t xml:space="preserve"> </w:t>
      </w:r>
      <w:r>
        <w:t xml:space="preserve">Looking forward, modelling under JRC-GEM-E3 projects that recent trends in sectoral</w:t>
      </w:r>
      <w:r>
        <w:t xml:space="preserve"> </w:t>
      </w:r>
      <w:r>
        <w:t xml:space="preserve">employment are set to continue at an accelerated pace (Table 50). These developments</w:t>
      </w:r>
      <w:r>
        <w:t xml:space="preserve"> </w:t>
      </w:r>
      <w:r>
        <w:t xml:space="preserve">will also take place in the context of a decrease in the working age population and</w:t>
      </w:r>
      <w:r>
        <w:t xml:space="preserve"> </w:t>
      </w:r>
      <w:r>
        <w:t xml:space="preserve">declining overall employment levels, contrary to what happened in the past decade when</w:t>
      </w:r>
      <w:r>
        <w:t xml:space="preserve"> </w:t>
      </w:r>
      <w:r>
        <w:t xml:space="preserve">employment was still on a rising trend. Employment in fossil fuel industries will further</w:t>
      </w:r>
      <w:r>
        <w:t xml:space="preserve"> </w:t>
      </w:r>
      <w:r>
        <w:t xml:space="preserve">decline to negligible levels from an already low level. The decline would take place</w:t>
      </w:r>
      <w:r>
        <w:t xml:space="preserve"> </w:t>
      </w:r>
      <w:r>
        <w:t xml:space="preserve">faster still under a higher level of ambition in 2040. Employment trends in energy</w:t>
      </w:r>
      <w:r>
        <w:t xml:space="preserve"> </w:t>
      </w:r>
      <w:r>
        <w:t xml:space="preserve">intensive industries and transport equipment are also projected to continue, in part as the</w:t>
      </w:r>
      <w:r>
        <w:t xml:space="preserve"> </w:t>
      </w:r>
      <w:r>
        <w:t xml:space="preserve">EU economy continues to be more services-oriented. This is a constant across scenarios</w:t>
      </w:r>
      <w:r>
        <w:t xml:space="preserve"> </w:t>
      </w:r>
      <w:r>
        <w:t xml:space="preserve">and there is little difference between S1 and the scenarios with a higher level of ambition</w:t>
      </w:r>
      <w:r>
        <w:t xml:space="preserve"> </w:t>
      </w:r>
      <w:r>
        <w:t xml:space="preserve">in 2040.</w:t>
      </w:r>
      <w:r>
        <w:t xml:space="preserve"> </w:t>
      </w:r>
      <w:r>
        <w:t xml:space="preserve">Given the scale of services employment, given that services jobs are among those more</w:t>
      </w:r>
      <w:r>
        <w:t xml:space="preserve"> </w:t>
      </w:r>
      <w:r>
        <w:t xml:space="preserve">marginally affected by the climate and energy transition and given that the long-term</w:t>
      </w:r>
      <w:r>
        <w:t xml:space="preserve"> </w:t>
      </w:r>
      <w:r>
        <w:t xml:space="preserve">trend towards a rising share of services sectors in GDP is projected to continue to some</w:t>
      </w:r>
      <w:r>
        <w:t xml:space="preserve"> </w:t>
      </w:r>
      <w:r>
        <w:t xml:space="preserve">extent, the share of market and non-market services jobs is projected to continue growing</w:t>
      </w:r>
      <w:r>
        <w:t xml:space="preserve"> </w:t>
      </w:r>
      <w:r>
        <w:t xml:space="preserve">in the coming decades. The flipside of the increase in the share of services sector jobs is a</w:t>
      </w:r>
      <w:r>
        <w:t xml:space="preserve"> </w:t>
      </w:r>
      <w:r>
        <w:t xml:space="preserve">gradual decrease in the share of employment in energy intensive industries, consumer</w:t>
      </w:r>
      <w:r>
        <w:t xml:space="preserve"> </w:t>
      </w:r>
      <w:r>
        <w:t xml:space="preserve">goods industries and transport equipment. The share of employment in other equipment</w:t>
      </w:r>
      <w:r>
        <w:t xml:space="preserve"> </w:t>
      </w:r>
      <w:r>
        <w:t xml:space="preserve">goods, however, is projected to remain stable as the transition should increase EU and</w:t>
      </w:r>
    </w:p>
    <w:p>
      <w:pPr>
        <w:pStyle w:val="Compact"/>
        <w:numPr>
          <w:ilvl w:val="0"/>
          <w:numId w:val="1130"/>
        </w:numPr>
      </w:pPr>
      <w:r>
        <w:t xml:space="preserve">The table is based on ISCO-08 two-digit level occupations. Managers (OC1); professionals (OC2);</w:t>
      </w:r>
      <w:r>
        <w:t xml:space="preserve"> </w:t>
      </w:r>
      <w:r>
        <w:t xml:space="preserve">professional (science and engineering) (OC21); technicians (OC3); technicians (science and</w:t>
      </w:r>
      <w:r>
        <w:t xml:space="preserve"> </w:t>
      </w:r>
      <w:r>
        <w:t xml:space="preserve">engineering) (OC31); clerical support (OC4); services and sales (OC5); skilled workers in agriculture,</w:t>
      </w:r>
      <w:r>
        <w:t xml:space="preserve"> </w:t>
      </w:r>
      <w:r>
        <w:t xml:space="preserve">forestry and fisheries (OC6); crafts and trade (OC7); crafts and trade (building) (OC71); crafts and</w:t>
      </w:r>
      <w:r>
        <w:t xml:space="preserve"> </w:t>
      </w:r>
      <w:r>
        <w:t xml:space="preserve">trade (electrical and electronic) (OC74); crafts and trade (metal, machinery related) (OC72); plant and</w:t>
      </w:r>
      <w:r>
        <w:t xml:space="preserve"> </w:t>
      </w:r>
      <w:r>
        <w:t xml:space="preserve">machine operators (OC8); elementary occupations (OC9), elementary occupations (mining, constr.,</w:t>
      </w:r>
      <w:r>
        <w:t xml:space="preserve"> </w:t>
      </w:r>
      <w:r>
        <w:t xml:space="preserve">manuf. and transport) (OC93); other (OC0 and NRP).</w:t>
      </w:r>
      <w:r>
        <w:t xml:space="preserve"> </w:t>
      </w:r>
      <w:r>
        <w:t xml:space="preserve">2011</w:t>
      </w:r>
      <w:r>
        <w:t xml:space="preserve"> </w:t>
      </w:r>
      <w:r>
        <w:t xml:space="preserve">2015</w:t>
      </w:r>
      <w:r>
        <w:t xml:space="preserve"> </w:t>
      </w:r>
      <w:r>
        <w:t xml:space="preserve">2022</w:t>
      </w:r>
      <w:r>
        <w:t xml:space="preserve"> </w:t>
      </w:r>
      <w:r>
        <w:t xml:space="preserve">2011</w:t>
      </w:r>
      <w:r>
        <w:t xml:space="preserve"> </w:t>
      </w:r>
      <w:r>
        <w:t xml:space="preserve">2015</w:t>
      </w:r>
      <w:r>
        <w:t xml:space="preserve"> </w:t>
      </w:r>
      <w:r>
        <w:t xml:space="preserve">2022</w:t>
      </w:r>
      <w:r>
        <w:t xml:space="preserve"> </w:t>
      </w:r>
      <w:r>
        <w:t xml:space="preserve">Managers</w:t>
      </w:r>
      <w:r>
        <w:t xml:space="preserve"> </w:t>
      </w:r>
      <w:r>
        <w:t xml:space="preserve">9.90</w:t>
      </w:r>
      <w:r>
        <w:t xml:space="preserve"> </w:t>
      </w:r>
      <w:r>
        <w:t xml:space="preserve">9.49</w:t>
      </w:r>
      <w:r>
        <w:t xml:space="preserve"> </w:t>
      </w:r>
      <w:r>
        <w:t xml:space="preserve">9.93</w:t>
      </w:r>
      <w:r>
        <w:t xml:space="preserve"> </w:t>
      </w:r>
      <w:r>
        <w:t xml:space="preserve">5.4%</w:t>
      </w:r>
      <w:r>
        <w:t xml:space="preserve"> </w:t>
      </w:r>
      <w:r>
        <w:t xml:space="preserve">5.1%</w:t>
      </w:r>
      <w:r>
        <w:t xml:space="preserve"> </w:t>
      </w:r>
      <w:r>
        <w:t xml:space="preserve">5.0%</w:t>
      </w:r>
      <w:r>
        <w:t xml:space="preserve"> </w:t>
      </w:r>
      <w:r>
        <w:t xml:space="preserve">Professionals</w:t>
      </w:r>
      <w:r>
        <w:t xml:space="preserve"> </w:t>
      </w:r>
      <w:r>
        <w:t xml:space="preserve">30.87</w:t>
      </w:r>
      <w:r>
        <w:t xml:space="preserve"> </w:t>
      </w:r>
      <w:r>
        <w:t xml:space="preserve">33.24</w:t>
      </w:r>
      <w:r>
        <w:t xml:space="preserve"> </w:t>
      </w:r>
      <w:r>
        <w:t xml:space="preserve">42.61</w:t>
      </w:r>
      <w:r>
        <w:t xml:space="preserve"> </w:t>
      </w:r>
      <w:r>
        <w:t xml:space="preserve">16.8%</w:t>
      </w:r>
      <w:r>
        <w:t xml:space="preserve"> </w:t>
      </w:r>
      <w:r>
        <w:t xml:space="preserve">17.9%</w:t>
      </w:r>
      <w:r>
        <w:t xml:space="preserve"> </w:t>
      </w:r>
      <w:r>
        <w:t xml:space="preserve">21.6%</w:t>
      </w:r>
      <w:r>
        <w:t xml:space="preserve"> </w:t>
      </w:r>
      <w:r>
        <w:t xml:space="preserve">(Science and engineering)</w:t>
      </w:r>
      <w:r>
        <w:t xml:space="preserve"> </w:t>
      </w:r>
      <w:r>
        <w:t xml:space="preserve">(5.25)</w:t>
      </w:r>
      <w:r>
        <w:t xml:space="preserve"> </w:t>
      </w:r>
      <w:r>
        <w:t xml:space="preserve">(5.41)</w:t>
      </w:r>
      <w:r>
        <w:t xml:space="preserve"> </w:t>
      </w:r>
      <w:r>
        <w:t xml:space="preserve">(7.00)</w:t>
      </w:r>
      <w:r>
        <w:t xml:space="preserve"> </w:t>
      </w:r>
      <w:r>
        <w:t xml:space="preserve">(2.9%)</w:t>
      </w:r>
      <w:r>
        <w:t xml:space="preserve"> </w:t>
      </w:r>
      <w:r>
        <w:t xml:space="preserve">(2.9%)</w:t>
      </w:r>
      <w:r>
        <w:t xml:space="preserve"> </w:t>
      </w:r>
      <w:r>
        <w:t xml:space="preserve">(3.6%)</w:t>
      </w:r>
      <w:r>
        <w:t xml:space="preserve"> </w:t>
      </w:r>
      <w:r>
        <w:t xml:space="preserve">Technicians</w:t>
      </w:r>
      <w:r>
        <w:t xml:space="preserve"> </w:t>
      </w:r>
      <w:r>
        <w:t xml:space="preserve">29.27</w:t>
      </w:r>
      <w:r>
        <w:t xml:space="preserve"> </w:t>
      </w:r>
      <w:r>
        <w:t xml:space="preserve">30.76</w:t>
      </w:r>
      <w:r>
        <w:t xml:space="preserve"> </w:t>
      </w:r>
      <w:r>
        <w:t xml:space="preserve">31.46</w:t>
      </w:r>
      <w:r>
        <w:t xml:space="preserve"> </w:t>
      </w:r>
      <w:r>
        <w:t xml:space="preserve">15.9%</w:t>
      </w:r>
      <w:r>
        <w:t xml:space="preserve"> </w:t>
      </w:r>
      <w:r>
        <w:t xml:space="preserve">16.6%</w:t>
      </w:r>
      <w:r>
        <w:t xml:space="preserve"> </w:t>
      </w:r>
      <w:r>
        <w:t xml:space="preserve">16.0%</w:t>
      </w:r>
      <w:r>
        <w:t xml:space="preserve"> </w:t>
      </w:r>
      <w:r>
        <w:t xml:space="preserve">(Science and engineering)</w:t>
      </w:r>
      <w:r>
        <w:t xml:space="preserve"> </w:t>
      </w:r>
      <w:r>
        <w:t xml:space="preserve">(7.33)</w:t>
      </w:r>
      <w:r>
        <w:t xml:space="preserve"> </w:t>
      </w:r>
      <w:r>
        <w:t xml:space="preserve">(7.25)</w:t>
      </w:r>
      <w:r>
        <w:t xml:space="preserve"> </w:t>
      </w:r>
      <w:r>
        <w:t xml:space="preserve">(6.86)</w:t>
      </w:r>
      <w:r>
        <w:t xml:space="preserve"> </w:t>
      </w:r>
      <w:r>
        <w:t xml:space="preserve">(4.0%)</w:t>
      </w:r>
      <w:r>
        <w:t xml:space="preserve"> </w:t>
      </w:r>
      <w:r>
        <w:t xml:space="preserve">(3.9%)</w:t>
      </w:r>
      <w:r>
        <w:t xml:space="preserve"> </w:t>
      </w:r>
      <w:r>
        <w:t xml:space="preserve">(3.5%)</w:t>
      </w:r>
      <w:r>
        <w:t xml:space="preserve"> </w:t>
      </w:r>
      <w:r>
        <w:t xml:space="preserve">Clerical support</w:t>
      </w:r>
      <w:r>
        <w:t xml:space="preserve"> </w:t>
      </w:r>
      <w:r>
        <w:t xml:space="preserve">18.27</w:t>
      </w:r>
      <w:r>
        <w:t xml:space="preserve"> </w:t>
      </w:r>
      <w:r>
        <w:t xml:space="preserve">18.06</w:t>
      </w:r>
      <w:r>
        <w:t xml:space="preserve"> </w:t>
      </w:r>
      <w:r>
        <w:t xml:space="preserve">19.79</w:t>
      </w:r>
      <w:r>
        <w:t xml:space="preserve"> </w:t>
      </w:r>
      <w:r>
        <w:t xml:space="preserve">9.9%</w:t>
      </w:r>
      <w:r>
        <w:t xml:space="preserve"> </w:t>
      </w:r>
      <w:r>
        <w:t xml:space="preserve">9.7%</w:t>
      </w:r>
      <w:r>
        <w:t xml:space="preserve"> </w:t>
      </w:r>
      <w:r>
        <w:t xml:space="preserve">10.0%</w:t>
      </w:r>
      <w:r>
        <w:t xml:space="preserve"> </w:t>
      </w:r>
      <w:r>
        <w:t xml:space="preserve">Service and sales</w:t>
      </w:r>
      <w:r>
        <w:t xml:space="preserve"> </w:t>
      </w:r>
      <w:r>
        <w:t xml:space="preserve">30.77</w:t>
      </w:r>
      <w:r>
        <w:t xml:space="preserve"> </w:t>
      </w:r>
      <w:r>
        <w:t xml:space="preserve">30.93</w:t>
      </w:r>
      <w:r>
        <w:t xml:space="preserve"> </w:t>
      </w:r>
      <w:r>
        <w:t xml:space="preserve">31.29</w:t>
      </w:r>
      <w:r>
        <w:t xml:space="preserve"> </w:t>
      </w:r>
      <w:r>
        <w:t xml:space="preserve">16.8%</w:t>
      </w:r>
      <w:r>
        <w:t xml:space="preserve"> </w:t>
      </w:r>
      <w:r>
        <w:t xml:space="preserve">16.7%</w:t>
      </w:r>
      <w:r>
        <w:t xml:space="preserve"> </w:t>
      </w:r>
      <w:r>
        <w:t xml:space="preserve">15.9%</w:t>
      </w:r>
      <w:r>
        <w:t xml:space="preserve"> </w:t>
      </w:r>
      <w:r>
        <w:t xml:space="preserve">Skilled workers in agri, forest. and fish.</w:t>
      </w:r>
      <w:r>
        <w:t xml:space="preserve"> </w:t>
      </w:r>
      <w:r>
        <w:t xml:space="preserve">7.72</w:t>
      </w:r>
      <w:r>
        <w:t xml:space="preserve"> </w:t>
      </w:r>
      <w:r>
        <w:t xml:space="preserve">7.24</w:t>
      </w:r>
      <w:r>
        <w:t xml:space="preserve"> </w:t>
      </w:r>
      <w:r>
        <w:t xml:space="preserve">5.47</w:t>
      </w:r>
      <w:r>
        <w:t xml:space="preserve"> </w:t>
      </w:r>
      <w:r>
        <w:t xml:space="preserve">4.2%</w:t>
      </w:r>
      <w:r>
        <w:t xml:space="preserve"> </w:t>
      </w:r>
      <w:r>
        <w:t xml:space="preserve">3.9%</w:t>
      </w:r>
      <w:r>
        <w:t xml:space="preserve"> </w:t>
      </w:r>
      <w:r>
        <w:t xml:space="preserve">2.8%</w:t>
      </w:r>
      <w:r>
        <w:t xml:space="preserve"> </w:t>
      </w:r>
      <w:r>
        <w:t xml:space="preserve">Craft and trades</w:t>
      </w:r>
      <w:r>
        <w:t xml:space="preserve"> </w:t>
      </w:r>
      <w:r>
        <w:t xml:space="preserve">23.50</w:t>
      </w:r>
      <w:r>
        <w:t xml:space="preserve"> </w:t>
      </w:r>
      <w:r>
        <w:t xml:space="preserve">22.86</w:t>
      </w:r>
      <w:r>
        <w:t xml:space="preserve"> </w:t>
      </w:r>
      <w:r>
        <w:t xml:space="preserve">22.86</w:t>
      </w:r>
      <w:r>
        <w:t xml:space="preserve"> </w:t>
      </w:r>
      <w:r>
        <w:t xml:space="preserve">12.8%</w:t>
      </w:r>
      <w:r>
        <w:t xml:space="preserve"> </w:t>
      </w:r>
      <w:r>
        <w:t xml:space="preserve">12.3%</w:t>
      </w:r>
      <w:r>
        <w:t xml:space="preserve"> </w:t>
      </w:r>
      <w:r>
        <w:t xml:space="preserve">11.6%</w:t>
      </w:r>
      <w:r>
        <w:t xml:space="preserve"> </w:t>
      </w:r>
      <w:r>
        <w:t xml:space="preserve">(Building)</w:t>
      </w:r>
      <w:r>
        <w:t xml:space="preserve"> </w:t>
      </w:r>
      <w:r>
        <w:t xml:space="preserve">(7.96)</w:t>
      </w:r>
      <w:r>
        <w:t xml:space="preserve"> </w:t>
      </w:r>
      <w:r>
        <w:t xml:space="preserve">(7.40)</w:t>
      </w:r>
      <w:r>
        <w:t xml:space="preserve"> </w:t>
      </w:r>
      <w:r>
        <w:t xml:space="preserve">(7.75)</w:t>
      </w:r>
      <w:r>
        <w:t xml:space="preserve"> </w:t>
      </w:r>
      <w:r>
        <w:t xml:space="preserve">(4.3%)</w:t>
      </w:r>
      <w:r>
        <w:t xml:space="preserve"> </w:t>
      </w:r>
      <w:r>
        <w:t xml:space="preserve">(4.0%)</w:t>
      </w:r>
      <w:r>
        <w:t xml:space="preserve"> </w:t>
      </w:r>
      <w:r>
        <w:t xml:space="preserve">(3.9%)</w:t>
      </w:r>
      <w:r>
        <w:t xml:space="preserve"> </w:t>
      </w:r>
      <w:r>
        <w:t xml:space="preserve">(Electrical and eletronic)</w:t>
      </w:r>
      <w:r>
        <w:t xml:space="preserve"> </w:t>
      </w:r>
      <w:r>
        <w:t xml:space="preserve">(2.89)</w:t>
      </w:r>
      <w:r>
        <w:t xml:space="preserve"> </w:t>
      </w:r>
      <w:r>
        <w:t xml:space="preserve">(3.05)</w:t>
      </w:r>
      <w:r>
        <w:t xml:space="preserve"> </w:t>
      </w:r>
      <w:r>
        <w:t xml:space="preserve">(3.07)</w:t>
      </w:r>
      <w:r>
        <w:t xml:space="preserve"> </w:t>
      </w:r>
      <w:r>
        <w:t xml:space="preserve">(1.6%)</w:t>
      </w:r>
      <w:r>
        <w:t xml:space="preserve"> </w:t>
      </w:r>
      <w:r>
        <w:t xml:space="preserve">(1.6%)</w:t>
      </w:r>
      <w:r>
        <w:t xml:space="preserve"> </w:t>
      </w:r>
      <w:r>
        <w:t xml:space="preserve">(1.6%)</w:t>
      </w:r>
      <w:r>
        <w:t xml:space="preserve"> </w:t>
      </w:r>
      <w:r>
        <w:t xml:space="preserve">(Metal, machinery and related)</w:t>
      </w:r>
      <w:r>
        <w:t xml:space="preserve"> </w:t>
      </w:r>
      <w:r>
        <w:t xml:space="preserve">(7.49)</w:t>
      </w:r>
      <w:r>
        <w:t xml:space="preserve"> </w:t>
      </w:r>
      <w:r>
        <w:t xml:space="preserve">(7.28)</w:t>
      </w:r>
      <w:r>
        <w:t xml:space="preserve"> </w:t>
      </w:r>
      <w:r>
        <w:t xml:space="preserve">(7.22)</w:t>
      </w:r>
      <w:r>
        <w:t xml:space="preserve"> </w:t>
      </w:r>
      <w:r>
        <w:t xml:space="preserve">(4.1%)</w:t>
      </w:r>
      <w:r>
        <w:t xml:space="preserve"> </w:t>
      </w:r>
      <w:r>
        <w:t xml:space="preserve">(3.9%)</w:t>
      </w:r>
      <w:r>
        <w:t xml:space="preserve"> </w:t>
      </w:r>
      <w:r>
        <w:t xml:space="preserve">(3.7%)</w:t>
      </w:r>
      <w:r>
        <w:t xml:space="preserve"> </w:t>
      </w:r>
      <w:r>
        <w:t xml:space="preserve">Plant and machine operators</w:t>
      </w:r>
      <w:r>
        <w:t xml:space="preserve"> </w:t>
      </w:r>
      <w:r>
        <w:t xml:space="preserve">14.49</w:t>
      </w:r>
      <w:r>
        <w:t xml:space="preserve"> </w:t>
      </w:r>
      <w:r>
        <w:t xml:space="preserve">14.43</w:t>
      </w:r>
      <w:r>
        <w:t xml:space="preserve"> </w:t>
      </w:r>
      <w:r>
        <w:t xml:space="preserve">15.01</w:t>
      </w:r>
      <w:r>
        <w:t xml:space="preserve"> </w:t>
      </w:r>
      <w:r>
        <w:t xml:space="preserve">7.9%</w:t>
      </w:r>
      <w:r>
        <w:t xml:space="preserve"> </w:t>
      </w:r>
      <w:r>
        <w:t xml:space="preserve">7.8%</w:t>
      </w:r>
      <w:r>
        <w:t xml:space="preserve"> </w:t>
      </w:r>
      <w:r>
        <w:t xml:space="preserve">7.6%</w:t>
      </w:r>
      <w:r>
        <w:t xml:space="preserve"> </w:t>
      </w:r>
      <w:r>
        <w:t xml:space="preserve">Elementary occuptions</w:t>
      </w:r>
      <w:r>
        <w:t xml:space="preserve"> </w:t>
      </w:r>
      <w:r>
        <w:t xml:space="preserve">17.03</w:t>
      </w:r>
      <w:r>
        <w:t xml:space="preserve"> </w:t>
      </w:r>
      <w:r>
        <w:t xml:space="preserve">17.22</w:t>
      </w:r>
      <w:r>
        <w:t xml:space="preserve"> </w:t>
      </w:r>
      <w:r>
        <w:t xml:space="preserve">16.61</w:t>
      </w:r>
      <w:r>
        <w:t xml:space="preserve"> </w:t>
      </w:r>
      <w:r>
        <w:t xml:space="preserve">9.3%</w:t>
      </w:r>
      <w:r>
        <w:t xml:space="preserve"> </w:t>
      </w:r>
      <w:r>
        <w:t xml:space="preserve">9.3%</w:t>
      </w:r>
      <w:r>
        <w:t xml:space="preserve"> </w:t>
      </w:r>
      <w:r>
        <w:t xml:space="preserve">8.4%</w:t>
      </w:r>
      <w:r>
        <w:t xml:space="preserve"> </w:t>
      </w:r>
      <w:r>
        <w:t xml:space="preserve">(Mining, constr., manuf. and transport)</w:t>
      </w:r>
      <w:r>
        <w:t xml:space="preserve"> </w:t>
      </w:r>
      <w:r>
        <w:t xml:space="preserve">(5.36)</w:t>
      </w:r>
      <w:r>
        <w:t xml:space="preserve"> </w:t>
      </w:r>
      <w:r>
        <w:t xml:space="preserve">(4.91)</w:t>
      </w:r>
      <w:r>
        <w:t xml:space="preserve"> </w:t>
      </w:r>
      <w:r>
        <w:t xml:space="preserve">(5.38)</w:t>
      </w:r>
      <w:r>
        <w:t xml:space="preserve"> </w:t>
      </w:r>
      <w:r>
        <w:t xml:space="preserve">(2.9%)</w:t>
      </w:r>
      <w:r>
        <w:t xml:space="preserve"> </w:t>
      </w:r>
      <w:r>
        <w:t xml:space="preserve">(2.6%)</w:t>
      </w:r>
      <w:r>
        <w:t xml:space="preserve"> </w:t>
      </w:r>
      <w:r>
        <w:t xml:space="preserve">(2.7%)</w:t>
      </w:r>
      <w:r>
        <w:t xml:space="preserve"> </w:t>
      </w:r>
      <w:r>
        <w:t xml:space="preserve">Other</w:t>
      </w:r>
      <w:r>
        <w:t xml:space="preserve"> </w:t>
      </w:r>
      <w:r>
        <w:t xml:space="preserve">1.79</w:t>
      </w:r>
      <w:r>
        <w:t xml:space="preserve"> </w:t>
      </w:r>
      <w:r>
        <w:t xml:space="preserve">1.52</w:t>
      </w:r>
      <w:r>
        <w:t xml:space="preserve"> </w:t>
      </w:r>
      <w:r>
        <w:t xml:space="preserve">2.09</w:t>
      </w:r>
      <w:r>
        <w:t xml:space="preserve"> </w:t>
      </w:r>
      <w:r>
        <w:t xml:space="preserve">1.0%</w:t>
      </w:r>
      <w:r>
        <w:t xml:space="preserve"> </w:t>
      </w:r>
      <w:r>
        <w:t xml:space="preserve">0.8%</w:t>
      </w:r>
      <w:r>
        <w:t xml:space="preserve"> </w:t>
      </w:r>
      <w:r>
        <w:t xml:space="preserve">1.1%</w:t>
      </w:r>
      <w:r>
        <w:t xml:space="preserve"> </w:t>
      </w:r>
      <w:r>
        <w:t xml:space="preserve">Million people</w:t>
      </w:r>
      <w:r>
        <w:t xml:space="preserve"> </w:t>
      </w:r>
      <w:r>
        <w:t xml:space="preserve">% of total</w:t>
      </w:r>
    </w:p>
    <w:p>
      <w:pPr>
        <w:pStyle w:val="FirstParagraph"/>
      </w:pPr>
      <w:r>
        <w:t xml:space="preserve">208</w:t>
      </w:r>
    </w:p>
    <w:p>
      <w:pPr>
        <w:pStyle w:val="BodyText"/>
      </w:pPr>
      <w:r>
        <w:t xml:space="preserve">global demand for the type of equipment needed for decarbonisation. While output in</w:t>
      </w:r>
      <w:r>
        <w:t xml:space="preserve"> </w:t>
      </w:r>
      <w:r>
        <w:t xml:space="preserve">these sectors is projected to grow significantly between 2015 and 2040 or 2040, they will</w:t>
      </w:r>
      <w:r>
        <w:t xml:space="preserve"> </w:t>
      </w:r>
      <w:r>
        <w:t xml:space="preserve">be outpaced by overall GDP growth. In the context of a declining aggregate level of</w:t>
      </w:r>
      <w:r>
        <w:t xml:space="preserve"> </w:t>
      </w:r>
      <w:r>
        <w:t xml:space="preserve">employment, driven by a shrinking labour force, it is therefore not surprising to see these</w:t>
      </w:r>
      <w:r>
        <w:t xml:space="preserve"> </w:t>
      </w:r>
      <w:r>
        <w:t xml:space="preserve">sectors’ share of employment (and absolute employment) decline over the coming</w:t>
      </w:r>
      <w:r>
        <w:t xml:space="preserve"> </w:t>
      </w:r>
      <w:r>
        <w:t xml:space="preserve">decades.</w:t>
      </w:r>
      <w:r>
        <w:t xml:space="preserve"> </w:t>
      </w:r>
      <w:r>
        <w:t xml:space="preserve">In contrast, the shares of construction and transport activities are projected to increase</w:t>
      </w:r>
      <w:r>
        <w:t xml:space="preserve"> </w:t>
      </w:r>
      <w:r>
        <w:t xml:space="preserve">moderately or remain stable. Output growth in these sectors in the period 2015-2050 is</w:t>
      </w:r>
      <w:r>
        <w:t xml:space="preserve"> </w:t>
      </w:r>
      <w:r>
        <w:t xml:space="preserve">projected to outpace GDP growth, driving a reallocation of labour. These trends are not</w:t>
      </w:r>
      <w:r>
        <w:t xml:space="preserve"> </w:t>
      </w:r>
      <w:r>
        <w:t xml:space="preserve">affected to any significant extent by the level of ambition in 2040 (Table 50), but they</w:t>
      </w:r>
      <w:r>
        <w:t xml:space="preserve"> </w:t>
      </w:r>
      <w:r>
        <w:t xml:space="preserve">imply a reallocation of the labour force over time. Such a reallocation is typically not</w:t>
      </w:r>
      <w:r>
        <w:t xml:space="preserve"> </w:t>
      </w:r>
      <w:r>
        <w:t xml:space="preserve">without frictions and costs, and it would require accompanying policies to ensure that</w:t>
      </w:r>
      <w:r>
        <w:t xml:space="preserve"> </w:t>
      </w:r>
      <w:r>
        <w:t xml:space="preserve">reskilling and retraining opportunities are available for workers in need (see Annex 9).</w:t>
      </w:r>
      <w:r>
        <w:t xml:space="preserve"> </w:t>
      </w:r>
      <w:r>
        <w:t xml:space="preserve">Table 50: Sectoral employment, share in total employment (%)</w:t>
      </w:r>
    </w:p>
    <w:p>
      <w:pPr>
        <w:pStyle w:val="BodyText"/>
      </w:pPr>
      <w:r>
        <w:t xml:space="preserve">Source: JRC-GEM-E3 model. (306)</w:t>
      </w:r>
      <w:r>
        <w:t xml:space="preserve"> </w:t>
      </w:r>
      <w:r>
        <w:t xml:space="preserve">The importance of reskilling and retraining in the course of the transition is further</w:t>
      </w:r>
      <w:r>
        <w:t xml:space="preserve"> </w:t>
      </w:r>
      <w:r>
        <w:t xml:space="preserve">highlighted by projections based on the linking of the macro-economic simulation of the</w:t>
      </w:r>
      <w:r>
        <w:t xml:space="preserve"> </w:t>
      </w:r>
      <w:r>
        <w:t xml:space="preserve">3 main scenarios and the skills forecast from the European Centre for the Development</w:t>
      </w:r>
      <w:r>
        <w:t xml:space="preserve"> </w:t>
      </w:r>
      <w:r>
        <w:t xml:space="preserve">of Vocational Training (307). These projections show that trends in the share of</w:t>
      </w:r>
      <w:r>
        <w:t xml:space="preserve"> </w:t>
      </w:r>
      <w:r>
        <w:t xml:space="preserve">employment by occupation are broadly projected to continue up to 2040, and that the 3</w:t>
      </w:r>
      <w:r>
        <w:t xml:space="preserve"> </w:t>
      </w:r>
      <w:r>
        <w:t xml:space="preserve">main scenarios are extremely similar in terms of their impacts on occupation</w:t>
      </w:r>
      <w:r>
        <w:t xml:space="preserve"> </w:t>
      </w:r>
      <w:r>
        <w:t xml:space="preserve">requirements. Two key occupational groups are projected to experience a significant</w:t>
      </w:r>
      <w:r>
        <w:t xml:space="preserve"> </w:t>
      </w:r>
      <w:r>
        <w:t xml:space="preserve">increase in their share of total employment, i.e., professionals and technicians. In the</w:t>
      </w:r>
      <w:r>
        <w:t xml:space="preserve"> </w:t>
      </w:r>
      <w:r>
        <w:t xml:space="preserve">crafts and trade group, occupations related to buildings as well as plant and machine</w:t>
      </w:r>
      <w:r>
        <w:t xml:space="preserve"> </w:t>
      </w:r>
      <w:r>
        <w:t xml:space="preserve">operators are also projected to experience an increase in employment share relative to</w:t>
      </w:r>
      <w:r>
        <w:t xml:space="preserve"> </w:t>
      </w:r>
      <w:r>
        <w:t xml:space="preserve">2022 (Figure 120). In contrast, the shares of clerical support as well as services and sales</w:t>
      </w:r>
      <w:r>
        <w:t xml:space="preserve"> </w:t>
      </w:r>
      <w:r>
        <w:t xml:space="preserve">occupations are projected to decline significantly.</w:t>
      </w:r>
    </w:p>
    <w:p>
      <w:pPr>
        <w:pStyle w:val="Compact"/>
        <w:numPr>
          <w:ilvl w:val="0"/>
          <w:numId w:val="1131"/>
        </w:numPr>
      </w:pPr>
      <w:r>
        <w:t xml:space="preserve">The sectoral classifications resulting from the JRC-GEM-E3 modelling differ to some extent from</w:t>
      </w:r>
      <w:r>
        <w:t xml:space="preserve"> </w:t>
      </w:r>
      <w:r>
        <w:t xml:space="preserve">those based on NACE 2 sectors.</w:t>
      </w:r>
    </w:p>
    <w:p>
      <w:pPr>
        <w:pStyle w:val="Compact"/>
        <w:numPr>
          <w:ilvl w:val="0"/>
          <w:numId w:val="1131"/>
        </w:numPr>
      </w:pPr>
      <w:r>
        <w:t xml:space="preserve">Cedefop skills forecast: green and digital transitions to have positive employment impacts.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Fossil fuel industries</w:t>
      </w:r>
      <w:r>
        <w:t xml:space="preserve"> </w:t>
      </w:r>
      <w:r>
        <w:t xml:space="preserve">0.13%</w:t>
      </w:r>
      <w:r>
        <w:t xml:space="preserve"> </w:t>
      </w:r>
      <w:r>
        <w:t xml:space="preserve">0.11%</w:t>
      </w:r>
      <w:r>
        <w:t xml:space="preserve"> </w:t>
      </w:r>
      <w:r>
        <w:t xml:space="preserve">0.05%</w:t>
      </w:r>
      <w:r>
        <w:t xml:space="preserve"> </w:t>
      </w:r>
      <w:r>
        <w:t xml:space="preserve">0.05%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6.7%</w:t>
      </w:r>
      <w:r>
        <w:t xml:space="preserve"> </w:t>
      </w:r>
      <w:r>
        <w:t xml:space="preserve">6.5%</w:t>
      </w:r>
      <w:r>
        <w:t xml:space="preserve"> </w:t>
      </w:r>
      <w:r>
        <w:t xml:space="preserve">6.2%</w:t>
      </w:r>
      <w:r>
        <w:t xml:space="preserve"> </w:t>
      </w:r>
      <w:r>
        <w:t xml:space="preserve">5.9%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2.1%</w:t>
      </w:r>
      <w:r>
        <w:t xml:space="preserve"> </w:t>
      </w:r>
      <w:r>
        <w:t xml:space="preserve">2.0%</w:t>
      </w:r>
      <w:r>
        <w:t xml:space="preserve"> </w:t>
      </w:r>
      <w:r>
        <w:t xml:space="preserve">1.9%</w:t>
      </w:r>
      <w:r>
        <w:t xml:space="preserve"> </w:t>
      </w:r>
      <w:r>
        <w:t xml:space="preserve">1.8%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6.3%</w:t>
      </w:r>
      <w:r>
        <w:t xml:space="preserve"> </w:t>
      </w:r>
      <w:r>
        <w:t xml:space="preserve">6.2%</w:t>
      </w:r>
      <w:r>
        <w:t xml:space="preserve"> </w:t>
      </w:r>
      <w:r>
        <w:t xml:space="preserve">6.1%</w:t>
      </w:r>
      <w:r>
        <w:t xml:space="preserve"> </w:t>
      </w:r>
      <w:r>
        <w:t xml:space="preserve">6.1%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4.4%</w:t>
      </w:r>
      <w:r>
        <w:t xml:space="preserve"> </w:t>
      </w:r>
      <w:r>
        <w:t xml:space="preserve">4.2%</w:t>
      </w:r>
      <w:r>
        <w:t xml:space="preserve"> </w:t>
      </w:r>
      <w:r>
        <w:t xml:space="preserve">4.0%</w:t>
      </w:r>
      <w:r>
        <w:t xml:space="preserve"> </w:t>
      </w:r>
      <w:r>
        <w:t xml:space="preserve">3.9%</w:t>
      </w:r>
      <w:r>
        <w:t xml:space="preserve"> </w:t>
      </w:r>
      <w:r>
        <w:t xml:space="preserve">Transport</w:t>
      </w:r>
      <w:r>
        <w:t xml:space="preserve"> </w:t>
      </w:r>
      <w:r>
        <w:t xml:space="preserve">3.6%</w:t>
      </w:r>
      <w:r>
        <w:t xml:space="preserve"> </w:t>
      </w:r>
      <w:r>
        <w:t xml:space="preserve">3.9%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Construction</w:t>
      </w:r>
      <w:r>
        <w:t xml:space="preserve"> </w:t>
      </w:r>
      <w:r>
        <w:t xml:space="preserve">7.8%</w:t>
      </w:r>
      <w:r>
        <w:t xml:space="preserve"> </w:t>
      </w:r>
      <w:r>
        <w:t xml:space="preserve">7.6%</w:t>
      </w:r>
      <w:r>
        <w:t xml:space="preserve"> </w:t>
      </w:r>
      <w:r>
        <w:t xml:space="preserve">7.7%</w:t>
      </w:r>
      <w:r>
        <w:t xml:space="preserve"> </w:t>
      </w:r>
      <w:r>
        <w:t xml:space="preserve">7.7%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34.0%</w:t>
      </w:r>
      <w:r>
        <w:t xml:space="preserve"> </w:t>
      </w:r>
      <w:r>
        <w:t xml:space="preserve">34.6%</w:t>
      </w:r>
      <w:r>
        <w:t xml:space="preserve"> </w:t>
      </w:r>
      <w:r>
        <w:t xml:space="preserve">34.9%</w:t>
      </w:r>
      <w:r>
        <w:t xml:space="preserve"> </w:t>
      </w:r>
      <w:r>
        <w:t xml:space="preserve">35.3%</w:t>
      </w:r>
      <w:r>
        <w:t xml:space="preserve"> </w:t>
      </w:r>
      <w:r>
        <w:t xml:space="preserve">Non-market services</w:t>
      </w:r>
      <w:r>
        <w:t xml:space="preserve"> </w:t>
      </w:r>
      <w:r>
        <w:t xml:space="preserve">26.6%</w:t>
      </w:r>
      <w:r>
        <w:t xml:space="preserve"> </w:t>
      </w:r>
      <w:r>
        <w:t xml:space="preserve">27.1%</w:t>
      </w:r>
      <w:r>
        <w:t xml:space="preserve"> </w:t>
      </w:r>
      <w:r>
        <w:t xml:space="preserve">27.3%</w:t>
      </w:r>
      <w:r>
        <w:t xml:space="preserve"> </w:t>
      </w:r>
      <w:r>
        <w:t xml:space="preserve">27.5%</w:t>
      </w:r>
      <w:r>
        <w:t xml:space="preserve"> </w:t>
      </w:r>
      <w:r>
        <w:t xml:space="preserve">Agriculture</w:t>
      </w:r>
      <w:r>
        <w:t xml:space="preserve"> </w:t>
      </w:r>
      <w:r>
        <w:t xml:space="preserve">3.5%</w:t>
      </w:r>
      <w:r>
        <w:t xml:space="preserve"> </w:t>
      </w:r>
      <w:r>
        <w:t xml:space="preserve">3.2%</w:t>
      </w:r>
      <w:r>
        <w:t xml:space="preserve"> </w:t>
      </w:r>
      <w:r>
        <w:t xml:space="preserve">3.1%</w:t>
      </w:r>
      <w:r>
        <w:t xml:space="preserve"> </w:t>
      </w:r>
      <w:r>
        <w:t xml:space="preserve">2.8%</w:t>
      </w:r>
      <w:r>
        <w:t xml:space="preserve"> </w:t>
      </w:r>
      <w:r>
        <w:t xml:space="preserve">Forestry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0.5%</w:t>
      </w:r>
      <w:r>
        <w:t xml:space="preserve"> </w:t>
      </w:r>
      <w:r>
        <w:t xml:space="preserve">0.4%</w:t>
      </w:r>
      <w:r>
        <w:t xml:space="preserve"> </w:t>
      </w:r>
      <w:r>
        <w:t xml:space="preserve">Other</w:t>
      </w:r>
      <w:r>
        <w:t xml:space="preserve"> </w:t>
      </w:r>
      <w:r>
        <w:t xml:space="preserve">4.4%</w:t>
      </w:r>
      <w:r>
        <w:t xml:space="preserve"> </w:t>
      </w:r>
      <w:r>
        <w:t xml:space="preserve">4.3%</w:t>
      </w:r>
      <w:r>
        <w:t xml:space="preserve"> </w:t>
      </w:r>
      <w:r>
        <w:t xml:space="preserve">4.6%</w:t>
      </w:r>
      <w:r>
        <w:t xml:space="preserve"> </w:t>
      </w:r>
      <w:r>
        <w:t xml:space="preserve">5.0%</w:t>
      </w:r>
      <w:r>
        <w:t xml:space="preserve"> </w:t>
      </w:r>
      <w:r>
        <w:t xml:space="preserve">S3</w:t>
      </w:r>
    </w:p>
    <w:p>
      <w:pPr>
        <w:pStyle w:val="FirstParagraph"/>
      </w:pPr>
      <w:r>
        <w:t xml:space="preserve">209</w:t>
      </w:r>
    </w:p>
    <w:p>
      <w:pPr>
        <w:pStyle w:val="BodyText"/>
      </w:pPr>
      <w:r>
        <w:t xml:space="preserve">Figure 120: Historical and projected shares of employment by occupations in 2040 (% of</w:t>
      </w:r>
      <w:r>
        <w:t xml:space="preserve"> </w:t>
      </w:r>
      <w:r>
        <w:t xml:space="preserve">total)</w:t>
      </w:r>
    </w:p>
    <w:p>
      <w:pPr>
        <w:pStyle w:val="BodyText"/>
      </w:pPr>
      <w:r>
        <w:t xml:space="preserve">Source: JRC-GEM-E3 model and CEDEFOP skills forecast.</w:t>
      </w:r>
      <w:r>
        <w:t xml:space="preserve"> </w:t>
      </w:r>
      <w:r>
        <w:t xml:space="preserve">Useful as they are to assess broad economic trends and, in particular, interactions</w:t>
      </w:r>
      <w:r>
        <w:t xml:space="preserve"> </w:t>
      </w:r>
      <w:r>
        <w:t xml:space="preserve">between a range of factors and developments, macro-economic models are not in the best</w:t>
      </w:r>
      <w:r>
        <w:t xml:space="preserve"> </w:t>
      </w:r>
      <w:r>
        <w:t xml:space="preserve">position to assess the impact of transformations within sectors. A bottom-up analysis of</w:t>
      </w:r>
      <w:r>
        <w:t xml:space="preserve"> </w:t>
      </w:r>
      <w:r>
        <w:t xml:space="preserve">sectors that will be particularly relevant for the transition is therefore provided below,</w:t>
      </w:r>
      <w:r>
        <w:t xml:space="preserve"> </w:t>
      </w:r>
      <w:r>
        <w:t xml:space="preserve">linking projections from the PRIMES model and further building on the results from</w:t>
      </w:r>
      <w:r>
        <w:t xml:space="preserve"> </w:t>
      </w:r>
      <w:r>
        <w:t xml:space="preserve">JRC-GEM-E3. An assessment is provided for the automobile sector, construction and</w:t>
      </w:r>
      <w:r>
        <w:t xml:space="preserve"> </w:t>
      </w:r>
      <w:r>
        <w:t xml:space="preserve">heating systems, and the deployment of renewable power generation.</w:t>
      </w:r>
      <w:r>
        <w:t xml:space="preserve"> </w:t>
      </w:r>
      <w:r>
        <w:t xml:space="preserve">2.4.3.2.Automobile sector, construction, heating and electricity</w:t>
      </w:r>
      <w:r>
        <w:t xml:space="preserve"> </w:t>
      </w:r>
      <w:r>
        <w:t xml:space="preserve">Regulation (EU) 2023/851 amending Regulation (EU) 2019/631 imposes a ban on the</w:t>
      </w:r>
      <w:r>
        <w:t xml:space="preserve"> </w:t>
      </w:r>
      <w:r>
        <w:t xml:space="preserve">sale of new non-zero emission cars and vans in the EU from 2035 onwards. This implies</w:t>
      </w:r>
      <w:r>
        <w:t xml:space="preserve"> </w:t>
      </w:r>
      <w:r>
        <w:t xml:space="preserve">a major transformation of the automobile manufacturing sector and has implications</w:t>
      </w:r>
      <w:r>
        <w:t xml:space="preserve"> </w:t>
      </w:r>
      <w:r>
        <w:t xml:space="preserve">across the whole value chain. A version of the JRC-GEM-E3 model was augmented with</w:t>
      </w:r>
      <w:r>
        <w:t xml:space="preserve"> </w:t>
      </w:r>
      <w:r>
        <w:t xml:space="preserve">an explicit representation of vehicle manufacturing and an upgrade of the modelling of</w:t>
      </w:r>
      <w:r>
        <w:t xml:space="preserve"> </w:t>
      </w:r>
      <w:r>
        <w:t xml:space="preserve">vehicle purchase and operation, as electric vehicles (which were assumed as the zero-</w:t>
      </w:r>
      <w:r>
        <w:t xml:space="preserve"> </w:t>
      </w:r>
      <w:r>
        <w:t xml:space="preserve">tailpipe emission technology deployed) have different needs not only in terms of</w:t>
      </w:r>
      <w:r>
        <w:t xml:space="preserve"> </w:t>
      </w:r>
      <w:r>
        <w:t xml:space="preserve">manufacturing, but also operation and maintenance. On this basis, Tamba &amp; al. find that</w:t>
      </w:r>
      <w:r>
        <w:t xml:space="preserve"> </w:t>
      </w:r>
      <w:r>
        <w:t xml:space="preserve">transport electrification alters supply chains and leads to structural shifts in employment</w:t>
      </w:r>
      <w:r>
        <w:t xml:space="preserve"> </w:t>
      </w:r>
      <w:r>
        <w:t xml:space="preserve">from traditional vehicle manufacturing towards battery production, electricity supply and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Oc1</w:t>
      </w:r>
      <w:r>
        <w:t xml:space="preserve"> </w:t>
      </w:r>
      <w:r>
        <w:t xml:space="preserve">Oc2</w:t>
      </w:r>
      <w:r>
        <w:t xml:space="preserve"> </w:t>
      </w:r>
      <w:r>
        <w:t xml:space="preserve">Oc3</w:t>
      </w:r>
      <w:r>
        <w:t xml:space="preserve"> </w:t>
      </w:r>
      <w:r>
        <w:t xml:space="preserve">Oc4</w:t>
      </w:r>
      <w:r>
        <w:t xml:space="preserve"> </w:t>
      </w:r>
      <w:r>
        <w:t xml:space="preserve">Oc5</w:t>
      </w:r>
      <w:r>
        <w:t xml:space="preserve"> </w:t>
      </w:r>
      <w:r>
        <w:t xml:space="preserve">Oc6</w:t>
      </w:r>
      <w:r>
        <w:t xml:space="preserve"> </w:t>
      </w:r>
      <w:r>
        <w:t xml:space="preserve">Oc7</w:t>
      </w:r>
      <w:r>
        <w:t xml:space="preserve"> </w:t>
      </w:r>
      <w:r>
        <w:t xml:space="preserve">Oc8</w:t>
      </w:r>
      <w:r>
        <w:t xml:space="preserve"> </w:t>
      </w:r>
      <w:r>
        <w:t xml:space="preserve">Oc9</w:t>
      </w:r>
      <w:r>
        <w:t xml:space="preserve"> </w:t>
      </w:r>
      <w:r>
        <w:t xml:space="preserve">Oc10</w:t>
      </w:r>
      <w:r>
        <w:t xml:space="preserve"> </w:t>
      </w:r>
      <w:r>
        <w:t xml:space="preserve">Oc11</w:t>
      </w:r>
      <w:r>
        <w:t xml:space="preserve"> </w:t>
      </w:r>
      <w:r>
        <w:t xml:space="preserve">2011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Oc1</w:t>
      </w:r>
      <w:r>
        <w:t xml:space="preserve"> </w:t>
      </w:r>
      <w:r>
        <w:t xml:space="preserve">Managers</w:t>
      </w:r>
      <w:r>
        <w:t xml:space="preserve"> </w:t>
      </w:r>
      <w:r>
        <w:t xml:space="preserve">Oc7</w:t>
      </w:r>
      <w:r>
        <w:t xml:space="preserve"> </w:t>
      </w:r>
      <w:r>
        <w:t xml:space="preserve">Building</w:t>
      </w:r>
      <w:r>
        <w:t xml:space="preserve"> </w:t>
      </w:r>
      <w:r>
        <w:t xml:space="preserve">Oc2</w:t>
      </w:r>
      <w:r>
        <w:t xml:space="preserve"> </w:t>
      </w:r>
      <w:r>
        <w:t xml:space="preserve">Professionals</w:t>
      </w:r>
      <w:r>
        <w:t xml:space="preserve"> </w:t>
      </w:r>
      <w:r>
        <w:t xml:space="preserve">Oc8</w:t>
      </w:r>
      <w:r>
        <w:t xml:space="preserve"> </w:t>
      </w:r>
      <w:r>
        <w:t xml:space="preserve">Electrical and eletronic</w:t>
      </w:r>
      <w:r>
        <w:t xml:space="preserve"> </w:t>
      </w:r>
      <w:r>
        <w:t xml:space="preserve">Oc3</w:t>
      </w:r>
      <w:r>
        <w:t xml:space="preserve"> </w:t>
      </w:r>
      <w:r>
        <w:t xml:space="preserve">Technicians</w:t>
      </w:r>
      <w:r>
        <w:t xml:space="preserve"> </w:t>
      </w:r>
      <w:r>
        <w:t xml:space="preserve">Oc9</w:t>
      </w:r>
      <w:r>
        <w:t xml:space="preserve"> </w:t>
      </w:r>
      <w:r>
        <w:t xml:space="preserve">Metal, machinery and related</w:t>
      </w:r>
      <w:r>
        <w:t xml:space="preserve"> </w:t>
      </w:r>
      <w:r>
        <w:t xml:space="preserve">Oc4</w:t>
      </w:r>
      <w:r>
        <w:t xml:space="preserve"> </w:t>
      </w:r>
      <w:r>
        <w:t xml:space="preserve">Clerical support</w:t>
      </w:r>
      <w:r>
        <w:t xml:space="preserve"> </w:t>
      </w:r>
      <w:r>
        <w:t xml:space="preserve">Oc10 Plant and machine operators</w:t>
      </w:r>
      <w:r>
        <w:t xml:space="preserve"> </w:t>
      </w:r>
      <w:r>
        <w:t xml:space="preserve">Oc5</w:t>
      </w:r>
      <w:r>
        <w:t xml:space="preserve"> </w:t>
      </w:r>
      <w:r>
        <w:t xml:space="preserve">Service and sales</w:t>
      </w:r>
      <w:r>
        <w:t xml:space="preserve"> </w:t>
      </w:r>
      <w:r>
        <w:t xml:space="preserve">Oc11 Elementary occuptions</w:t>
      </w:r>
      <w:r>
        <w:t xml:space="preserve"> </w:t>
      </w:r>
      <w:r>
        <w:t xml:space="preserve">Oc6</w:t>
      </w:r>
      <w:r>
        <w:t xml:space="preserve"> </w:t>
      </w:r>
      <w:r>
        <w:t xml:space="preserve">Skilled workers in agri, forest. and fish.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related investments (308). They find that, in the medium term, reaching a given climate</w:t>
      </w:r>
      <w:r>
        <w:t xml:space="preserve"> </w:t>
      </w:r>
      <w:r>
        <w:t xml:space="preserve">target with limited road transport electrification has negative impacts on GDP compared</w:t>
      </w:r>
      <w:r>
        <w:t xml:space="preserve"> </w:t>
      </w:r>
      <w:r>
        <w:t xml:space="preserve">to an alternative option with higher electrification as further efforts are then needed in</w:t>
      </w:r>
      <w:r>
        <w:t xml:space="preserve"> </w:t>
      </w:r>
      <w:r>
        <w:t xml:space="preserve">other sectors with potentially higher abatement costs.</w:t>
      </w:r>
      <w:r>
        <w:t xml:space="preserve"> </w:t>
      </w:r>
      <w:r>
        <w:t xml:space="preserve">Importantly, the authors find that the shift towards the production of electric vehicles</w:t>
      </w:r>
      <w:r>
        <w:t xml:space="preserve"> </w:t>
      </w:r>
      <w:r>
        <w:t xml:space="preserve">implies a small net increase in employment in the car manufacturing sector overall,</w:t>
      </w:r>
      <w:r>
        <w:t xml:space="preserve"> </w:t>
      </w:r>
      <w:r>
        <w:t xml:space="preserve">driven primarily from costs reductions over time (including learning in batteries and</w:t>
      </w:r>
      <w:r>
        <w:t xml:space="preserve"> </w:t>
      </w:r>
      <w:r>
        <w:t xml:space="preserve">lower maintenance and operation costs) leading to increases in demand for vehicles. In</w:t>
      </w:r>
      <w:r>
        <w:t xml:space="preserve"> </w:t>
      </w:r>
      <w:r>
        <w:t xml:space="preserve">turn, the net employment effect on the services side is projected to be negative due to the</w:t>
      </w:r>
      <w:r>
        <w:t xml:space="preserve"> </w:t>
      </w:r>
      <w:r>
        <w:t xml:space="preserve">lower maintenance services requirements of electric vehicles compared to internal</w:t>
      </w:r>
      <w:r>
        <w:t xml:space="preserve"> </w:t>
      </w:r>
      <w:r>
        <w:t xml:space="preserve">combustion engine ones. The batteries sector and power generation, in contrast, are</w:t>
      </w:r>
      <w:r>
        <w:t xml:space="preserve"> </w:t>
      </w:r>
      <w:r>
        <w:t xml:space="preserve">positively impacted by the electrification of road transport.</w:t>
      </w:r>
      <w:r>
        <w:t xml:space="preserve"> </w:t>
      </w:r>
      <w:r>
        <w:t xml:space="preserve">As indicated above, the share of the construction sector in total employment is projected</w:t>
      </w:r>
      <w:r>
        <w:t xml:space="preserve"> </w:t>
      </w:r>
      <w:r>
        <w:t xml:space="preserve">to remain broadly stable across all scenarios under the JRC-GEM-E3 model. A major</w:t>
      </w:r>
      <w:r>
        <w:t xml:space="preserve"> </w:t>
      </w:r>
      <w:r>
        <w:t xml:space="preserve">driving force in construction employment, which currently represents about 16 million</w:t>
      </w:r>
      <w:r>
        <w:t xml:space="preserve"> </w:t>
      </w:r>
      <w:r>
        <w:t xml:space="preserve">jobs, will be the need to achieve much higher renovation rates of the existing building</w:t>
      </w:r>
      <w:r>
        <w:t xml:space="preserve"> </w:t>
      </w:r>
      <w:r>
        <w:t xml:space="preserve">stock over the next decade to improve energy efficiency and enable the transition to</w:t>
      </w:r>
      <w:r>
        <w:t xml:space="preserve"> </w:t>
      </w:r>
      <w:r>
        <w:t xml:space="preserve">decarbonised heating systems (mainly heat pumps). The construction sector should also</w:t>
      </w:r>
      <w:r>
        <w:t xml:space="preserve"> </w:t>
      </w:r>
      <w:r>
        <w:t xml:space="preserve">benefit from the building of new green infrastructure, including in power generation and</w:t>
      </w:r>
      <w:r>
        <w:t xml:space="preserve"> </w:t>
      </w:r>
      <w:r>
        <w:t xml:space="preserve">transport. At aggregate level, the requirements for construction jobs will also be</w:t>
      </w:r>
      <w:r>
        <w:t xml:space="preserve"> </w:t>
      </w:r>
      <w:r>
        <w:t xml:space="preserve">influenced by factors that are exogenous to the climate and energy transition, mainly a</w:t>
      </w:r>
      <w:r>
        <w:t xml:space="preserve"> </w:t>
      </w:r>
      <w:r>
        <w:t xml:space="preserve">gradual decline in total population in the long term, ageing and patterns and choices in</w:t>
      </w:r>
      <w:r>
        <w:t xml:space="preserve"> </w:t>
      </w:r>
      <w:r>
        <w:t xml:space="preserve">terms of geographic spread of the population or urban densification.</w:t>
      </w:r>
      <w:r>
        <w:t xml:space="preserve"> </w:t>
      </w:r>
      <w:r>
        <w:t xml:space="preserve">A sharp increase in renovation rates in the residential sector will be unavoidable as part</w:t>
      </w:r>
      <w:r>
        <w:t xml:space="preserve"> </w:t>
      </w:r>
      <w:r>
        <w:t xml:space="preserve">of the transition to climate neutrality, regardless of the level of ambition for 2040.</w:t>
      </w:r>
      <w:r>
        <w:t xml:space="preserve"> </w:t>
      </w:r>
      <w:r>
        <w:t xml:space="preserve">Annual renovation rates in 2011-2020 were about 0.8% of the residential building stock</w:t>
      </w:r>
      <w:r>
        <w:t xml:space="preserve"> </w:t>
      </w:r>
      <w:r>
        <w:t xml:space="preserve">and were driven mainly by light renovations. Under S1, overall renovation rates are</w:t>
      </w:r>
      <w:r>
        <w:t xml:space="preserve"> </w:t>
      </w:r>
      <w:r>
        <w:t xml:space="preserve">projected to double throughout the transition period to 2050, with a particularly high</w:t>
      </w:r>
      <w:r>
        <w:t xml:space="preserve"> </w:t>
      </w:r>
      <w:r>
        <w:t xml:space="preserve">increase in medium renovations. S2 and S3 would require even higher renovation rates.</w:t>
      </w:r>
      <w:r>
        <w:t xml:space="preserve"> </w:t>
      </w:r>
      <w:r>
        <w:t xml:space="preserve">This would imply more than 4 million renovations per annum on average in 2031-2050</w:t>
      </w:r>
      <w:r>
        <w:t xml:space="preserve"> </w:t>
      </w:r>
      <w:r>
        <w:t xml:space="preserve">under the 3 main scenarios, with a significant early push under S3, delay under S1 and a</w:t>
      </w:r>
      <w:r>
        <w:t xml:space="preserve"> </w:t>
      </w:r>
      <w:r>
        <w:t xml:space="preserve">more even level of renovation across the two decades under S2 (Table 51).</w:t>
      </w:r>
      <w:r>
        <w:t xml:space="preserve"> </w:t>
      </w:r>
      <w:r>
        <w:t xml:space="preserve">What is particularly important in terms of employment is that this push in renovation is</w:t>
      </w:r>
      <w:r>
        <w:t xml:space="preserve"> </w:t>
      </w:r>
      <w:r>
        <w:t xml:space="preserve">not only large in terms of scale and compared with previous decades, but also that it is to</w:t>
      </w:r>
      <w:r>
        <w:t xml:space="preserve"> </w:t>
      </w:r>
      <w:r>
        <w:t xml:space="preserve">be sustained over several decades, starting in the current one already. This should</w:t>
      </w:r>
      <w:r>
        <w:t xml:space="preserve"> </w:t>
      </w:r>
      <w:r>
        <w:t xml:space="preserve">therefore provide job opportunities with long-term prospects for a significant number of</w:t>
      </w:r>
      <w:r>
        <w:t xml:space="preserve"> </w:t>
      </w:r>
      <w:r>
        <w:t xml:space="preserve">people. Based on an average labour intensity of 5 full-time jobs equivalent per million</w:t>
      </w:r>
      <w:r>
        <w:t xml:space="preserve"> </w:t>
      </w:r>
      <w:r>
        <w:t xml:space="preserve">euro invested in renovation (309), the renovation drive alone could generate about 250 000</w:t>
      </w:r>
      <w:r>
        <w:t xml:space="preserve"> </w:t>
      </w:r>
      <w:r>
        <w:t xml:space="preserve">jobs over the period 2031-2050. This represents an additional 160 000 jobs compared to</w:t>
      </w:r>
    </w:p>
    <w:p>
      <w:pPr>
        <w:pStyle w:val="Compact"/>
        <w:numPr>
          <w:ilvl w:val="0"/>
          <w:numId w:val="1132"/>
        </w:numPr>
      </w:pPr>
      <w:r>
        <w:t xml:space="preserve">Marie Tamba, Jette Krause, Matthias Weitzel, Raileanu Ioan, Louison Duboz, Monica Grosso, Toon</w:t>
      </w:r>
      <w:r>
        <w:t xml:space="preserve"> </w:t>
      </w:r>
      <w:r>
        <w:t xml:space="preserve">Vandyck, Economy-wide impacts of road transport electrification in the EU, Technological</w:t>
      </w:r>
      <w:r>
        <w:t xml:space="preserve"> </w:t>
      </w:r>
      <w:r>
        <w:t xml:space="preserve">Forecasting and Social Change, Volume 182, 2022.</w:t>
      </w:r>
    </w:p>
    <w:p>
      <w:pPr>
        <w:pStyle w:val="Compact"/>
        <w:numPr>
          <w:ilvl w:val="0"/>
          <w:numId w:val="1132"/>
        </w:numPr>
      </w:pPr>
      <w:r>
        <w:t xml:space="preserve">This corresponds to the average number of full-time jobs equivalent per million euro of turnover in</w:t>
      </w:r>
      <w:r>
        <w:t xml:space="preserve"> </w:t>
      </w:r>
      <w:r>
        <w:t xml:space="preserve">the construction of residential and non-residential buildings in 2016-2020, as per Eurostat data.</w:t>
      </w:r>
    </w:p>
    <w:p>
      <w:pPr>
        <w:pStyle w:val="FirstParagraph"/>
      </w:pPr>
      <w:r>
        <w:t xml:space="preserve">211</w:t>
      </w:r>
    </w:p>
    <w:p>
      <w:pPr>
        <w:pStyle w:val="BodyText"/>
      </w:pPr>
      <w:r>
        <w:t xml:space="preserve">the level in 2011-2020, as estimated on the basis of the same labour intensity per million</w:t>
      </w:r>
      <w:r>
        <w:t xml:space="preserve"> </w:t>
      </w:r>
      <w:r>
        <w:t xml:space="preserve">euros invested. While this remains small compared to total construction employment</w:t>
      </w:r>
      <w:r>
        <w:t xml:space="preserve"> </w:t>
      </w:r>
      <w:r>
        <w:t xml:space="preserve">(Table 48), it is nevertheless significant, and it is to be noted that this figure accounts</w:t>
      </w:r>
      <w:r>
        <w:t xml:space="preserve"> </w:t>
      </w:r>
      <w:r>
        <w:t xml:space="preserve">only for the direct employment impact, without considering further effects along the</w:t>
      </w:r>
      <w:r>
        <w:t xml:space="preserve"> </w:t>
      </w:r>
      <w:r>
        <w:t xml:space="preserve">value chain (310). Similarly, to the investment requirements, the levels of job creation</w:t>
      </w:r>
      <w:r>
        <w:t xml:space="preserve"> </w:t>
      </w:r>
      <w:r>
        <w:t xml:space="preserve">linked to the renovation drive are highest in 2031-2040 under S3, with S2 generating a</w:t>
      </w:r>
      <w:r>
        <w:t xml:space="preserve"> </w:t>
      </w:r>
      <w:r>
        <w:t xml:space="preserve">more even impact across the two decades than S3 and S1.</w:t>
      </w:r>
      <w:r>
        <w:t xml:space="preserve"> </w:t>
      </w:r>
      <w:r>
        <w:t xml:space="preserve">Table 51: Average annual renovations in residential and tertiary sectors</w:t>
      </w:r>
    </w:p>
    <w:p>
      <w:pPr>
        <w:pStyle w:val="BodyText"/>
      </w:pPr>
      <w:r>
        <w:t xml:space="preserve">Note: floor stands for floor surface and is in million m2, units in millions (residential) and thousands (tertiary).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Such significant needs for construction jobs will also require that training and skilling</w:t>
      </w:r>
      <w:r>
        <w:t xml:space="preserve"> </w:t>
      </w:r>
      <w:r>
        <w:t xml:space="preserve">systems are put in place to ensure the availability of workers for all necessary</w:t>
      </w:r>
      <w:r>
        <w:t xml:space="preserve"> </w:t>
      </w:r>
      <w:r>
        <w:t xml:space="preserve">occupations and at all levels of skills, including relevant craft and trades, developers and</w:t>
      </w:r>
      <w:r>
        <w:t xml:space="preserve"> </w:t>
      </w:r>
      <w:r>
        <w:t xml:space="preserve">architects/engineers. The long-term visibility afforded by the sustained requirement in the</w:t>
      </w:r>
      <w:r>
        <w:t xml:space="preserve"> </w:t>
      </w:r>
      <w:r>
        <w:t xml:space="preserve">sector should also enable the establishment of the necessary education and training</w:t>
      </w:r>
      <w:r>
        <w:t xml:space="preserve"> </w:t>
      </w:r>
      <w:r>
        <w:t xml:space="preserve">programmes for the younger segments of the population. By nature, the renovation sector</w:t>
      </w:r>
      <w:r>
        <w:t xml:space="preserve"> </w:t>
      </w:r>
      <w:r>
        <w:t xml:space="preserve">is also one where SMEs are likely to be particularly active, and where they should benefit</w:t>
      </w:r>
      <w:r>
        <w:t xml:space="preserve"> </w:t>
      </w:r>
      <w:r>
        <w:t xml:space="preserve">from business opportunities.</w:t>
      </w:r>
      <w:r>
        <w:t xml:space="preserve"> </w:t>
      </w:r>
      <w:r>
        <w:t xml:space="preserve">A similar renovation drive will be necessary in the tertiary sector, where around 90 000</w:t>
      </w:r>
      <w:r>
        <w:t xml:space="preserve"> </w:t>
      </w:r>
      <w:r>
        <w:t xml:space="preserve">units are projected to be renovated on average per annum in 2031-2050 under S1, rising</w:t>
      </w:r>
      <w:r>
        <w:t xml:space="preserve"> </w:t>
      </w:r>
      <w:r>
        <w:t xml:space="preserve">to an annual average of about 140 000 units under S3. While the number of units is much</w:t>
      </w:r>
    </w:p>
    <w:p>
      <w:pPr>
        <w:pStyle w:val="Compact"/>
        <w:numPr>
          <w:ilvl w:val="0"/>
          <w:numId w:val="1133"/>
        </w:numPr>
      </w:pPr>
      <w:r>
        <w:t xml:space="preserve">SWD(2021) 453 final, part 1/4 provides an additional discussion of the employment impacts of</w:t>
      </w:r>
      <w:r>
        <w:t xml:space="preserve"> </w:t>
      </w:r>
      <w:r>
        <w:t xml:space="preserve">renovations, focusing on the effect of the Commission proposal for a Directive of the European</w:t>
      </w:r>
      <w:r>
        <w:t xml:space="preserve"> </w:t>
      </w:r>
      <w:r>
        <w:t xml:space="preserve">Parliament and of the Council on the energy performance of buildings (recast).</w:t>
      </w:r>
      <w:r>
        <w:t xml:space="preserve"> </w:t>
      </w:r>
      <w:r>
        <w:t xml:space="preserve">2011-</w:t>
      </w:r>
      <w:r>
        <w:t xml:space="preserve"> </w:t>
      </w:r>
      <w:r>
        <w:t xml:space="preserve">2020</w:t>
      </w:r>
      <w:r>
        <w:t xml:space="preserve"> </w:t>
      </w:r>
      <w:r>
        <w:t xml:space="preserve">2021-</w:t>
      </w:r>
      <w:r>
        <w:t xml:space="preserve"> </w:t>
      </w:r>
      <w:r>
        <w:t xml:space="preserve">2030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Residential</w:t>
      </w:r>
      <w:r>
        <w:t xml:space="preserve"> </w:t>
      </w:r>
      <w:r>
        <w:t xml:space="preserve">S1 units</w:t>
      </w:r>
      <w:r>
        <w:t xml:space="preserve"> </w:t>
      </w:r>
      <w:r>
        <w:t xml:space="preserve">2.0</w:t>
      </w:r>
      <w:r>
        <w:t xml:space="preserve"> </w:t>
      </w:r>
      <w:r>
        <w:t xml:space="preserve">5.0</w:t>
      </w:r>
      <w:r>
        <w:t xml:space="preserve"> </w:t>
      </w:r>
      <w:r>
        <w:t xml:space="preserve">3.7</w:t>
      </w:r>
      <w:r>
        <w:t xml:space="preserve"> </w:t>
      </w:r>
      <w:r>
        <w:t xml:space="preserve">4.5</w:t>
      </w:r>
      <w:r>
        <w:t xml:space="preserve"> </w:t>
      </w:r>
      <w:r>
        <w:t xml:space="preserve">S1 floor</w:t>
      </w:r>
      <w:r>
        <w:t xml:space="preserve"> </w:t>
      </w:r>
      <w:r>
        <w:t xml:space="preserve">137</w:t>
      </w:r>
      <w:r>
        <w:t xml:space="preserve"> </w:t>
      </w:r>
      <w:r>
        <w:t xml:space="preserve">379</w:t>
      </w:r>
      <w:r>
        <w:t xml:space="preserve"> </w:t>
      </w:r>
      <w:r>
        <w:t xml:space="preserve">286</w:t>
      </w:r>
      <w:r>
        <w:t xml:space="preserve"> </w:t>
      </w:r>
      <w:r>
        <w:t xml:space="preserve">384</w:t>
      </w:r>
      <w:r>
        <w:t xml:space="preserve"> </w:t>
      </w:r>
      <w:r>
        <w:t xml:space="preserve">S2 units</w:t>
      </w:r>
      <w:r>
        <w:t xml:space="preserve"> </w:t>
      </w:r>
      <w:r>
        <w:t xml:space="preserve">2.0</w:t>
      </w:r>
      <w:r>
        <w:t xml:space="preserve"> </w:t>
      </w:r>
      <w:r>
        <w:t xml:space="preserve">5.0</w:t>
      </w:r>
      <w:r>
        <w:t xml:space="preserve"> </w:t>
      </w:r>
      <w:r>
        <w:t xml:space="preserve">4.2</w:t>
      </w:r>
      <w:r>
        <w:t xml:space="preserve"> </w:t>
      </w:r>
      <w:r>
        <w:t xml:space="preserve">4.0</w:t>
      </w:r>
      <w:r>
        <w:t xml:space="preserve"> </w:t>
      </w:r>
      <w:r>
        <w:t xml:space="preserve">S2 floor</w:t>
      </w:r>
      <w:r>
        <w:t xml:space="preserve"> </w:t>
      </w:r>
      <w:r>
        <w:t xml:space="preserve">137</w:t>
      </w:r>
      <w:r>
        <w:t xml:space="preserve"> </w:t>
      </w:r>
      <w:r>
        <w:t xml:space="preserve">381</w:t>
      </w:r>
      <w:r>
        <w:t xml:space="preserve"> </w:t>
      </w:r>
      <w:r>
        <w:t xml:space="preserve">331</w:t>
      </w:r>
      <w:r>
        <w:t xml:space="preserve"> </w:t>
      </w:r>
      <w:r>
        <w:t xml:space="preserve">343</w:t>
      </w:r>
      <w:r>
        <w:t xml:space="preserve"> </w:t>
      </w:r>
      <w:r>
        <w:t xml:space="preserve">S3 units</w:t>
      </w:r>
      <w:r>
        <w:t xml:space="preserve"> </w:t>
      </w:r>
      <w:r>
        <w:t xml:space="preserve">2.0</w:t>
      </w:r>
      <w:r>
        <w:t xml:space="preserve"> </w:t>
      </w:r>
      <w:r>
        <w:t xml:space="preserve">5.0</w:t>
      </w:r>
      <w:r>
        <w:t xml:space="preserve"> </w:t>
      </w:r>
      <w:r>
        <w:t xml:space="preserve">5.1</w:t>
      </w:r>
      <w:r>
        <w:t xml:space="preserve"> </w:t>
      </w:r>
      <w:r>
        <w:t xml:space="preserve">3.3</w:t>
      </w:r>
      <w:r>
        <w:t xml:space="preserve"> </w:t>
      </w:r>
      <w:r>
        <w:t xml:space="preserve">S3 floor</w:t>
      </w:r>
      <w:r>
        <w:t xml:space="preserve"> </w:t>
      </w:r>
      <w:r>
        <w:t xml:space="preserve">137</w:t>
      </w:r>
      <w:r>
        <w:t xml:space="preserve"> </w:t>
      </w:r>
      <w:r>
        <w:t xml:space="preserve">380</w:t>
      </w:r>
      <w:r>
        <w:t xml:space="preserve"> </w:t>
      </w:r>
      <w:r>
        <w:t xml:space="preserve">392</w:t>
      </w:r>
      <w:r>
        <w:t xml:space="preserve"> </w:t>
      </w:r>
      <w:r>
        <w:t xml:space="preserve">282</w:t>
      </w:r>
      <w:r>
        <w:t xml:space="preserve"> </w:t>
      </w:r>
      <w:r>
        <w:t xml:space="preserve">LIFE units</w:t>
      </w:r>
      <w:r>
        <w:t xml:space="preserve"> </w:t>
      </w:r>
      <w:r>
        <w:t xml:space="preserve">2.0</w:t>
      </w:r>
      <w:r>
        <w:t xml:space="preserve"> </w:t>
      </w:r>
      <w:r>
        <w:t xml:space="preserve">5.0</w:t>
      </w:r>
      <w:r>
        <w:t xml:space="preserve"> </w:t>
      </w:r>
      <w:r>
        <w:t xml:space="preserve">4.7</w:t>
      </w:r>
      <w:r>
        <w:t xml:space="preserve"> </w:t>
      </w:r>
      <w:r>
        <w:t xml:space="preserve">4.0</w:t>
      </w:r>
      <w:r>
        <w:t xml:space="preserve"> </w:t>
      </w:r>
      <w:r>
        <w:t xml:space="preserve">LIFE floor</w:t>
      </w:r>
      <w:r>
        <w:t xml:space="preserve"> </w:t>
      </w:r>
      <w:r>
        <w:t xml:space="preserve">137</w:t>
      </w:r>
      <w:r>
        <w:t xml:space="preserve"> </w:t>
      </w:r>
      <w:r>
        <w:t xml:space="preserve">378</w:t>
      </w:r>
      <w:r>
        <w:t xml:space="preserve"> </w:t>
      </w:r>
      <w:r>
        <w:t xml:space="preserve">370</w:t>
      </w:r>
      <w:r>
        <w:t xml:space="preserve"> </w:t>
      </w:r>
      <w:r>
        <w:t xml:space="preserve">342</w:t>
      </w:r>
      <w:r>
        <w:t xml:space="preserve"> </w:t>
      </w:r>
      <w:r>
        <w:t xml:space="preserve">Tertiary</w:t>
      </w:r>
      <w:r>
        <w:t xml:space="preserve"> </w:t>
      </w:r>
      <w:r>
        <w:t xml:space="preserve">S1 units</w:t>
      </w:r>
      <w:r>
        <w:t xml:space="preserve"> </w:t>
      </w:r>
      <w:r>
        <w:t xml:space="preserve">62</w:t>
      </w:r>
      <w:r>
        <w:t xml:space="preserve"> </w:t>
      </w:r>
      <w:r>
        <w:t xml:space="preserve">155</w:t>
      </w:r>
      <w:r>
        <w:t xml:space="preserve"> </w:t>
      </w:r>
      <w:r>
        <w:t xml:space="preserve">86</w:t>
      </w:r>
      <w:r>
        <w:t xml:space="preserve"> </w:t>
      </w:r>
      <w:r>
        <w:t xml:space="preserve">149</w:t>
      </w:r>
      <w:r>
        <w:t xml:space="preserve"> </w:t>
      </w:r>
      <w:r>
        <w:t xml:space="preserve">S1 floor</w:t>
      </w:r>
      <w:r>
        <w:t xml:space="preserve"> </w:t>
      </w:r>
      <w:r>
        <w:t xml:space="preserve">24</w:t>
      </w:r>
      <w:r>
        <w:t xml:space="preserve"> </w:t>
      </w:r>
      <w:r>
        <w:t xml:space="preserve">66</w:t>
      </w:r>
      <w:r>
        <w:t xml:space="preserve"> </w:t>
      </w:r>
      <w:r>
        <w:t xml:space="preserve">41</w:t>
      </w:r>
      <w:r>
        <w:t xml:space="preserve"> </w:t>
      </w:r>
      <w:r>
        <w:t xml:space="preserve">79</w:t>
      </w:r>
      <w:r>
        <w:t xml:space="preserve"> </w:t>
      </w:r>
      <w:r>
        <w:t xml:space="preserve">S2 units</w:t>
      </w:r>
      <w:r>
        <w:t xml:space="preserve"> </w:t>
      </w:r>
      <w:r>
        <w:t xml:space="preserve">62</w:t>
      </w:r>
      <w:r>
        <w:t xml:space="preserve"> </w:t>
      </w:r>
      <w:r>
        <w:t xml:space="preserve">158</w:t>
      </w:r>
      <w:r>
        <w:t xml:space="preserve"> </w:t>
      </w:r>
      <w:r>
        <w:t xml:space="preserve">131</w:t>
      </w:r>
      <w:r>
        <w:t xml:space="preserve"> </w:t>
      </w:r>
      <w:r>
        <w:t xml:space="preserve">108</w:t>
      </w:r>
      <w:r>
        <w:t xml:space="preserve"> </w:t>
      </w:r>
      <w:r>
        <w:t xml:space="preserve">S2 floor</w:t>
      </w:r>
      <w:r>
        <w:t xml:space="preserve"> </w:t>
      </w:r>
      <w:r>
        <w:t xml:space="preserve">24</w:t>
      </w:r>
      <w:r>
        <w:t xml:space="preserve"> </w:t>
      </w:r>
      <w:r>
        <w:t xml:space="preserve">68</w:t>
      </w:r>
      <w:r>
        <w:t xml:space="preserve"> </w:t>
      </w:r>
      <w:r>
        <w:t xml:space="preserve">63</w:t>
      </w:r>
      <w:r>
        <w:t xml:space="preserve"> </w:t>
      </w:r>
      <w:r>
        <w:t xml:space="preserve">57</w:t>
      </w:r>
      <w:r>
        <w:t xml:space="preserve"> </w:t>
      </w:r>
      <w:r>
        <w:t xml:space="preserve">S3 units</w:t>
      </w:r>
      <w:r>
        <w:t xml:space="preserve"> </w:t>
      </w:r>
      <w:r>
        <w:t xml:space="preserve">62</w:t>
      </w:r>
      <w:r>
        <w:t xml:space="preserve"> </w:t>
      </w:r>
      <w:r>
        <w:t xml:space="preserve">162</w:t>
      </w:r>
      <w:r>
        <w:t xml:space="preserve"> </w:t>
      </w:r>
      <w:r>
        <w:t xml:space="preserve">187</w:t>
      </w:r>
      <w:r>
        <w:t xml:space="preserve"> </w:t>
      </w:r>
      <w:r>
        <w:t xml:space="preserve">55</w:t>
      </w:r>
      <w:r>
        <w:t xml:space="preserve"> </w:t>
      </w:r>
      <w:r>
        <w:t xml:space="preserve">S3 floor</w:t>
      </w:r>
      <w:r>
        <w:t xml:space="preserve"> </w:t>
      </w:r>
      <w:r>
        <w:t xml:space="preserve">24</w:t>
      </w:r>
      <w:r>
        <w:t xml:space="preserve"> </w:t>
      </w:r>
      <w:r>
        <w:t xml:space="preserve">69</w:t>
      </w:r>
      <w:r>
        <w:t xml:space="preserve"> </w:t>
      </w:r>
      <w:r>
        <w:t xml:space="preserve">88</w:t>
      </w:r>
      <w:r>
        <w:t xml:space="preserve"> </w:t>
      </w:r>
      <w:r>
        <w:t xml:space="preserve">30</w:t>
      </w:r>
      <w:r>
        <w:t xml:space="preserve"> </w:t>
      </w:r>
      <w:r>
        <w:t xml:space="preserve">LIFE units</w:t>
      </w:r>
      <w:r>
        <w:t xml:space="preserve"> </w:t>
      </w:r>
      <w:r>
        <w:t xml:space="preserve">62</w:t>
      </w:r>
      <w:r>
        <w:t xml:space="preserve"> </w:t>
      </w:r>
      <w:r>
        <w:t xml:space="preserve">156</w:t>
      </w:r>
      <w:r>
        <w:t xml:space="preserve"> </w:t>
      </w:r>
      <w:r>
        <w:t xml:space="preserve">165</w:t>
      </w:r>
      <w:r>
        <w:t xml:space="preserve"> </w:t>
      </w:r>
      <w:r>
        <w:t xml:space="preserve">86</w:t>
      </w:r>
      <w:r>
        <w:t xml:space="preserve"> </w:t>
      </w:r>
      <w:r>
        <w:t xml:space="preserve">LIFE floor</w:t>
      </w:r>
      <w:r>
        <w:t xml:space="preserve"> </w:t>
      </w:r>
      <w:r>
        <w:t xml:space="preserve">24</w:t>
      </w:r>
      <w:r>
        <w:t xml:space="preserve"> </w:t>
      </w:r>
      <w:r>
        <w:t xml:space="preserve">67</w:t>
      </w:r>
      <w:r>
        <w:t xml:space="preserve"> </w:t>
      </w:r>
      <w:r>
        <w:t xml:space="preserve">77</w:t>
      </w:r>
      <w:r>
        <w:t xml:space="preserve"> </w:t>
      </w:r>
      <w:r>
        <w:t xml:space="preserve">46</w:t>
      </w:r>
    </w:p>
    <w:p>
      <w:pPr>
        <w:pStyle w:val="FirstParagraph"/>
      </w:pPr>
      <w:r>
        <w:t xml:space="preserve">212</w:t>
      </w:r>
    </w:p>
    <w:p>
      <w:pPr>
        <w:pStyle w:val="BodyText"/>
      </w:pPr>
      <w:r>
        <w:t xml:space="preserve">lower than in the residential sector, the floor area to be renovated is still large at around</w:t>
      </w:r>
      <w:r>
        <w:t xml:space="preserve"> </w:t>
      </w:r>
      <w:r>
        <w:t xml:space="preserve">14% of the floor area in the residential sector.</w:t>
      </w:r>
      <w:r>
        <w:t xml:space="preserve"> </w:t>
      </w:r>
      <w:r>
        <w:t xml:space="preserve">An additional driver of employment creation and skills requirement in the course of the</w:t>
      </w:r>
      <w:r>
        <w:t xml:space="preserve"> </w:t>
      </w:r>
      <w:r>
        <w:t xml:space="preserve">transition to climate neutrality relates to the decarbonisation of heating and cooling</w:t>
      </w:r>
      <w:r>
        <w:t xml:space="preserve"> </w:t>
      </w:r>
      <w:r>
        <w:t xml:space="preserve">systems, mainly via the installation of heat pumps. This should not only generate job</w:t>
      </w:r>
      <w:r>
        <w:t xml:space="preserve"> </w:t>
      </w:r>
      <w:r>
        <w:t xml:space="preserve">creation in installation and maintenance, but also in manufacturing. The deployment of</w:t>
      </w:r>
      <w:r>
        <w:t xml:space="preserve"> </w:t>
      </w:r>
      <w:r>
        <w:t xml:space="preserve">heat pumps in the residential and tertiary sectors will need to take place rapidly during</w:t>
      </w:r>
      <w:r>
        <w:t xml:space="preserve"> </w:t>
      </w:r>
      <w:r>
        <w:t xml:space="preserve">the transition to climate neutrality, at an estimated average of more than 3 million units</w:t>
      </w:r>
      <w:r>
        <w:t xml:space="preserve"> </w:t>
      </w:r>
      <w:r>
        <w:t xml:space="preserve">per annum in 2031-2050 in the residential sector and around 200 000 to 300 000 (larger</w:t>
      </w:r>
      <w:r>
        <w:t xml:space="preserve"> </w:t>
      </w:r>
      <w:r>
        <w:t xml:space="preserve">scale) units in the tertiary sector. The deployment level is similar across scenarios.</w:t>
      </w:r>
      <w:r>
        <w:t xml:space="preserve"> </w:t>
      </w:r>
      <w:r>
        <w:t xml:space="preserve">To a large extent, heat pumps will substitute other types of heating equipment that would</w:t>
      </w:r>
      <w:r>
        <w:t xml:space="preserve"> </w:t>
      </w:r>
      <w:r>
        <w:t xml:space="preserve">also require to be replaced at the end of their operational lifetime. Their installation will</w:t>
      </w:r>
      <w:r>
        <w:t xml:space="preserve"> </w:t>
      </w:r>
      <w:r>
        <w:t xml:space="preserve">therefore only impact total employment in the sector at the margin, to the extent that</w:t>
      </w:r>
      <w:r>
        <w:t xml:space="preserve"> </w:t>
      </w:r>
      <w:r>
        <w:t xml:space="preserve">installation may be more labour intensive than for other types of equipment and to the</w:t>
      </w:r>
      <w:r>
        <w:t xml:space="preserve"> </w:t>
      </w:r>
      <w:r>
        <w:t xml:space="preserve">extent that the shifting to heat pumps may anticipate the end of the operational lifetime of</w:t>
      </w:r>
      <w:r>
        <w:t xml:space="preserve"> </w:t>
      </w:r>
      <w:r>
        <w:t xml:space="preserve">the assets they replace. The impacts on the labour market would be significant, however,</w:t>
      </w:r>
      <w:r>
        <w:t xml:space="preserve"> </w:t>
      </w:r>
      <w:r>
        <w:t xml:space="preserve">as the installation levels would require skills adaptation and retraining (311). Based on an</w:t>
      </w:r>
      <w:r>
        <w:t xml:space="preserve"> </w:t>
      </w:r>
      <w:r>
        <w:t xml:space="preserve">estimated labour intensity ratio of 1 full time job equivalent for about 36 heat pumps</w:t>
      </w:r>
      <w:r>
        <w:t xml:space="preserve"> </w:t>
      </w:r>
      <w:r>
        <w:t xml:space="preserve">installed annually (312), around 100 000 full time installers would be required for the</w:t>
      </w:r>
      <w:r>
        <w:t xml:space="preserve"> </w:t>
      </w:r>
      <w:r>
        <w:t xml:space="preserve">time period 2031-2050.</w:t>
      </w:r>
      <w:r>
        <w:t xml:space="preserve"> </w:t>
      </w:r>
      <w:r>
        <w:t xml:space="preserve">On the manufacturing side, the Commission estimated that producing the entirety of the</w:t>
      </w:r>
      <w:r>
        <w:t xml:space="preserve"> </w:t>
      </w:r>
      <w:r>
        <w:t xml:space="preserve">heat pumps installed up to 2030 in the EU would lead to an increase of about 60 000 jobs</w:t>
      </w:r>
      <w:r>
        <w:t xml:space="preserve"> </w:t>
      </w:r>
      <w:r>
        <w:t xml:space="preserve">(313). The projections for the needs for heat pumps beyond 2030 indicate that the ramping</w:t>
      </w:r>
      <w:r>
        <w:t xml:space="preserve"> </w:t>
      </w:r>
      <w:r>
        <w:t xml:space="preserve">up of production capacity and the associated job creation should be sustained in the long-</w:t>
      </w:r>
      <w:r>
        <w:t xml:space="preserve"> </w:t>
      </w:r>
      <w:r>
        <w:t xml:space="preserve">term.</w:t>
      </w:r>
      <w:r>
        <w:t xml:space="preserve"> </w:t>
      </w:r>
      <w:r>
        <w:t xml:space="preserve">As far as power generation is concerned, the deployment of on-shore and off-shore wind</w:t>
      </w:r>
      <w:r>
        <w:t xml:space="preserve"> </w:t>
      </w:r>
      <w:r>
        <w:t xml:space="preserve">and solar energy will rise sharply throughout the transition period to 2050. While S3</w:t>
      </w:r>
      <w:r>
        <w:t xml:space="preserve"> </w:t>
      </w:r>
      <w:r>
        <w:t xml:space="preserve">requires a faster ramp up or renewable electricity generation than S2 and S1, the three</w:t>
      </w:r>
      <w:r>
        <w:t xml:space="preserve"> </w:t>
      </w:r>
      <w:r>
        <w:t xml:space="preserve">pathways rely on similar overall annual new capacity installation. Close to GWe 100 of</w:t>
      </w:r>
      <w:r>
        <w:t xml:space="preserve"> </w:t>
      </w:r>
      <w:r>
        <w:t xml:space="preserve">net power capacity installation will be required for solar and wind energy. The</w:t>
      </w:r>
      <w:r>
        <w:t xml:space="preserve"> </w:t>
      </w:r>
      <w:r>
        <w:t xml:space="preserve">employment opportunities generated by such a level of installation are very large, both in</w:t>
      </w:r>
      <w:r>
        <w:t xml:space="preserve"> </w:t>
      </w:r>
      <w:r>
        <w:t xml:space="preserve">terms of installation and in terms of manufacturing. On the installation side, solar power</w:t>
      </w:r>
      <w:r>
        <w:t xml:space="preserve"> </w:t>
      </w:r>
      <w:r>
        <w:t xml:space="preserve">is more likely to generate business opportunities and job creation among SMEs, while the</w:t>
      </w:r>
      <w:r>
        <w:t xml:space="preserve"> </w:t>
      </w:r>
      <w:r>
        <w:t xml:space="preserve">deployment of wind turbines will be more tilted towards larger companies.</w:t>
      </w:r>
    </w:p>
    <w:p>
      <w:pPr>
        <w:pStyle w:val="BodyText"/>
      </w:pPr>
      <w:r>
        <w:t xml:space="preserve">(311)The Employment and Social Developments in Europe 2023 Annual Review (adressing labour</w:t>
      </w:r>
      <w:r>
        <w:t xml:space="preserve"> </w:t>
      </w:r>
      <w:r>
        <w:t xml:space="preserve">shortages and skills gaps in the EU) provides first estimates of the job creation potential up to 2030</w:t>
      </w:r>
      <w:r>
        <w:t xml:space="preserve"> </w:t>
      </w:r>
      <w:r>
        <w:t xml:space="preserve">related to the deployment of certain clean technologies, as well as estimates of the necessary spending</w:t>
      </w:r>
      <w:r>
        <w:t xml:space="preserve"> </w:t>
      </w:r>
      <w:r>
        <w:t xml:space="preserve">on retraining, reskilling and upskilling.</w:t>
      </w:r>
      <w:r>
        <w:t xml:space="preserve"> </w:t>
      </w:r>
      <w:r>
        <w:t xml:space="preserve">(312) The European Heat Pump Association’s European Heat Pump Market and Statistics Report 2023</w:t>
      </w:r>
      <w:r>
        <w:t xml:space="preserve"> </w:t>
      </w:r>
      <w:r>
        <w:t xml:space="preserve">indicates that close to 3 million heat pumps were installed in the EU in 2022, with 67 000 installers</w:t>
      </w:r>
      <w:r>
        <w:t xml:space="preserve"> </w:t>
      </w:r>
      <w:r>
        <w:t xml:space="preserve">employed in the sector (a ratio of 44 to 1). Similarly, a report from the Heat Pump Association</w:t>
      </w:r>
      <w:r>
        <w:t xml:space="preserve"> </w:t>
      </w:r>
      <w:r>
        <w:t xml:space="preserve">projected the needs for heat pump installation and installers to decarbonise heating the UK up to 2035.</w:t>
      </w:r>
      <w:r>
        <w:t xml:space="preserve"> </w:t>
      </w:r>
      <w:r>
        <w:t xml:space="preserve">Their projections indicate a ratio of 28 to 1 on average for the period.</w:t>
      </w:r>
      <w:r>
        <w:t xml:space="preserve"> </w:t>
      </w:r>
      <w:r>
        <w:t xml:space="preserve">(313) SWD(2023) 68 final.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On the manufacturing side, the Commission also assessed the job creation potential from</w:t>
      </w:r>
      <w:r>
        <w:t xml:space="preserve"> </w:t>
      </w:r>
      <w:r>
        <w:t xml:space="preserve">the domestic manufacturing of solar panels and wind turbines, in a 2030 horizon. While</w:t>
      </w:r>
      <w:r>
        <w:t xml:space="preserve"> </w:t>
      </w:r>
      <w:r>
        <w:t xml:space="preserve">the solar PV manufacturing industry is extremely small in the EU currently, it estimated</w:t>
      </w:r>
      <w:r>
        <w:t xml:space="preserve"> </w:t>
      </w:r>
      <w:r>
        <w:t xml:space="preserve">that around 66 000 jobs could be created in the sector if the EU were to become self-</w:t>
      </w:r>
      <w:r>
        <w:t xml:space="preserve"> </w:t>
      </w:r>
      <w:r>
        <w:t xml:space="preserve">sufficient in the production of solar PVs. Continued needs in 2031-2050 for the</w:t>
      </w:r>
      <w:r>
        <w:t xml:space="preserve"> </w:t>
      </w:r>
      <w:r>
        <w:t xml:space="preserve">installation of solar PVs at around the level needed to achieve the climate and energy</w:t>
      </w:r>
      <w:r>
        <w:t xml:space="preserve"> </w:t>
      </w:r>
      <w:r>
        <w:t xml:space="preserve">targets under the Fit-for-55 legislation indicates that domestic demand will be sustained</w:t>
      </w:r>
      <w:r>
        <w:t xml:space="preserve"> </w:t>
      </w:r>
      <w:r>
        <w:t xml:space="preserve">for an extended period of time and that employment in the sector could remain large if</w:t>
      </w:r>
      <w:r>
        <w:t xml:space="preserve"> </w:t>
      </w:r>
      <w:r>
        <w:t xml:space="preserve">production capacity is ramped up. Similarly, it was estimated that around 40 000</w:t>
      </w:r>
      <w:r>
        <w:t xml:space="preserve"> </w:t>
      </w:r>
      <w:r>
        <w:t xml:space="preserve">additional jobs would be needed to make the EU self-sufficient in the production of wind</w:t>
      </w:r>
      <w:r>
        <w:t xml:space="preserve"> </w:t>
      </w:r>
      <w:r>
        <w:t xml:space="preserve">turbines in a 2030 horizon. Given that the annual installation needs for wind power are</w:t>
      </w:r>
      <w:r>
        <w:t xml:space="preserve"> </w:t>
      </w:r>
      <w:r>
        <w:t xml:space="preserve">projected to increase by around 60% between 2021-2030 and 2031-2050, one could</w:t>
      </w:r>
      <w:r>
        <w:t xml:space="preserve"> </w:t>
      </w:r>
      <w:r>
        <w:t xml:space="preserve">foresee the creation of large additional employment opportunities in the technology in the</w:t>
      </w:r>
      <w:r>
        <w:t xml:space="preserve"> </w:t>
      </w:r>
      <w:r>
        <w:t xml:space="preserve">horizon 2050.</w:t>
      </w:r>
      <w:r>
        <w:t xml:space="preserve"> </w:t>
      </w:r>
      <w:r>
        <w:t xml:space="preserve">As indicated in the same assessment, the scaling-up of manufacturing capacities would</w:t>
      </w:r>
      <w:r>
        <w:t xml:space="preserve"> </w:t>
      </w:r>
      <w:r>
        <w:t xml:space="preserve">not only require investing capital in factories and technologies, but also to ensure that the</w:t>
      </w:r>
      <w:r>
        <w:t xml:space="preserve"> </w:t>
      </w:r>
      <w:r>
        <w:t xml:space="preserve">workforce is available and that it has the necessary type and level of skills to operate in</w:t>
      </w:r>
      <w:r>
        <w:t xml:space="preserve"> </w:t>
      </w:r>
      <w:r>
        <w:t xml:space="preserve">new sectors. The re-skilling and up-skilling investment needs, with a 2030 horizon, were</w:t>
      </w:r>
      <w:r>
        <w:t xml:space="preserve"> </w:t>
      </w:r>
      <w:r>
        <w:t xml:space="preserve">estimated at up to EUR 4.1 billion. Extending this horizon to the 2031-2050 period</w:t>
      </w:r>
      <w:r>
        <w:t xml:space="preserve"> </w:t>
      </w:r>
      <w:r>
        <w:t xml:space="preserve">would clearly also broaden the scope and the scale of skills-related investment needs, as</w:t>
      </w:r>
      <w:r>
        <w:t xml:space="preserve"> </w:t>
      </w:r>
      <w:r>
        <w:t xml:space="preserve">the range of sectors affected widens and the overall capital investment needs remain</w:t>
      </w:r>
      <w:r>
        <w:t xml:space="preserve"> </w:t>
      </w:r>
      <w:r>
        <w:t xml:space="preserve">large.</w:t>
      </w:r>
      <w:r>
        <w:t xml:space="preserve"> </w:t>
      </w:r>
      <w:r>
        <w:t xml:space="preserve">2.4.3.3.LIFE</w:t>
      </w:r>
      <w:r>
        <w:t xml:space="preserve"> </w:t>
      </w:r>
      <w:r>
        <w:t xml:space="preserve">Further labour market impacts from a higher uptake of circularity in the economy, as</w:t>
      </w:r>
      <w:r>
        <w:t xml:space="preserve"> </w:t>
      </w:r>
      <w:r>
        <w:t xml:space="preserve">explored under the LIFE setting, could also be expected, even though macro-economic</w:t>
      </w:r>
      <w:r>
        <w:t xml:space="preserve"> </w:t>
      </w:r>
      <w:r>
        <w:t xml:space="preserve">models are not well equipped to assess them. Enhanced circularity will likely entail job</w:t>
      </w:r>
      <w:r>
        <w:t xml:space="preserve"> </w:t>
      </w:r>
      <w:r>
        <w:t xml:space="preserve">creation as well as job destruction in certain sectors, together with job substitution and</w:t>
      </w:r>
      <w:r>
        <w:t xml:space="preserve"> </w:t>
      </w:r>
      <w:r>
        <w:t xml:space="preserve">redefinition. Labour market impacts can be expected to occur at three stages of the</w:t>
      </w:r>
      <w:r>
        <w:t xml:space="preserve"> </w:t>
      </w:r>
      <w:r>
        <w:t xml:space="preserve">materials cycle: (1) as materials are transformed into products, infrastructure and assets,</w:t>
      </w:r>
      <w:r>
        <w:t xml:space="preserve"> </w:t>
      </w:r>
      <w:r>
        <w:t xml:space="preserve">resource efficiency will shift the relative balance of companies’ inputs from materials to</w:t>
      </w:r>
      <w:r>
        <w:t xml:space="preserve"> </w:t>
      </w:r>
      <w:r>
        <w:t xml:space="preserve">labour; (2) while products are functional, value retention activities (repair, refurbishment,</w:t>
      </w:r>
      <w:r>
        <w:t xml:space="preserve"> </w:t>
      </w:r>
      <w:r>
        <w:t xml:space="preserve">servicing, upgrading) and use-optimisation services (product-as-a-service and sharing</w:t>
      </w:r>
      <w:r>
        <w:t xml:space="preserve"> </w:t>
      </w:r>
      <w:r>
        <w:t xml:space="preserve">models) imply job creation in proximity to where the products are consumed; and (3)</w:t>
      </w:r>
      <w:r>
        <w:t xml:space="preserve"> </w:t>
      </w:r>
      <w:r>
        <w:t xml:space="preserve">when products and assets become waste, there are generally far more jobs generated</w:t>
      </w:r>
      <w:r>
        <w:t xml:space="preserve"> </w:t>
      </w:r>
      <w:r>
        <w:t xml:space="preserve">through treatment at the higher echelons of the waste hierarchy, with one study showing</w:t>
      </w:r>
      <w:r>
        <w:t xml:space="preserve"> </w:t>
      </w:r>
      <w:r>
        <w:t xml:space="preserve">that in dealing with 10 000 tonnes of waste, 1 job is created by incineration, 36 by</w:t>
      </w:r>
      <w:r>
        <w:t xml:space="preserve"> </w:t>
      </w:r>
      <w:r>
        <w:t xml:space="preserve">recycling and between 300 and 800 by repair and re-use (314).</w:t>
      </w:r>
      <w:r>
        <w:t xml:space="preserve"> </w:t>
      </w:r>
      <w:r>
        <w:t xml:space="preserve">The CAPRI model provides indicators on employment effects from the LIFE setting. The</w:t>
      </w:r>
      <w:r>
        <w:t xml:space="preserve"> </w:t>
      </w:r>
      <w:r>
        <w:t xml:space="preserve">results show limited labour impacts on agriculture. Total labour (in hours/ha) in the crop</w:t>
      </w:r>
      <w:r>
        <w:t xml:space="preserve"> </w:t>
      </w:r>
      <w:r>
        <w:t xml:space="preserve">sector decreases by 0.6%, characterized by a decrease in labour related to cereals (-7%)</w:t>
      </w:r>
      <w:r>
        <w:t xml:space="preserve"> </w:t>
      </w:r>
      <w:r>
        <w:t xml:space="preserve">and a slight decrease in labour on vegetables and permanent crops (-0.4%). Furthermore,</w:t>
      </w:r>
      <w:r>
        <w:t xml:space="preserve"> </w:t>
      </w:r>
      <w:r>
        <w:t xml:space="preserve">a stronger decline in labour hours in cattle activities (-25%) and other animals (-24%)</w:t>
      </w:r>
      <w:r>
        <w:t xml:space="preserve"> </w:t>
      </w:r>
      <w:r>
        <w:t xml:space="preserve">contributes to an overall reduction of total labour of 10.4% on all agricultural activities.</w:t>
      </w:r>
    </w:p>
    <w:p>
      <w:pPr>
        <w:pStyle w:val="Compact"/>
        <w:numPr>
          <w:ilvl w:val="0"/>
          <w:numId w:val="1134"/>
        </w:numPr>
      </w:pPr>
      <w:r>
        <w:t xml:space="preserve">GAIA. Zero Waste and Economic Recovery. The Job Creation Potential of Zero Waste Solutions.</w:t>
      </w:r>
    </w:p>
    <w:p>
      <w:pPr>
        <w:pStyle w:val="FirstParagraph"/>
      </w:pPr>
      <w:r>
        <w:t xml:space="preserve">214</w:t>
      </w:r>
    </w:p>
    <w:p>
      <w:pPr>
        <w:pStyle w:val="BodyText"/>
      </w:pPr>
      <w:r>
        <w:t xml:space="preserve">However, it needs to be considered that this assessment based on the CAPRI model</w:t>
      </w:r>
      <w:r>
        <w:t xml:space="preserve"> </w:t>
      </w:r>
      <w:r>
        <w:t xml:space="preserve">ignores the labour requirements for management of second-generation lignocellulosic</w:t>
      </w:r>
      <w:r>
        <w:t xml:space="preserve"> </w:t>
      </w:r>
      <w:r>
        <w:t xml:space="preserve">crops, payment for ecosystem services (PES), and carbon farming activities and it also</w:t>
      </w:r>
      <w:r>
        <w:t xml:space="preserve"> </w:t>
      </w:r>
      <w:r>
        <w:t xml:space="preserve">does not reflect the additional labour requirements from the expansion of organic</w:t>
      </w:r>
      <w:r>
        <w:t xml:space="preserve"> </w:t>
      </w:r>
      <w:r>
        <w:t xml:space="preserve">agriculture, both of which tend to alleviate the decline in agricultural labour use.</w:t>
      </w:r>
      <w:r>
        <w:t xml:space="preserve"> </w:t>
      </w:r>
      <w:r>
        <w:t xml:space="preserve">2.4.4. Changes in relative prices and distributional impacts</w:t>
      </w:r>
      <w:r>
        <w:t xml:space="preserve"> </w:t>
      </w:r>
      <w:r>
        <w:t xml:space="preserve">The transition to climate neutrality is susceptible to affect relative prices in the economy,</w:t>
      </w:r>
      <w:r>
        <w:t xml:space="preserve"> </w:t>
      </w:r>
      <w:r>
        <w:t xml:space="preserve">as consumption and production patterns change in accordance with the GHG mitigation</w:t>
      </w:r>
      <w:r>
        <w:t xml:space="preserve"> </w:t>
      </w:r>
      <w:r>
        <w:t xml:space="preserve">needs. Sections 1.1.1 and 1.1.2 assess the direct impact on households of projected</w:t>
      </w:r>
      <w:r>
        <w:t xml:space="preserve"> </w:t>
      </w:r>
      <w:r>
        <w:t xml:space="preserve">changes in fuel expenses and electricity prices. The latter will become particularly</w:t>
      </w:r>
      <w:r>
        <w:t xml:space="preserve"> </w:t>
      </w:r>
      <w:r>
        <w:t xml:space="preserve">important as household energy consumption is set to gradually shift overwhelmingly</w:t>
      </w:r>
      <w:r>
        <w:t xml:space="preserve"> </w:t>
      </w:r>
      <w:r>
        <w:t xml:space="preserve">towards electricity. To complement this analysis, the JRC-GEM-E3 model was used to</w:t>
      </w:r>
      <w:r>
        <w:t xml:space="preserve"> </w:t>
      </w:r>
      <w:r>
        <w:t xml:space="preserve">assess the potential impact on households of changes in relative prices across the</w:t>
      </w:r>
      <w:r>
        <w:t xml:space="preserve"> </w:t>
      </w:r>
      <w:r>
        <w:t xml:space="preserve">economy. A macro-economic model is indeed best suited to capture the full effects and</w:t>
      </w:r>
      <w:r>
        <w:t xml:space="preserve"> </w:t>
      </w:r>
      <w:r>
        <w:t xml:space="preserve">interactions across sectors that will affect relative prices.</w:t>
      </w:r>
      <w:r>
        <w:t xml:space="preserve"> </w:t>
      </w:r>
      <w:r>
        <w:t xml:space="preserve">Estimating changes in relative prices is a first step towards assessing the impact on</w:t>
      </w:r>
      <w:r>
        <w:t xml:space="preserve"> </w:t>
      </w:r>
      <w:r>
        <w:t xml:space="preserve">welfare for households, as the latter have very different consumption patterns depending</w:t>
      </w:r>
      <w:r>
        <w:t xml:space="preserve"> </w:t>
      </w:r>
      <w:r>
        <w:t xml:space="preserve">on their income or expenditure levels. Poorer households spend a higher share of their</w:t>
      </w:r>
      <w:r>
        <w:t xml:space="preserve"> </w:t>
      </w:r>
      <w:r>
        <w:t xml:space="preserve">disposable income on basic necessities than households with higher income, including on</w:t>
      </w:r>
      <w:r>
        <w:t xml:space="preserve"> </w:t>
      </w:r>
      <w:r>
        <w:t xml:space="preserve">energy consumption or housing and food, whose relative prices are more susceptible to</w:t>
      </w:r>
      <w:r>
        <w:t xml:space="preserve"> </w:t>
      </w:r>
      <w:r>
        <w:t xml:space="preserve">be affected by the transition to climate neutrality (Figure 121).</w:t>
      </w:r>
      <w:r>
        <w:t xml:space="preserve"> </w:t>
      </w:r>
      <w:r>
        <w:t xml:space="preserve">Figure 121: EU household mean budget shares by expenditure decile, 2015 (%)</w:t>
      </w:r>
    </w:p>
    <w:p>
      <w:pPr>
        <w:pStyle w:val="BodyText"/>
      </w:pPr>
      <w:r>
        <w:t xml:space="preserve">Source: Household Budget Survey.</w:t>
      </w:r>
      <w:r>
        <w:t xml:space="preserve"> </w:t>
      </w:r>
      <w:r>
        <w:t xml:space="preserve">Overall, relative prices are projected to vary relatively little across scenarios. The relative</w:t>
      </w:r>
      <w:r>
        <w:t xml:space="preserve"> </w:t>
      </w:r>
      <w:r>
        <w:t xml:space="preserve">price of housing is nevertheless likely to be somewhat higher under S3 than under S2 in</w:t>
      </w:r>
      <w:r>
        <w:t xml:space="preserve"> </w:t>
      </w:r>
      <w:r>
        <w:t xml:space="preserve">2040, and slightly lower under S1 than under S2 as higher levels of renovation associate</w:t>
      </w:r>
      <w:r>
        <w:t xml:space="preserve"> </w:t>
      </w:r>
      <w:r>
        <w:t xml:space="preserve">0.0</w:t>
      </w:r>
      <w:r>
        <w:t xml:space="preserve"> </w:t>
      </w:r>
      <w:r>
        <w:t xml:space="preserve">5.0</w:t>
      </w:r>
      <w:r>
        <w:t xml:space="preserve"> </w:t>
      </w:r>
      <w:r>
        <w:t xml:space="preserve">10.0</w:t>
      </w:r>
      <w:r>
        <w:t xml:space="preserve"> </w:t>
      </w:r>
      <w:r>
        <w:t xml:space="preserve">15.0</w:t>
      </w:r>
      <w:r>
        <w:t xml:space="preserve"> </w:t>
      </w:r>
      <w:r>
        <w:t xml:space="preserve">20.0</w:t>
      </w:r>
      <w:r>
        <w:t xml:space="preserve"> </w:t>
      </w:r>
      <w:r>
        <w:t xml:space="preserve">25.0</w:t>
      </w:r>
      <w:r>
        <w:t xml:space="preserve"> </w:t>
      </w:r>
      <w:r>
        <w:t xml:space="preserve">30.0</w:t>
      </w:r>
      <w:r>
        <w:t xml:space="preserve"> </w:t>
      </w:r>
      <w:r>
        <w:t xml:space="preserve">35.0</w:t>
      </w:r>
      <w:r>
        <w:t xml:space="preserve"> </w:t>
      </w:r>
      <w:r>
        <w:t xml:space="preserve">40.0</w:t>
      </w:r>
      <w:r>
        <w:t xml:space="preserve"> </w:t>
      </w:r>
      <w:r>
        <w:t xml:space="preserve">sec1</w:t>
      </w:r>
      <w:r>
        <w:t xml:space="preserve"> </w:t>
      </w:r>
      <w:r>
        <w:t xml:space="preserve">sec2</w:t>
      </w:r>
      <w:r>
        <w:t xml:space="preserve"> </w:t>
      </w:r>
      <w:r>
        <w:t xml:space="preserve">sec3</w:t>
      </w:r>
      <w:r>
        <w:t xml:space="preserve"> </w:t>
      </w:r>
      <w:r>
        <w:t xml:space="preserve">sec4</w:t>
      </w:r>
      <w:r>
        <w:t xml:space="preserve"> </w:t>
      </w:r>
      <w:r>
        <w:t xml:space="preserve">sec5</w:t>
      </w:r>
      <w:r>
        <w:t xml:space="preserve"> </w:t>
      </w:r>
      <w:r>
        <w:t xml:space="preserve">sec6</w:t>
      </w:r>
      <w:r>
        <w:t xml:space="preserve"> </w:t>
      </w:r>
      <w:r>
        <w:t xml:space="preserve">sec7</w:t>
      </w:r>
      <w:r>
        <w:t xml:space="preserve"> </w:t>
      </w:r>
      <w:r>
        <w:t xml:space="preserve">sec8</w:t>
      </w:r>
      <w:r>
        <w:t xml:space="preserve"> </w:t>
      </w:r>
      <w:r>
        <w:t xml:space="preserve">sec9</w:t>
      </w:r>
      <w:r>
        <w:t xml:space="preserve"> </w:t>
      </w:r>
      <w:r>
        <w:t xml:space="preserve">sec10 sec11 sec12 sec13 sec14</w:t>
      </w:r>
      <w:r>
        <w:t xml:space="preserve"> </w:t>
      </w:r>
      <w:r>
        <w:t xml:space="preserve">D1</w:t>
      </w:r>
      <w:r>
        <w:t xml:space="preserve"> </w:t>
      </w:r>
      <w:r>
        <w:t xml:space="preserve">D2</w:t>
      </w:r>
      <w:r>
        <w:t xml:space="preserve"> </w:t>
      </w:r>
      <w:r>
        <w:t xml:space="preserve">D3</w:t>
      </w:r>
      <w:r>
        <w:t xml:space="preserve"> </w:t>
      </w:r>
      <w:r>
        <w:t xml:space="preserve">D4</w:t>
      </w:r>
      <w:r>
        <w:t xml:space="preserve"> </w:t>
      </w:r>
      <w:r>
        <w:t xml:space="preserve">D5</w:t>
      </w:r>
      <w:r>
        <w:t xml:space="preserve"> </w:t>
      </w:r>
      <w:r>
        <w:t xml:space="preserve">D6</w:t>
      </w:r>
      <w:r>
        <w:t xml:space="preserve"> </w:t>
      </w:r>
      <w:r>
        <w:t xml:space="preserve">D7</w:t>
      </w:r>
      <w:r>
        <w:t xml:space="preserve"> </w:t>
      </w:r>
      <w:r>
        <w:t xml:space="preserve">D8</w:t>
      </w:r>
      <w:r>
        <w:t xml:space="preserve"> </w:t>
      </w:r>
      <w:r>
        <w:t xml:space="preserve">D9</w:t>
      </w:r>
      <w:r>
        <w:t xml:space="preserve"> </w:t>
      </w:r>
      <w:r>
        <w:t xml:space="preserve">D10</w:t>
      </w:r>
      <w:r>
        <w:t xml:space="preserve"> </w:t>
      </w:r>
      <w:r>
        <w:t xml:space="preserve">sec1 Food beverages and tobacco</w:t>
      </w:r>
      <w:r>
        <w:t xml:space="preserve"> </w:t>
      </w:r>
      <w:r>
        <w:t xml:space="preserve">sec8 Purchase of vehicles</w:t>
      </w:r>
      <w:r>
        <w:t xml:space="preserve"> </w:t>
      </w:r>
      <w:r>
        <w:t xml:space="preserve">sec2 Clothing and footwear</w:t>
      </w:r>
      <w:r>
        <w:t xml:space="preserve"> </w:t>
      </w:r>
      <w:r>
        <w:t xml:space="preserve">sec9 Operation of personal transport equipment</w:t>
      </w:r>
      <w:r>
        <w:t xml:space="preserve"> </w:t>
      </w:r>
      <w:r>
        <w:t xml:space="preserve">sec3 Housing and water charges</w:t>
      </w:r>
      <w:r>
        <w:t xml:space="preserve"> </w:t>
      </w:r>
      <w:r>
        <w:t xml:space="preserve">sec10 Transport services</w:t>
      </w:r>
      <w:r>
        <w:t xml:space="preserve"> </w:t>
      </w:r>
      <w:r>
        <w:t xml:space="preserve">sec4 Fuels and power</w:t>
      </w:r>
      <w:r>
        <w:t xml:space="preserve"> </w:t>
      </w:r>
      <w:r>
        <w:t xml:space="preserve">sec11 Communication</w:t>
      </w:r>
      <w:r>
        <w:t xml:space="preserve"> </w:t>
      </w:r>
      <w:r>
        <w:t xml:space="preserve">sec5 Household equip. and operation excl heating and cooking app sec12 Recreational services</w:t>
      </w:r>
      <w:r>
        <w:t xml:space="preserve"> </w:t>
      </w:r>
      <w:r>
        <w:t xml:space="preserve">sec6 Heating and cooking appliances</w:t>
      </w:r>
      <w:r>
        <w:t xml:space="preserve"> </w:t>
      </w:r>
      <w:r>
        <w:t xml:space="preserve">sec13 Miscellaneous goods and services</w:t>
      </w:r>
      <w:r>
        <w:t xml:space="preserve"> </w:t>
      </w:r>
      <w:r>
        <w:t xml:space="preserve">sec7 Medical care and health</w:t>
      </w:r>
      <w:r>
        <w:t xml:space="preserve"> </w:t>
      </w:r>
      <w:r>
        <w:t xml:space="preserve">sec14 Education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with higher climate ambition increase costs for homeowners and renters alike. Similarly,</w:t>
      </w:r>
      <w:r>
        <w:t xml:space="preserve"> </w:t>
      </w:r>
      <w:r>
        <w:t xml:space="preserve">the relative price of the operation of transport equipment is projected to increase with a</w:t>
      </w:r>
      <w:r>
        <w:t xml:space="preserve"> </w:t>
      </w:r>
      <w:r>
        <w:t xml:space="preserve">higher level of mitigation in 2040. In contrast, the accelerated shift towards</w:t>
      </w:r>
      <w:r>
        <w:t xml:space="preserve"> </w:t>
      </w:r>
      <w:r>
        <w:t xml:space="preserve">electrification and renewables power generation is projected to decrease the relative</w:t>
      </w:r>
      <w:r>
        <w:t xml:space="preserve"> </w:t>
      </w:r>
      <w:r>
        <w:t xml:space="preserve">prices of fuels and power in S3 relative to S2, and increase it in S1 relative to S2 (Table</w:t>
      </w:r>
      <w:r>
        <w:t xml:space="preserve"> </w:t>
      </w:r>
      <w:r>
        <w:t xml:space="preserve">52).</w:t>
      </w:r>
      <w:r>
        <w:t xml:space="preserve"> </w:t>
      </w:r>
      <w:r>
        <w:t xml:space="preserve">Table 52: Changes in relative prices, S1 and S3 vs. S2 (% change)</w:t>
      </w:r>
    </w:p>
    <w:p>
      <w:pPr>
        <w:pStyle w:val="BodyText"/>
      </w:pPr>
      <w:r>
        <w:t xml:space="preserve">Source: JRC-GEM-E3.</w:t>
      </w:r>
      <w:r>
        <w:t xml:space="preserve"> </w:t>
      </w:r>
      <w:r>
        <w:t xml:space="preserve">Linking these estimated changes in relative prices to micro-data from the household</w:t>
      </w:r>
      <w:r>
        <w:t xml:space="preserve"> </w:t>
      </w:r>
      <w:r>
        <w:t xml:space="preserve">budgetary survey, the JRC estimated distribution impacts per expenditure and income</w:t>
      </w:r>
      <w:r>
        <w:t xml:space="preserve"> </w:t>
      </w:r>
      <w:r>
        <w:t xml:space="preserve">deciles (315). This work elaborates on what was done in the impact assessment for the</w:t>
      </w:r>
      <w:r>
        <w:t xml:space="preserve"> </w:t>
      </w:r>
      <w:r>
        <w:t xml:space="preserve">2030 Climate Target Plan and for the Council Recommendation on fair transition (316). It</w:t>
      </w:r>
      <w:r>
        <w:t xml:space="preserve"> </w:t>
      </w:r>
      <w:r>
        <w:t xml:space="preserve">improves the previous estimation of impacts by allowing the structure of household</w:t>
      </w:r>
      <w:r>
        <w:t xml:space="preserve"> </w:t>
      </w:r>
      <w:r>
        <w:t xml:space="preserve">consumption to vary over time. Previous estimates instead used the household budgetary</w:t>
      </w:r>
      <w:r>
        <w:t xml:space="preserve"> </w:t>
      </w:r>
      <w:r>
        <w:t xml:space="preserve">survey in a fully static manner, i.e., it assumed that the expenditure structure across</w:t>
      </w:r>
      <w:r>
        <w:t xml:space="preserve"> </w:t>
      </w:r>
      <w:r>
        <w:t xml:space="preserve">income groups did not change over time, and it applied changes in relative prices across</w:t>
      </w:r>
      <w:r>
        <w:t xml:space="preserve"> </w:t>
      </w:r>
      <w:r>
        <w:t xml:space="preserve">scenarios to the (static) historical expenditure structure from the data.</w:t>
      </w:r>
    </w:p>
    <w:p>
      <w:pPr>
        <w:pStyle w:val="Compact"/>
        <w:numPr>
          <w:ilvl w:val="0"/>
          <w:numId w:val="1135"/>
        </w:numPr>
      </w:pPr>
      <w:r>
        <w:t xml:space="preserve">The analytical tool was developed under two joint projects between the Directorate-General</w:t>
      </w:r>
      <w:r>
        <w:t xml:space="preserve"> </w:t>
      </w:r>
      <w:r>
        <w:t xml:space="preserve">Employment, Social Affairs and Inclusion and the Joint Research Centre. The two projects are:</w:t>
      </w:r>
      <w:r>
        <w:t xml:space="preserve"> </w:t>
      </w:r>
      <w:r>
        <w:t xml:space="preserve">“Assessing and monitoring employment and distributional impacts of the Green Deal (GD-AMEDI)”</w:t>
      </w:r>
      <w:r>
        <w:t xml:space="preserve"> </w:t>
      </w:r>
      <w:r>
        <w:t xml:space="preserve">and “Assessing distributional impacts of geopolitical developments and their direct and indirect socio-</w:t>
      </w:r>
      <w:r>
        <w:t xml:space="preserve"> </w:t>
      </w:r>
      <w:r>
        <w:t xml:space="preserve">economic implications, and socio-economic stress tests for future energy price scenarios (AMEDI+)”.</w:t>
      </w:r>
      <w:r>
        <w:t xml:space="preserve"> </w:t>
      </w:r>
      <w:r>
        <w:t xml:space="preserve">The projects combine macro- and micro-economic modelling approaches to enhance the</w:t>
      </w:r>
      <w:r>
        <w:t xml:space="preserve"> </w:t>
      </w:r>
      <w:r>
        <w:t xml:space="preserve">Commission’s analytical capacities for assessing and monitoring employment, social and distributional</w:t>
      </w:r>
      <w:r>
        <w:t xml:space="preserve"> </w:t>
      </w:r>
      <w:r>
        <w:t xml:space="preserve">impacts of climate and energy policies.</w:t>
      </w:r>
    </w:p>
    <w:p>
      <w:pPr>
        <w:pStyle w:val="Compact"/>
        <w:numPr>
          <w:ilvl w:val="0"/>
          <w:numId w:val="1135"/>
        </w:numPr>
      </w:pPr>
      <w:r>
        <w:t xml:space="preserve">Council Recommendation of 16 June 2022 on ensuring a fair transition towards climate neutrality</w:t>
      </w:r>
      <w:r>
        <w:t xml:space="preserve"> </w:t>
      </w:r>
      <w:r>
        <w:t xml:space="preserve">(2022/C 243/04). See also SWD(2021) 452 final, which provides an overview and discussion of the</w:t>
      </w:r>
      <w:r>
        <w:t xml:space="preserve"> </w:t>
      </w:r>
      <w:r>
        <w:t xml:space="preserve">available analytical evidence underpinning the recommended policy interventions.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Food beverages and tobacco</w:t>
      </w:r>
      <w:r>
        <w:t xml:space="preserve"> </w:t>
      </w:r>
      <w:r>
        <w:t xml:space="preserve">-0.3%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Clothing and footwear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Housing and water charges</w:t>
      </w:r>
      <w:r>
        <w:t xml:space="preserve"> </w:t>
      </w:r>
      <w:r>
        <w:t xml:space="preserve">-0.5%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0.0%</w:t>
      </w:r>
      <w:r>
        <w:t xml:space="preserve"> </w:t>
      </w:r>
      <w:r>
        <w:t xml:space="preserve">Fuels and power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-0.9%</w:t>
      </w:r>
      <w:r>
        <w:t xml:space="preserve"> </w:t>
      </w:r>
      <w:r>
        <w:t xml:space="preserve">-0.6%</w:t>
      </w:r>
      <w:r>
        <w:t xml:space="preserve"> </w:t>
      </w:r>
      <w:r>
        <w:t xml:space="preserve">Household equipment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Heating and cooking appliances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Medical care and health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Purchase of vehicles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Operation of transport equip.</w:t>
      </w:r>
      <w:r>
        <w:t xml:space="preserve"> </w:t>
      </w:r>
      <w:r>
        <w:t xml:space="preserve">-0.7%</w:t>
      </w:r>
      <w:r>
        <w:t xml:space="preserve"> </w:t>
      </w:r>
      <w:r>
        <w:t xml:space="preserve">0.0%</w:t>
      </w:r>
      <w:r>
        <w:t xml:space="preserve"> </w:t>
      </w:r>
      <w:r>
        <w:t xml:space="preserve">0.5%</w:t>
      </w:r>
      <w:r>
        <w:t xml:space="preserve"> </w:t>
      </w:r>
      <w:r>
        <w:t xml:space="preserve">0.0%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-1.7%</w:t>
      </w:r>
      <w:r>
        <w:t xml:space="preserve"> </w:t>
      </w:r>
      <w:r>
        <w:t xml:space="preserve">-0.1%</w:t>
      </w:r>
      <w:r>
        <w:t xml:space="preserve"> </w:t>
      </w:r>
      <w:r>
        <w:t xml:space="preserve">0.9%</w:t>
      </w:r>
      <w:r>
        <w:t xml:space="preserve"> </w:t>
      </w:r>
      <w:r>
        <w:t xml:space="preserve">0.2%</w:t>
      </w:r>
      <w:r>
        <w:t xml:space="preserve"> </w:t>
      </w:r>
      <w:r>
        <w:t xml:space="preserve">Communication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Recreational services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Miscellaneous goods and services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Education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S1</w:t>
      </w:r>
      <w:r>
        <w:t xml:space="preserve"> </w:t>
      </w:r>
      <w:r>
        <w:t xml:space="preserve">S3</w:t>
      </w:r>
    </w:p>
    <w:p>
      <w:pPr>
        <w:pStyle w:val="FirstParagraph"/>
      </w:pPr>
      <w:r>
        <w:t xml:space="preserve">216</w:t>
      </w:r>
    </w:p>
    <w:p>
      <w:pPr>
        <w:pStyle w:val="BodyText"/>
      </w:pPr>
      <w:r>
        <w:t xml:space="preserve">The estimates show that lower income households will be more affected than higher</w:t>
      </w:r>
      <w:r>
        <w:t xml:space="preserve"> </w:t>
      </w:r>
      <w:r>
        <w:t xml:space="preserve">income households as the level of climate ambition rises, as measured in terms of</w:t>
      </w:r>
      <w:r>
        <w:t xml:space="preserve"> </w:t>
      </w:r>
      <w:r>
        <w:t xml:space="preserve">compensating variation, i.e., the monetary transfer that would be necessary to maintain</w:t>
      </w:r>
      <w:r>
        <w:t xml:space="preserve"> </w:t>
      </w:r>
      <w:r>
        <w:t xml:space="preserve">the same level of utility as under the previous set of relative prices. Assuming that none</w:t>
      </w:r>
      <w:r>
        <w:t xml:space="preserve"> </w:t>
      </w:r>
      <w:r>
        <w:t xml:space="preserve">of the additional revenue from carbon pricing are redistributed to households to tamper</w:t>
      </w:r>
      <w:r>
        <w:t xml:space="preserve"> </w:t>
      </w:r>
      <w:r>
        <w:t xml:space="preserve">impacts, the welfare impact of S2 would amount to about -0.8% (% of total expenditure)</w:t>
      </w:r>
      <w:r>
        <w:t xml:space="preserve"> </w:t>
      </w:r>
      <w:r>
        <w:t xml:space="preserve">for the lowest expenditure deciles, and about -0.7% for the highest expenditure decile</w:t>
      </w:r>
      <w:r>
        <w:t xml:space="preserve"> </w:t>
      </w:r>
      <w:r>
        <w:t xml:space="preserve">(Figure 122). The effects would be larger under S3 at about -1.1% and -0.9%,</w:t>
      </w:r>
      <w:r>
        <w:t xml:space="preserve"> </w:t>
      </w:r>
      <w:r>
        <w:t xml:space="preserve">respectively (Figure 123).</w:t>
      </w:r>
      <w:r>
        <w:t xml:space="preserve"> </w:t>
      </w:r>
      <w:r>
        <w:t xml:space="preserve">Figure 122: Change in relative welfare by expenditure decile, S2</w:t>
      </w:r>
    </w:p>
    <w:p>
      <w:pPr>
        <w:pStyle w:val="BodyText"/>
      </w:pPr>
      <w:r>
        <w:t xml:space="preserve">Source: JRC.</w:t>
      </w:r>
      <w:r>
        <w:t xml:space="preserve"> </w:t>
      </w:r>
      <w:r>
        <w:t xml:space="preserve">Figure 123: Change in relative welfare by expenditure decile, S3</w:t>
      </w:r>
    </w:p>
    <w:p>
      <w:pPr>
        <w:pStyle w:val="BodyText"/>
      </w:pPr>
      <w:r>
        <w:t xml:space="preserve">Source: JRC.</w:t>
      </w:r>
      <w:r>
        <w:t xml:space="preserve"> </w:t>
      </w:r>
      <w:r>
        <w:t xml:space="preserve">Redistributing some or all of the additional carbon revenue would sharply reduce this</w:t>
      </w:r>
      <w:r>
        <w:t xml:space="preserve"> </w:t>
      </w:r>
      <w:r>
        <w:t xml:space="preserve">negative impact on the lower expenditure deciles, and it could even reverse it if the</w:t>
      </w:r>
      <w:r>
        <w:t xml:space="preserve"> </w:t>
      </w:r>
      <w:r>
        <w:t xml:space="preserve">redistribution is targeted, e.g., to the households with expenditure levels below 60% of</w:t>
      </w:r>
      <w:r>
        <w:t xml:space="preserve"> </w:t>
      </w:r>
      <w:r>
        <w:t xml:space="preserve">the median. Even a partial (50%) redistribution of additional carbon revenue would be</w:t>
      </w:r>
      <w:r>
        <w:t xml:space="preserve"> </w:t>
      </w:r>
      <w:r>
        <w:t xml:space="preserve">sufficient to reverse the negative distributional impacts on the lowest expenditure deciles,</w:t>
      </w:r>
      <w:r>
        <w:t xml:space="preserve"> </w:t>
      </w:r>
      <w:r>
        <w:t xml:space="preserve">if it is targeted on households with income below 60% of the median. It is important to</w:t>
      </w:r>
      <w:r>
        <w:t xml:space="preserve"> </w:t>
      </w:r>
      <w:r>
        <w:t xml:space="preserve">note also that the estimates of the effectiveness of redistributing carbon revenues are</w:t>
      </w:r>
      <w:r>
        <w:t xml:space="preserve"> </w:t>
      </w:r>
      <w:r>
        <w:t xml:space="preserve">-0.9</w:t>
      </w:r>
      <w:r>
        <w:t xml:space="preserve"> </w:t>
      </w:r>
      <w:r>
        <w:t xml:space="preserve">-0.7</w:t>
      </w:r>
      <w:r>
        <w:t xml:space="preserve"> </w:t>
      </w:r>
      <w:r>
        <w:t xml:space="preserve">-0.5</w:t>
      </w:r>
      <w:r>
        <w:t xml:space="preserve"> </w:t>
      </w:r>
      <w:r>
        <w:t xml:space="preserve">-0.3</w:t>
      </w:r>
      <w:r>
        <w:t xml:space="preserve"> </w:t>
      </w:r>
      <w:r>
        <w:t xml:space="preserve">-0.1</w:t>
      </w:r>
      <w:r>
        <w:t xml:space="preserve"> </w:t>
      </w:r>
      <w:r>
        <w:t xml:space="preserve">0.1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1.1</w:t>
      </w:r>
      <w:r>
        <w:t xml:space="preserve"> </w:t>
      </w:r>
      <w:r>
        <w:t xml:space="preserve">1.3</w:t>
      </w:r>
      <w:r>
        <w:t xml:space="preserve"> </w:t>
      </w:r>
      <w:r>
        <w:t xml:space="preserve">1.5</w:t>
      </w:r>
      <w:r>
        <w:t xml:space="preserve"> </w:t>
      </w:r>
      <w:r>
        <w:t xml:space="preserve">1.7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Welfare impact, % of total expenditure</w:t>
      </w:r>
      <w:r>
        <w:t xml:space="preserve"> </w:t>
      </w:r>
      <w:r>
        <w:t xml:space="preserve">Expenditure deciles</w:t>
      </w:r>
      <w:r>
        <w:t xml:space="preserve"> </w:t>
      </w:r>
      <w:r>
        <w:t xml:space="preserve">Share of additional carbon revenue recycled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Via lump sum transfers to</w:t>
      </w:r>
      <w:r>
        <w:t xml:space="preserve"> </w:t>
      </w:r>
      <w:r>
        <w:t xml:space="preserve">households with expenditure</w:t>
      </w:r>
      <w:r>
        <w:t xml:space="preserve"> </w:t>
      </w:r>
      <w:r>
        <w:t xml:space="preserve">below:</w:t>
      </w:r>
      <w:r>
        <w:t xml:space="preserve"> </w:t>
      </w:r>
      <w:r>
        <w:t xml:space="preserve">Maximum (all)</w:t>
      </w:r>
      <w:r>
        <w:t xml:space="preserve"> </w:t>
      </w:r>
      <w:r>
        <w:t xml:space="preserve">Median</w:t>
      </w:r>
      <w:r>
        <w:t xml:space="preserve"> </w:t>
      </w:r>
      <w:r>
        <w:t xml:space="preserve">60% of the median</w:t>
      </w:r>
      <w:r>
        <w:t xml:space="preserve"> </w:t>
      </w:r>
      <w:r>
        <w:t xml:space="preserve">-1.2</w:t>
      </w:r>
      <w:r>
        <w:t xml:space="preserve"> </w:t>
      </w:r>
      <w:r>
        <w:t xml:space="preserve">-1.0</w:t>
      </w:r>
      <w:r>
        <w:t xml:space="preserve"> </w:t>
      </w:r>
      <w:r>
        <w:t xml:space="preserve">-0.8</w:t>
      </w:r>
      <w:r>
        <w:t xml:space="preserve"> </w:t>
      </w:r>
      <w:r>
        <w:t xml:space="preserve">-0.6</w:t>
      </w:r>
      <w:r>
        <w:t xml:space="preserve"> </w:t>
      </w:r>
      <w:r>
        <w:t xml:space="preserve">-0.4</w:t>
      </w:r>
      <w:r>
        <w:t xml:space="preserve"> </w:t>
      </w:r>
      <w:r>
        <w:t xml:space="preserve">-0.2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0.6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Welfare impact, % of total expenditure</w:t>
      </w:r>
      <w:r>
        <w:t xml:space="preserve"> </w:t>
      </w:r>
      <w:r>
        <w:t xml:space="preserve">Expenditure deciles</w:t>
      </w:r>
      <w:r>
        <w:t xml:space="preserve"> </w:t>
      </w:r>
      <w:r>
        <w:t xml:space="preserve">Share of additional carbon revenue recycled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Via lump sum transfers to</w:t>
      </w:r>
      <w:r>
        <w:t xml:space="preserve"> </w:t>
      </w:r>
      <w:r>
        <w:t xml:space="preserve">households with expenditure</w:t>
      </w:r>
      <w:r>
        <w:t xml:space="preserve"> </w:t>
      </w:r>
      <w:r>
        <w:t xml:space="preserve">below:</w:t>
      </w:r>
      <w:r>
        <w:t xml:space="preserve"> </w:t>
      </w:r>
      <w:r>
        <w:t xml:space="preserve">Maximum (all)</w:t>
      </w:r>
      <w:r>
        <w:t xml:space="preserve"> </w:t>
      </w:r>
      <w:r>
        <w:t xml:space="preserve">Median</w:t>
      </w:r>
      <w:r>
        <w:t xml:space="preserve"> </w:t>
      </w:r>
      <w:r>
        <w:t xml:space="preserve">60% of the median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based on the use of only additional carbon revenue between S2 or S3 and S1. They do</w:t>
      </w:r>
      <w:r>
        <w:t xml:space="preserve"> </w:t>
      </w:r>
      <w:r>
        <w:t xml:space="preserve">not account for full extent of carbon revenues, which would be much larger than the</w:t>
      </w:r>
      <w:r>
        <w:t xml:space="preserve"> </w:t>
      </w:r>
      <w:r>
        <w:t xml:space="preserve">additional ones given that S1 already factors in the vast majority of carbon revenues.</w:t>
      </w:r>
    </w:p>
    <w:p>
      <w:pPr>
        <w:pStyle w:val="BodyText"/>
      </w:pPr>
      <w:r>
        <w:t xml:space="preserve">2.4.5. The equity dimension</w:t>
      </w:r>
      <w:r>
        <w:t xml:space="preserve"> </w:t>
      </w:r>
      <w:r>
        <w:t xml:space="preserve">According to the UNEP Gap Report 2022 (Figure 124), there are high-emitting</w:t>
      </w:r>
      <w:r>
        <w:t xml:space="preserve"> </w:t>
      </w:r>
      <w:r>
        <w:t xml:space="preserve">households in all major economies. Different levels of household GHG emissions exist</w:t>
      </w:r>
      <w:r>
        <w:t xml:space="preserve"> </w:t>
      </w:r>
      <w:r>
        <w:t xml:space="preserve">both within and between countries. The low-emitting households have relatively close</w:t>
      </w:r>
      <w:r>
        <w:t xml:space="preserve"> </w:t>
      </w:r>
      <w:r>
        <w:t xml:space="preserve">levels of emissions throughout countries, but the emission range for the top 1% emitting</w:t>
      </w:r>
      <w:r>
        <w:t xml:space="preserve"> </w:t>
      </w:r>
      <w:r>
        <w:t xml:space="preserve">households is quite broad.</w:t>
      </w:r>
      <w:r>
        <w:t xml:space="preserve"> </w:t>
      </w:r>
      <w:r>
        <w:t xml:space="preserve">Figure 124: Household GHG emissions per income category</w:t>
      </w:r>
    </w:p>
    <w:p>
      <w:pPr>
        <w:pStyle w:val="BodyText"/>
      </w:pPr>
      <w:r>
        <w:t xml:space="preserve">Note: Per capita emissions include emissions from domestic consumption, public and private investments,</w:t>
      </w:r>
      <w:r>
        <w:t xml:space="preserve"> </w:t>
      </w:r>
      <w:r>
        <w:t xml:space="preserve">and imports and exports of carbon embedded in trade with the rest of the world. Households are ranked</w:t>
      </w:r>
      <w:r>
        <w:t xml:space="preserve"> </w:t>
      </w:r>
      <w:r>
        <w:t xml:space="preserve">according to total emissions and divided accordingly into groups (e.g., the bottom 50 per cent refers to the</w:t>
      </w:r>
      <w:r>
        <w:t xml:space="preserve"> </w:t>
      </w:r>
      <w:r>
        <w:t xml:space="preserve">50 per cent of households with the lowest emissions in that country or region).</w:t>
      </w:r>
      <w:r>
        <w:t xml:space="preserve"> </w:t>
      </w:r>
      <w:r>
        <w:t xml:space="preserve">Source: UNEP Gap Report 2022</w:t>
      </w:r>
      <w:r>
        <w:br/>
      </w:r>
      <w:r>
        <w:t xml:space="preserve">2.5.</w:t>
      </w:r>
      <w:r>
        <w:t xml:space="preserve"> </w:t>
      </w:r>
      <w:r>
        <w:t xml:space="preserve">Regional impacts</w:t>
      </w:r>
      <w:r>
        <w:t xml:space="preserve"> </w:t>
      </w:r>
      <w:r>
        <w:t xml:space="preserve">2.5.1. Regional exposure to climate change</w:t>
      </w:r>
      <w:r>
        <w:t xml:space="preserve"> </w:t>
      </w:r>
      <w:r>
        <w:t xml:space="preserve">For the regional impacts of climate change, we refer to Annex 7 on the cost of 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2.5.2. Regional exposure to the transition</w:t>
      </w:r>
      <w:r>
        <w:t xml:space="preserve"> </w:t>
      </w:r>
      <w:r>
        <w:t xml:space="preserve">The European Climate Law specifies that, “[when] proposing the Union 2040 climate</w:t>
      </w:r>
      <w:r>
        <w:t xml:space="preserve"> </w:t>
      </w:r>
      <w:r>
        <w:t xml:space="preserve">target in accordance with paragraph 3, the Commission shall consider […] fairness and</w:t>
      </w:r>
      <w:r>
        <w:t xml:space="preserve"> </w:t>
      </w:r>
      <w:r>
        <w:t xml:space="preserve">solidarity between and within Member States”. The macro-economic modelling work</w:t>
      </w:r>
      <w:r>
        <w:t xml:space="preserve"> </w:t>
      </w:r>
      <w:r>
        <w:t xml:space="preserve">conducted for 2030-2050 is at the EU and sectoral level (GEM-E3, E3ME, E-QUEST). It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does not examine the impacts at the regional level. Below, we characterise regions as</w:t>
      </w:r>
      <w:r>
        <w:t xml:space="preserve"> </w:t>
      </w:r>
      <w:r>
        <w:t xml:space="preserve">they stand today in order to anticipate their exposure to the transition. This is based on</w:t>
      </w:r>
      <w:r>
        <w:t xml:space="preserve"> </w:t>
      </w:r>
      <w:r>
        <w:t xml:space="preserve">EDGAR, regional emissions inventory which monitors the emissions of greenhouse</w:t>
      </w:r>
      <w:r>
        <w:t xml:space="preserve"> </w:t>
      </w:r>
      <w:r>
        <w:t xml:space="preserve">gases since 1990 for 26 broad sectors (317).</w:t>
      </w:r>
      <w:r>
        <w:t xml:space="preserve"> </w:t>
      </w:r>
      <w:r>
        <w:t xml:space="preserve">2.5.2.1.GHG intensity of the regions</w:t>
      </w:r>
      <w:r>
        <w:t xml:space="preserve"> </w:t>
      </w:r>
      <w:r>
        <w:t xml:space="preserve">The total emissions at the regional level (Figure 125), the emissions per capita (Figure</w:t>
      </w:r>
      <w:r>
        <w:t xml:space="preserve"> </w:t>
      </w:r>
      <w:r>
        <w:t xml:space="preserve">126) as well as the emission intensity of the regions (Figure 127) show the diversity of</w:t>
      </w:r>
      <w:r>
        <w:t xml:space="preserve"> </w:t>
      </w:r>
      <w:r>
        <w:t xml:space="preserve">circumstances in which regions are. These figures have to be interpreted carefully as</w:t>
      </w:r>
      <w:r>
        <w:t xml:space="preserve"> </w:t>
      </w:r>
      <w:r>
        <w:t xml:space="preserve">some regions with relative low emissions levels may depend on some emission intensive</w:t>
      </w:r>
      <w:r>
        <w:t xml:space="preserve"> </w:t>
      </w:r>
      <w:r>
        <w:t xml:space="preserve">industries (for example for power generation) that are located in other regions. Changes</w:t>
      </w:r>
      <w:r>
        <w:t xml:space="preserve"> </w:t>
      </w:r>
      <w:r>
        <w:t xml:space="preserve">in regional emissions may be the result of the decarbonisation of economic activities but</w:t>
      </w:r>
      <w:r>
        <w:t xml:space="preserve"> </w:t>
      </w:r>
      <w:r>
        <w:t xml:space="preserve">also of the closure, opening or relocation of activities, as well as of population</w:t>
      </w:r>
      <w:r>
        <w:t xml:space="preserve"> </w:t>
      </w:r>
      <w:r>
        <w:t xml:space="preserve">migrations. Some regions, such as the capital region of Lithuania (Sostinės regionas) and</w:t>
      </w:r>
      <w:r>
        <w:t xml:space="preserve"> </w:t>
      </w:r>
      <w:r>
        <w:t xml:space="preserve">Western Macedonia (EL), have seen their total emissions being reduced by about 70% in</w:t>
      </w:r>
      <w:r>
        <w:t xml:space="preserve"> </w:t>
      </w:r>
      <w:r>
        <w:t xml:space="preserve">the last three decades. Others, such as the Groningen (NL) and central Greece (EL)</w:t>
      </w:r>
      <w:r>
        <w:t xml:space="preserve"> </w:t>
      </w:r>
      <w:r>
        <w:t xml:space="preserve">regions, have a high emission intensity and have not yet shown a strong decarbonisation</w:t>
      </w:r>
      <w:r>
        <w:t xml:space="preserve"> </w:t>
      </w:r>
      <w:r>
        <w:t xml:space="preserve">trend in the last decades (318).</w:t>
      </w:r>
      <w:r>
        <w:br/>
      </w:r>
      <w:r>
        <w:t xml:space="preserve">The total emissions at regional level reflect the economic activities of the regions and the</w:t>
      </w:r>
      <w:r>
        <w:t xml:space="preserve"> </w:t>
      </w:r>
      <w:r>
        <w:t xml:space="preserve">emission intensity of these activities. For example, the regions with the highest per capita</w:t>
      </w:r>
      <w:r>
        <w:t xml:space="preserve"> </w:t>
      </w:r>
      <w:r>
        <w:t xml:space="preserve">emissions are Zeeland (NL) and Western Macedonia (Greece). In Zeeland, 60% of</w:t>
      </w:r>
      <w:r>
        <w:t xml:space="preserve"> </w:t>
      </w:r>
      <w:r>
        <w:t xml:space="preserve">emissions are caused by industry, while in Western Macedonia almost 70% of emissions</w:t>
      </w:r>
      <w:r>
        <w:t xml:space="preserve"> </w:t>
      </w:r>
      <w:r>
        <w:t xml:space="preserve">are due to electricity generation.</w:t>
      </w:r>
      <w:r>
        <w:t xml:space="preserve"> </w:t>
      </w:r>
      <w:r>
        <w:t xml:space="preserve">Figure 125: Total emissions at regional level (left) and corresponding change since 1990</w:t>
      </w:r>
      <w:r>
        <w:t xml:space="preserve"> </w:t>
      </w:r>
      <w:r>
        <w:t xml:space="preserve">(right)</w:t>
      </w:r>
    </w:p>
    <w:p>
      <w:pPr>
        <w:pStyle w:val="Compact"/>
        <w:numPr>
          <w:ilvl w:val="0"/>
          <w:numId w:val="1136"/>
        </w:numPr>
      </w:pPr>
      <w:r>
        <w:t xml:space="preserve">Guizzardi, Diego; Pisoni, Enrico; Pagani, Federico; Crippa, Monica (2023): GHG Emissions at sub-</w:t>
      </w:r>
      <w:r>
        <w:t xml:space="preserve"> </w:t>
      </w:r>
      <w:r>
        <w:t xml:space="preserve">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Joint</w:t>
      </w:r>
      <w:r>
        <w:t xml:space="preserve"> </w:t>
      </w:r>
      <w:r>
        <w:t xml:space="preserve">Research</w:t>
      </w:r>
      <w:r>
        <w:t xml:space="preserve"> </w:t>
      </w:r>
      <w:r>
        <w:t xml:space="preserve">Centre</w:t>
      </w:r>
      <w:r>
        <w:t xml:space="preserve"> </w:t>
      </w:r>
      <w:r>
        <w:t xml:space="preserve">(JRC)</w:t>
      </w:r>
      <w:r>
        <w:t xml:space="preserve"> </w:t>
      </w:r>
      <w:r>
        <w:t xml:space="preserve">[Dataset]</w:t>
      </w:r>
      <w:r>
        <w:t xml:space="preserve"> </w:t>
      </w:r>
      <w:r>
        <w:t xml:space="preserve">doi:</w:t>
      </w:r>
      <w:r>
        <w:t xml:space="preserve"> </w:t>
      </w:r>
      <w:r>
        <w:t xml:space="preserve">10.2905/D67EEDA8-C03E-4421-95D0-0ADC460B9658 PID: http://data.europa.eu/89h/d67eeda8-</w:t>
      </w:r>
      <w:r>
        <w:t xml:space="preserve"> </w:t>
      </w:r>
      <w:r>
        <w:t xml:space="preserve">c03e-4421-95d0-0adc460b9658</w:t>
      </w:r>
    </w:p>
    <w:p>
      <w:pPr>
        <w:pStyle w:val="Compact"/>
        <w:numPr>
          <w:ilvl w:val="0"/>
          <w:numId w:val="1136"/>
        </w:numPr>
      </w:pPr>
      <w:r>
        <w:t xml:space="preserve">In the case of Groningen, emissions might decrease after the permanent closure of the region’s gas</w:t>
      </w:r>
      <w:r>
        <w:t xml:space="preserve"> </w:t>
      </w:r>
      <w:r>
        <w:t xml:space="preserve">field in 2023.</w:t>
      </w:r>
    </w:p>
    <w:p>
      <w:pPr>
        <w:pStyle w:val="FirstParagraph"/>
      </w:pPr>
      <w:r>
        <w:t xml:space="preserve">219</w:t>
      </w:r>
    </w:p>
    <w:p>
      <w:pPr>
        <w:pStyle w:val="BodyText"/>
      </w:pPr>
      <w:r>
        <w:t xml:space="preserve">Note: leaving out aviation and shipping.</w:t>
      </w:r>
      <w:r>
        <w:t xml:space="preserve"> </w:t>
      </w:r>
      <w:r>
        <w:t xml:space="preserve">Source: EDGAR emissions database</w:t>
      </w:r>
      <w:r>
        <w:t xml:space="preserve"> </w:t>
      </w:r>
      <w:r>
        <w:t xml:space="preserve">Figure 126: GHG emissions per capita in 2021 and change in GHG emissions per capita</w:t>
      </w:r>
      <w:r>
        <w:t xml:space="preserve"> </w:t>
      </w:r>
      <w:r>
        <w:t xml:space="preserve">between 1990 and 2021</w:t>
      </w:r>
    </w:p>
    <w:p>
      <w:pPr>
        <w:pStyle w:val="BodyText"/>
      </w:pPr>
      <w:r>
        <w:t xml:space="preserve">Note: leaving out aviation and shipping.</w:t>
      </w:r>
      <w:r>
        <w:t xml:space="preserve"> </w:t>
      </w:r>
      <w:r>
        <w:t xml:space="preserve">Source: EDGAR emissions database</w:t>
      </w:r>
      <w:r>
        <w:br/>
      </w:r>
      <w:r>
        <w:t xml:space="preserve">For 174 regions out of 242, emissions per capita (Table 53) in 2021 were above 5 tCO2-eq per</w:t>
      </w:r>
      <w:r>
        <w:t xml:space="preserve"> </w:t>
      </w:r>
      <w:r>
        <w:t xml:space="preserve">person), which is approximately the emission per capita level implied by the 2030 target.</w:t>
      </w:r>
      <w:r>
        <w:t xml:space="preserve"> </w:t>
      </w:r>
      <w:r>
        <w:t xml:space="preserve">Among the 242 NUTS2 regions, 68 regions reached emission levels below 5 tCO2-eq per</w:t>
      </w:r>
      <w:r>
        <w:t xml:space="preserve"> </w:t>
      </w:r>
      <w:r>
        <w:t xml:space="preserve">person in 2021. Decarbonization is not a linear process. For the richest western Member</w:t>
      </w:r>
      <w:r>
        <w:t xml:space="preserve"> </w:t>
      </w:r>
      <w:r>
        <w:t xml:space="preserve">States, regional emissions have mostly been declining. But for most of the countries that</w:t>
      </w:r>
      <w:r>
        <w:t xml:space="preserve"> </w:t>
      </w:r>
      <w:r>
        <w:t xml:space="preserve">accessed the EU in or after 2004, the fall in emissions in the years after the collapse of the</w:t>
      </w:r>
      <w:r>
        <w:t xml:space="preserve"> </w:t>
      </w:r>
      <w:r>
        <w:t xml:space="preserve">Soviet Union was followed by a relative stable trend or even an increase. In aggregate, out of</w:t>
      </w:r>
      <w:r>
        <w:t xml:space="preserve"> </w:t>
      </w:r>
      <w:r>
        <w:t xml:space="preserve">the 242 NUTS 2 regions, 155 experienced a downward trend in emissions per capita since</w:t>
      </w:r>
      <w:r>
        <w:t xml:space="preserve"> </w:t>
      </w:r>
      <w:r>
        <w:t xml:space="preserve">1990, 74 since 2005, eight since 2010, and three since 2015. In two Polish regions, per capita</w:t>
      </w:r>
      <w:r>
        <w:t xml:space="preserve"> </w:t>
      </w:r>
      <w:r>
        <w:t xml:space="preserve">emissions are still increasing.</w:t>
      </w:r>
      <w:r>
        <w:br/>
      </w:r>
      <w:r>
        <w:t xml:space="preserve">Overall, between 1990 and 2021, emissions per capita in regions (see Table 53) have</w:t>
      </w:r>
      <w:r>
        <w:t xml:space="preserve"> </w:t>
      </w:r>
      <w:r>
        <w:t xml:space="preserve">decreased. For example, in Denmark, the national average was 6.9 tCO2-eq per person in</w:t>
      </w:r>
      <w:r>
        <w:t xml:space="preserve"> </w:t>
      </w:r>
      <w:r>
        <w:t xml:space="preserve">2021, with regional levels ranging from 3.2 to 13.2 tCO2-eq per person, in comparison with a</w:t>
      </w:r>
      <w:r>
        <w:t xml:space="preserve"> </w:t>
      </w:r>
      <w:r>
        <w:t xml:space="preserve">national average of 13.4 tCO2-eq per person in 1990 and regional levels between 8.8 and</w:t>
      </w:r>
      <w:r>
        <w:t xml:space="preserve"> </w:t>
      </w:r>
      <w:r>
        <w:t xml:space="preserve">21.1 tCO2-eq per person in that year. Only in Hungary the level of emission per capita in the</w:t>
      </w:r>
      <w:r>
        <w:t xml:space="preserve"> </w:t>
      </w:r>
      <w:r>
        <w:t xml:space="preserve">less emitting region has significantly increased between 1990 and 2021 (from 2.9 to 4.5</w:t>
      </w:r>
      <w:r>
        <w:t xml:space="preserve"> </w:t>
      </w:r>
      <w:r>
        <w:t xml:space="preserve">tCO2-eq per person). This is due to the installation and closure of coal fired power stations.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Table 53: National per capita emissions and range across regions</w:t>
      </w:r>
      <w:r>
        <w:t xml:space="preserve"> </w:t>
      </w:r>
      <w:r>
        <w:t xml:space="preserve">TCO2-EQ PER PERSON</w:t>
      </w:r>
      <w:r>
        <w:t xml:space="preserve"> </w:t>
      </w:r>
      <w:r>
        <w:t xml:space="preserve">1990</w:t>
      </w:r>
      <w:r>
        <w:t xml:space="preserve"> </w:t>
      </w:r>
      <w:r>
        <w:t xml:space="preserve">2021</w:t>
      </w:r>
      <w:r>
        <w:t xml:space="preserve"> </w:t>
      </w:r>
      <w:r>
        <w:t xml:space="preserve">Austria</w:t>
      </w:r>
      <w:r>
        <w:t xml:space="preserve"> </w:t>
      </w:r>
      <w:r>
        <w:t xml:space="preserve">10.8 (4.5 - 15.4)</w:t>
      </w:r>
      <w:r>
        <w:t xml:space="preserve"> </w:t>
      </w:r>
      <w:r>
        <w:t xml:space="preserve">9.2 (4.2 - 13.7)</w:t>
      </w:r>
      <w:r>
        <w:t xml:space="preserve"> </w:t>
      </w:r>
      <w:r>
        <w:t xml:space="preserve">Belgium</w:t>
      </w:r>
      <w:r>
        <w:t xml:space="preserve"> </w:t>
      </w:r>
      <w:r>
        <w:t xml:space="preserve">14.5 (4.4 - 20.8)</w:t>
      </w:r>
      <w:r>
        <w:t xml:space="preserve"> </w:t>
      </w:r>
      <w:r>
        <w:t xml:space="preserve">10.8 (3.9 - 15.6)</w:t>
      </w:r>
      <w:r>
        <w:t xml:space="preserve"> </w:t>
      </w:r>
      <w:r>
        <w:t xml:space="preserve">Bulgaria</w:t>
      </w:r>
      <w:r>
        <w:t xml:space="preserve"> </w:t>
      </w:r>
      <w:r>
        <w:t xml:space="preserve">11.8 (7.5 - 21.5)</w:t>
      </w:r>
      <w:r>
        <w:t xml:space="preserve"> </w:t>
      </w:r>
      <w:r>
        <w:t xml:space="preserve">8.6 (5.8 - 20.5)</w:t>
      </w:r>
      <w:r>
        <w:t xml:space="preserve"> </w:t>
      </w:r>
      <w:r>
        <w:t xml:space="preserve">Croatia</w:t>
      </w:r>
      <w:r>
        <w:t xml:space="preserve"> </w:t>
      </w:r>
      <w:r>
        <w:t xml:space="preserve">7.5 (3 - 10.2)</w:t>
      </w:r>
      <w:r>
        <w:t xml:space="preserve"> </w:t>
      </w:r>
      <w:r>
        <w:t xml:space="preserve">6.1 (3.5 - 7.9)</w:t>
      </w:r>
      <w:r>
        <w:t xml:space="preserve"> </w:t>
      </w:r>
      <w:r>
        <w:t xml:space="preserve">Cyprus</w:t>
      </w:r>
      <w:r>
        <w:t xml:space="preserve"> </w:t>
      </w:r>
      <w:r>
        <w:t xml:space="preserve">9.3</w:t>
      </w:r>
      <w:r>
        <w:t xml:space="preserve"> </w:t>
      </w:r>
      <w:r>
        <w:t xml:space="preserve">9.5</w:t>
      </w:r>
      <w:r>
        <w:t xml:space="preserve"> </w:t>
      </w:r>
      <w:r>
        <w:t xml:space="preserve">Czechia</w:t>
      </w:r>
      <w:r>
        <w:t xml:space="preserve"> </w:t>
      </w:r>
      <w:r>
        <w:t xml:space="preserve">18.9 (7.4 - 39.2)</w:t>
      </w:r>
      <w:r>
        <w:t xml:space="preserve"> </w:t>
      </w:r>
      <w:r>
        <w:t xml:space="preserve">11.3 (4 - 27.9)</w:t>
      </w:r>
      <w:r>
        <w:t xml:space="preserve"> </w:t>
      </w:r>
      <w:r>
        <w:t xml:space="preserve">Denmark</w:t>
      </w:r>
      <w:r>
        <w:t xml:space="preserve"> </w:t>
      </w:r>
      <w:r>
        <w:t xml:space="preserve">13.4 (8.8 - 21.1)</w:t>
      </w:r>
      <w:r>
        <w:t xml:space="preserve"> </w:t>
      </w:r>
      <w:r>
        <w:t xml:space="preserve">6.9 (3.2 - 13.2)</w:t>
      </w:r>
      <w:r>
        <w:t xml:space="preserve"> </w:t>
      </w:r>
      <w:r>
        <w:t xml:space="preserve">Estonia</w:t>
      </w:r>
      <w:r>
        <w:t xml:space="preserve"> </w:t>
      </w:r>
      <w:r>
        <w:t xml:space="preserve">27.2</w:t>
      </w:r>
      <w:r>
        <w:t xml:space="preserve"> </w:t>
      </w:r>
      <w:r>
        <w:t xml:space="preserve">14.8</w:t>
      </w:r>
      <w:r>
        <w:t xml:space="preserve"> </w:t>
      </w:r>
      <w:r>
        <w:t xml:space="preserve">Finland</w:t>
      </w:r>
      <w:r>
        <w:t xml:space="preserve"> </w:t>
      </w:r>
      <w:r>
        <w:t xml:space="preserve">16.9 (2.1 - 22.1)</w:t>
      </w:r>
      <w:r>
        <w:t xml:space="preserve"> </w:t>
      </w:r>
      <w:r>
        <w:t xml:space="preserve">11.6 (1 - 13.8)</w:t>
      </w:r>
      <w:r>
        <w:t xml:space="preserve"> </w:t>
      </w:r>
      <w:r>
        <w:t xml:space="preserve">France</w:t>
      </w:r>
      <w:r>
        <w:t xml:space="preserve"> </w:t>
      </w:r>
      <w:r>
        <w:t xml:space="preserve">9.6 (0.1 - 33.2)</w:t>
      </w:r>
      <w:r>
        <w:t xml:space="preserve"> </w:t>
      </w:r>
      <w:r>
        <w:t xml:space="preserve">6.3 (0.1 - 21.6)</w:t>
      </w:r>
      <w:r>
        <w:t xml:space="preserve"> </w:t>
      </w:r>
      <w:r>
        <w:t xml:space="preserve">Germany</w:t>
      </w:r>
      <w:r>
        <w:t xml:space="preserve"> </w:t>
      </w:r>
      <w:r>
        <w:t xml:space="preserve">15.5 (6.5 - 30.6)</w:t>
      </w:r>
      <w:r>
        <w:t xml:space="preserve"> </w:t>
      </w:r>
      <w:r>
        <w:t xml:space="preserve">9.3 (4.7 - 19.7)</w:t>
      </w:r>
      <w:r>
        <w:t xml:space="preserve"> </w:t>
      </w:r>
      <w:r>
        <w:t xml:space="preserve">Greece</w:t>
      </w:r>
      <w:r>
        <w:t xml:space="preserve"> </w:t>
      </w:r>
      <w:r>
        <w:t xml:space="preserve">9.6 (3.7 - 101.2)</w:t>
      </w:r>
      <w:r>
        <w:t xml:space="preserve"> </w:t>
      </w:r>
      <w:r>
        <w:t xml:space="preserve">6.7 (3.8 - 33.4)</w:t>
      </w:r>
      <w:r>
        <w:t xml:space="preserve"> </w:t>
      </w:r>
      <w:r>
        <w:t xml:space="preserve">Hungary</w:t>
      </w:r>
      <w:r>
        <w:t xml:space="preserve"> </w:t>
      </w:r>
      <w:r>
        <w:t xml:space="preserve">9.3 (2.9 - 20)</w:t>
      </w:r>
      <w:r>
        <w:t xml:space="preserve"> </w:t>
      </w:r>
      <w:r>
        <w:t xml:space="preserve">7.1 (4.5 - 11.7)</w:t>
      </w:r>
      <w:r>
        <w:t xml:space="preserve"> </w:t>
      </w:r>
      <w:r>
        <w:t xml:space="preserve">Ireland</w:t>
      </w:r>
      <w:r>
        <w:t xml:space="preserve"> </w:t>
      </w:r>
      <w:r>
        <w:t xml:space="preserve">16.5 (10.8 - 23.5)</w:t>
      </w:r>
      <w:r>
        <w:t xml:space="preserve"> </w:t>
      </w:r>
      <w:r>
        <w:t xml:space="preserve">12.4 (8.7 - 16.4)</w:t>
      </w:r>
      <w:r>
        <w:t xml:space="preserve"> </w:t>
      </w:r>
      <w:r>
        <w:t xml:space="preserve">Italy</w:t>
      </w:r>
      <w:r>
        <w:t xml:space="preserve"> </w:t>
      </w:r>
      <w:r>
        <w:t xml:space="preserve">9.3 (4.9 - 16.8)</w:t>
      </w:r>
      <w:r>
        <w:t xml:space="preserve"> </w:t>
      </w:r>
      <w:r>
        <w:t xml:space="preserve">6.6 (4.1 - 13.3)</w:t>
      </w:r>
      <w:r>
        <w:t xml:space="preserve"> </w:t>
      </w:r>
      <w:r>
        <w:t xml:space="preserve">Latvia</w:t>
      </w:r>
      <w:r>
        <w:t xml:space="preserve"> </w:t>
      </w:r>
      <w:r>
        <w:t xml:space="preserve">10.5</w:t>
      </w:r>
      <w:r>
        <w:t xml:space="preserve"> </w:t>
      </w:r>
      <w:r>
        <w:t xml:space="preserve">6.2</w:t>
      </w:r>
      <w:r>
        <w:t xml:space="preserve"> </w:t>
      </w:r>
      <w:r>
        <w:t xml:space="preserve">Lithuania</w:t>
      </w:r>
      <w:r>
        <w:t xml:space="preserve"> </w:t>
      </w:r>
      <w:r>
        <w:t xml:space="preserve">12.9 (11.9 - 15.7)</w:t>
      </w:r>
      <w:r>
        <w:t xml:space="preserve"> </w:t>
      </w:r>
      <w:r>
        <w:t xml:space="preserve">8.4 (5.2 - 9.7)</w:t>
      </w:r>
      <w:r>
        <w:t xml:space="preserve"> </w:t>
      </w:r>
      <w:r>
        <w:t xml:space="preserve">Luxembourg</w:t>
      </w:r>
      <w:r>
        <w:t xml:space="preserve"> </w:t>
      </w:r>
      <w:r>
        <w:t xml:space="preserve">33.5</w:t>
      </w:r>
      <w:r>
        <w:t xml:space="preserve"> </w:t>
      </w:r>
      <w:r>
        <w:t xml:space="preserve">14.7</w:t>
      </w:r>
      <w:r>
        <w:t xml:space="preserve"> </w:t>
      </w:r>
      <w:r>
        <w:t xml:space="preserve">Malta</w:t>
      </w:r>
      <w:r>
        <w:t xml:space="preserve"> </w:t>
      </w:r>
      <w:r>
        <w:t xml:space="preserve">7.1</w:t>
      </w:r>
      <w:r>
        <w:t xml:space="preserve"> </w:t>
      </w:r>
      <w:r>
        <w:t xml:space="preserve">4.2</w:t>
      </w:r>
      <w:r>
        <w:t xml:space="preserve"> </w:t>
      </w:r>
      <w:r>
        <w:t xml:space="preserve">Netherlands</w:t>
      </w:r>
      <w:r>
        <w:t xml:space="preserve"> </w:t>
      </w:r>
      <w:r>
        <w:t xml:space="preserve">16.3 (10.4 - 64.2)</w:t>
      </w:r>
      <w:r>
        <w:t xml:space="preserve"> </w:t>
      </w:r>
      <w:r>
        <w:t xml:space="preserve">11.1 (5.8 - 35.2)</w:t>
      </w:r>
      <w:r>
        <w:t xml:space="preserve"> </w:t>
      </w:r>
      <w:r>
        <w:t xml:space="preserve">Poland</w:t>
      </w:r>
      <w:r>
        <w:t xml:space="preserve"> </w:t>
      </w:r>
      <w:r>
        <w:t xml:space="preserve">13.6 (5.2 - 28.2)</w:t>
      </w:r>
      <w:r>
        <w:t xml:space="preserve"> </w:t>
      </w:r>
      <w:r>
        <w:t xml:space="preserve">11 (4.6 - 22.8)</w:t>
      </w:r>
      <w:r>
        <w:t xml:space="preserve"> </w:t>
      </w:r>
      <w:r>
        <w:t xml:space="preserve">Portugal</w:t>
      </w:r>
      <w:r>
        <w:t xml:space="preserve"> </w:t>
      </w:r>
      <w:r>
        <w:t xml:space="preserve">5.9 (2.1 - 24.8)</w:t>
      </w:r>
      <w:r>
        <w:t xml:space="preserve"> </w:t>
      </w:r>
      <w:r>
        <w:t xml:space="preserve">5.4 (2.5 - 15)</w:t>
      </w:r>
      <w:r>
        <w:t xml:space="preserve"> </w:t>
      </w:r>
      <w:r>
        <w:t xml:space="preserve">Romania</w:t>
      </w:r>
      <w:r>
        <w:t xml:space="preserve"> </w:t>
      </w:r>
      <w:r>
        <w:t xml:space="preserve">10.1 (5.3 - 17.1)</w:t>
      </w:r>
      <w:r>
        <w:t xml:space="preserve"> </w:t>
      </w:r>
      <w:r>
        <w:t xml:space="preserve">6.2 (2.9 - 10.4)</w:t>
      </w:r>
      <w:r>
        <w:t xml:space="preserve"> </w:t>
      </w:r>
      <w:r>
        <w:t xml:space="preserve">Slovakia</w:t>
      </w:r>
      <w:r>
        <w:t xml:space="preserve"> </w:t>
      </w:r>
      <w:r>
        <w:t xml:space="preserve">14.2 (10 - 18.9)</w:t>
      </w:r>
      <w:r>
        <w:t xml:space="preserve"> </w:t>
      </w:r>
      <w:r>
        <w:t xml:space="preserve">8.8 (6.2 - 11.6)</w:t>
      </w:r>
      <w:r>
        <w:t xml:space="preserve"> </w:t>
      </w:r>
      <w:r>
        <w:t xml:space="preserve">Slovenia</w:t>
      </w:r>
      <w:r>
        <w:t xml:space="preserve"> </w:t>
      </w:r>
      <w:r>
        <w:t xml:space="preserve">11.6 (8.4 - 14.2)</w:t>
      </w:r>
      <w:r>
        <w:t xml:space="preserve"> </w:t>
      </w:r>
      <w:r>
        <w:t xml:space="preserve">9.1 (6.4 - 11.5)</w:t>
      </w:r>
      <w:r>
        <w:t xml:space="preserve"> </w:t>
      </w:r>
      <w:r>
        <w:t xml:space="preserve">Spain</w:t>
      </w:r>
      <w:r>
        <w:t xml:space="preserve"> </w:t>
      </w:r>
      <w:r>
        <w:t xml:space="preserve">7.4 (2.8 - 35.2)</w:t>
      </w:r>
      <w:r>
        <w:t xml:space="preserve"> </w:t>
      </w:r>
      <w:r>
        <w:t xml:space="preserve">6.3 (2.3 - 16.7)</w:t>
      </w:r>
      <w:r>
        <w:t xml:space="preserve"> </w:t>
      </w:r>
      <w:r>
        <w:t xml:space="preserve">Sweden</w:t>
      </w:r>
      <w:r>
        <w:t xml:space="preserve"> </w:t>
      </w:r>
      <w:r>
        <w:t xml:space="preserve">9.2 (6.6 - 17.2)</w:t>
      </w:r>
      <w:r>
        <w:t xml:space="preserve"> </w:t>
      </w:r>
      <w:r>
        <w:t xml:space="preserve">5.8 (3.9 - 13.7)</w:t>
      </w:r>
      <w:r>
        <w:t xml:space="preserve"> </w:t>
      </w:r>
      <w:r>
        <w:t xml:space="preserve">Note: For countries with one region only, a figure instead of a range is reported.</w:t>
      </w:r>
      <w:r>
        <w:t xml:space="preserve"> </w:t>
      </w:r>
      <w:r>
        <w:t xml:space="preserve">Source: EDGAR emissions database</w:t>
      </w:r>
      <w:r>
        <w:t xml:space="preserve"> </w:t>
      </w:r>
      <w:r>
        <w:t xml:space="preserve">In 214 out of the 242 EU regions, the GHG intensity (emissions per regional economic</w:t>
      </w:r>
      <w:r>
        <w:t xml:space="preserve"> </w:t>
      </w:r>
      <w:r>
        <w:t xml:space="preserve">output) is above 0.15 (Figure 127), i.e. above the EU average that is compatible with an at</w:t>
      </w:r>
      <w:r>
        <w:t xml:space="preserve"> </w:t>
      </w:r>
      <w:r>
        <w:t xml:space="preserve">least 55% net GHG emission reduction by 2030 (319). However, in all but eight regions</w:t>
      </w:r>
      <w:r>
        <w:t xml:space="preserve"> </w:t>
      </w:r>
      <w:r>
        <w:t xml:space="preserve">emission intensity has declined since 1990. In fact, more than half of the EU’s regions</w:t>
      </w:r>
      <w:r>
        <w:t xml:space="preserve"> </w:t>
      </w:r>
      <w:r>
        <w:t xml:space="preserve">(122 out of 242) have seen their emission intensity decrease by more than 50% since</w:t>
      </w:r>
      <w:r>
        <w:t xml:space="preserve"> </w:t>
      </w:r>
      <w:r>
        <w:t xml:space="preserve">1990, including in several regions that had a very high emission intensity such as</w:t>
      </w:r>
      <w:r>
        <w:t xml:space="preserve"> </w:t>
      </w:r>
      <w:r>
        <w:t xml:space="preserve">Świętokrzyskie (PL) and Western Macedonia (EL).</w:t>
      </w:r>
    </w:p>
    <w:p>
      <w:pPr>
        <w:pStyle w:val="Compact"/>
        <w:numPr>
          <w:ilvl w:val="0"/>
          <w:numId w:val="1137"/>
        </w:numPr>
      </w:pPr>
      <w:r>
        <w:t xml:space="preserve">The figure of the EU average GHG intensity compatible with the 55% target depends on the</w:t>
      </w:r>
      <w:r>
        <w:t xml:space="preserve"> </w:t>
      </w:r>
      <w:r>
        <w:t xml:space="preserve">computation method and on the GDP estimates used. Other computations can give an average of 0.10</w:t>
      </w:r>
      <w:r>
        <w:t xml:space="preserve"> </w:t>
      </w:r>
      <w:r>
        <w:t xml:space="preserve">tCO2eq per 1000 euros instead of 0.15.</w:t>
      </w:r>
    </w:p>
    <w:p>
      <w:pPr>
        <w:pStyle w:val="FirstParagraph"/>
      </w:pPr>
      <w:r>
        <w:t xml:space="preserve">221</w:t>
      </w:r>
    </w:p>
    <w:p>
      <w:pPr>
        <w:pStyle w:val="BodyText"/>
      </w:pPr>
      <w:r>
        <w:t xml:space="preserve">Figure 127:Emission intensity (left) and corresponding change since 1990 (right)</w:t>
      </w:r>
      <w:r>
        <w:t xml:space="preserve"> </w:t>
      </w:r>
      <w:r>
        <w:t xml:space="preserve">Note: leaving out aviation and shipping</w:t>
      </w:r>
      <w:r>
        <w:t xml:space="preserve"> </w:t>
      </w:r>
      <w:r>
        <w:t xml:space="preserve">Source: EDGAR emissions database</w:t>
      </w:r>
      <w:r>
        <w:br/>
      </w:r>
      <w:r>
        <w:t xml:space="preserve">The exposure of regions to the transition is strongly dependent on their economic activities.</w:t>
      </w:r>
      <w:r>
        <w:t xml:space="preserve"> </w:t>
      </w:r>
      <w:r>
        <w:t xml:space="preserve">While the energy, industry, transport, building and agriculture sectors respectively represent</w:t>
      </w:r>
      <w:r>
        <w:t xml:space="preserve"> </w:t>
      </w:r>
      <w:r>
        <w:t xml:space="preserve">27, 23, 20, 14 and 11% of total EU GHG emissions (Figure 128), the distribution of sectoral</w:t>
      </w:r>
      <w:r>
        <w:t xml:space="preserve"> </w:t>
      </w:r>
      <w:r>
        <w:t xml:space="preserve">emissions in specific regions is more diverse. For example, the sector contributing the most</w:t>
      </w:r>
      <w:r>
        <w:t xml:space="preserve"> </w:t>
      </w:r>
      <w:r>
        <w:t xml:space="preserve">to GHG emissions is agriculture (39%) in the west of France, industry (33%) in Romania,</w:t>
      </w:r>
      <w:r>
        <w:t xml:space="preserve"> </w:t>
      </w:r>
      <w:r>
        <w:t xml:space="preserve">energy (34%) in most Polish regions, and transport (45%) in the north of Sweden (in the</w:t>
      </w:r>
      <w:r>
        <w:t xml:space="preserve"> </w:t>
      </w:r>
      <w:r>
        <w:t xml:space="preserve">region Mellersta Norrland).</w:t>
      </w:r>
      <w:r>
        <w:t xml:space="preserve"> </w:t>
      </w:r>
      <w:r>
        <w:t xml:space="preserve">Figure 128: Greenhouse gas emissions by sector in the EU27 and sector with the highest</w:t>
      </w:r>
      <w:r>
        <w:t xml:space="preserve"> </w:t>
      </w:r>
      <w:r>
        <w:t xml:space="preserve">contribution at the regional level in 2021</w:t>
      </w:r>
    </w:p>
    <w:p>
      <w:pPr>
        <w:pStyle w:val="BodyText"/>
      </w:pPr>
      <w:r>
        <w:t xml:space="preserve">Note: leaving out aviation and shipping</w:t>
      </w:r>
      <w:r>
        <w:t xml:space="preserve"> </w:t>
      </w:r>
      <w:r>
        <w:t xml:space="preserve">Source: EDGAR emissions database(320)</w:t>
      </w:r>
      <w:r>
        <w:t xml:space="preserve"> </w:t>
      </w:r>
      <w:r>
        <w:t xml:space="preserve">Table 54 and Table 55 present the sectoral per capita emissions at the national level and</w:t>
      </w:r>
      <w:r>
        <w:t xml:space="preserve"> </w:t>
      </w:r>
      <w:r>
        <w:t xml:space="preserve">the range of these across regions in each country, in 1990 and 2021 respectively. The</w:t>
      </w:r>
    </w:p>
    <w:p>
      <w:pPr>
        <w:pStyle w:val="Compact"/>
        <w:numPr>
          <w:ilvl w:val="0"/>
          <w:numId w:val="1138"/>
        </w:numPr>
      </w:pPr>
      <w:r>
        <w:t xml:space="preserve">Emissions data in EDGAR include CO2, CH4, N2O, F-gases.</w:t>
      </w:r>
    </w:p>
    <w:p>
      <w:pPr>
        <w:pStyle w:val="FirstParagraph"/>
      </w:pPr>
      <w:r>
        <w:t xml:space="preserve">222</w:t>
      </w:r>
    </w:p>
    <w:p>
      <w:pPr>
        <w:pStyle w:val="BodyText"/>
      </w:pPr>
      <w:r>
        <w:t xml:space="preserve">national averages reflect the structure of the country’s economy. For example, emissions</w:t>
      </w:r>
      <w:r>
        <w:t xml:space="preserve"> </w:t>
      </w:r>
      <w:r>
        <w:t xml:space="preserve">in Ireland are largely driven by the agricultural sector (6 tCO2-eq per person in 1990 and</w:t>
      </w:r>
      <w:r>
        <w:t xml:space="preserve"> </w:t>
      </w:r>
      <w:r>
        <w:t xml:space="preserve">4.6 in 2021). However, the ranges across regions show the diversity within country. For</w:t>
      </w:r>
      <w:r>
        <w:t xml:space="preserve"> </w:t>
      </w:r>
      <w:r>
        <w:t xml:space="preserve">example, in France, the highest regional agricultural emissions amounted to 18 tCO2-eq</w:t>
      </w:r>
      <w:r>
        <w:t xml:space="preserve"> </w:t>
      </w:r>
      <w:r>
        <w:t xml:space="preserve">per person in 1990 and decreased to 9.5 in 2021.</w:t>
      </w:r>
      <w:r>
        <w:t xml:space="preserve"> </w:t>
      </w:r>
      <w:r>
        <w:t xml:space="preserve">For the energy and industry sectors, which have been largely covered by the EU</w:t>
      </w:r>
      <w:r>
        <w:t xml:space="preserve"> </w:t>
      </w:r>
      <w:r>
        <w:t xml:space="preserve">Emissions Trading System (EU ETS) since 2005, the decarbonisation trend is clear. In</w:t>
      </w:r>
      <w:r>
        <w:t xml:space="preserve"> </w:t>
      </w:r>
      <w:r>
        <w:t xml:space="preserve">1990 national sectoral emissions per capita were ranging from 0.8 (France) to 6.2 tCO2-</w:t>
      </w:r>
      <w:r>
        <w:t xml:space="preserve"> </w:t>
      </w:r>
      <w:r>
        <w:t xml:space="preserve">eq per person (Czechia) for the energy sector and from 0.1 (Malta) to 6.8 tCO2-eq per</w:t>
      </w:r>
      <w:r>
        <w:t xml:space="preserve"> </w:t>
      </w:r>
      <w:r>
        <w:t xml:space="preserve">person (Czechia) for the industry sector. In 2021 these emissions are lower and closer to</w:t>
      </w:r>
      <w:r>
        <w:t xml:space="preserve"> </w:t>
      </w:r>
      <w:r>
        <w:t xml:space="preserve">one another, from 0.3 tCO2-eq per person (Lithuania) to 4.3 (Estonia) for the energy</w:t>
      </w:r>
      <w:r>
        <w:t xml:space="preserve"> </w:t>
      </w:r>
      <w:r>
        <w:t xml:space="preserve">sector, and from 0.7 tCO2-eq per person (Malta) to 4.7 (Estonia) for industry. Due to the</w:t>
      </w:r>
      <w:r>
        <w:t xml:space="preserve"> </w:t>
      </w:r>
      <w:r>
        <w:t xml:space="preserve">regional concentration of some activities, disparities across a country’s regions can be</w:t>
      </w:r>
      <w:r>
        <w:t xml:space="preserve"> </w:t>
      </w:r>
      <w:r>
        <w:t xml:space="preserve">large. For example, in the Netherlands regional emissions from the energy sector range</w:t>
      </w:r>
      <w:r>
        <w:t xml:space="preserve"> </w:t>
      </w:r>
      <w:r>
        <w:t xml:space="preserve">from 0.4 – 22 tCO2-eq per person and from industry from 1.2 - 21.4 tCO2-eq per person.</w:t>
      </w:r>
      <w:r>
        <w:br/>
      </w:r>
      <w:r>
        <w:t xml:space="preserve">Emissions from the transport and building sectors will be covered by the ETS2. To</w:t>
      </w:r>
      <w:r>
        <w:t xml:space="preserve"> </w:t>
      </w:r>
      <w:r>
        <w:t xml:space="preserve">address potential social impacts of this new instrument, the Social Climate Fund will</w:t>
      </w:r>
      <w:r>
        <w:t xml:space="preserve"> </w:t>
      </w:r>
      <w:r>
        <w:t xml:space="preserve">finance temporary direct income support for vulnerable households and support measures</w:t>
      </w:r>
      <w:r>
        <w:t xml:space="preserve"> </w:t>
      </w:r>
      <w:r>
        <w:t xml:space="preserve">and investments that reduce these emissions (see more details in the enabling framework</w:t>
      </w:r>
      <w:r>
        <w:t xml:space="preserve"> </w:t>
      </w:r>
      <w:r>
        <w:t xml:space="preserve">in Annex 9).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Table 54: Sectoral per capita emissions and range across regions in 1990</w:t>
      </w:r>
      <w:r>
        <w:br/>
      </w:r>
      <w:r>
        <w:t xml:space="preserve">TCO2-EQ</w:t>
      </w:r>
      <w:r>
        <w:t xml:space="preserve"> </w:t>
      </w:r>
      <w:r>
        <w:t xml:space="preserve">PER PERSON</w:t>
      </w:r>
      <w:r>
        <w:t xml:space="preserve"> </w:t>
      </w:r>
      <w:r>
        <w:t xml:space="preserve">AGRICULTURE</w:t>
      </w:r>
      <w:r>
        <w:t xml:space="preserve"> </w:t>
      </w:r>
      <w:r>
        <w:t xml:space="preserve">BUILDINGS</w:t>
      </w:r>
      <w:r>
        <w:t xml:space="preserve"> </w:t>
      </w:r>
      <w:r>
        <w:t xml:space="preserve">ENERGY</w:t>
      </w:r>
      <w:r>
        <w:t xml:space="preserve"> </w:t>
      </w:r>
      <w:r>
        <w:t xml:space="preserve">INDUSTRY</w:t>
      </w:r>
      <w:r>
        <w:t xml:space="preserve"> </w:t>
      </w:r>
      <w:r>
        <w:t xml:space="preserve">TRANSPORT</w:t>
      </w:r>
      <w:r>
        <w:t xml:space="preserve"> </w:t>
      </w:r>
      <w:r>
        <w:t xml:space="preserve">WASTE</w:t>
      </w:r>
      <w:r>
        <w:t xml:space="preserve"> </w:t>
      </w:r>
      <w:r>
        <w:t xml:space="preserve">Austria</w:t>
      </w:r>
      <w:r>
        <w:t xml:space="preserve"> </w:t>
      </w:r>
      <w:r>
        <w:t xml:space="preserve">1.2 (0 - 1.9)</w:t>
      </w:r>
      <w:r>
        <w:t xml:space="preserve"> </w:t>
      </w:r>
      <w:r>
        <w:t xml:space="preserve">1.8 (1.2 - 2.3)</w:t>
      </w:r>
      <w:r>
        <w:t xml:space="preserve"> </w:t>
      </w:r>
      <w:r>
        <w:t xml:space="preserve">1.9 (0.3 - 4.2)</w:t>
      </w:r>
      <w:r>
        <w:t xml:space="preserve"> </w:t>
      </w:r>
      <w:r>
        <w:t xml:space="preserve">3.2 (1.1 - 7.3)</w:t>
      </w:r>
      <w:r>
        <w:t xml:space="preserve"> </w:t>
      </w:r>
      <w:r>
        <w:t xml:space="preserve">1.8 (0.3 - 2.8)</w:t>
      </w:r>
      <w:r>
        <w:t xml:space="preserve"> </w:t>
      </w:r>
      <w:r>
        <w:t xml:space="preserve">0.8 (0.1 - 1.8)</w:t>
      </w:r>
      <w:r>
        <w:t xml:space="preserve"> </w:t>
      </w:r>
      <w:r>
        <w:t xml:space="preserve">Belgium</w:t>
      </w:r>
      <w:r>
        <w:t xml:space="preserve"> </w:t>
      </w:r>
      <w:r>
        <w:t xml:space="preserve">1.2 (0 - 4.4)</w:t>
      </w:r>
      <w:r>
        <w:t xml:space="preserve"> </w:t>
      </w:r>
      <w:r>
        <w:t xml:space="preserve">2.7 (2 - 3.2)</w:t>
      </w:r>
      <w:r>
        <w:t xml:space="preserve"> </w:t>
      </w:r>
      <w:r>
        <w:t xml:space="preserve">2.6 (0.1 - 5.3)</w:t>
      </w:r>
      <w:r>
        <w:t xml:space="preserve"> </w:t>
      </w:r>
      <w:r>
        <w:t xml:space="preserve">5.3 (1.5 - 11.7)</w:t>
      </w:r>
      <w:r>
        <w:t xml:space="preserve"> </w:t>
      </w:r>
      <w:r>
        <w:t xml:space="preserve">2 (0.5 - 6.3)</w:t>
      </w:r>
      <w:r>
        <w:t xml:space="preserve"> </w:t>
      </w:r>
      <w:r>
        <w:t xml:space="preserve">0.7 (0.3 - 2.4)</w:t>
      </w:r>
      <w:r>
        <w:t xml:space="preserve"> </w:t>
      </w:r>
      <w:r>
        <w:t xml:space="preserve">Bulgaria</w:t>
      </w:r>
      <w:r>
        <w:t xml:space="preserve"> </w:t>
      </w:r>
      <w:r>
        <w:t xml:space="preserve">1.4 (0.7 - 1.7)</w:t>
      </w:r>
      <w:r>
        <w:t xml:space="preserve"> </w:t>
      </w:r>
      <w:r>
        <w:t xml:space="preserve">0.9 (0.8 - 1)</w:t>
      </w:r>
      <w:r>
        <w:t xml:space="preserve"> </w:t>
      </w:r>
      <w:r>
        <w:t xml:space="preserve">5 (1 - 15)</w:t>
      </w:r>
      <w:r>
        <w:t xml:space="preserve"> </w:t>
      </w:r>
      <w:r>
        <w:t xml:space="preserve">2.7 (0.8 - 3.8)</w:t>
      </w:r>
      <w:r>
        <w:t xml:space="preserve"> </w:t>
      </w:r>
      <w:r>
        <w:t xml:space="preserve">0.7 (0.6 - 0.9)</w:t>
      </w:r>
      <w:r>
        <w:t xml:space="preserve"> </w:t>
      </w:r>
      <w:r>
        <w:t xml:space="preserve">1 (0.5 - 1.4)</w:t>
      </w:r>
      <w:r>
        <w:t xml:space="preserve"> </w:t>
      </w:r>
      <w:r>
        <w:t xml:space="preserve">Croatia</w:t>
      </w:r>
      <w:r>
        <w:t xml:space="preserve"> </w:t>
      </w:r>
      <w:r>
        <w:t xml:space="preserve">1 (0.1 - 1.5)</w:t>
      </w:r>
      <w:r>
        <w:t xml:space="preserve"> </w:t>
      </w:r>
      <w:r>
        <w:t xml:space="preserve">0.9 (0.5 - 1.1)</w:t>
      </w:r>
      <w:r>
        <w:t xml:space="preserve"> </w:t>
      </w:r>
      <w:r>
        <w:t xml:space="preserve">1 (0.4 - 1.5)</w:t>
      </w:r>
      <w:r>
        <w:t xml:space="preserve"> </w:t>
      </w:r>
      <w:r>
        <w:t xml:space="preserve">3.6 (1.7 - 5.4)</w:t>
      </w:r>
      <w:r>
        <w:t xml:space="preserve"> </w:t>
      </w:r>
      <w:r>
        <w:t xml:space="preserve">0.8 (0.2 - 1)</w:t>
      </w:r>
      <w:r>
        <w:t xml:space="preserve"> </w:t>
      </w:r>
      <w:r>
        <w:t xml:space="preserve">0.2 (0.2 - 0.2)</w:t>
      </w:r>
      <w:r>
        <w:t xml:space="preserve"> </w:t>
      </w:r>
      <w:r>
        <w:t xml:space="preserve">Cyprus</w:t>
      </w:r>
      <w:r>
        <w:t xml:space="preserve"> </w:t>
      </w:r>
      <w:r>
        <w:t xml:space="preserve">0.8 (0.8 – 0.8)</w:t>
      </w:r>
      <w:r>
        <w:t xml:space="preserve"> </w:t>
      </w:r>
      <w:r>
        <w:t xml:space="preserve">0.3 (0.3 – 0.3)</w:t>
      </w:r>
      <w:r>
        <w:t xml:space="preserve"> </w:t>
      </w:r>
      <w:r>
        <w:t xml:space="preserve">3 (3 – 3)</w:t>
      </w:r>
      <w:r>
        <w:t xml:space="preserve"> </w:t>
      </w:r>
      <w:r>
        <w:t xml:space="preserve">2.6 (2.6 – 2.6)</w:t>
      </w:r>
      <w:r>
        <w:t xml:space="preserve"> </w:t>
      </w:r>
      <w:r>
        <w:t xml:space="preserve">2.1 (2.1 -2.1)</w:t>
      </w:r>
      <w:r>
        <w:t xml:space="preserve"> </w:t>
      </w:r>
      <w:r>
        <w:t xml:space="preserve">0.6 (0.6 – 0.6)</w:t>
      </w:r>
      <w:r>
        <w:t xml:space="preserve"> </w:t>
      </w:r>
      <w:r>
        <w:t xml:space="preserve">Czechia</w:t>
      </w:r>
      <w:r>
        <w:t xml:space="preserve"> </w:t>
      </w:r>
      <w:r>
        <w:t xml:space="preserve">1.7 (0 - 3.8)</w:t>
      </w:r>
      <w:r>
        <w:t xml:space="preserve"> </w:t>
      </w:r>
      <w:r>
        <w:t xml:space="preserve">3 (2 - 3.3)</w:t>
      </w:r>
      <w:r>
        <w:t xml:space="preserve"> </w:t>
      </w:r>
      <w:r>
        <w:t xml:space="preserve">6.2 (1.4 - 27.4)</w:t>
      </w:r>
      <w:r>
        <w:t xml:space="preserve"> </w:t>
      </w:r>
      <w:r>
        <w:t xml:space="preserve">6.8 (3.2 - 24)</w:t>
      </w:r>
      <w:r>
        <w:t xml:space="preserve"> </w:t>
      </w:r>
      <w:r>
        <w:t xml:space="preserve">0.7 (0.2 - 1)</w:t>
      </w:r>
      <w:r>
        <w:t xml:space="preserve"> </w:t>
      </w:r>
      <w:r>
        <w:t xml:space="preserve">0.4 (0.2 - 1)</w:t>
      </w:r>
      <w:r>
        <w:t xml:space="preserve"> </w:t>
      </w:r>
      <w:r>
        <w:t xml:space="preserve">Denmark</w:t>
      </w:r>
      <w:r>
        <w:t xml:space="preserve"> </w:t>
      </w:r>
      <w:r>
        <w:t xml:space="preserve">2.4 (0.2 - 4.4)</w:t>
      </w:r>
      <w:r>
        <w:t xml:space="preserve"> </w:t>
      </w:r>
      <w:r>
        <w:t xml:space="preserve">1.7 (1.6 - 1.8)</w:t>
      </w:r>
      <w:r>
        <w:t xml:space="preserve"> </w:t>
      </w:r>
      <w:r>
        <w:t xml:space="preserve">4.9 (1.7 - 12.9)</w:t>
      </w:r>
      <w:r>
        <w:t xml:space="preserve"> </w:t>
      </w:r>
      <w:r>
        <w:t xml:space="preserve">1.9 (1.2 - 2.9)</w:t>
      </w:r>
      <w:r>
        <w:t xml:space="preserve"> </w:t>
      </w:r>
      <w:r>
        <w:t xml:space="preserve">1.9 (1 - 2.5)</w:t>
      </w:r>
      <w:r>
        <w:t xml:space="preserve"> </w:t>
      </w:r>
      <w:r>
        <w:t xml:space="preserve">0.4 (0.2 - 0.7)</w:t>
      </w:r>
      <w:r>
        <w:t xml:space="preserve"> </w:t>
      </w:r>
      <w:r>
        <w:t xml:space="preserve">Estonia</w:t>
      </w:r>
      <w:r>
        <w:t xml:space="preserve"> </w:t>
      </w:r>
      <w:r>
        <w:t xml:space="preserve">1.9 (1.9 – 1.9)</w:t>
      </w:r>
      <w:r>
        <w:t xml:space="preserve"> </w:t>
      </w:r>
      <w:r>
        <w:t xml:space="preserve">1.3 (1.3 – 1.3)</w:t>
      </w:r>
      <w:r>
        <w:t xml:space="preserve"> </w:t>
      </w:r>
      <w:r>
        <w:t xml:space="preserve">16.8 (16.8 –</w:t>
      </w:r>
      <w:r>
        <w:t xml:space="preserve"> </w:t>
      </w:r>
      <w:r>
        <w:t xml:space="preserve">16.8)</w:t>
      </w:r>
      <w:r>
        <w:t xml:space="preserve"> </w:t>
      </w:r>
      <w:r>
        <w:t xml:space="preserve">4.5 (4.5 – 4.5)</w:t>
      </w:r>
      <w:r>
        <w:t xml:space="preserve"> </w:t>
      </w:r>
      <w:r>
        <w:t xml:space="preserve">1.5 (1.5 – 1.5)</w:t>
      </w:r>
      <w:r>
        <w:t xml:space="preserve"> </w:t>
      </w:r>
      <w:r>
        <w:t xml:space="preserve">1.1 (1.1 – 1.1)</w:t>
      </w:r>
      <w:r>
        <w:t xml:space="preserve"> </w:t>
      </w:r>
      <w:r>
        <w:t xml:space="preserve">Finland</w:t>
      </w:r>
      <w:r>
        <w:t xml:space="preserve"> </w:t>
      </w:r>
      <w:r>
        <w:t xml:space="preserve">1.3 (0.3 - 2.5)</w:t>
      </w:r>
      <w:r>
        <w:t xml:space="preserve"> </w:t>
      </w:r>
      <w:r>
        <w:t xml:space="preserve">1.9 (0.1 - 2)</w:t>
      </w:r>
      <w:r>
        <w:t xml:space="preserve"> </w:t>
      </w:r>
      <w:r>
        <w:t xml:space="preserve">3.8 (0.7 - 6.2)</w:t>
      </w:r>
      <w:r>
        <w:t xml:space="preserve"> </w:t>
      </w:r>
      <w:r>
        <w:t xml:space="preserve">4.1 (0 - 6.4)</w:t>
      </w:r>
      <w:r>
        <w:t xml:space="preserve"> </w:t>
      </w:r>
      <w:r>
        <w:t xml:space="preserve">2.2 (1.2 - 3.7)</w:t>
      </w:r>
      <w:r>
        <w:t xml:space="preserve"> </w:t>
      </w:r>
      <w:r>
        <w:t xml:space="preserve">3.5 (0 - 4.6)</w:t>
      </w:r>
      <w:r>
        <w:t xml:space="preserve"> </w:t>
      </w:r>
      <w:r>
        <w:t xml:space="preserve">France</w:t>
      </w:r>
      <w:r>
        <w:t xml:space="preserve"> </w:t>
      </w:r>
      <w:r>
        <w:t xml:space="preserve">1.5 (0.1 - 18)</w:t>
      </w:r>
      <w:r>
        <w:t xml:space="preserve"> </w:t>
      </w:r>
      <w:r>
        <w:t xml:space="preserve">1.8 (0 - 2.6)</w:t>
      </w:r>
      <w:r>
        <w:t xml:space="preserve"> </w:t>
      </w:r>
      <w:r>
        <w:t xml:space="preserve">0.8 (0 - 3.3)</w:t>
      </w:r>
      <w:r>
        <w:t xml:space="preserve"> </w:t>
      </w:r>
      <w:r>
        <w:t xml:space="preserve">3 (0 - 7.4)</w:t>
      </w:r>
      <w:r>
        <w:t xml:space="preserve"> </w:t>
      </w:r>
      <w:r>
        <w:t xml:space="preserve">1.9 (0.6 - 3.6)</w:t>
      </w:r>
      <w:r>
        <w:t xml:space="preserve"> </w:t>
      </w:r>
      <w:r>
        <w:t xml:space="preserve">0.4 (0.1 - 3.6)</w:t>
      </w:r>
      <w:r>
        <w:t xml:space="preserve"> </w:t>
      </w:r>
      <w:r>
        <w:t xml:space="preserve">Germany</w:t>
      </w:r>
      <w:r>
        <w:t xml:space="preserve"> </w:t>
      </w:r>
      <w:r>
        <w:t xml:space="preserve">1.1 (0 - 4.1)</w:t>
      </w:r>
      <w:r>
        <w:t xml:space="preserve"> </w:t>
      </w:r>
      <w:r>
        <w:t xml:space="preserve">2.8 (1.8 - 3.3)</w:t>
      </w:r>
      <w:r>
        <w:t xml:space="preserve"> </w:t>
      </w:r>
      <w:r>
        <w:t xml:space="preserve">4.8 (0.4 - 17.8)</w:t>
      </w:r>
      <w:r>
        <w:t xml:space="preserve"> </w:t>
      </w:r>
      <w:r>
        <w:t xml:space="preserve">4.2 (1.6 - 9.6)</w:t>
      </w:r>
      <w:r>
        <w:t xml:space="preserve"> </w:t>
      </w:r>
      <w:r>
        <w:t xml:space="preserve">2 (0.5 - 4.4)</w:t>
      </w:r>
      <w:r>
        <w:t xml:space="preserve"> </w:t>
      </w:r>
      <w:r>
        <w:t xml:space="preserve">0.6 (0.1 - 3.2)</w:t>
      </w:r>
      <w:r>
        <w:t xml:space="preserve"> </w:t>
      </w:r>
      <w:r>
        <w:t xml:space="preserve">Greece</w:t>
      </w:r>
      <w:r>
        <w:t xml:space="preserve"> </w:t>
      </w:r>
      <w:r>
        <w:t xml:space="preserve">0.9 (0 - 2.8)</w:t>
      </w:r>
      <w:r>
        <w:t xml:space="preserve"> </w:t>
      </w:r>
      <w:r>
        <w:t xml:space="preserve">0.9 (0.6 - 1.2)</w:t>
      </w:r>
      <w:r>
        <w:t xml:space="preserve"> </w:t>
      </w:r>
      <w:r>
        <w:t xml:space="preserve">3.5 (0 - 88.6)</w:t>
      </w:r>
      <w:r>
        <w:t xml:space="preserve"> </w:t>
      </w:r>
      <w:r>
        <w:t xml:space="preserve">2.7 (1.1 - 7.4)</w:t>
      </w:r>
      <w:r>
        <w:t xml:space="preserve"> </w:t>
      </w:r>
      <w:r>
        <w:t xml:space="preserve">1.2 (0.5 - 2.5)</w:t>
      </w:r>
      <w:r>
        <w:t xml:space="preserve"> </w:t>
      </w:r>
      <w:r>
        <w:t xml:space="preserve">0.4 (0.1 - 1.1)</w:t>
      </w:r>
      <w:r>
        <w:t xml:space="preserve"> </w:t>
      </w:r>
      <w:r>
        <w:t xml:space="preserve">Hungary</w:t>
      </w:r>
      <w:r>
        <w:t xml:space="preserve"> </w:t>
      </w:r>
      <w:r>
        <w:t xml:space="preserve">1.1 (0 - 1.9)</w:t>
      </w:r>
      <w:r>
        <w:t xml:space="preserve"> </w:t>
      </w:r>
      <w:r>
        <w:t xml:space="preserve">2 (1.1 - 3)</w:t>
      </w:r>
      <w:r>
        <w:t xml:space="preserve"> </w:t>
      </w:r>
      <w:r>
        <w:t xml:space="preserve">2 (0.1 - 8.5)</w:t>
      </w:r>
      <w:r>
        <w:t xml:space="preserve"> </w:t>
      </w:r>
      <w:r>
        <w:t xml:space="preserve">2.7 (0.8 - 8.1)</w:t>
      </w:r>
      <w:r>
        <w:t xml:space="preserve"> </w:t>
      </w:r>
      <w:r>
        <w:t xml:space="preserve">0.8 (0.2 - 1.1)</w:t>
      </w:r>
      <w:r>
        <w:t xml:space="preserve"> </w:t>
      </w:r>
      <w:r>
        <w:t xml:space="preserve">0.6 (0.5 - 0.9)</w:t>
      </w:r>
      <w:r>
        <w:t xml:space="preserve"> </w:t>
      </w:r>
      <w:r>
        <w:t xml:space="preserve">Ireland</w:t>
      </w:r>
      <w:r>
        <w:t xml:space="preserve"> </w:t>
      </w:r>
      <w:r>
        <w:t xml:space="preserve">6 (2.7 - 9.7)</w:t>
      </w:r>
      <w:r>
        <w:t xml:space="preserve"> </w:t>
      </w:r>
      <w:r>
        <w:t xml:space="preserve">3.1 (2.8 - 3.6)</w:t>
      </w:r>
      <w:r>
        <w:t xml:space="preserve"> </w:t>
      </w:r>
      <w:r>
        <w:t xml:space="preserve">3.1 (0.2 - 7.7)</w:t>
      </w:r>
      <w:r>
        <w:t xml:space="preserve"> </w:t>
      </w:r>
      <w:r>
        <w:t xml:space="preserve">2.4 (1.3 - 3.1)</w:t>
      </w:r>
      <w:r>
        <w:t xml:space="preserve"> </w:t>
      </w:r>
      <w:r>
        <w:t xml:space="preserve">1.4 (1 - 1.9)</w:t>
      </w:r>
      <w:r>
        <w:t xml:space="preserve"> </w:t>
      </w:r>
      <w:r>
        <w:t xml:space="preserve">0.6 (0.3 - 1.5)</w:t>
      </w:r>
      <w:r>
        <w:t xml:space="preserve"> </w:t>
      </w:r>
      <w:r>
        <w:t xml:space="preserve">Italy</w:t>
      </w:r>
      <w:r>
        <w:t xml:space="preserve"> </w:t>
      </w:r>
      <w:r>
        <w:t xml:space="preserve">0.7 (0.1 - 1.9)</w:t>
      </w:r>
      <w:r>
        <w:t xml:space="preserve"> </w:t>
      </w:r>
      <w:r>
        <w:t xml:space="preserve">1.4 (1.3 - 1.6)</w:t>
      </w:r>
      <w:r>
        <w:t xml:space="preserve"> </w:t>
      </w:r>
      <w:r>
        <w:t xml:space="preserve">2.2 (0.1 - 6.2)</w:t>
      </w:r>
      <w:r>
        <w:t xml:space="preserve"> </w:t>
      </w:r>
      <w:r>
        <w:t xml:space="preserve">2.9 (1.3 - 6)</w:t>
      </w:r>
      <w:r>
        <w:t xml:space="preserve"> </w:t>
      </w:r>
      <w:r>
        <w:t xml:space="preserve">1.7 (0.9 - 5.6)</w:t>
      </w:r>
      <w:r>
        <w:t xml:space="preserve"> </w:t>
      </w:r>
      <w:r>
        <w:t xml:space="preserve">0.5 (0.1 - 1.5)</w:t>
      </w:r>
      <w:r>
        <w:t xml:space="preserve"> </w:t>
      </w:r>
      <w:r>
        <w:t xml:space="preserve">Latvia</w:t>
      </w:r>
      <w:r>
        <w:t xml:space="preserve"> </w:t>
      </w:r>
      <w:r>
        <w:t xml:space="preserve">2.4 (2.4 - 2.4)</w:t>
      </w:r>
      <w:r>
        <w:t xml:space="preserve"> </w:t>
      </w:r>
      <w:r>
        <w:t xml:space="preserve">1.4 (1.4 – 1.4)</w:t>
      </w:r>
      <w:r>
        <w:t xml:space="preserve"> </w:t>
      </w:r>
      <w:r>
        <w:t xml:space="preserve">3.7 (3.7 – 3.7)</w:t>
      </w:r>
      <w:r>
        <w:t xml:space="preserve"> </w:t>
      </w:r>
      <w:r>
        <w:t xml:space="preserve">1.6 (1.6 – 1.6)</w:t>
      </w:r>
      <w:r>
        <w:t xml:space="preserve"> </w:t>
      </w:r>
      <w:r>
        <w:t xml:space="preserve">1.1 (1.1 – 1.1)</w:t>
      </w:r>
      <w:r>
        <w:t xml:space="preserve"> </w:t>
      </w:r>
      <w:r>
        <w:t xml:space="preserve">0.2 (0.2 – 0.2)</w:t>
      </w:r>
      <w:r>
        <w:t xml:space="preserve"> </w:t>
      </w:r>
      <w:r>
        <w:t xml:space="preserve">Lithuania</w:t>
      </w:r>
      <w:r>
        <w:t xml:space="preserve"> </w:t>
      </w:r>
      <w:r>
        <w:t xml:space="preserve">2.4 (0.8 - 2.9)</w:t>
      </w:r>
      <w:r>
        <w:t xml:space="preserve"> </w:t>
      </w:r>
      <w:r>
        <w:t xml:space="preserve">2 (1.6 - 2.1)</w:t>
      </w:r>
      <w:r>
        <w:t xml:space="preserve"> </w:t>
      </w:r>
      <w:r>
        <w:t xml:space="preserve">3.3 (1 - 10)</w:t>
      </w:r>
      <w:r>
        <w:t xml:space="preserve"> </w:t>
      </w:r>
      <w:r>
        <w:t xml:space="preserve">3.2 (2 - 3.6)</w:t>
      </w:r>
      <w:r>
        <w:t xml:space="preserve"> </w:t>
      </w:r>
      <w:r>
        <w:t xml:space="preserve">1.5 (1.1 - 1.7)</w:t>
      </w:r>
      <w:r>
        <w:t xml:space="preserve"> </w:t>
      </w:r>
      <w:r>
        <w:t xml:space="preserve">0.4 (0.1 - 0.5)</w:t>
      </w:r>
      <w:r>
        <w:t xml:space="preserve"> </w:t>
      </w:r>
      <w:r>
        <w:t xml:space="preserve">Luxembourg</w:t>
      </w:r>
      <w:r>
        <w:t xml:space="preserve"> </w:t>
      </w:r>
      <w:r>
        <w:t xml:space="preserve">1.7 (1.7 – 1.7)</w:t>
      </w:r>
      <w:r>
        <w:t xml:space="preserve"> </w:t>
      </w:r>
      <w:r>
        <w:t xml:space="preserve">3.5 (3.5 – 3.5)</w:t>
      </w:r>
      <w:r>
        <w:t xml:space="preserve"> </w:t>
      </w:r>
      <w:r>
        <w:t xml:space="preserve">4.6 (4.6- 4.6)</w:t>
      </w:r>
      <w:r>
        <w:t xml:space="preserve"> </w:t>
      </w:r>
      <w:r>
        <w:t xml:space="preserve">16.3 (16.3 –</w:t>
      </w:r>
      <w:r>
        <w:t xml:space="preserve"> </w:t>
      </w:r>
      <w:r>
        <w:t xml:space="preserve">16.3)</w:t>
      </w:r>
      <w:r>
        <w:t xml:space="preserve"> </w:t>
      </w:r>
      <w:r>
        <w:t xml:space="preserve">7 (7 - 7)</w:t>
      </w:r>
      <w:r>
        <w:t xml:space="preserve"> </w:t>
      </w:r>
      <w:r>
        <w:t xml:space="preserve">0.3 (0.3 – 0.3)</w:t>
      </w:r>
      <w:r>
        <w:t xml:space="preserve"> </w:t>
      </w:r>
      <w:r>
        <w:t xml:space="preserve">Malta</w:t>
      </w:r>
      <w:r>
        <w:t xml:space="preserve"> </w:t>
      </w:r>
      <w:r>
        <w:t xml:space="preserve">0.3 (0.3 – 0.3)</w:t>
      </w:r>
      <w:r>
        <w:t xml:space="preserve"> </w:t>
      </w:r>
      <w:r>
        <w:t xml:space="preserve">0.3 (0.3 – 0.3)</w:t>
      </w:r>
      <w:r>
        <w:t xml:space="preserve"> </w:t>
      </w:r>
      <w:r>
        <w:t xml:space="preserve">5 (5 – 5)</w:t>
      </w:r>
      <w:r>
        <w:t xml:space="preserve"> </w:t>
      </w:r>
      <w:r>
        <w:t xml:space="preserve">0.1 (0.1 – 0.1)</w:t>
      </w:r>
      <w:r>
        <w:t xml:space="preserve"> </w:t>
      </w:r>
      <w:r>
        <w:t xml:space="preserve">1.3 (1.3 – 1.3)</w:t>
      </w:r>
      <w:r>
        <w:t xml:space="preserve"> </w:t>
      </w:r>
      <w:r>
        <w:t xml:space="preserve">0.1 (0.1 – 0.1)</w:t>
      </w:r>
      <w:r>
        <w:t xml:space="preserve"> </w:t>
      </w:r>
      <w:r>
        <w:t xml:space="preserve">Netherlands</w:t>
      </w:r>
      <w:r>
        <w:t xml:space="preserve"> </w:t>
      </w:r>
      <w:r>
        <w:t xml:space="preserve">1.5 (0.3 - 4.2)</w:t>
      </w:r>
      <w:r>
        <w:t xml:space="preserve"> </w:t>
      </w:r>
      <w:r>
        <w:t xml:space="preserve">2.6 (2.3 - 3.9)</w:t>
      </w:r>
      <w:r>
        <w:t xml:space="preserve"> </w:t>
      </w:r>
      <w:r>
        <w:t xml:space="preserve">2.9 (0.5 - 9.7)</w:t>
      </w:r>
      <w:r>
        <w:t xml:space="preserve"> </w:t>
      </w:r>
      <w:r>
        <w:t xml:space="preserve">6.3 (1.5 - 41.9)</w:t>
      </w:r>
      <w:r>
        <w:t xml:space="preserve"> </w:t>
      </w:r>
      <w:r>
        <w:t xml:space="preserve">1.8 (1.2 - 5.3)</w:t>
      </w:r>
      <w:r>
        <w:t xml:space="preserve"> </w:t>
      </w:r>
      <w:r>
        <w:t xml:space="preserve">1.2 (0.1 - 5.9)</w:t>
      </w:r>
      <w:r>
        <w:t xml:space="preserve"> </w:t>
      </w:r>
      <w:r>
        <w:t xml:space="preserve">Poland</w:t>
      </w:r>
      <w:r>
        <w:t xml:space="preserve"> </w:t>
      </w:r>
      <w:r>
        <w:t xml:space="preserve">1.3 (0.3 - 4.5)</w:t>
      </w:r>
      <w:r>
        <w:t xml:space="preserve"> </w:t>
      </w:r>
      <w:r>
        <w:t xml:space="preserve">1.5 (1.4 - 1.7)</w:t>
      </w:r>
      <w:r>
        <w:t xml:space="preserve"> </w:t>
      </w:r>
      <w:r>
        <w:t xml:space="preserve">5.9 (0.4 - 15.4)</w:t>
      </w:r>
      <w:r>
        <w:t xml:space="preserve"> </w:t>
      </w:r>
      <w:r>
        <w:t xml:space="preserve">3.9 (0.9 - 16.5)</w:t>
      </w:r>
      <w:r>
        <w:t xml:space="preserve"> </w:t>
      </w:r>
      <w:r>
        <w:t xml:space="preserve">0.5 (0.3 - 0.8)</w:t>
      </w:r>
      <w:r>
        <w:t xml:space="preserve"> </w:t>
      </w:r>
      <w:r>
        <w:t xml:space="preserve">0.5 (0.1 - 3.1)</w:t>
      </w:r>
      <w:r>
        <w:t xml:space="preserve"> </w:t>
      </w:r>
      <w:r>
        <w:t xml:space="preserve">Portugal</w:t>
      </w:r>
      <w:r>
        <w:t xml:space="preserve"> </w:t>
      </w:r>
      <w:r>
        <w:t xml:space="preserve">0.8 (0 - 4.8)</w:t>
      </w:r>
      <w:r>
        <w:t xml:space="preserve"> </w:t>
      </w:r>
      <w:r>
        <w:t xml:space="preserve">0.4 (0.3 - 0.6)</w:t>
      </w:r>
      <w:r>
        <w:t xml:space="preserve"> </w:t>
      </w:r>
      <w:r>
        <w:t xml:space="preserve">1.5 (0 - 13.7)</w:t>
      </w:r>
      <w:r>
        <w:t xml:space="preserve"> </w:t>
      </w:r>
      <w:r>
        <w:t xml:space="preserve">1.6 (0.7 - 2.9)</w:t>
      </w:r>
      <w:r>
        <w:t xml:space="preserve"> </w:t>
      </w:r>
      <w:r>
        <w:t xml:space="preserve">0.9 (0.4 - 1.9)</w:t>
      </w:r>
      <w:r>
        <w:t xml:space="preserve"> </w:t>
      </w:r>
      <w:r>
        <w:t xml:space="preserve">0.6 (0.2 - 1)</w:t>
      </w:r>
      <w:r>
        <w:t xml:space="preserve"> </w:t>
      </w:r>
      <w:r>
        <w:t xml:space="preserve">Romania</w:t>
      </w:r>
      <w:r>
        <w:t xml:space="preserve"> </w:t>
      </w:r>
      <w:r>
        <w:t xml:space="preserve">1.4 (0.1 - 1.8)</w:t>
      </w:r>
      <w:r>
        <w:t xml:space="preserve"> </w:t>
      </w:r>
      <w:r>
        <w:t xml:space="preserve">0.8 (0.5 - 0.9)</w:t>
      </w:r>
      <w:r>
        <w:t xml:space="preserve"> </w:t>
      </w:r>
      <w:r>
        <w:t xml:space="preserve">3.2 (0.3 - 11.4)</w:t>
      </w:r>
      <w:r>
        <w:t xml:space="preserve"> </w:t>
      </w:r>
      <w:r>
        <w:t xml:space="preserve">4 (1.7 - 7.1)</w:t>
      </w:r>
      <w:r>
        <w:t xml:space="preserve"> </w:t>
      </w:r>
      <w:r>
        <w:t xml:space="preserve">0.5 (0.2 - 0.6)</w:t>
      </w:r>
      <w:r>
        <w:t xml:space="preserve"> </w:t>
      </w:r>
      <w:r>
        <w:t xml:space="preserve">0.2 (0.1 - 0.3)</w:t>
      </w:r>
      <w:r>
        <w:t xml:space="preserve"> </w:t>
      </w:r>
      <w:r>
        <w:t xml:space="preserve">Slovakia</w:t>
      </w:r>
      <w:r>
        <w:t xml:space="preserve"> </w:t>
      </w:r>
      <w:r>
        <w:t xml:space="preserve">1.3 (0.4 - 1.5)</w:t>
      </w:r>
      <w:r>
        <w:t xml:space="preserve"> </w:t>
      </w:r>
      <w:r>
        <w:t xml:space="preserve">3.3 (3.2 - 3.4)</w:t>
      </w:r>
      <w:r>
        <w:t xml:space="preserve"> </w:t>
      </w:r>
      <w:r>
        <w:t xml:space="preserve">2.6 (0.5 - 3.8)</w:t>
      </w:r>
      <w:r>
        <w:t xml:space="preserve"> </w:t>
      </w:r>
      <w:r>
        <w:t xml:space="preserve">5.5 (3.1 - 9.5)</w:t>
      </w:r>
      <w:r>
        <w:t xml:space="preserve"> </w:t>
      </w:r>
      <w:r>
        <w:t xml:space="preserve">0.8 (0.7 - 0.9)</w:t>
      </w:r>
      <w:r>
        <w:t xml:space="preserve"> </w:t>
      </w:r>
      <w:r>
        <w:t xml:space="preserve">0.7 (0.2 - 1)</w:t>
      </w:r>
      <w:r>
        <w:t xml:space="preserve"> </w:t>
      </w:r>
      <w:r>
        <w:t xml:space="preserve">Slovenia</w:t>
      </w:r>
      <w:r>
        <w:t xml:space="preserve"> </w:t>
      </w:r>
      <w:r>
        <w:t xml:space="preserve">1.4 (1 - 1.7)</w:t>
      </w:r>
      <w:r>
        <w:t xml:space="preserve"> </w:t>
      </w:r>
      <w:r>
        <w:t xml:space="preserve">1 (1 - 1.1)</w:t>
      </w:r>
      <w:r>
        <w:t xml:space="preserve"> </w:t>
      </w:r>
      <w:r>
        <w:t xml:space="preserve">3.1 (1.2 - 4.7)</w:t>
      </w:r>
      <w:r>
        <w:t xml:space="preserve"> </w:t>
      </w:r>
      <w:r>
        <w:t xml:space="preserve">4.1 (3.3 - 4.8)</w:t>
      </w:r>
      <w:r>
        <w:t xml:space="preserve"> </w:t>
      </w:r>
      <w:r>
        <w:t xml:space="preserve">1.3 (1.3 - 1.4)</w:t>
      </w:r>
      <w:r>
        <w:t xml:space="preserve"> </w:t>
      </w:r>
      <w:r>
        <w:t xml:space="preserve">0.6 (0.6 - 0.6)</w:t>
      </w:r>
      <w:r>
        <w:t xml:space="preserve"> </w:t>
      </w:r>
      <w:r>
        <w:t xml:space="preserve">Spain</w:t>
      </w:r>
      <w:r>
        <w:t xml:space="preserve"> </w:t>
      </w:r>
      <w:r>
        <w:t xml:space="preserve">1 (0 - 4.1)</w:t>
      </w:r>
      <w:r>
        <w:t xml:space="preserve"> </w:t>
      </w:r>
      <w:r>
        <w:t xml:space="preserve">0.6 (0.4 - 0.7)</w:t>
      </w:r>
      <w:r>
        <w:t xml:space="preserve"> </w:t>
      </w:r>
      <w:r>
        <w:t xml:space="preserve">1.7 (0 - 11.2)</w:t>
      </w:r>
      <w:r>
        <w:t xml:space="preserve"> </w:t>
      </w:r>
      <w:r>
        <w:t xml:space="preserve">2.4 (0.8 - 20.8)</w:t>
      </w:r>
      <w:r>
        <w:t xml:space="preserve"> </w:t>
      </w:r>
      <w:r>
        <w:t xml:space="preserve">1.4 (0.7 - 3.5)</w:t>
      </w:r>
      <w:r>
        <w:t xml:space="preserve"> </w:t>
      </w:r>
      <w:r>
        <w:t xml:space="preserve">0.4 (0.1 - 1.1)</w:t>
      </w:r>
      <w:r>
        <w:t xml:space="preserve"> </w:t>
      </w:r>
      <w:r>
        <w:t xml:space="preserve">Sweden</w:t>
      </w:r>
      <w:r>
        <w:t xml:space="preserve"> </w:t>
      </w:r>
      <w:r>
        <w:t xml:space="preserve">1 (0.1 - 2.2)</w:t>
      </w:r>
      <w:r>
        <w:t xml:space="preserve"> </w:t>
      </w:r>
      <w:r>
        <w:t xml:space="preserve">1.3 (1.2 - 1.4)</w:t>
      </w:r>
      <w:r>
        <w:t xml:space="preserve"> </w:t>
      </w:r>
      <w:r>
        <w:t xml:space="preserve">1 (0 - 2.5)</w:t>
      </w:r>
      <w:r>
        <w:t xml:space="preserve"> </w:t>
      </w:r>
      <w:r>
        <w:t xml:space="preserve">2.5 (1.2 - 5.6)</w:t>
      </w:r>
      <w:r>
        <w:t xml:space="preserve"> </w:t>
      </w:r>
      <w:r>
        <w:t xml:space="preserve">2.2 (1 - 5.5)</w:t>
      </w:r>
      <w:r>
        <w:t xml:space="preserve"> </w:t>
      </w:r>
      <w:r>
        <w:t xml:space="preserve">1.2 (0.6 - 1.5)</w:t>
      </w:r>
      <w:r>
        <w:t xml:space="preserve"> </w:t>
      </w:r>
      <w:r>
        <w:t xml:space="preserve">Note: leaving out aviation and shipping</w:t>
      </w:r>
      <w:r>
        <w:t xml:space="preserve"> </w:t>
      </w:r>
      <w:r>
        <w:t xml:space="preserve">Source: EDGAR emissions database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Table 55: Sectoral per capita emissions and range across regions in 2021</w:t>
      </w:r>
      <w:r>
        <w:t xml:space="preserve"> </w:t>
      </w:r>
      <w:r>
        <w:t xml:space="preserve">TCO2-EQ PER</w:t>
      </w:r>
      <w:r>
        <w:t xml:space="preserve"> </w:t>
      </w:r>
      <w:r>
        <w:t xml:space="preserve">PERSON</w:t>
      </w:r>
      <w:r>
        <w:t xml:space="preserve"> </w:t>
      </w:r>
      <w:r>
        <w:t xml:space="preserve">AGRICULTURE</w:t>
      </w:r>
      <w:r>
        <w:t xml:space="preserve"> </w:t>
      </w:r>
      <w:r>
        <w:t xml:space="preserve">BUILDINGS</w:t>
      </w:r>
      <w:r>
        <w:t xml:space="preserve"> </w:t>
      </w:r>
      <w:r>
        <w:t xml:space="preserve">ENERGY</w:t>
      </w:r>
      <w:r>
        <w:t xml:space="preserve"> </w:t>
      </w:r>
      <w:r>
        <w:t xml:space="preserve">INDUSTRY</w:t>
      </w:r>
      <w:r>
        <w:t xml:space="preserve"> </w:t>
      </w:r>
      <w:r>
        <w:t xml:space="preserve">TRANSPORT</w:t>
      </w:r>
      <w:r>
        <w:t xml:space="preserve"> </w:t>
      </w:r>
      <w:r>
        <w:t xml:space="preserve">WASTE</w:t>
      </w:r>
      <w:r>
        <w:t xml:space="preserve"> </w:t>
      </w:r>
      <w:r>
        <w:t xml:space="preserve">Austria</w:t>
      </w:r>
      <w:r>
        <w:t xml:space="preserve"> </w:t>
      </w:r>
      <w:r>
        <w:t xml:space="preserve">0.8 (0 - 1.3)</w:t>
      </w:r>
      <w:r>
        <w:t xml:space="preserve"> </w:t>
      </w:r>
      <w:r>
        <w:t xml:space="preserve">1 (0.8 - 1.2)</w:t>
      </w:r>
      <w:r>
        <w:t xml:space="preserve"> </w:t>
      </w:r>
      <w:r>
        <w:t xml:space="preserve">1.4 (0.4 - 2.2)</w:t>
      </w:r>
      <w:r>
        <w:t xml:space="preserve"> </w:t>
      </w:r>
      <w:r>
        <w:t xml:space="preserve">3.1 (1.5 - 6.3)</w:t>
      </w:r>
      <w:r>
        <w:t xml:space="preserve"> </w:t>
      </w:r>
      <w:r>
        <w:t xml:space="preserve">2.5 (0.4 - 4.3)</w:t>
      </w:r>
      <w:r>
        <w:t xml:space="preserve"> </w:t>
      </w:r>
      <w:r>
        <w:t xml:space="preserve">0.3 (0.1 - 0.6)</w:t>
      </w:r>
      <w:r>
        <w:t xml:space="preserve"> </w:t>
      </w:r>
      <w:r>
        <w:t xml:space="preserve">Belgium</w:t>
      </w:r>
      <w:r>
        <w:t xml:space="preserve"> </w:t>
      </w:r>
      <w:r>
        <w:t xml:space="preserve">0.8 (0 - 2.7)</w:t>
      </w:r>
      <w:r>
        <w:t xml:space="preserve"> </w:t>
      </w:r>
      <w:r>
        <w:t xml:space="preserve">2 (1.6 - 2.4)</w:t>
      </w:r>
      <w:r>
        <w:t xml:space="preserve"> </w:t>
      </w:r>
      <w:r>
        <w:t xml:space="preserve">1.3 (0.1 - 2.1)</w:t>
      </w:r>
      <w:r>
        <w:t xml:space="preserve"> </w:t>
      </w:r>
      <w:r>
        <w:t xml:space="preserve">4.1 (1.5 - 8.2)</w:t>
      </w:r>
      <w:r>
        <w:t xml:space="preserve"> </w:t>
      </w:r>
      <w:r>
        <w:t xml:space="preserve">2.1 (0.4 - 6.3)</w:t>
      </w:r>
      <w:r>
        <w:t xml:space="preserve"> </w:t>
      </w:r>
      <w:r>
        <w:t xml:space="preserve">0.4 (0.1 - 2.4)</w:t>
      </w:r>
      <w:r>
        <w:t xml:space="preserve"> </w:t>
      </w:r>
      <w:r>
        <w:t xml:space="preserve">Bulgaria</w:t>
      </w:r>
      <w:r>
        <w:t xml:space="preserve"> </w:t>
      </w:r>
      <w:r>
        <w:t xml:space="preserve">0.8 (0.4 - 1.4)</w:t>
      </w:r>
      <w:r>
        <w:t xml:space="preserve"> </w:t>
      </w:r>
      <w:r>
        <w:t xml:space="preserve">0.3 (0.2 - 0.3)</w:t>
      </w:r>
      <w:r>
        <w:t xml:space="preserve"> </w:t>
      </w:r>
      <w:r>
        <w:t xml:space="preserve">3.2 (0.1 - 14.3)</w:t>
      </w:r>
      <w:r>
        <w:t xml:space="preserve"> </w:t>
      </w:r>
      <w:r>
        <w:t xml:space="preserve">2 (1.1 - 3)</w:t>
      </w:r>
      <w:r>
        <w:t xml:space="preserve"> </w:t>
      </w:r>
      <w:r>
        <w:t xml:space="preserve">1.3 (1 - 1.8)</w:t>
      </w:r>
      <w:r>
        <w:t xml:space="preserve"> </w:t>
      </w:r>
      <w:r>
        <w:t xml:space="preserve">0.9 (0.4 - 1.2)</w:t>
      </w:r>
      <w:r>
        <w:t xml:space="preserve"> </w:t>
      </w:r>
      <w:r>
        <w:t xml:space="preserve">Croatia</w:t>
      </w:r>
      <w:r>
        <w:t xml:space="preserve"> </w:t>
      </w:r>
      <w:r>
        <w:t xml:space="preserve">0.7 (0 - 1.3)</w:t>
      </w:r>
      <w:r>
        <w:t xml:space="preserve"> </w:t>
      </w:r>
      <w:r>
        <w:t xml:space="preserve">0.8 (0.6 - 0.9)</w:t>
      </w:r>
      <w:r>
        <w:t xml:space="preserve"> </w:t>
      </w:r>
      <w:r>
        <w:t xml:space="preserve">0.7 (0.4 - 1)</w:t>
      </w:r>
      <w:r>
        <w:t xml:space="preserve"> </w:t>
      </w:r>
      <w:r>
        <w:t xml:space="preserve">2 (1.2 - 3)</w:t>
      </w:r>
      <w:r>
        <w:t xml:space="preserve"> </w:t>
      </w:r>
      <w:r>
        <w:t xml:space="preserve">1.5 (0.3 - 1.9)</w:t>
      </w:r>
      <w:r>
        <w:t xml:space="preserve"> </w:t>
      </w:r>
      <w:r>
        <w:t xml:space="preserve">0.4 (0.4 - 0.5)</w:t>
      </w:r>
      <w:r>
        <w:t xml:space="preserve"> </w:t>
      </w:r>
      <w:r>
        <w:t xml:space="preserve">Cyprus</w:t>
      </w:r>
      <w:r>
        <w:t xml:space="preserve"> </w:t>
      </w:r>
      <w:r>
        <w:t xml:space="preserve">0.6 (0.6 - 0.6)</w:t>
      </w:r>
      <w:r>
        <w:t xml:space="preserve"> </w:t>
      </w:r>
      <w:r>
        <w:t xml:space="preserve">0.6 (0.6 - 0.6)</w:t>
      </w:r>
      <w:r>
        <w:t xml:space="preserve"> </w:t>
      </w:r>
      <w:r>
        <w:t xml:space="preserve">3.2 (3.2 - 3.2)</w:t>
      </w:r>
      <w:r>
        <w:t xml:space="preserve"> </w:t>
      </w:r>
      <w:r>
        <w:t xml:space="preserve">2.3 (2.3 - 2.3)</w:t>
      </w:r>
      <w:r>
        <w:t xml:space="preserve"> </w:t>
      </w:r>
      <w:r>
        <w:t xml:space="preserve">2 (2 - 2)</w:t>
      </w:r>
      <w:r>
        <w:t xml:space="preserve"> </w:t>
      </w:r>
      <w:r>
        <w:t xml:space="preserve">0.8 (0.8 - 0.8)</w:t>
      </w:r>
      <w:r>
        <w:t xml:space="preserve"> </w:t>
      </w:r>
      <w:r>
        <w:t xml:space="preserve">Czechia</w:t>
      </w:r>
      <w:r>
        <w:t xml:space="preserve"> </w:t>
      </w:r>
      <w:r>
        <w:t xml:space="preserve">0.8 (0 - 1.7)</w:t>
      </w:r>
      <w:r>
        <w:t xml:space="preserve"> </w:t>
      </w:r>
      <w:r>
        <w:t xml:space="preserve">1.2 (1.1 - 1.4)</w:t>
      </w:r>
      <w:r>
        <w:t xml:space="preserve"> </w:t>
      </w:r>
      <w:r>
        <w:t xml:space="preserve">4.2 (0.8 - 19.8)</w:t>
      </w:r>
      <w:r>
        <w:t xml:space="preserve"> </w:t>
      </w:r>
      <w:r>
        <w:t xml:space="preserve">2.9 (1.5 - 6.8)</w:t>
      </w:r>
      <w:r>
        <w:t xml:space="preserve"> </w:t>
      </w:r>
      <w:r>
        <w:t xml:space="preserve">1.7 (0.4 - 2.6)</w:t>
      </w:r>
      <w:r>
        <w:t xml:space="preserve"> </w:t>
      </w:r>
      <w:r>
        <w:t xml:space="preserve">0.5 (0.1 - 1.3)</w:t>
      </w:r>
      <w:r>
        <w:t xml:space="preserve"> </w:t>
      </w:r>
      <w:r>
        <w:t xml:space="preserve">Denmark</w:t>
      </w:r>
      <w:r>
        <w:t xml:space="preserve"> </w:t>
      </w:r>
      <w:r>
        <w:t xml:space="preserve">1.8 (0.1 - 3.5)</w:t>
      </w:r>
      <w:r>
        <w:t xml:space="preserve"> </w:t>
      </w:r>
      <w:r>
        <w:t xml:space="preserve">0.6 (0.6 - 0.7)</w:t>
      </w:r>
      <w:r>
        <w:t xml:space="preserve"> </w:t>
      </w:r>
      <w:r>
        <w:t xml:space="preserve">1.2 (0.4 - 3.4)</w:t>
      </w:r>
      <w:r>
        <w:t xml:space="preserve"> </w:t>
      </w:r>
      <w:r>
        <w:t xml:space="preserve">1.3 (0.8 - 2.9)</w:t>
      </w:r>
      <w:r>
        <w:t xml:space="preserve"> </w:t>
      </w:r>
      <w:r>
        <w:t xml:space="preserve">1.7 (0.8 - 2.4)</w:t>
      </w:r>
      <w:r>
        <w:t xml:space="preserve"> </w:t>
      </w:r>
      <w:r>
        <w:t xml:space="preserve">0.2 (0.2 - 0.3)</w:t>
      </w:r>
      <w:r>
        <w:t xml:space="preserve"> </w:t>
      </w:r>
      <w:r>
        <w:t xml:space="preserve">Estonia</w:t>
      </w:r>
      <w:r>
        <w:t xml:space="preserve"> </w:t>
      </w:r>
      <w:r>
        <w:t xml:space="preserve">1.3 (1.3 - 1.3)</w:t>
      </w:r>
      <w:r>
        <w:t xml:space="preserve"> </w:t>
      </w:r>
      <w:r>
        <w:t xml:space="preserve">0.7 (0.7 - 0.7)</w:t>
      </w:r>
      <w:r>
        <w:t xml:space="preserve"> </w:t>
      </w:r>
      <w:r>
        <w:t xml:space="preserve">4.3 (4.3 - 4.3)</w:t>
      </w:r>
      <w:r>
        <w:t xml:space="preserve"> </w:t>
      </w:r>
      <w:r>
        <w:t xml:space="preserve">4.7 (4.7 - 4.7)</w:t>
      </w:r>
      <w:r>
        <w:t xml:space="preserve"> </w:t>
      </w:r>
      <w:r>
        <w:t xml:space="preserve">2 (2 - 2)</w:t>
      </w:r>
      <w:r>
        <w:t xml:space="preserve"> </w:t>
      </w:r>
      <w:r>
        <w:t xml:space="preserve">1.7 (1.7 - 1.7)</w:t>
      </w:r>
      <w:r>
        <w:t xml:space="preserve"> </w:t>
      </w:r>
      <w:r>
        <w:t xml:space="preserve">Finland</w:t>
      </w:r>
      <w:r>
        <w:t xml:space="preserve"> </w:t>
      </w:r>
      <w:r>
        <w:t xml:space="preserve">0.9 (0.1 - 1.8)</w:t>
      </w:r>
      <w:r>
        <w:t xml:space="preserve"> </w:t>
      </w:r>
      <w:r>
        <w:t xml:space="preserve">0.7 (0.1 - 0.9)</w:t>
      </w:r>
      <w:r>
        <w:t xml:space="preserve"> </w:t>
      </w:r>
      <w:r>
        <w:t xml:space="preserve">2.5 (0.5 - 4.2)</w:t>
      </w:r>
      <w:r>
        <w:t xml:space="preserve"> </w:t>
      </w:r>
      <w:r>
        <w:t xml:space="preserve">4.3 (0 - 6.3)</w:t>
      </w:r>
      <w:r>
        <w:t xml:space="preserve"> </w:t>
      </w:r>
      <w:r>
        <w:t xml:space="preserve">1.7 (0.7 - 3.2)</w:t>
      </w:r>
      <w:r>
        <w:t xml:space="preserve"> </w:t>
      </w:r>
      <w:r>
        <w:t xml:space="preserve">1.4 (0 - 2.2)</w:t>
      </w:r>
      <w:r>
        <w:t xml:space="preserve"> </w:t>
      </w:r>
      <w:r>
        <w:t xml:space="preserve">France</w:t>
      </w:r>
      <w:r>
        <w:t xml:space="preserve"> </w:t>
      </w:r>
      <w:r>
        <w:t xml:space="preserve">1.1 (0.1 - 9.5)</w:t>
      </w:r>
      <w:r>
        <w:t xml:space="preserve"> </w:t>
      </w:r>
      <w:r>
        <w:t xml:space="preserve">1.1 (0 - 1.6)</w:t>
      </w:r>
      <w:r>
        <w:t xml:space="preserve"> </w:t>
      </w:r>
      <w:r>
        <w:t xml:space="preserve">0.6 (0 - 3.4)</w:t>
      </w:r>
      <w:r>
        <w:t xml:space="preserve"> </w:t>
      </w:r>
      <w:r>
        <w:t xml:space="preserve">1.5 (0 - 3.6)</w:t>
      </w:r>
      <w:r>
        <w:t xml:space="preserve"> </w:t>
      </w:r>
      <w:r>
        <w:t xml:space="preserve">1.7 (0.5 - 3.6)</w:t>
      </w:r>
      <w:r>
        <w:t xml:space="preserve"> </w:t>
      </w:r>
      <w:r>
        <w:t xml:space="preserve">0.4 (0.1 - 1.7)</w:t>
      </w:r>
      <w:r>
        <w:t xml:space="preserve"> </w:t>
      </w:r>
      <w:r>
        <w:t xml:space="preserve">Germany</w:t>
      </w:r>
      <w:r>
        <w:t xml:space="preserve"> </w:t>
      </w:r>
      <w:r>
        <w:t xml:space="preserve">0.7 (0 - 2.4)</w:t>
      </w:r>
      <w:r>
        <w:t xml:space="preserve"> </w:t>
      </w:r>
      <w:r>
        <w:t xml:space="preserve">1.5 (1.1 - 1.7)</w:t>
      </w:r>
      <w:r>
        <w:t xml:space="preserve"> </w:t>
      </w:r>
      <w:r>
        <w:t xml:space="preserve">2.8 (0.4 - 7.7)</w:t>
      </w:r>
      <w:r>
        <w:t xml:space="preserve"> </w:t>
      </w:r>
      <w:r>
        <w:t xml:space="preserve">2.3 (0.9 - 5.6)</w:t>
      </w:r>
      <w:r>
        <w:t xml:space="preserve"> </w:t>
      </w:r>
      <w:r>
        <w:t xml:space="preserve">1.7 (0.4 - 3.8)</w:t>
      </w:r>
      <w:r>
        <w:t xml:space="preserve"> </w:t>
      </w:r>
      <w:r>
        <w:t xml:space="preserve">0.3 (0.1 - 1)</w:t>
      </w:r>
      <w:r>
        <w:t xml:space="preserve"> </w:t>
      </w:r>
      <w:r>
        <w:t xml:space="preserve">Greece</w:t>
      </w:r>
      <w:r>
        <w:t xml:space="preserve"> </w:t>
      </w:r>
      <w:r>
        <w:t xml:space="preserve">0.6 (0 - 2.2)</w:t>
      </w:r>
      <w:r>
        <w:t xml:space="preserve"> </w:t>
      </w:r>
      <w:r>
        <w:t xml:space="preserve">0.5 (0.5 - 0.6)</w:t>
      </w:r>
      <w:r>
        <w:t xml:space="preserve"> </w:t>
      </w:r>
      <w:r>
        <w:t xml:space="preserve">1.9 (0.1 - 23.3)</w:t>
      </w:r>
      <w:r>
        <w:t xml:space="preserve"> </w:t>
      </w:r>
      <w:r>
        <w:t xml:space="preserve">2 (0.8 - 4)</w:t>
      </w:r>
      <w:r>
        <w:t xml:space="preserve"> </w:t>
      </w:r>
      <w:r>
        <w:t xml:space="preserve">1.1 (0.4 - 2.8)</w:t>
      </w:r>
      <w:r>
        <w:t xml:space="preserve"> </w:t>
      </w:r>
      <w:r>
        <w:t xml:space="preserve">0.5 (0 - 1.5)</w:t>
      </w:r>
      <w:r>
        <w:t xml:space="preserve"> </w:t>
      </w:r>
      <w:r>
        <w:t xml:space="preserve">Hungary</w:t>
      </w:r>
      <w:r>
        <w:t xml:space="preserve"> </w:t>
      </w:r>
      <w:r>
        <w:t xml:space="preserve">0.8 (0 - 1.4)</w:t>
      </w:r>
      <w:r>
        <w:t xml:space="preserve"> </w:t>
      </w:r>
      <w:r>
        <w:t xml:space="preserve">1.3 (1.2 - 1.4)</w:t>
      </w:r>
      <w:r>
        <w:t xml:space="preserve"> </w:t>
      </w:r>
      <w:r>
        <w:t xml:space="preserve">1.1 (0 - 3.4)</w:t>
      </w:r>
      <w:r>
        <w:t xml:space="preserve"> </w:t>
      </w:r>
      <w:r>
        <w:t xml:space="preserve">2.2 (1.3 - 4.2)</w:t>
      </w:r>
      <w:r>
        <w:t xml:space="preserve"> </w:t>
      </w:r>
      <w:r>
        <w:t xml:space="preserve">1.4 (0.4 - 2.2)</w:t>
      </w:r>
      <w:r>
        <w:t xml:space="preserve"> </w:t>
      </w:r>
      <w:r>
        <w:t xml:space="preserve">0.2 (0.2 - 0.3)</w:t>
      </w:r>
      <w:r>
        <w:t xml:space="preserve"> </w:t>
      </w:r>
      <w:r>
        <w:t xml:space="preserve">Ireland</w:t>
      </w:r>
      <w:r>
        <w:t xml:space="preserve"> </w:t>
      </w:r>
      <w:r>
        <w:t xml:space="preserve">4.6 (2 - 7.7)</w:t>
      </w:r>
      <w:r>
        <w:t xml:space="preserve"> </w:t>
      </w:r>
      <w:r>
        <w:t xml:space="preserve">1.7 (1.7 - 1.7)</w:t>
      </w:r>
      <w:r>
        <w:t xml:space="preserve"> </w:t>
      </w:r>
      <w:r>
        <w:t xml:space="preserve">1.9 (0.8 - 3.3)</w:t>
      </w:r>
      <w:r>
        <w:t xml:space="preserve"> </w:t>
      </w:r>
      <w:r>
        <w:t xml:space="preserve">1.9 (1.6 - 2.1)</w:t>
      </w:r>
      <w:r>
        <w:t xml:space="preserve"> </w:t>
      </w:r>
      <w:r>
        <w:t xml:space="preserve">2 (1.4 - 2.8)</w:t>
      </w:r>
      <w:r>
        <w:t xml:space="preserve"> </w:t>
      </w:r>
      <w:r>
        <w:t xml:space="preserve">0.2 (0.2 - 0.4)</w:t>
      </w:r>
      <w:r>
        <w:t xml:space="preserve"> </w:t>
      </w:r>
      <w:r>
        <w:t xml:space="preserve">Italy</w:t>
      </w:r>
      <w:r>
        <w:t xml:space="preserve"> </w:t>
      </w:r>
      <w:r>
        <w:t xml:space="preserve">0.6 (0.1 - 1.7)</w:t>
      </w:r>
      <w:r>
        <w:t xml:space="preserve"> </w:t>
      </w:r>
      <w:r>
        <w:t xml:space="preserve">1.2 (1.2 - 1.4)</w:t>
      </w:r>
      <w:r>
        <w:t xml:space="preserve"> </w:t>
      </w:r>
      <w:r>
        <w:t xml:space="preserve">1.6 (0.3 - 5.2)</w:t>
      </w:r>
      <w:r>
        <w:t xml:space="preserve"> </w:t>
      </w:r>
      <w:r>
        <w:t xml:space="preserve">1.4 (0.8 - 2.4)</w:t>
      </w:r>
      <w:r>
        <w:t xml:space="preserve"> </w:t>
      </w:r>
      <w:r>
        <w:t xml:space="preserve">1.5 (0.9 - 4.8)</w:t>
      </w:r>
      <w:r>
        <w:t xml:space="preserve"> </w:t>
      </w:r>
      <w:r>
        <w:t xml:space="preserve">0.3 (0.1 - 0.9)</w:t>
      </w:r>
      <w:r>
        <w:t xml:space="preserve"> </w:t>
      </w:r>
      <w:r>
        <w:t xml:space="preserve">Latvia</w:t>
      </w:r>
      <w:r>
        <w:t xml:space="preserve"> </w:t>
      </w:r>
      <w:r>
        <w:t xml:space="preserve">1.3 (1.3 - 1.3)</w:t>
      </w:r>
      <w:r>
        <w:t xml:space="preserve"> </w:t>
      </w:r>
      <w:r>
        <w:t xml:space="preserve">0.7 (0.7 - 0.7)</w:t>
      </w:r>
      <w:r>
        <w:t xml:space="preserve"> </w:t>
      </w:r>
      <w:r>
        <w:t xml:space="preserve">0.9 (0.9 - 0.9)</w:t>
      </w:r>
      <w:r>
        <w:t xml:space="preserve"> </w:t>
      </w:r>
      <w:r>
        <w:t xml:space="preserve">1.3 (1.3 - 1.3)</w:t>
      </w:r>
      <w:r>
        <w:t xml:space="preserve"> </w:t>
      </w:r>
      <w:r>
        <w:t xml:space="preserve">1.5 (1.5 - 1.5)</w:t>
      </w:r>
      <w:r>
        <w:t xml:space="preserve"> </w:t>
      </w:r>
      <w:r>
        <w:t xml:space="preserve">0.4 (0.4 - 0.4)</w:t>
      </w:r>
      <w:r>
        <w:t xml:space="preserve"> </w:t>
      </w:r>
      <w:r>
        <w:t xml:space="preserve">Lithuania</w:t>
      </w:r>
      <w:r>
        <w:t xml:space="preserve"> </w:t>
      </w:r>
      <w:r>
        <w:t xml:space="preserve">1.5 (0.5 - 1.9)</w:t>
      </w:r>
      <w:r>
        <w:t xml:space="preserve"> </w:t>
      </w:r>
      <w:r>
        <w:t xml:space="preserve">0.6 (0.5 - 0.6)</w:t>
      </w:r>
      <w:r>
        <w:t xml:space="preserve"> </w:t>
      </w:r>
      <w:r>
        <w:t xml:space="preserve">0.3 (0.1 - 1)</w:t>
      </w:r>
      <w:r>
        <w:t xml:space="preserve"> </w:t>
      </w:r>
      <w:r>
        <w:t xml:space="preserve">3.2 (1.6 - 3.9)</w:t>
      </w:r>
      <w:r>
        <w:t xml:space="preserve"> </w:t>
      </w:r>
      <w:r>
        <w:t xml:space="preserve">2.2 (1.3 - 2.6)</w:t>
      </w:r>
      <w:r>
        <w:t xml:space="preserve"> </w:t>
      </w:r>
      <w:r>
        <w:t xml:space="preserve">0.5 (0.2 - 0.6)</w:t>
      </w:r>
      <w:r>
        <w:t xml:space="preserve"> </w:t>
      </w:r>
      <w:r>
        <w:t xml:space="preserve">Luxembourg</w:t>
      </w:r>
      <w:r>
        <w:t xml:space="preserve"> </w:t>
      </w:r>
      <w:r>
        <w:t xml:space="preserve">1 (1 - 1)</w:t>
      </w:r>
      <w:r>
        <w:t xml:space="preserve"> </w:t>
      </w:r>
      <w:r>
        <w:t xml:space="preserve">2.4 (2.4 - 2.4)</w:t>
      </w:r>
      <w:r>
        <w:t xml:space="preserve"> </w:t>
      </w:r>
      <w:r>
        <w:t xml:space="preserve">0.4 (0.4 - 0.4)</w:t>
      </w:r>
      <w:r>
        <w:t xml:space="preserve"> </w:t>
      </w:r>
      <w:r>
        <w:t xml:space="preserve">2.5 (2.5 - 2.5)</w:t>
      </w:r>
      <w:r>
        <w:t xml:space="preserve"> </w:t>
      </w:r>
      <w:r>
        <w:t xml:space="preserve">8.3 (8.3 - 8.3)</w:t>
      </w:r>
      <w:r>
        <w:t xml:space="preserve"> </w:t>
      </w:r>
      <w:r>
        <w:t xml:space="preserve">0.1 (0.1 - 0.1)</w:t>
      </w:r>
      <w:r>
        <w:t xml:space="preserve"> </w:t>
      </w:r>
      <w:r>
        <w:t xml:space="preserve">Malta</w:t>
      </w:r>
      <w:r>
        <w:t xml:space="preserve"> </w:t>
      </w:r>
      <w:r>
        <w:t xml:space="preserve">0.1 (0.1 - 0.1)</w:t>
      </w:r>
      <w:r>
        <w:t xml:space="preserve"> </w:t>
      </w:r>
      <w:r>
        <w:t xml:space="preserve">0.2 (0.2 - 0.2)</w:t>
      </w:r>
      <w:r>
        <w:t xml:space="preserve"> </w:t>
      </w:r>
      <w:r>
        <w:t xml:space="preserve">1.6 (1.6 - 1.6)</w:t>
      </w:r>
      <w:r>
        <w:t xml:space="preserve"> </w:t>
      </w:r>
      <w:r>
        <w:t xml:space="preserve">0.7 (0.7 - 0.7)</w:t>
      </w:r>
      <w:r>
        <w:t xml:space="preserve"> </w:t>
      </w:r>
      <w:r>
        <w:t xml:space="preserve">1.3 (1.3 - 1.3)</w:t>
      </w:r>
      <w:r>
        <w:t xml:space="preserve"> </w:t>
      </w:r>
      <w:r>
        <w:t xml:space="preserve">0.2 (0.2 - 0.2)</w:t>
      </w:r>
      <w:r>
        <w:t xml:space="preserve"> </w:t>
      </w:r>
      <w:r>
        <w:t xml:space="preserve">Netherlands</w:t>
      </w:r>
      <w:r>
        <w:t xml:space="preserve"> </w:t>
      </w:r>
      <w:r>
        <w:t xml:space="preserve">1 (0.2 - 2.9)</w:t>
      </w:r>
      <w:r>
        <w:t xml:space="preserve"> </w:t>
      </w:r>
      <w:r>
        <w:t xml:space="preserve">1.6 (1.5 - 2.3)</w:t>
      </w:r>
      <w:r>
        <w:t xml:space="preserve"> </w:t>
      </w:r>
      <w:r>
        <w:t xml:space="preserve">2.7 (0.4 - 22)</w:t>
      </w:r>
      <w:r>
        <w:t xml:space="preserve"> </w:t>
      </w:r>
      <w:r>
        <w:t xml:space="preserve">3.9 (1.2 - 21.4)</w:t>
      </w:r>
      <w:r>
        <w:t xml:space="preserve"> </w:t>
      </w:r>
      <w:r>
        <w:t xml:space="preserve">1.6 (1 - 2.8)</w:t>
      </w:r>
      <w:r>
        <w:t xml:space="preserve"> </w:t>
      </w:r>
      <w:r>
        <w:t xml:space="preserve">0.3 (0.1 - 1.2)</w:t>
      </w:r>
      <w:r>
        <w:t xml:space="preserve"> </w:t>
      </w:r>
      <w:r>
        <w:t xml:space="preserve">Poland</w:t>
      </w:r>
      <w:r>
        <w:t xml:space="preserve"> </w:t>
      </w:r>
      <w:r>
        <w:t xml:space="preserve">1 (0.2 - 3.3)</w:t>
      </w:r>
      <w:r>
        <w:t xml:space="preserve"> </w:t>
      </w:r>
      <w:r>
        <w:t xml:space="preserve">1.4 (1.2 - 1.6)</w:t>
      </w:r>
      <w:r>
        <w:t xml:space="preserve"> </w:t>
      </w:r>
      <w:r>
        <w:t xml:space="preserve">3.8 (0.5 - 12)</w:t>
      </w:r>
      <w:r>
        <w:t xml:space="preserve"> </w:t>
      </w:r>
      <w:r>
        <w:t xml:space="preserve">2.8 (1.3 - 6.1)</w:t>
      </w:r>
      <w:r>
        <w:t xml:space="preserve"> </w:t>
      </w:r>
      <w:r>
        <w:t xml:space="preserve">1.7 (1 - 2.6)</w:t>
      </w:r>
      <w:r>
        <w:t xml:space="preserve"> </w:t>
      </w:r>
      <w:r>
        <w:t xml:space="preserve">0.2 (0.1 - 0.8)</w:t>
      </w:r>
      <w:r>
        <w:t xml:space="preserve"> </w:t>
      </w:r>
      <w:r>
        <w:t xml:space="preserve">Portugal</w:t>
      </w:r>
      <w:r>
        <w:t xml:space="preserve"> </w:t>
      </w:r>
      <w:r>
        <w:t xml:space="preserve">0.7 (0 - 5)</w:t>
      </w:r>
      <w:r>
        <w:t xml:space="preserve"> </w:t>
      </w:r>
      <w:r>
        <w:t xml:space="preserve">0.4 (0.3 - 0.5)</w:t>
      </w:r>
      <w:r>
        <w:t xml:space="preserve"> </w:t>
      </w:r>
      <w:r>
        <w:t xml:space="preserve">0.9 (0 - 2.1)</w:t>
      </w:r>
      <w:r>
        <w:t xml:space="preserve"> </w:t>
      </w:r>
      <w:r>
        <w:t xml:space="preserve">1.6 (0.9 - 3.3)</w:t>
      </w:r>
      <w:r>
        <w:t xml:space="preserve"> </w:t>
      </w:r>
      <w:r>
        <w:t xml:space="preserve">1.4 (0.5 - 3.2)</w:t>
      </w:r>
      <w:r>
        <w:t xml:space="preserve"> </w:t>
      </w:r>
      <w:r>
        <w:t xml:space="preserve">0.5 (0.2 - 0.9)</w:t>
      </w:r>
      <w:r>
        <w:t xml:space="preserve"> </w:t>
      </w:r>
      <w:r>
        <w:t xml:space="preserve">Romania</w:t>
      </w:r>
      <w:r>
        <w:t xml:space="preserve"> </w:t>
      </w:r>
      <w:r>
        <w:t xml:space="preserve">0.9 (0.1 - 1.1)</w:t>
      </w:r>
      <w:r>
        <w:t xml:space="preserve"> </w:t>
      </w:r>
      <w:r>
        <w:t xml:space="preserve">0.7 (0.6 - 1)</w:t>
      </w:r>
      <w:r>
        <w:t xml:space="preserve"> </w:t>
      </w:r>
      <w:r>
        <w:t xml:space="preserve">1.2 (0.1 - 5.7)</w:t>
      </w:r>
      <w:r>
        <w:t xml:space="preserve"> </w:t>
      </w:r>
      <w:r>
        <w:t xml:space="preserve">2.1 (0.9 - 3.3)</w:t>
      </w:r>
      <w:r>
        <w:t xml:space="preserve"> </w:t>
      </w:r>
      <w:r>
        <w:t xml:space="preserve">1 (0.3 - 1.3)</w:t>
      </w:r>
      <w:r>
        <w:t xml:space="preserve"> </w:t>
      </w:r>
      <w:r>
        <w:t xml:space="preserve">0.4 (0.2 - 0.9)</w:t>
      </w:r>
      <w:r>
        <w:t xml:space="preserve"> </w:t>
      </w:r>
      <w:r>
        <w:t xml:space="preserve">Slovakia</w:t>
      </w:r>
      <w:r>
        <w:t xml:space="preserve"> </w:t>
      </w:r>
      <w:r>
        <w:t xml:space="preserve">0.5 (0.2 - 0.6)</w:t>
      </w:r>
      <w:r>
        <w:t xml:space="preserve"> </w:t>
      </w:r>
      <w:r>
        <w:t xml:space="preserve">1 (1 - 1)</w:t>
      </w:r>
      <w:r>
        <w:t xml:space="preserve"> </w:t>
      </w:r>
      <w:r>
        <w:t xml:space="preserve">1.2 (0.2 - 1.7)</w:t>
      </w:r>
      <w:r>
        <w:t xml:space="preserve"> </w:t>
      </w:r>
      <w:r>
        <w:t xml:space="preserve">4 (1.9 - 6.8)</w:t>
      </w:r>
      <w:r>
        <w:t xml:space="preserve"> </w:t>
      </w:r>
      <w:r>
        <w:t xml:space="preserve">1.5 (1.1 - 1.8)</w:t>
      </w:r>
      <w:r>
        <w:t xml:space="preserve"> </w:t>
      </w:r>
      <w:r>
        <w:t xml:space="preserve">0.6 (0.2 - 0.9)</w:t>
      </w:r>
      <w:r>
        <w:t xml:space="preserve"> </w:t>
      </w:r>
      <w:r>
        <w:t xml:space="preserve">Slovenia</w:t>
      </w:r>
      <w:r>
        <w:t xml:space="preserve"> </w:t>
      </w:r>
      <w:r>
        <w:t xml:space="preserve">1 (0.7 - 1.3)</w:t>
      </w:r>
      <w:r>
        <w:t xml:space="preserve"> </w:t>
      </w:r>
      <w:r>
        <w:t xml:space="preserve">0.6 (0.6 - 0.6)</w:t>
      </w:r>
      <w:r>
        <w:t xml:space="preserve"> </w:t>
      </w:r>
      <w:r>
        <w:t xml:space="preserve">1.8 (0.5 - 2.9)</w:t>
      </w:r>
      <w:r>
        <w:t xml:space="preserve"> </w:t>
      </w:r>
      <w:r>
        <w:t xml:space="preserve">3.1 (2.3 - 3.7)</w:t>
      </w:r>
      <w:r>
        <w:t xml:space="preserve"> </w:t>
      </w:r>
      <w:r>
        <w:t xml:space="preserve">2.4 (2.1 - 2.6)</w:t>
      </w:r>
      <w:r>
        <w:t xml:space="preserve"> </w:t>
      </w:r>
      <w:r>
        <w:t xml:space="preserve">0.3 (0.3 - 0.3)</w:t>
      </w:r>
      <w:r>
        <w:t xml:space="preserve"> </w:t>
      </w:r>
      <w:r>
        <w:t xml:space="preserve">Spain</w:t>
      </w:r>
      <w:r>
        <w:t xml:space="preserve"> </w:t>
      </w:r>
      <w:r>
        <w:t xml:space="preserve">0.9 (0 - 4.4)</w:t>
      </w:r>
      <w:r>
        <w:t xml:space="preserve"> </w:t>
      </w:r>
      <w:r>
        <w:t xml:space="preserve">0.6 (0.5 - 0.8)</w:t>
      </w:r>
      <w:r>
        <w:t xml:space="preserve"> </w:t>
      </w:r>
      <w:r>
        <w:t xml:space="preserve">1 (0.1 - 3.9)</w:t>
      </w:r>
      <w:r>
        <w:t xml:space="preserve"> </w:t>
      </w:r>
      <w:r>
        <w:t xml:space="preserve">1.6 (0.7 - 8.3)</w:t>
      </w:r>
      <w:r>
        <w:t xml:space="preserve"> </w:t>
      </w:r>
      <w:r>
        <w:t xml:space="preserve">1.6 (0.7 - 4.4)</w:t>
      </w:r>
      <w:r>
        <w:t xml:space="preserve"> </w:t>
      </w:r>
      <w:r>
        <w:t xml:space="preserve">0.5 (0.1 - 1.6)</w:t>
      </w:r>
      <w:r>
        <w:t xml:space="preserve"> </w:t>
      </w:r>
      <w:r>
        <w:t xml:space="preserve">Sweden</w:t>
      </w:r>
      <w:r>
        <w:t xml:space="preserve"> </w:t>
      </w:r>
      <w:r>
        <w:t xml:space="preserve">0.7 (0.1 - 1.6)</w:t>
      </w:r>
      <w:r>
        <w:t xml:space="preserve"> </w:t>
      </w:r>
      <w:r>
        <w:t xml:space="preserve">0.3 (0.2 - 0.4)</w:t>
      </w:r>
      <w:r>
        <w:t xml:space="preserve"> </w:t>
      </w:r>
      <w:r>
        <w:t xml:space="preserve">0.8 (0.1 - 2.6)</w:t>
      </w:r>
      <w:r>
        <w:t xml:space="preserve"> </w:t>
      </w:r>
      <w:r>
        <w:t xml:space="preserve">1.9 (1.2 - 4.6)</w:t>
      </w:r>
      <w:r>
        <w:t xml:space="preserve"> </w:t>
      </w:r>
      <w:r>
        <w:t xml:space="preserve">1.4 (0.5 - 4.1)</w:t>
      </w:r>
      <w:r>
        <w:t xml:space="preserve"> </w:t>
      </w:r>
      <w:r>
        <w:t xml:space="preserve">0.8 (0.7 - 1.5)</w:t>
      </w:r>
      <w:r>
        <w:t xml:space="preserve"> </w:t>
      </w:r>
      <w:r>
        <w:t xml:space="preserve">Note: leaving out aviation and shipping.</w:t>
      </w:r>
      <w:r>
        <w:t xml:space="preserve"> </w:t>
      </w:r>
      <w:r>
        <w:t xml:space="preserve">Source: EDGAR emissions database</w:t>
      </w:r>
      <w:r>
        <w:t xml:space="preserve"> </w:t>
      </w:r>
      <w:r>
        <w:t xml:space="preserve">2.5.2.2. Regional dependency to sectors that will need to transform</w:t>
      </w:r>
      <w:r>
        <w:t xml:space="preserve"> </w:t>
      </w:r>
      <w:r>
        <w:t xml:space="preserve">Regions with a relatively high share of employment in sectors significantly impacted by</w:t>
      </w:r>
      <w:r>
        <w:t xml:space="preserve"> </w:t>
      </w:r>
      <w:r>
        <w:t xml:space="preserve">the transition are more exposed to the transition. This includes the regions with a high</w:t>
      </w:r>
      <w:r>
        <w:t xml:space="preserve"> </w:t>
      </w:r>
      <w:r>
        <w:t xml:space="preserve">share of employment in sectors which are being phased out in several countries (mining</w:t>
      </w:r>
      <w:r>
        <w:t xml:space="preserve"> </w:t>
      </w:r>
      <w:r>
        <w:t xml:space="preserve">of coal,lignite and oil shale; extraction of crude petroleum, natural gas and peat; and</w:t>
      </w:r>
      <w:r>
        <w:t xml:space="preserve"> </w:t>
      </w:r>
      <w:r>
        <w:t xml:space="preserve">refining of petroleum products),, in energy intensive sectors, as these will have to</w:t>
      </w:r>
      <w:r>
        <w:t xml:space="preserve"> </w:t>
      </w:r>
      <w:r>
        <w:t xml:space="preserve">produce the same goods differently (manufacturing of chemicals and chemical products,</w:t>
      </w:r>
      <w:r>
        <w:t xml:space="preserve"> </w:t>
      </w:r>
      <w:r>
        <w:t xml:space="preserve">manufacturing of other non-metallic mineral products, manufacturing of basic metals),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and in sectors that will have to produce different goods (manufacturing of motor</w:t>
      </w:r>
      <w:r>
        <w:t xml:space="preserve"> </w:t>
      </w:r>
      <w:r>
        <w:t xml:space="preserve">vehicles, trailers and semi-trailers) (321).</w:t>
      </w:r>
      <w:r>
        <w:t xml:space="preserve"> </w:t>
      </w:r>
      <w:r>
        <w:t xml:space="preserve">In 2020, only two EU regions (NUTS-2 level) had employment shares of more than 1%</w:t>
      </w:r>
      <w:r>
        <w:t xml:space="preserve"> </w:t>
      </w:r>
      <w:r>
        <w:t xml:space="preserve">in terms of direct employment in coal and lignite mining, crude petroleum and natural</w:t>
      </w:r>
      <w:r>
        <w:t xml:space="preserve"> </w:t>
      </w:r>
      <w:r>
        <w:t xml:space="preserve">gas extraction. The region with the highest employment share (3.67%) in these sectors is</w:t>
      </w:r>
      <w:r>
        <w:t xml:space="preserve"> </w:t>
      </w:r>
      <w:r>
        <w:t xml:space="preserve">Śląskie/Silesia, in Poland due to its relatively high activity in coal and lignite mining.</w:t>
      </w:r>
      <w:r>
        <w:t xml:space="preserve"> </w:t>
      </w:r>
      <w:r>
        <w:t xml:space="preserve">The other region is Sud-Vest Oltenia in Romania where the mining and fossil fuel</w:t>
      </w:r>
      <w:r>
        <w:t xml:space="preserve"> </w:t>
      </w:r>
      <w:r>
        <w:t xml:space="preserve">extraction sectors employ 1.12% of the work force. The local impact on regions reliant</w:t>
      </w:r>
      <w:r>
        <w:t xml:space="preserve"> </w:t>
      </w:r>
      <w:r>
        <w:t xml:space="preserve">on these sectors is significant as those sectors have a central role in local economies,</w:t>
      </w:r>
      <w:r>
        <w:t xml:space="preserve"> </w:t>
      </w:r>
      <w:r>
        <w:t xml:space="preserve">driving indirect employment as well. Therefore, the employment and social</w:t>
      </w:r>
      <w:r>
        <w:t xml:space="preserve"> </w:t>
      </w:r>
      <w:r>
        <w:t xml:space="preserve">consequences of the decline in extraction activities needs to be mitigated, in line with the</w:t>
      </w:r>
      <w:r>
        <w:t xml:space="preserve"> </w:t>
      </w:r>
      <w:r>
        <w:t xml:space="preserve">European Green Deal’s objective to leave no region behind (see Annex 9).</w:t>
      </w:r>
      <w:r>
        <w:br/>
      </w:r>
      <w:r>
        <w:t xml:space="preserve">When considering the energy intensive industries or industries that will have to produce</w:t>
      </w:r>
      <w:r>
        <w:t xml:space="preserve"> </w:t>
      </w:r>
      <w:r>
        <w:t xml:space="preserve">different goods (e.g., automobile sector), it becomes apparent that more regions will be</w:t>
      </w:r>
      <w:r>
        <w:t xml:space="preserve"> </w:t>
      </w:r>
      <w:r>
        <w:t xml:space="preserve">affected. Out of the EU’s 27 member states, 23 have regions where more than 1% of the</w:t>
      </w:r>
      <w:r>
        <w:t xml:space="preserve"> </w:t>
      </w:r>
      <w:r>
        <w:t xml:space="preserve">working population was employed in 2020 in such a sector. The regions with the highest</w:t>
      </w:r>
      <w:r>
        <w:t xml:space="preserve"> </w:t>
      </w:r>
      <w:r>
        <w:t xml:space="preserve">exposures in 2020 were Śląskie (PL) (10.2%), Közép-Dunántúl (HU) (9.6%) and Střední</w:t>
      </w:r>
      <w:r>
        <w:t xml:space="preserve"> </w:t>
      </w:r>
      <w:r>
        <w:t xml:space="preserve">Čechy (SK) (9.40%). The regions with a relative high employment in carbon intensive</w:t>
      </w:r>
      <w:r>
        <w:t xml:space="preserve"> </w:t>
      </w:r>
      <w:r>
        <w:t xml:space="preserve">manufacturing are also significantly exposed to the transition. For example, for the</w:t>
      </w:r>
      <w:r>
        <w:t xml:space="preserve"> </w:t>
      </w:r>
      <w:r>
        <w:t xml:space="preserve">territories involved in the automobile sector, the move to the manufacturing of electricity</w:t>
      </w:r>
      <w:r>
        <w:t xml:space="preserve"> </w:t>
      </w:r>
      <w:r>
        <w:t xml:space="preserve">vehicles will require companies from the supply chain to adjust their business models.</w:t>
      </w:r>
      <w:r>
        <w:br/>
      </w:r>
      <w:r>
        <w:t xml:space="preserve">The development of an industrial carbon management system will require the</w:t>
      </w:r>
      <w:r>
        <w:t xml:space="preserve"> </w:t>
      </w:r>
      <w:r>
        <w:t xml:space="preserve">development of a full supply chain and of the necessary infrastructure to link CO2</w:t>
      </w:r>
      <w:r>
        <w:t xml:space="preserve"> </w:t>
      </w:r>
      <w:r>
        <w:t xml:space="preserve">emitting energy supply and industrial sites to carbon storage or usage sites (notably to</w:t>
      </w:r>
      <w:r>
        <w:t xml:space="preserve"> </w:t>
      </w:r>
      <w:r>
        <w:t xml:space="preserve">produce e-fuels). The territories with strong presence of energy intensive industries (e.g.,</w:t>
      </w:r>
      <w:r>
        <w:t xml:space="preserve"> </w:t>
      </w:r>
      <w:r>
        <w:t xml:space="preserve">cement production, chemicals industries, etc) will have to anticipate and develop the</w:t>
      </w:r>
      <w:r>
        <w:t xml:space="preserve"> </w:t>
      </w:r>
      <w:r>
        <w:t xml:space="preserve">corresponding capacities.</w:t>
      </w:r>
    </w:p>
    <w:p>
      <w:pPr>
        <w:pStyle w:val="Compact"/>
        <w:numPr>
          <w:ilvl w:val="0"/>
          <w:numId w:val="1139"/>
        </w:numPr>
      </w:pPr>
      <w:r>
        <w:t xml:space="preserve">See also OECD (2023), Regional Industrial Transitions to Climate Neutrality, OECD Regional</w:t>
      </w:r>
      <w:r>
        <w:t xml:space="preserve"> </w:t>
      </w:r>
      <w:r>
        <w:t xml:space="preserve">Development Studies, OECD Publishing, Paris.</w:t>
      </w:r>
    </w:p>
    <w:p>
      <w:pPr>
        <w:pStyle w:val="FirstParagraph"/>
      </w:pPr>
      <w:r>
        <w:t xml:space="preserve">226</w:t>
      </w:r>
    </w:p>
    <w:p>
      <w:pPr>
        <w:pStyle w:val="BodyText"/>
      </w:pPr>
      <w:r>
        <w:t xml:space="preserve">Figure 129: Share of employment in sectors most negatively impacted</w:t>
      </w:r>
      <w:r>
        <w:t xml:space="preserve"> </w:t>
      </w:r>
      <w:r>
        <w:t xml:space="preserve">(a) Regional exposure to sectors expected</w:t>
      </w:r>
      <w:r>
        <w:t xml:space="preserve"> </w:t>
      </w:r>
      <w:r>
        <w:t xml:space="preserve">to decline</w:t>
      </w:r>
    </w:p>
    <w:p>
      <w:pPr>
        <w:pStyle w:val="BodyText"/>
      </w:pPr>
      <w:r>
        <w:t xml:space="preserve">Share of total employment in mining of coal and lignite</w:t>
      </w:r>
      <w:r>
        <w:t xml:space="preserve"> </w:t>
      </w:r>
      <w:r>
        <w:t xml:space="preserve">(B06) and extraction of crude petroleum and natural gas</w:t>
      </w:r>
      <w:r>
        <w:t xml:space="preserve"> </w:t>
      </w:r>
      <w:r>
        <w:t xml:space="preserve">(B07) in 2020</w:t>
      </w:r>
    </w:p>
    <w:p>
      <w:pPr>
        <w:pStyle w:val="Compact"/>
        <w:numPr>
          <w:ilvl w:val="0"/>
          <w:numId w:val="1140"/>
        </w:numPr>
      </w:pPr>
      <w:r>
        <w:t xml:space="preserve">Regional exposure to energy intensive</w:t>
      </w:r>
      <w:r>
        <w:t xml:space="preserve"> </w:t>
      </w:r>
      <w:r>
        <w:t xml:space="preserve">sectors</w:t>
      </w:r>
    </w:p>
    <w:p>
      <w:pPr>
        <w:pStyle w:val="FirstParagraph"/>
      </w:pPr>
      <w:r>
        <w:t xml:space="preserve">Share of total employment paper and paper</w:t>
      </w:r>
      <w:r>
        <w:t xml:space="preserve"> </w:t>
      </w:r>
      <w:r>
        <w:t xml:space="preserve">products (C17), coke and refined petroleum</w:t>
      </w:r>
      <w:r>
        <w:t xml:space="preserve"> </w:t>
      </w:r>
      <w:r>
        <w:t xml:space="preserve">products (C19), chemicals and chemical products</w:t>
      </w:r>
      <w:r>
        <w:t xml:space="preserve"> </w:t>
      </w:r>
      <w:r>
        <w:t xml:space="preserve">(C20), other non-metallic mineral products (C23) and</w:t>
      </w:r>
      <w:r>
        <w:t xml:space="preserve"> </w:t>
      </w:r>
      <w:r>
        <w:t xml:space="preserve">basic metals (C24) in 2020</w:t>
      </w:r>
    </w:p>
    <w:p>
      <w:pPr>
        <w:pStyle w:val="Compact"/>
        <w:numPr>
          <w:ilvl w:val="0"/>
          <w:numId w:val="1141"/>
        </w:numPr>
      </w:pPr>
      <w:r>
        <w:t xml:space="preserve">Regional exposure to sectors that will</w:t>
      </w:r>
      <w:r>
        <w:t xml:space="preserve"> </w:t>
      </w:r>
      <w:r>
        <w:t xml:space="preserve">have to produce the same goods</w:t>
      </w:r>
      <w:r>
        <w:t xml:space="preserve"> </w:t>
      </w:r>
      <w:r>
        <w:t xml:space="preserve">differently</w:t>
      </w:r>
    </w:p>
    <w:p>
      <w:pPr>
        <w:pStyle w:val="FirstParagraph"/>
      </w:pPr>
      <w:r>
        <w:t xml:space="preserve">Share of total employment in motor vehicles, trailers and</w:t>
      </w:r>
      <w:r>
        <w:t xml:space="preserve"> </w:t>
      </w:r>
      <w:r>
        <w:t xml:space="preserve">semi-trailers (C29) in 2020</w:t>
      </w:r>
    </w:p>
    <w:p>
      <w:pPr>
        <w:pStyle w:val="BodyText"/>
      </w:pPr>
      <w:r>
        <w:t xml:space="preserve">Source: Eurostat structural business statistics and labour force survey</w:t>
      </w:r>
      <w:r>
        <w:t xml:space="preserve"> </w:t>
      </w:r>
      <w:r>
        <w:t xml:space="preserve">The transition is also an opportunity for new activities or sectors to develop. For</w:t>
      </w:r>
      <w:r>
        <w:t xml:space="preserve"> </w:t>
      </w:r>
      <w:r>
        <w:t xml:space="preserve">example, while Sweden’s Upper Norrland and Middle Norrland regions have a relatively</w:t>
      </w:r>
      <w:r>
        <w:t xml:space="preserve"> </w:t>
      </w:r>
      <w:r>
        <w:t xml:space="preserve">high share of employment in carbon-intensive manufacturing sector, they are also areas</w:t>
      </w:r>
      <w:r>
        <w:t xml:space="preserve"> </w:t>
      </w:r>
      <w:r>
        <w:t xml:space="preserve">where the technical potential for electricity from renewable was more than 100TWh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higher than the actual demand in 2019 (see Figure 130). The untapped potential for</w:t>
      </w:r>
      <w:r>
        <w:t xml:space="preserve"> </w:t>
      </w:r>
      <w:r>
        <w:t xml:space="preserve">electricity production from renewable energy technologies is mostly in rural areas. The</w:t>
      </w:r>
      <w:r>
        <w:t xml:space="preserve"> </w:t>
      </w:r>
      <w:r>
        <w:t xml:space="preserve">Member States with the highest absolute green hydrogen potential are Spain (1388 of</w:t>
      </w:r>
      <w:r>
        <w:t xml:space="preserve"> </w:t>
      </w:r>
      <w:r>
        <w:t xml:space="preserve">excess TWh), France (917), Romania (493) and Poland (456). The three EU regions with</w:t>
      </w:r>
      <w:r>
        <w:t xml:space="preserve"> </w:t>
      </w:r>
      <w:r>
        <w:t xml:space="preserve">the highest absolute potential are all located in Spain: Castilla y León (488), Castilla-La</w:t>
      </w:r>
      <w:r>
        <w:t xml:space="preserve"> </w:t>
      </w:r>
      <w:r>
        <w:t xml:space="preserve">Mancha (366), and Aragón (263). (322)</w:t>
      </w:r>
    </w:p>
    <w:p>
      <w:pPr>
        <w:pStyle w:val="BodyText"/>
      </w:pPr>
      <w:r>
        <w:t xml:space="preserve">Figure 130: Untapped potential for electricity production from solar and wind in 2019 (left)</w:t>
      </w:r>
      <w:r>
        <w:t xml:space="preserve"> </w:t>
      </w:r>
      <w:r>
        <w:t xml:space="preserve">and present-day annual hydrogen production (right) in EU regions.</w:t>
      </w:r>
    </w:p>
    <w:p>
      <w:pPr>
        <w:pStyle w:val="BodyText"/>
      </w:pPr>
      <w:r>
        <w:t xml:space="preserve">Source: Data from Kakoulaki et al., 2021. Green hydrogen in Europe – A regional assessment: Substituting</w:t>
      </w:r>
      <w:r>
        <w:t xml:space="preserve"> </w:t>
      </w:r>
      <w:r>
        <w:t xml:space="preserve">existing production with electrolysis powered by renewables, Energy Conversion and Management 228 (2021)</w:t>
      </w:r>
      <w:r>
        <w:t xml:space="preserve"> </w:t>
      </w:r>
      <w:r>
        <w:t xml:space="preserve">113649</w:t>
      </w:r>
      <w:r>
        <w:t xml:space="preserve"> </w:t>
      </w:r>
      <w:r>
        <w:t xml:space="preserve">The potential contribution of the various economic sectors to EU net emission reduction</w:t>
      </w:r>
      <w:r>
        <w:t xml:space="preserve"> </w:t>
      </w:r>
      <w:r>
        <w:t xml:space="preserve">(Figure 131) suggests that rural areas can significantly contribute to emission reductions,</w:t>
      </w:r>
      <w:r>
        <w:t xml:space="preserve"> </w:t>
      </w:r>
      <w:r>
        <w:t xml:space="preserve">for example by carbon sequestration in agriculture. Nature-based removals activities like</w:t>
      </w:r>
      <w:r>
        <w:t xml:space="preserve"> </w:t>
      </w:r>
      <w:r>
        <w:t xml:space="preserve">afforestation and nature restoration may spur investment and economic activity in these</w:t>
      </w:r>
      <w:r>
        <w:t xml:space="preserve"> </w:t>
      </w:r>
      <w:r>
        <w:t xml:space="preserve">areas.</w:t>
      </w:r>
    </w:p>
    <w:p>
      <w:pPr>
        <w:pStyle w:val="Compact"/>
        <w:numPr>
          <w:ilvl w:val="0"/>
          <w:numId w:val="1142"/>
        </w:numPr>
      </w:pPr>
      <w:r>
        <w:t xml:space="preserve">According to Kakoulaki et al. (2021), the technical potential for wind and solar for the EU</w:t>
      </w:r>
      <w:r>
        <w:t xml:space="preserve"> </w:t>
      </w:r>
      <w:r>
        <w:t xml:space="preserve">amounts to 9040 TWh, which is 6441TWh more than the current demand. 10% of this excess (i.e., 644</w:t>
      </w:r>
      <w:r>
        <w:t xml:space="preserve"> </w:t>
      </w:r>
      <w:r>
        <w:t xml:space="preserve">MWh) is in coal regions in transition with hydrogen infrastructures.</w:t>
      </w:r>
    </w:p>
    <w:p>
      <w:pPr>
        <w:pStyle w:val="FirstParagraph"/>
      </w:pPr>
      <w:r>
        <w:t xml:space="preserve">228</w:t>
      </w:r>
    </w:p>
    <w:p>
      <w:pPr>
        <w:pStyle w:val="BodyText"/>
      </w:pPr>
      <w:r>
        <w:t xml:space="preserve">Figure 131: Potential contribution of the various economic sectors to the EU emission</w:t>
      </w:r>
      <w:r>
        <w:t xml:space="preserve"> </w:t>
      </w:r>
      <w:r>
        <w:t xml:space="preserve">reductions</w:t>
      </w:r>
    </w:p>
    <w:p>
      <w:pPr>
        <w:pStyle w:val="BodyText"/>
      </w:pPr>
      <w:r>
        <w:t xml:space="preserve">Source: Global outlook based on the IPCC migitation report (323)</w:t>
      </w:r>
      <w:r>
        <w:t xml:space="preserve"> </w:t>
      </w:r>
      <w:r>
        <w:t xml:space="preserve">Contrary to coal mining, the mining of elements that are useful for the low-carbon transition</w:t>
      </w:r>
      <w:r>
        <w:t xml:space="preserve"> </w:t>
      </w:r>
      <w:r>
        <w:t xml:space="preserve">(e.g. lithium used for batteries) is a growing sector. Many of the EU’s regions have a</w:t>
      </w:r>
      <w:r>
        <w:t xml:space="preserve"> </w:t>
      </w:r>
      <w:r>
        <w:t xml:space="preserve">history of raw materials extraction. The possibility to use former mining sites for the</w:t>
      </w:r>
      <w:r>
        <w:t xml:space="preserve"> </w:t>
      </w:r>
      <w:r>
        <w:t xml:space="preserve">extraction or treatment of elements needed for the decarbonisation is worth being</w:t>
      </w:r>
      <w:r>
        <w:t xml:space="preserve"> </w:t>
      </w:r>
      <w:r>
        <w:t xml:space="preserve">examined. It has the potential to create economic value and employment in historical</w:t>
      </w:r>
      <w:r>
        <w:t xml:space="preserve"> </w:t>
      </w:r>
      <w:r>
        <w:t xml:space="preserve">mining regions, which are often declining as a consequence of deindustrialisation. This</w:t>
      </w:r>
      <w:r>
        <w:t xml:space="preserve"> </w:t>
      </w:r>
      <w:r>
        <w:t xml:space="preserve">may be particularly the case for regions with deposits of high-volume commodities such</w:t>
      </w:r>
      <w:r>
        <w:t xml:space="preserve"> </w:t>
      </w:r>
      <w:r>
        <w:t xml:space="preserve">as iron and copper, given these typically co-occur with critical raw materials (324).</w:t>
      </w:r>
      <w:r>
        <w:t xml:space="preserve"> </w:t>
      </w:r>
      <w:r>
        <w:t xml:space="preserve">Several regions who are not former coal mining regions are considering new mining</w:t>
      </w:r>
      <w:r>
        <w:t xml:space="preserve"> </w:t>
      </w:r>
      <w:r>
        <w:t xml:space="preserve">activities (e.g., Norte in Portugal).</w:t>
      </w:r>
      <w:r>
        <w:t xml:space="preserve"> </w:t>
      </w:r>
      <w:r>
        <w:t xml:space="preserve">A downside of the mining of critical raw materials is that it is highly capital intensive</w:t>
      </w:r>
      <w:r>
        <w:t xml:space="preserve"> </w:t>
      </w:r>
      <w:r>
        <w:t xml:space="preserve">and account for a relatively small share of employment in the countries. It also imposes</w:t>
      </w:r>
      <w:r>
        <w:t xml:space="preserve"> </w:t>
      </w:r>
      <w:r>
        <w:t xml:space="preserve">environmental costs (325).</w:t>
      </w:r>
      <w:r>
        <w:br/>
      </w:r>
      <w:r>
        <w:t xml:space="preserve">The innovation capacities, the level of instruction, and the quality of infrastructure are</w:t>
      </w:r>
      <w:r>
        <w:t xml:space="preserve"> </w:t>
      </w:r>
      <w:r>
        <w:t xml:space="preserve">examples of parameters that contribute to the preparedness of the regions for the</w:t>
      </w:r>
      <w:r>
        <w:t xml:space="preserve"> </w:t>
      </w:r>
      <w:r>
        <w:t xml:space="preserve">transition. Regarding innovation, the ten regions that have contributed the most to the</w:t>
      </w:r>
    </w:p>
    <w:p>
      <w:pPr>
        <w:numPr>
          <w:ilvl w:val="0"/>
          <w:numId w:val="1143"/>
        </w:numPr>
      </w:pPr>
      <w:r>
        <w:t xml:space="preserve">IPCC. Climate Change 2022. Mitigation of Climate Change. Working Group III contribution to the</w:t>
      </w:r>
      <w:r>
        <w:t xml:space="preserve"> </w:t>
      </w:r>
      <w:r>
        <w:t xml:space="preserve">Sixth Assessment Report of the Intergovernmental Panel on Climate Change. 2022</w:t>
      </w:r>
    </w:p>
    <w:p>
      <w:pPr>
        <w:numPr>
          <w:ilvl w:val="0"/>
          <w:numId w:val="1143"/>
        </w:numPr>
      </w:pPr>
      <w:r>
        <w:t xml:space="preserve">Proposal for a Regulation of the European Parliament and of the Council establishing a framework for</w:t>
      </w:r>
      <w:r>
        <w:t xml:space="preserve"> </w:t>
      </w:r>
      <w:r>
        <w:t xml:space="preserve">ensuring a secure and sustainable supply of critical raw materials and amending Regulations (EU)</w:t>
      </w:r>
      <w:r>
        <w:t xml:space="preserve"> </w:t>
      </w:r>
      <w:r>
        <w:t xml:space="preserve">168/2013, (EU) 2018/858, 2018/1724 and (EU) 2019/1020. Impact Assessment Report accompanying</w:t>
      </w:r>
      <w:r>
        <w:t xml:space="preserve"> </w:t>
      </w:r>
      <w:r>
        <w:t xml:space="preserve">the document: SWD(2023) 161 final.</w:t>
      </w:r>
    </w:p>
    <w:p>
      <w:pPr>
        <w:numPr>
          <w:ilvl w:val="0"/>
          <w:numId w:val="1143"/>
        </w:numPr>
      </w:pPr>
      <w:r>
        <w:t xml:space="preserve">IRENA and ILO (2022), Renewable energy and jobs: Annual review 2022, International Renewable</w:t>
      </w:r>
      <w:r>
        <w:t xml:space="preserve"> </w:t>
      </w:r>
      <w:r>
        <w:t xml:space="preserve">Energy Agency, Abu Dhabi and International Labour Organization, Geneva.</w:t>
      </w:r>
    </w:p>
    <w:p>
      <w:pPr>
        <w:pStyle w:val="FirstParagraph"/>
      </w:pPr>
      <w:r>
        <w:t xml:space="preserve">229</w:t>
      </w:r>
    </w:p>
    <w:p>
      <w:pPr>
        <w:pStyle w:val="BodyText"/>
      </w:pPr>
      <w:r>
        <w:t xml:space="preserve">total number of patent application to the European Patent Office in the fields of climate</w:t>
      </w:r>
      <w:r>
        <w:t xml:space="preserve"> </w:t>
      </w:r>
      <w:r>
        <w:t xml:space="preserve">change, environment, resource efficiency and materials over the period 2000-2018 are Île</w:t>
      </w:r>
      <w:r>
        <w:t xml:space="preserve"> </w:t>
      </w:r>
      <w:r>
        <w:t xml:space="preserve">de France (FR), Cataluña (ES), Andalucía (ES), Comunidad de Madrid (ES), Lombardia</w:t>
      </w:r>
      <w:r>
        <w:t xml:space="preserve"> </w:t>
      </w:r>
      <w:r>
        <w:t xml:space="preserve">(IT), Lazio (IT), Oberbayern (DE), Hovedstaden (DE), Zuid-Holland (NL), and Helsinki-</w:t>
      </w:r>
      <w:r>
        <w:t xml:space="preserve"> </w:t>
      </w:r>
      <w:r>
        <w:t xml:space="preserve">Uusimaa (FI) (326). The study by Maucorps et al. (2022) (327) provides indicators of the</w:t>
      </w:r>
      <w:r>
        <w:t xml:space="preserve"> </w:t>
      </w:r>
      <w:r>
        <w:t xml:space="preserve">regional readiness for the green transition (Figure 132). The best prepared regions are</w:t>
      </w:r>
      <w:r>
        <w:t xml:space="preserve"> </w:t>
      </w:r>
      <w:r>
        <w:t xml:space="preserve">mainly metropolitan regions specialised in knowledge-intensive services while rural ones</w:t>
      </w:r>
      <w:r>
        <w:t xml:space="preserve"> </w:t>
      </w:r>
      <w:r>
        <w:t xml:space="preserve">have lower growth potential. In regions such as Madrid (ES) and Attica (EL), a high</w:t>
      </w:r>
      <w:r>
        <w:t xml:space="preserve"> </w:t>
      </w:r>
      <w:r>
        <w:t xml:space="preserve">potential for economic growth might be further increased by the green transition while in</w:t>
      </w:r>
      <w:r>
        <w:t xml:space="preserve"> </w:t>
      </w:r>
      <w:r>
        <w:t xml:space="preserve">others such as Sicilia (IT) or Bourgogne (FR) an already low potential for economic</w:t>
      </w:r>
      <w:r>
        <w:t xml:space="preserve"> </w:t>
      </w:r>
      <w:r>
        <w:t xml:space="preserve">growth might be further reduced by the green transition.</w:t>
      </w:r>
      <w:r>
        <w:br/>
      </w:r>
      <w:r>
        <w:t xml:space="preserve">Figure 132: Regional readiness for the green transition and correlation with growth</w:t>
      </w:r>
      <w:r>
        <w:t xml:space="preserve"> </w:t>
      </w:r>
      <w:r>
        <w:t xml:space="preserve">potential</w:t>
      </w:r>
      <w:r>
        <w:br/>
      </w:r>
      <w:r>
        <w:t xml:space="preserve">Source: Bertelsmann Stiftung</w:t>
      </w:r>
      <w:r>
        <w:t xml:space="preserve"> </w:t>
      </w:r>
      <w:r>
        <w:t xml:space="preserve">The climate transition will have heterogenous consequences for the EU’s regions. It will</w:t>
      </w:r>
      <w:r>
        <w:t xml:space="preserve"> </w:t>
      </w:r>
      <w:r>
        <w:t xml:space="preserve">both lead to new challenges and opportunities. For instance, the few EU regions</w:t>
      </w:r>
      <w:r>
        <w:t xml:space="preserve"> </w:t>
      </w:r>
      <w:r>
        <w:t xml:space="preserve">significantly exposed to declining sectors and the more numerous regions which rely on</w:t>
      </w:r>
      <w:r>
        <w:t xml:space="preserve"> </w:t>
      </w:r>
      <w:r>
        <w:t xml:space="preserve">energy intensive industries and sectors affected most by the transition will likely be more</w:t>
      </w:r>
      <w:r>
        <w:t xml:space="preserve"> </w:t>
      </w:r>
      <w:r>
        <w:t xml:space="preserve">negatively impacted by the transition. In such regions and territories, the employees from</w:t>
      </w:r>
      <w:r>
        <w:t xml:space="preserve"> </w:t>
      </w:r>
      <w:r>
        <w:t xml:space="preserve">these sectors will have a higher need of reskilling. On the other hand, regions will be able</w:t>
      </w:r>
      <w:r>
        <w:t xml:space="preserve"> </w:t>
      </w:r>
      <w:r>
        <w:t xml:space="preserve">to take advantage of new opportunities offered by the transition. This is particularly the</w:t>
      </w:r>
      <w:r>
        <w:t xml:space="preserve"> </w:t>
      </w:r>
      <w:r>
        <w:t xml:space="preserve">case for regions with higher levels of innovation capacities, which are likely to profit</w:t>
      </w:r>
      <w:r>
        <w:t xml:space="preserve"> </w:t>
      </w:r>
      <w:r>
        <w:t xml:space="preserve">more from the transition than their less-innovative peers. But also, the numerous EU</w:t>
      </w:r>
      <w:r>
        <w:t xml:space="preserve"> </w:t>
      </w:r>
      <w:r>
        <w:t xml:space="preserve">regions with an excess of RES electricity potential can benefit from the transition, for</w:t>
      </w:r>
      <w:r>
        <w:t xml:space="preserve"> </w:t>
      </w:r>
      <w:r>
        <w:t xml:space="preserve">example by developing green hydrogen production. While some extractive facilities have</w:t>
      </w:r>
    </w:p>
    <w:p>
      <w:pPr>
        <w:pStyle w:val="Compact"/>
        <w:numPr>
          <w:ilvl w:val="0"/>
          <w:numId w:val="1144"/>
        </w:numPr>
      </w:pPr>
      <w:r>
        <w:t xml:space="preserve">Science, Research and Innovation Performance of the EU, 2022 (SRIP) – Publications Office of the</w:t>
      </w:r>
      <w:r>
        <w:t xml:space="preserve"> </w:t>
      </w:r>
      <w:r>
        <w:t xml:space="preserve">EU.</w:t>
      </w:r>
    </w:p>
    <w:p>
      <w:pPr>
        <w:pStyle w:val="Compact"/>
        <w:numPr>
          <w:ilvl w:val="0"/>
          <w:numId w:val="1144"/>
        </w:numPr>
      </w:pPr>
      <w:r>
        <w:t xml:space="preserve">Maucorps, Ambre, R. Römisch, T. Schwab, N. Vujanovic, (2022). The Future of EU Cohesion.</w:t>
      </w:r>
      <w:r>
        <w:t xml:space="preserve"> </w:t>
      </w:r>
      <w:r>
        <w:t xml:space="preserve">Effects of the Twin Transition on Disparities across European Region, Bertelsmann foundation.</w:t>
      </w:r>
    </w:p>
    <w:p>
      <w:pPr>
        <w:pStyle w:val="FirstParagraph"/>
      </w:pPr>
      <w:r>
        <w:t xml:space="preserve">230</w:t>
      </w:r>
    </w:p>
    <w:p>
      <w:pPr>
        <w:pStyle w:val="BodyText"/>
      </w:pPr>
      <w:r>
        <w:t xml:space="preserve">to close, others can be developed for the mining of critical raw materials. The transition</w:t>
      </w:r>
      <w:r>
        <w:t xml:space="preserve"> </w:t>
      </w:r>
      <w:r>
        <w:t xml:space="preserve">to a low carbon economy might widen disparities between regions (328). Other EU</w:t>
      </w:r>
      <w:r>
        <w:t xml:space="preserve"> </w:t>
      </w:r>
      <w:r>
        <w:t xml:space="preserve">policies such as the cohesion policy play an important role to address this. Annex 9</w:t>
      </w:r>
      <w:r>
        <w:t xml:space="preserve"> </w:t>
      </w:r>
      <w:r>
        <w:t xml:space="preserve">provides examples of EU and national measures and programmes that can support</w:t>
      </w:r>
      <w:r>
        <w:t xml:space="preserve"> </w:t>
      </w:r>
      <w:r>
        <w:t xml:space="preserve">regions for the transition.</w:t>
      </w:r>
      <w:r>
        <w:t xml:space="preserve"> </w:t>
      </w:r>
      <w:r>
        <w:t xml:space="preserve">2.6.</w:t>
      </w:r>
      <w:r>
        <w:t xml:space="preserve"> </w:t>
      </w:r>
      <w:r>
        <w:t xml:space="preserve">Energy security</w:t>
      </w:r>
      <w:r>
        <w:t xml:space="preserve"> </w:t>
      </w:r>
      <w:r>
        <w:t xml:space="preserve">2.6.1. Strategic independence and fuel imports – energy security (329)</w:t>
      </w:r>
      <w:r>
        <w:t xml:space="preserve"> </w:t>
      </w:r>
      <w:r>
        <w:t xml:space="preserve">Imports of fossil fuels have historically weighed heavily on the EU’s trade balance. On</w:t>
      </w:r>
      <w:r>
        <w:t xml:space="preserve"> </w:t>
      </w:r>
      <w:r>
        <w:t xml:space="preserve">average in 2000-2021, gross imports of fossil fuels represented about 20% of total</w:t>
      </w:r>
      <w:r>
        <w:t xml:space="preserve"> </w:t>
      </w:r>
      <w:r>
        <w:t xml:space="preserve">merchandise imports, equivalent to 2.8% of GDP. With the surge in energy prices in</w:t>
      </w:r>
      <w:r>
        <w:t xml:space="preserve"> </w:t>
      </w:r>
      <w:r>
        <w:t xml:space="preserve">2022, gross fossil fuel imports rose to more than EUR 800 billion, equivalent to 5.1% of</w:t>
      </w:r>
      <w:r>
        <w:t xml:space="preserve"> </w:t>
      </w:r>
      <w:r>
        <w:t xml:space="preserve">GDP and 26.9% of merchandise imports, the highest level in the past two decades</w:t>
      </w:r>
      <w:r>
        <w:t xml:space="preserve"> </w:t>
      </w:r>
      <w:r>
        <w:t xml:space="preserve">relative to GDP. On a net basis (imports minus exports), fossil fuel imports represented</w:t>
      </w:r>
      <w:r>
        <w:t xml:space="preserve"> </w:t>
      </w:r>
      <w:r>
        <w:t xml:space="preserve">EUR 640 billion in 2022 or 4.1% of GDP, compared to an average of 2.2% of GDP in</w:t>
      </w:r>
      <w:r>
        <w:t xml:space="preserve"> </w:t>
      </w:r>
      <w:r>
        <w:t xml:space="preserve">2000-2021 (Figure 133).</w:t>
      </w:r>
      <w:r>
        <w:t xml:space="preserve"> </w:t>
      </w:r>
      <w:r>
        <w:t xml:space="preserve">Figure 133: Net fossil fuel imports, 2000-2022</w:t>
      </w:r>
    </w:p>
    <w:p>
      <w:pPr>
        <w:pStyle w:val="BodyText"/>
      </w:pPr>
      <w:r>
        <w:t xml:space="preserve">Based on Eurostat’s trade data for CN code 27, with the exclusion of codes 2712, 2714, 2715 and 2716.</w:t>
      </w:r>
      <w:r>
        <w:t xml:space="preserve"> </w:t>
      </w:r>
      <w:r>
        <w:t xml:space="preserve">Source: Eurostat.</w:t>
      </w:r>
      <w:r>
        <w:t xml:space="preserve"> </w:t>
      </w:r>
      <w:r>
        <w:t xml:space="preserve">Figure 134 shows the monetary value of fossil fuels imports in the EU by 2050. Imports</w:t>
      </w:r>
      <w:r>
        <w:t xml:space="preserve"> </w:t>
      </w:r>
      <w:r>
        <w:t xml:space="preserve">decrease significantly in volume between 2020 and 2030 (see Section 1.2) and the import</w:t>
      </w:r>
      <w:r>
        <w:t xml:space="preserve"> </w:t>
      </w:r>
      <w:r>
        <w:t xml:space="preserve">bill is projected to decrease by almost 20% by 2030. This result depends on the assumed</w:t>
      </w:r>
      <w:r>
        <w:t xml:space="preserve"> </w:t>
      </w:r>
      <w:r>
        <w:t xml:space="preserve">trajectories for fossil fuel prices (see Annex 6). These trajectories are input to the</w:t>
      </w:r>
      <w:r>
        <w:t xml:space="preserve"> </w:t>
      </w:r>
      <w:r>
        <w:t xml:space="preserve">PRIMES energy model and significant uncertainties exists on the long-term evolution of</w:t>
      </w:r>
      <w:r>
        <w:t xml:space="preserve"> </w:t>
      </w:r>
      <w:r>
        <w:t xml:space="preserve">fossil fuel prices.</w:t>
      </w:r>
    </w:p>
    <w:p>
      <w:pPr>
        <w:pStyle w:val="Compact"/>
        <w:numPr>
          <w:ilvl w:val="0"/>
          <w:numId w:val="1145"/>
        </w:numPr>
      </w:pPr>
      <w:r>
        <w:t xml:space="preserve">Santos A., J. Barbero, S. Salotti, O. Diukanova and D. Pontikakis. On the road to regional</w:t>
      </w:r>
      <w:r>
        <w:t xml:space="preserve"> </w:t>
      </w:r>
      <w:r>
        <w:t xml:space="preserve">‘Competitive Environmental Sustainability’: the role of the European structural funds, Industry and</w:t>
      </w:r>
      <w:r>
        <w:t xml:space="preserve"> </w:t>
      </w:r>
      <w:r>
        <w:t xml:space="preserve">Innovation, 30:7, 801-823, 2023. DOI: 10.1080/13662716.2023.2236048</w:t>
      </w:r>
    </w:p>
    <w:p>
      <w:pPr>
        <w:pStyle w:val="Compact"/>
        <w:numPr>
          <w:ilvl w:val="0"/>
          <w:numId w:val="1145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2000</w:t>
      </w:r>
      <w:r>
        <w:t xml:space="preserve"> </w:t>
      </w:r>
      <w:r>
        <w:t xml:space="preserve">2001</w:t>
      </w:r>
      <w:r>
        <w:t xml:space="preserve"> </w:t>
      </w:r>
      <w:r>
        <w:t xml:space="preserve">2002</w:t>
      </w:r>
      <w:r>
        <w:t xml:space="preserve"> </w:t>
      </w:r>
      <w:r>
        <w:t xml:space="preserve">2003</w:t>
      </w:r>
      <w:r>
        <w:t xml:space="preserve"> </w:t>
      </w:r>
      <w:r>
        <w:t xml:space="preserve">2004</w:t>
      </w:r>
      <w:r>
        <w:t xml:space="preserve"> </w:t>
      </w:r>
      <w:r>
        <w:t xml:space="preserve">2005</w:t>
      </w:r>
      <w:r>
        <w:t xml:space="preserve"> </w:t>
      </w:r>
      <w:r>
        <w:t xml:space="preserve">2006</w:t>
      </w:r>
      <w:r>
        <w:t xml:space="preserve"> </w:t>
      </w:r>
      <w:r>
        <w:t xml:space="preserve">2007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% GDP</w:t>
      </w:r>
      <w:r>
        <w:t xml:space="preserve"> </w:t>
      </w:r>
      <w:r>
        <w:t xml:space="preserve">Billion EUR</w:t>
      </w:r>
      <w:r>
        <w:t xml:space="preserve"> </w:t>
      </w:r>
      <w:r>
        <w:t xml:space="preserve">Billion EUR</w:t>
      </w:r>
      <w:r>
        <w:t xml:space="preserve"> </w:t>
      </w:r>
      <w:r>
        <w:t xml:space="preserve">% GDP</w:t>
      </w:r>
    </w:p>
    <w:p>
      <w:pPr>
        <w:pStyle w:val="FirstParagraph"/>
      </w:pPr>
      <w:r>
        <w:t xml:space="preserve">231</w:t>
      </w:r>
    </w:p>
    <w:p>
      <w:pPr>
        <w:pStyle w:val="BodyText"/>
      </w:pPr>
      <w:r>
        <w:t xml:space="preserve">With the assumptions used, by 2040, the fossil fuel import bill will be 50% to 63% lower</w:t>
      </w:r>
      <w:r>
        <w:t xml:space="preserve"> </w:t>
      </w:r>
      <w:r>
        <w:t xml:space="preserve">than in 2020 depending on scenarios. Decarbonisation of the energy system will save</w:t>
      </w:r>
      <w:r>
        <w:t xml:space="preserve"> </w:t>
      </w:r>
      <w:r>
        <w:t xml:space="preserve">Europe approximately 1.3 trillion € in the 2031 – 2040 decade compared to 2021 – 2030.</w:t>
      </w:r>
      <w:r>
        <w:t xml:space="preserve"> </w:t>
      </w:r>
      <w:r>
        <w:t xml:space="preserve">With the current assumptions about economic growth, fossil fuels import will decrease</w:t>
      </w:r>
      <w:r>
        <w:t xml:space="preserve"> </w:t>
      </w:r>
      <w:r>
        <w:t xml:space="preserve">from 2.75% of GDP in 2020 to 1.9% in 2030 and to 1% in 2040. This will greatly reduce</w:t>
      </w:r>
      <w:r>
        <w:t xml:space="preserve"> </w:t>
      </w:r>
      <w:r>
        <w:t xml:space="preserve">the economic impact of eventual disruption in fossil fuels supply.</w:t>
      </w:r>
      <w:r>
        <w:t xml:space="preserve"> </w:t>
      </w:r>
      <w:r>
        <w:t xml:space="preserve">By 2050, imports are dominated by the fossil fuel used for non-energy purposes and are</w:t>
      </w:r>
      <w:r>
        <w:t xml:space="preserve"> </w:t>
      </w:r>
      <w:r>
        <w:t xml:space="preserve">almost 80% lower than in 2020 with very small differences across scenarios.</w:t>
      </w:r>
      <w:r>
        <w:t xml:space="preserve"> </w:t>
      </w:r>
      <w:r>
        <w:t xml:space="preserve">Figure 134: Annual fossil fuels imports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While the role of fossil fuels will decline, other dependencies will emerge in the coming</w:t>
      </w:r>
      <w:r>
        <w:t xml:space="preserve"> </w:t>
      </w:r>
      <w:r>
        <w:t xml:space="preserve">decades. Imports of biomass are set to double from approximately 6 Mtoe in 2019 to 12</w:t>
      </w:r>
      <w:r>
        <w:t xml:space="preserve"> </w:t>
      </w:r>
      <w:r>
        <w:t xml:space="preserve">Mtoe in 2040. While non-existent today, imports of hydrogen and RFNBOs will also</w:t>
      </w:r>
      <w:r>
        <w:t xml:space="preserve"> </w:t>
      </w:r>
      <w:r>
        <w:t xml:space="preserve">become significant reaching approximately 20 Mtoe in 2040 with negligible differences</w:t>
      </w:r>
      <w:r>
        <w:t xml:space="preserve"> </w:t>
      </w:r>
      <w:r>
        <w:t xml:space="preserve">across scenarios. However, these imports will be small compared to the approximately</w:t>
      </w:r>
      <w:r>
        <w:t xml:space="preserve"> </w:t>
      </w:r>
      <w:r>
        <w:t xml:space="preserve">900 Mtoe of fossil fuels imported in 2019.</w:t>
      </w:r>
      <w:r>
        <w:t xml:space="preserve"> </w:t>
      </w:r>
      <w:r>
        <w:t xml:space="preserve">Other relevant dependencies that might emerge are those related to the raw materials</w:t>
      </w:r>
      <w:r>
        <w:t xml:space="preserve"> </w:t>
      </w:r>
      <w:r>
        <w:t xml:space="preserve">needed for decarbonisation technologies. However, the economic consequences of these</w:t>
      </w:r>
      <w:r>
        <w:t xml:space="preserve"> </w:t>
      </w:r>
      <w:r>
        <w:t xml:space="preserve">import will most likely be very different. The risks of import dependency do not depend</w:t>
      </w:r>
      <w:r>
        <w:t xml:space="preserve"> </w:t>
      </w:r>
      <w:r>
        <w:t xml:space="preserve">only their share, but also on other parameters such as market concentration and</w:t>
      </w:r>
      <w:r>
        <w:t xml:space="preserve"> </w:t>
      </w:r>
      <w:r>
        <w:t xml:space="preserve">substitution possibilities. Moreover, the economic implications of scarcity would be very</w:t>
      </w:r>
      <w:r>
        <w:t xml:space="preserve"> </w:t>
      </w:r>
      <w:r>
        <w:t xml:space="preserve">different when dealing with a fuel or a component of specific equipment. Finally, the risk</w:t>
      </w:r>
      <w:r>
        <w:t xml:space="preserve"> </w:t>
      </w:r>
      <w:r>
        <w:t xml:space="preserve">of dependency depends on the possibility to maintain strategic reserves and the cost of</w:t>
      </w:r>
      <w:r>
        <w:t xml:space="preserve"> </w:t>
      </w:r>
      <w:r>
        <w:t xml:space="preserve">storing raw materials varies greatly. The sudden increase in the cost of a raw material</w:t>
      </w:r>
      <w:r>
        <w:t xml:space="preserve"> </w:t>
      </w:r>
      <w:r>
        <w:t xml:space="preserve">used in manufacturing will not have the same macroeconomic impact as the recent stop</w:t>
      </w:r>
      <w:r>
        <w:t xml:space="preserve"> </w:t>
      </w:r>
      <w:r>
        <w:t xml:space="preserve">of gas imports from Russia.</w:t>
      </w:r>
      <w:r>
        <w:t xml:space="preserve"> </w:t>
      </w:r>
      <w:r>
        <w:t xml:space="preserve">The high decarbonization levels and the corresponding high demand for deployment of</w:t>
      </w:r>
      <w:r>
        <w:t xml:space="preserve"> </w:t>
      </w:r>
      <w:r>
        <w:t xml:space="preserve">renewables, storage and novel technologies may create new dependencies for raw</w:t>
      </w:r>
      <w:r>
        <w:t xml:space="preserve"> </w:t>
      </w:r>
      <w:r>
        <w:t xml:space="preserve">materials or technology imports from other countries. This highlights the role for the</w:t>
      </w:r>
      <w:r>
        <w:t xml:space="preserve"> </w:t>
      </w:r>
      <w:r>
        <w:t xml:space="preserve">Critical Raw Material Act, and the Net Zero Industry Act. The options with a less steeply</w:t>
      </w:r>
      <w:r>
        <w:t xml:space="preserve"> </w:t>
      </w:r>
      <w:r>
        <w:t xml:space="preserve">increasing demand for renewables and novel technologies (e.g., S1) show a lower supply</w:t>
      </w:r>
      <w:r>
        <w:t xml:space="preserve"> </w:t>
      </w:r>
      <w:r>
        <w:t xml:space="preserve">chain and dependence challenges than the higher ambition scenarios (e.g., S3).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S2</w:t>
      </w:r>
      <w:r>
        <w:t xml:space="preserve"> </w:t>
      </w:r>
      <w:r>
        <w:t xml:space="preserve">S2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 LIFE S1</w:t>
      </w:r>
      <w:r>
        <w:t xml:space="preserve"> </w:t>
      </w:r>
      <w:r>
        <w:t xml:space="preserve">S2</w:t>
      </w:r>
      <w:r>
        <w:t xml:space="preserve"> </w:t>
      </w:r>
      <w:r>
        <w:t xml:space="preserve">S3 LIFE</w:t>
      </w:r>
      <w:r>
        <w:t xml:space="preserve"> </w:t>
      </w:r>
      <w:r>
        <w:t xml:space="preserve">20202030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Billion EUR</w:t>
      </w:r>
      <w:r>
        <w:t xml:space="preserve"> </w:t>
      </w:r>
      <w:r>
        <w:t xml:space="preserve">Solid fossil fuels</w:t>
      </w:r>
      <w:r>
        <w:t xml:space="preserve"> </w:t>
      </w:r>
      <w:r>
        <w:t xml:space="preserve">Natural gas</w:t>
      </w:r>
      <w:r>
        <w:t xml:space="preserve"> </w:t>
      </w:r>
      <w:r>
        <w:t xml:space="preserve">Crude Oil and</w:t>
      </w:r>
      <w:r>
        <w:t xml:space="preserve"> </w:t>
      </w:r>
      <w:r>
        <w:t xml:space="preserve">Petroleum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2.6.2. Vulnerability to external shocks</w:t>
      </w:r>
      <w:r>
        <w:t xml:space="preserve"> </w:t>
      </w:r>
      <w:r>
        <w:t xml:space="preserve">Fossil fuel price shocks, particularly for crude oil, have affected the EU and world</w:t>
      </w:r>
      <w:r>
        <w:t xml:space="preserve"> </w:t>
      </w:r>
      <w:r>
        <w:t xml:space="preserve">economy numerous times over the past 50 years or so. Crude oil prices were multiplied</w:t>
      </w:r>
      <w:r>
        <w:t xml:space="preserve"> </w:t>
      </w:r>
      <w:r>
        <w:t xml:space="preserve">by a factor of around 10 within about a year following the first Arab oil embargo in the</w:t>
      </w:r>
      <w:r>
        <w:t xml:space="preserve"> </w:t>
      </w:r>
      <w:r>
        <w:t xml:space="preserve">early 1970s. The Iranian revolution and the onset of the Iran-Iraq war led to another</w:t>
      </w:r>
      <w:r>
        <w:t xml:space="preserve"> </w:t>
      </w:r>
      <w:r>
        <w:t xml:space="preserve">tripling of crude oil prices within a year at the end of the 1970s. Further shocks and high</w:t>
      </w:r>
      <w:r>
        <w:t xml:space="preserve"> </w:t>
      </w:r>
      <w:r>
        <w:t xml:space="preserve">volatility in crudel oil prices have continued ever since, with the Gulf War, the global</w:t>
      </w:r>
      <w:r>
        <w:t xml:space="preserve"> </w:t>
      </w:r>
      <w:r>
        <w:t xml:space="preserve">financial crisis and shifts in policy from the Organization of the Petroleum Exporting</w:t>
      </w:r>
      <w:r>
        <w:t xml:space="preserve"> </w:t>
      </w:r>
      <w:r>
        <w:t xml:space="preserve">Countries (Figure 135). While natural gas (in the EU) and coal prices remained more</w:t>
      </w:r>
      <w:r>
        <w:t xml:space="preserve"> </w:t>
      </w:r>
      <w:r>
        <w:t xml:space="preserve">stable for several decades, they have also become more volatile. These past shocks and</w:t>
      </w:r>
      <w:r>
        <w:t xml:space="preserve"> </w:t>
      </w:r>
      <w:r>
        <w:t xml:space="preserve">the most recent one triggered by the Russian war of aggression in Ukraine have</w:t>
      </w:r>
      <w:r>
        <w:t xml:space="preserve"> </w:t>
      </w:r>
      <w:r>
        <w:t xml:space="preserve">generated large negative economic impacts at the global and EU level, alongside social</w:t>
      </w:r>
      <w:r>
        <w:t xml:space="preserve"> </w:t>
      </w:r>
      <w:r>
        <w:t xml:space="preserve">hardship and a significant redistribution of wealth across countries.</w:t>
      </w:r>
      <w:r>
        <w:t xml:space="preserve"> </w:t>
      </w:r>
      <w:r>
        <w:t xml:space="preserve">Figure 135: Monthly fossil fuel prices (US$, 1960-October 2023)</w:t>
      </w:r>
    </w:p>
    <w:p>
      <w:pPr>
        <w:pStyle w:val="BodyText"/>
      </w:pPr>
      <w:r>
        <w:t xml:space="preserve">Source: World Bank Commodity Price Data.</w:t>
      </w:r>
      <w:r>
        <w:t xml:space="preserve"> </w:t>
      </w:r>
      <w:r>
        <w:t xml:space="preserve">As a major net fossil fuel importer, the EU has been particularly vulnerable to such price</w:t>
      </w:r>
      <w:r>
        <w:t xml:space="preserve"> </w:t>
      </w:r>
      <w:r>
        <w:t xml:space="preserve">shocks. Reducing the dependency on imported fossil fuels would therefore bring clear</w:t>
      </w:r>
      <w:r>
        <w:t xml:space="preserve"> </w:t>
      </w:r>
      <w:r>
        <w:t xml:space="preserve">socio-economic benefits via improved resilience and strategic autonomy. The JRC-GEM-</w:t>
      </w:r>
      <w:r>
        <w:t xml:space="preserve"> </w:t>
      </w:r>
      <w:r>
        <w:t xml:space="preserve">E3 model was used to quantify the benefits of the transition to climate neutrality on key</w:t>
      </w:r>
      <w:r>
        <w:t xml:space="preserve"> </w:t>
      </w:r>
      <w:r>
        <w:t xml:space="preserve">macro-economic variables. The model assessed the impacts of a doubling of fossil fuel</w:t>
      </w:r>
      <w:r>
        <w:t xml:space="preserve"> </w:t>
      </w:r>
      <w:r>
        <w:t xml:space="preserve">prices (oil, coal and gas) at global level. Some geographic differentiation was integrated</w:t>
      </w:r>
      <w:r>
        <w:t xml:space="preserve"> </w:t>
      </w:r>
      <w:r>
        <w:t xml:space="preserve">into the simulation, as domestic prices in energy-exporting countries were less affected</w:t>
      </w:r>
      <w:r>
        <w:t xml:space="preserve"> </w:t>
      </w:r>
      <w:r>
        <w:t xml:space="preserve">than in net importing countries (including the EU). In one set of simulations, spillovers to</w:t>
      </w:r>
      <w:r>
        <w:t xml:space="preserve"> </w:t>
      </w:r>
      <w:r>
        <w:t xml:space="preserve">electricity prices were not considered, while in the other set of simulations spillovers</w:t>
      </w:r>
      <w:r>
        <w:t xml:space="preserve"> </w:t>
      </w:r>
      <w:r>
        <w:t xml:space="preserve">were integrated for Europe only.</w:t>
      </w:r>
      <w:r>
        <w:t xml:space="preserve"> </w:t>
      </w:r>
      <w:r>
        <w:t xml:space="preserve">The model simulated the impacts of these two sets of stylised shocks, should they occur</w:t>
      </w:r>
      <w:r>
        <w:t xml:space="preserve"> </w:t>
      </w:r>
      <w:r>
        <w:t xml:space="preserve">in 2025 or in 2040. The JRC-GEM-E3 model mirrors the structure of the energy system</w:t>
      </w:r>
      <w:r>
        <w:t xml:space="preserve"> </w:t>
      </w:r>
      <w:r>
        <w:t xml:space="preserve">as represented in the PRIMES scenarios, which means that a high degree of</w:t>
      </w:r>
      <w:r>
        <w:t xml:space="preserve"> </w:t>
      </w:r>
      <w:r>
        <w:t xml:space="preserve">decarbonisation is achieved in 2040, but also that the EU economy has reduced its</w:t>
      </w:r>
      <w:r>
        <w:t xml:space="preserve"> </w:t>
      </w:r>
      <w:r>
        <w:t xml:space="preserve">reliance on fossil fuels to a significant extent in 2025 compared to the 1990s. The impact</w:t>
      </w:r>
      <w:r>
        <w:t xml:space="preserve"> </w:t>
      </w:r>
      <w:r>
        <w:t xml:space="preserve">of a given shock on the 2025 economy would therefore already be significantly lower</w:t>
      </w:r>
      <w:r>
        <w:t xml:space="preserve"> </w:t>
      </w:r>
      <w:r>
        <w:t xml:space="preserve">than the impact on the 1990 economy.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1960M01</w:t>
      </w:r>
      <w:r>
        <w:t xml:space="preserve"> </w:t>
      </w:r>
      <w:r>
        <w:t xml:space="preserve">1962M01</w:t>
      </w:r>
      <w:r>
        <w:t xml:space="preserve"> </w:t>
      </w:r>
      <w:r>
        <w:t xml:space="preserve">1964M01</w:t>
      </w:r>
      <w:r>
        <w:t xml:space="preserve"> </w:t>
      </w:r>
      <w:r>
        <w:t xml:space="preserve">1966M01</w:t>
      </w:r>
      <w:r>
        <w:t xml:space="preserve"> </w:t>
      </w:r>
      <w:r>
        <w:t xml:space="preserve">1968M01</w:t>
      </w:r>
      <w:r>
        <w:t xml:space="preserve"> </w:t>
      </w:r>
      <w:r>
        <w:t xml:space="preserve">1970M01</w:t>
      </w:r>
      <w:r>
        <w:t xml:space="preserve"> </w:t>
      </w:r>
      <w:r>
        <w:t xml:space="preserve">1972M01</w:t>
      </w:r>
      <w:r>
        <w:t xml:space="preserve"> </w:t>
      </w:r>
      <w:r>
        <w:t xml:space="preserve">1974M01</w:t>
      </w:r>
      <w:r>
        <w:t xml:space="preserve"> </w:t>
      </w:r>
      <w:r>
        <w:t xml:space="preserve">1976M01</w:t>
      </w:r>
      <w:r>
        <w:t xml:space="preserve"> </w:t>
      </w:r>
      <w:r>
        <w:t xml:space="preserve">1978M01</w:t>
      </w:r>
      <w:r>
        <w:t xml:space="preserve"> </w:t>
      </w:r>
      <w:r>
        <w:t xml:space="preserve">1980M01</w:t>
      </w:r>
      <w:r>
        <w:t xml:space="preserve"> </w:t>
      </w:r>
      <w:r>
        <w:t xml:space="preserve">1982M01</w:t>
      </w:r>
      <w:r>
        <w:t xml:space="preserve"> </w:t>
      </w:r>
      <w:r>
        <w:t xml:space="preserve">1984M01</w:t>
      </w:r>
      <w:r>
        <w:t xml:space="preserve"> </w:t>
      </w:r>
      <w:r>
        <w:t xml:space="preserve">1986M01</w:t>
      </w:r>
      <w:r>
        <w:t xml:space="preserve"> </w:t>
      </w:r>
      <w:r>
        <w:t xml:space="preserve">1988M01</w:t>
      </w:r>
      <w:r>
        <w:t xml:space="preserve"> </w:t>
      </w:r>
      <w:r>
        <w:t xml:space="preserve">1990M01</w:t>
      </w:r>
      <w:r>
        <w:t xml:space="preserve"> </w:t>
      </w:r>
      <w:r>
        <w:t xml:space="preserve">1992M01</w:t>
      </w:r>
      <w:r>
        <w:t xml:space="preserve"> </w:t>
      </w:r>
      <w:r>
        <w:t xml:space="preserve">1994M01</w:t>
      </w:r>
      <w:r>
        <w:t xml:space="preserve"> </w:t>
      </w:r>
      <w:r>
        <w:t xml:space="preserve">1996M01</w:t>
      </w:r>
      <w:r>
        <w:t xml:space="preserve"> </w:t>
      </w:r>
      <w:r>
        <w:t xml:space="preserve">1998M01</w:t>
      </w:r>
      <w:r>
        <w:t xml:space="preserve"> </w:t>
      </w:r>
      <w:r>
        <w:t xml:space="preserve">2000M01</w:t>
      </w:r>
      <w:r>
        <w:t xml:space="preserve"> </w:t>
      </w:r>
      <w:r>
        <w:t xml:space="preserve">2002M01</w:t>
      </w:r>
      <w:r>
        <w:t xml:space="preserve"> </w:t>
      </w:r>
      <w:r>
        <w:t xml:space="preserve">2004M01</w:t>
      </w:r>
      <w:r>
        <w:t xml:space="preserve"> </w:t>
      </w:r>
      <w:r>
        <w:t xml:space="preserve">2006M01</w:t>
      </w:r>
      <w:r>
        <w:t xml:space="preserve"> </w:t>
      </w:r>
      <w:r>
        <w:t xml:space="preserve">2008M01</w:t>
      </w:r>
      <w:r>
        <w:t xml:space="preserve"> </w:t>
      </w:r>
      <w:r>
        <w:t xml:space="preserve">2010M01</w:t>
      </w:r>
      <w:r>
        <w:t xml:space="preserve"> </w:t>
      </w:r>
      <w:r>
        <w:t xml:space="preserve">2012M01</w:t>
      </w:r>
      <w:r>
        <w:t xml:space="preserve"> </w:t>
      </w:r>
      <w:r>
        <w:t xml:space="preserve">2014M01</w:t>
      </w:r>
      <w:r>
        <w:t xml:space="preserve"> </w:t>
      </w:r>
      <w:r>
        <w:t xml:space="preserve">2016M01</w:t>
      </w:r>
      <w:r>
        <w:t xml:space="preserve"> </w:t>
      </w:r>
      <w:r>
        <w:t xml:space="preserve">2018M01</w:t>
      </w:r>
      <w:r>
        <w:t xml:space="preserve"> </w:t>
      </w:r>
      <w:r>
        <w:t xml:space="preserve">2020M01</w:t>
      </w:r>
      <w:r>
        <w:t xml:space="preserve"> </w:t>
      </w:r>
      <w:r>
        <w:t xml:space="preserve">2022M01</w:t>
      </w:r>
      <w:r>
        <w:t xml:space="preserve"> </w:t>
      </w:r>
      <w:r>
        <w:t xml:space="preserve">Crude oil (</w:t>
      </w:r>
      <m:oMath>
        <m:r>
          <m:rPr>
            <m:sty m:val="p"/>
          </m:rPr>
          <m:t>/</m:t>
        </m:r>
        <m:r>
          <m:t>b</m:t>
        </m:r>
        <m:r>
          <m:t>b</m:t>
        </m:r>
        <m:r>
          <m:t>l</m:t>
        </m:r>
        <m:r>
          <m:rPr>
            <m:sty m:val="p"/>
          </m:rPr>
          <m:t>)</m:t>
        </m:r>
        <m:r>
          <m:t>N</m:t>
        </m:r>
        <m:r>
          <m:t>a</m:t>
        </m:r>
        <m:r>
          <m:t>t</m:t>
        </m:r>
        <m:r>
          <m:t>u</m:t>
        </m:r>
        <m:r>
          <m:t>r</m:t>
        </m:r>
        <m:r>
          <m:t>a</m:t>
        </m:r>
        <m:r>
          <m:t>l</m:t>
        </m:r>
        <m:r>
          <m:t>g</m:t>
        </m:r>
        <m:r>
          <m:t>a</m:t>
        </m:r>
        <m:r>
          <m:t>s</m:t>
        </m:r>
        <m:r>
          <m:rPr>
            <m:sty m:val="p"/>
          </m:rPr>
          <m:t>,</m:t>
        </m:r>
        <m:r>
          <m:t>E</m:t>
        </m:r>
        <m:r>
          <m:t>u</m:t>
        </m:r>
        <m:r>
          <m:t>r</m:t>
        </m:r>
        <m:r>
          <m:t>o</m:t>
        </m:r>
        <m:r>
          <m:t>p</m:t>
        </m:r>
        <m:r>
          <m:t>e</m:t>
        </m:r>
        <m:r>
          <m:rPr>
            <m:sty m:val="p"/>
          </m:rPr>
          <m:t>(</m:t>
        </m:r>
      </m:oMath>
      <w:r>
        <w:t xml:space="preserve">/mmbtu)</w:t>
      </w:r>
      <w:r>
        <w:t xml:space="preserve"> </w:t>
      </w:r>
      <w:r>
        <w:t xml:space="preserve">Coal, Australian ($mt) (RHS)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Table 56 indicates that a doubling of fossil fuel prices in 2025, without spillovers to</w:t>
      </w:r>
      <w:r>
        <w:t xml:space="preserve"> </w:t>
      </w:r>
      <w:r>
        <w:t xml:space="preserve">electricity prices, would generate a negative shock of about 0.8% on GDP, 2.6% on</w:t>
      </w:r>
      <w:r>
        <w:t xml:space="preserve"> </w:t>
      </w:r>
      <w:r>
        <w:t xml:space="preserve">private consumption and 1.1% on employment, with an associated increase of 3.0% in</w:t>
      </w:r>
      <w:r>
        <w:t xml:space="preserve"> </w:t>
      </w:r>
      <w:r>
        <w:t xml:space="preserve">inflation. The same shock in 2040, with the associated progress towards the</w:t>
      </w:r>
      <w:r>
        <w:t xml:space="preserve"> </w:t>
      </w:r>
      <w:r>
        <w:t xml:space="preserve">decarbonisation of the energy system, would halve the negative impacts on the same</w:t>
      </w:r>
      <w:r>
        <w:t xml:space="preserve"> </w:t>
      </w:r>
      <w:r>
        <w:t xml:space="preserve">broad macro-economic aggregates.</w:t>
      </w:r>
      <w:r>
        <w:t xml:space="preserve"> </w:t>
      </w:r>
      <w:r>
        <w:t xml:space="preserve">Table 56: Macroeconomic impacts of energy price shocks (deviation from baseline)</w:t>
      </w:r>
    </w:p>
    <w:p>
      <w:pPr>
        <w:pStyle w:val="BodyText"/>
      </w:pPr>
      <w:r>
        <w:t xml:space="preserve">Source: JRC-GEM-E3</w:t>
      </w:r>
      <w:r>
        <w:t xml:space="preserve"> </w:t>
      </w:r>
      <w:r>
        <w:t xml:space="preserve">It must be noted that the one-year GDP impact in 2040 of such a shock is significantly</w:t>
      </w:r>
      <w:r>
        <w:t xml:space="preserve"> </w:t>
      </w:r>
      <w:r>
        <w:t xml:space="preserve">larger than the impact of increasing climate ambition from the level under S2 to that</w:t>
      </w:r>
      <w:r>
        <w:t xml:space="preserve"> </w:t>
      </w:r>
      <w:r>
        <w:t xml:space="preserve">under S3, and that the same shock in 2025 would generate twice that impact on GDP.</w:t>
      </w:r>
      <w:r>
        <w:t xml:space="preserve"> </w:t>
      </w:r>
      <w:r>
        <w:t xml:space="preserve">Similarly, the negative impact on private consumption from a fossil fuel price shock is</w:t>
      </w:r>
      <w:r>
        <w:t xml:space="preserve"> </w:t>
      </w:r>
      <w:r>
        <w:t xml:space="preserve">much larger (both under the 2025 and under the 2040 setting) than the negative impact</w:t>
      </w:r>
      <w:r>
        <w:t xml:space="preserve"> </w:t>
      </w:r>
      <w:r>
        <w:t xml:space="preserve">resulting from an increase in ambition from S2 to S3 (up to -2.2% for the fossil fuel price</w:t>
      </w:r>
      <w:r>
        <w:t xml:space="preserve"> </w:t>
      </w:r>
      <w:r>
        <w:t xml:space="preserve">shock in 2040 compared to -0.5% for the impact of increasing ambition from S2 to S3).</w:t>
      </w:r>
      <w:r>
        <w:t xml:space="preserve"> </w:t>
      </w:r>
      <w:r>
        <w:t xml:space="preserve">In addition, a closer look at the dissemination channels of a global fossil fuel price shock</w:t>
      </w:r>
      <w:r>
        <w:t xml:space="preserve"> </w:t>
      </w:r>
      <w:r>
        <w:t xml:space="preserve">shows that the EU’s lead in decarbonising its economy entails competitiveness gains</w:t>
      </w:r>
      <w:r>
        <w:t xml:space="preserve"> </w:t>
      </w:r>
      <w:r>
        <w:t xml:space="preserve">when/if such shocks arise. A global shock would indeed negatively affect not only the</w:t>
      </w:r>
      <w:r>
        <w:t xml:space="preserve"> </w:t>
      </w:r>
      <w:r>
        <w:t xml:space="preserve">EU economy, but also the global economy and the EU’s main trading partners. As a</w:t>
      </w:r>
      <w:r>
        <w:t xml:space="preserve"> </w:t>
      </w:r>
      <w:r>
        <w:t xml:space="preserve">result, the size of the EU’s export market would be negatively affected, yet the</w:t>
      </w:r>
      <w:r>
        <w:t xml:space="preserve"> </w:t>
      </w:r>
      <w:r>
        <w:t xml:space="preserve">simulation shows that EU exports would increase overall and that the output of energy-</w:t>
      </w:r>
      <w:r>
        <w:t xml:space="preserve"> </w:t>
      </w:r>
      <w:r>
        <w:t xml:space="preserve">intensive industries would increase somewhat (fossil fuel price shock only). The driving</w:t>
      </w:r>
      <w:r>
        <w:t xml:space="preserve"> </w:t>
      </w:r>
      <w:r>
        <w:t xml:space="preserve">force behind this is the more advanced stage of decarbonisation of the EU economy</w:t>
      </w:r>
      <w:r>
        <w:t xml:space="preserve"> </w:t>
      </w:r>
      <w:r>
        <w:t xml:space="preserve">relative to the rest of the world and hence its reduced vulnerability to increases in fossil</w:t>
      </w:r>
      <w:r>
        <w:t xml:space="preserve"> </w:t>
      </w:r>
      <w:r>
        <w:t xml:space="preserve">fuel prices. EU companies would therefore be in a position to gain export market shares</w:t>
      </w:r>
      <w:r>
        <w:t xml:space="preserve"> </w:t>
      </w:r>
      <w:r>
        <w:t xml:space="preserve">via increased competitiveness, while also gaining shares in the domestic market, to the</w:t>
      </w:r>
      <w:r>
        <w:t xml:space="preserve"> </w:t>
      </w:r>
      <w:r>
        <w:t xml:space="preserve">detriment of imported goods. Decarbonisation therefore reduces the EU’s vulnerability to</w:t>
      </w:r>
      <w:r>
        <w:t xml:space="preserve"> </w:t>
      </w:r>
      <w:r>
        <w:t xml:space="preserve">fossil price shocks via two key channels: (1) a lower dependency on fossil fuels overall;</w:t>
      </w:r>
      <w:r>
        <w:t xml:space="preserve"> </w:t>
      </w:r>
      <w:r>
        <w:t xml:space="preserve">and (2) a reduction in the negative impact of a fall in global GDP.</w:t>
      </w:r>
      <w:r>
        <w:t xml:space="preserve"> </w:t>
      </w:r>
      <w:r>
        <w:t xml:space="preserve">Integrating the effects of spillovers to electricity prices in the EU makes the impacts</w:t>
      </w:r>
      <w:r>
        <w:t xml:space="preserve"> </w:t>
      </w:r>
      <w:r>
        <w:t xml:space="preserve">described above somewhat larger, but the main finding that a higher degree of</w:t>
      </w:r>
      <w:r>
        <w:t xml:space="preserve"> </w:t>
      </w:r>
      <w:r>
        <w:t xml:space="preserve">decarbonisation of the energy system in 2040 than in 2025 shelters the EU economy</w:t>
      </w:r>
      <w:r>
        <w:t xml:space="preserve"> </w:t>
      </w:r>
      <w:r>
        <w:t xml:space="preserve">2025</w:t>
      </w:r>
      <w:r>
        <w:t xml:space="preserve"> </w:t>
      </w:r>
      <w:r>
        <w:t xml:space="preserve">2040</w:t>
      </w:r>
      <w:r>
        <w:t xml:space="preserve"> </w:t>
      </w:r>
      <w:r>
        <w:t xml:space="preserve">2025</w:t>
      </w:r>
      <w:r>
        <w:t xml:space="preserve"> </w:t>
      </w:r>
      <w:r>
        <w:t xml:space="preserve">2040</w:t>
      </w:r>
      <w:r>
        <w:t xml:space="preserve"> </w:t>
      </w:r>
      <w:r>
        <w:t xml:space="preserve">GDP</w:t>
      </w:r>
      <w:r>
        <w:t xml:space="preserve"> </w:t>
      </w:r>
      <w:r>
        <w:t xml:space="preserve">-0.8%</w:t>
      </w:r>
      <w:r>
        <w:t xml:space="preserve"> </w:t>
      </w:r>
      <w:r>
        <w:t xml:space="preserve">-0.4%</w:t>
      </w:r>
      <w:r>
        <w:t xml:space="preserve"> </w:t>
      </w:r>
      <w:r>
        <w:t xml:space="preserve">-1.5%</w:t>
      </w:r>
      <w:r>
        <w:t xml:space="preserve"> </w:t>
      </w:r>
      <w:r>
        <w:t xml:space="preserve">-1.0%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-2.6%</w:t>
      </w:r>
      <w:r>
        <w:t xml:space="preserve"> </w:t>
      </w:r>
      <w:r>
        <w:t xml:space="preserve">-1.2%</w:t>
      </w:r>
      <w:r>
        <w:t xml:space="preserve"> </w:t>
      </w:r>
      <w:r>
        <w:t xml:space="preserve">-3.7%</w:t>
      </w:r>
      <w:r>
        <w:t xml:space="preserve"> </w:t>
      </w:r>
      <w:r>
        <w:t xml:space="preserve">-2.2%</w:t>
      </w:r>
      <w:r>
        <w:t xml:space="preserve"> </w:t>
      </w:r>
      <w:r>
        <w:t xml:space="preserve">Exports</w:t>
      </w:r>
      <w:r>
        <w:t xml:space="preserve"> </w:t>
      </w:r>
      <w:r>
        <w:t xml:space="preserve">0.9%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-0.2%</w:t>
      </w:r>
      <w:r>
        <w:t xml:space="preserve"> </w:t>
      </w:r>
      <w:r>
        <w:t xml:space="preserve">Imports</w:t>
      </w:r>
      <w:r>
        <w:t xml:space="preserve"> </w:t>
      </w:r>
      <w:r>
        <w:t xml:space="preserve">-2.4%</w:t>
      </w:r>
      <w:r>
        <w:t xml:space="preserve"> </w:t>
      </w:r>
      <w:r>
        <w:t xml:space="preserve">-1.2%</w:t>
      </w:r>
      <w:r>
        <w:t xml:space="preserve"> </w:t>
      </w:r>
      <w:r>
        <w:t xml:space="preserve">-3.0%</w:t>
      </w:r>
      <w:r>
        <w:t xml:space="preserve"> </w:t>
      </w:r>
      <w:r>
        <w:t xml:space="preserve">-1.9%</w:t>
      </w:r>
      <w:r>
        <w:t xml:space="preserve"> </w:t>
      </w:r>
      <w:r>
        <w:t xml:space="preserve">Employment</w:t>
      </w:r>
      <w:r>
        <w:t xml:space="preserve"> </w:t>
      </w:r>
      <w:r>
        <w:t xml:space="preserve">-1.1%</w:t>
      </w:r>
      <w:r>
        <w:t xml:space="preserve"> </w:t>
      </w:r>
      <w:r>
        <w:t xml:space="preserve">-0.5%</w:t>
      </w:r>
      <w:r>
        <w:t xml:space="preserve"> </w:t>
      </w:r>
      <w:r>
        <w:t xml:space="preserve">-2.3%</w:t>
      </w:r>
      <w:r>
        <w:t xml:space="preserve"> </w:t>
      </w:r>
      <w:r>
        <w:t xml:space="preserve">-1.6%</w:t>
      </w:r>
      <w:r>
        <w:t xml:space="preserve"> </w:t>
      </w:r>
      <w:r>
        <w:t xml:space="preserve">Consumer prices</w:t>
      </w:r>
      <w:r>
        <w:t xml:space="preserve"> </w:t>
      </w:r>
      <w:r>
        <w:t xml:space="preserve">3.0%</w:t>
      </w:r>
      <w:r>
        <w:t xml:space="preserve"> </w:t>
      </w:r>
      <w:r>
        <w:t xml:space="preserve">2.0%</w:t>
      </w:r>
      <w:r>
        <w:t xml:space="preserve"> </w:t>
      </w:r>
      <w:r>
        <w:t xml:space="preserve">3.9%</w:t>
      </w:r>
      <w:r>
        <w:t xml:space="preserve"> </w:t>
      </w:r>
      <w:r>
        <w:t xml:space="preserve">2.9%</w:t>
      </w:r>
      <w:r>
        <w:t xml:space="preserve"> </w:t>
      </w:r>
      <w:r>
        <w:t xml:space="preserve">Sectoral output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0.4%</w:t>
      </w:r>
      <w:r>
        <w:t xml:space="preserve"> </w:t>
      </w:r>
      <w:r>
        <w:t xml:space="preserve">0.2%</w:t>
      </w:r>
      <w:r>
        <w:t xml:space="preserve"> </w:t>
      </w:r>
      <w:r>
        <w:t xml:space="preserve">-1.3%</w:t>
      </w:r>
      <w:r>
        <w:t xml:space="preserve"> </w:t>
      </w:r>
      <w:r>
        <w:t xml:space="preserve">-1.8%</w:t>
      </w:r>
      <w:r>
        <w:t xml:space="preserve"> </w:t>
      </w:r>
      <w:r>
        <w:t xml:space="preserve">Consumer good manufacturing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-1.1%</w:t>
      </w:r>
      <w:r>
        <w:t xml:space="preserve"> </w:t>
      </w:r>
      <w:r>
        <w:t xml:space="preserve">-1.1%</w:t>
      </w:r>
      <w:r>
        <w:t xml:space="preserve"> </w:t>
      </w:r>
      <w:r>
        <w:t xml:space="preserve">Construction</w:t>
      </w:r>
      <w:r>
        <w:t xml:space="preserve"> </w:t>
      </w:r>
      <w:r>
        <w:t xml:space="preserve">-0.4%</w:t>
      </w:r>
      <w:r>
        <w:t xml:space="preserve"> </w:t>
      </w:r>
      <w:r>
        <w:t xml:space="preserve">-0.2%</w:t>
      </w:r>
      <w:r>
        <w:t xml:space="preserve"> </w:t>
      </w:r>
      <w:r>
        <w:t xml:space="preserve">-0.8%</w:t>
      </w:r>
      <w:r>
        <w:t xml:space="preserve"> </w:t>
      </w:r>
      <w:r>
        <w:t xml:space="preserve">-0.7%</w:t>
      </w:r>
      <w:r>
        <w:t xml:space="preserve"> </w:t>
      </w:r>
      <w:r>
        <w:t xml:space="preserve">Transport</w:t>
      </w:r>
      <w:r>
        <w:t xml:space="preserve"> </w:t>
      </w:r>
      <w:r>
        <w:t xml:space="preserve">-1.1%</w:t>
      </w:r>
      <w:r>
        <w:t xml:space="preserve"> </w:t>
      </w:r>
      <w:r>
        <w:t xml:space="preserve">-0.1%</w:t>
      </w:r>
      <w:r>
        <w:t xml:space="preserve"> </w:t>
      </w:r>
      <w:r>
        <w:t xml:space="preserve">-1.7%</w:t>
      </w:r>
      <w:r>
        <w:t xml:space="preserve"> </w:t>
      </w:r>
      <w:r>
        <w:t xml:space="preserve">-1.2%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-1.1%</w:t>
      </w:r>
      <w:r>
        <w:t xml:space="preserve"> </w:t>
      </w:r>
      <w:r>
        <w:t xml:space="preserve">-0.6%</w:t>
      </w:r>
      <w:r>
        <w:t xml:space="preserve"> </w:t>
      </w:r>
      <w:r>
        <w:t xml:space="preserve">-1.6%</w:t>
      </w:r>
      <w:r>
        <w:t xml:space="preserve"> </w:t>
      </w:r>
      <w:r>
        <w:t xml:space="preserve">-1.0%</w:t>
      </w:r>
      <w:r>
        <w:t xml:space="preserve"> </w:t>
      </w:r>
      <w:r>
        <w:t xml:space="preserve">Fossil only</w:t>
      </w:r>
      <w:r>
        <w:t xml:space="preserve"> </w:t>
      </w:r>
      <w:r>
        <w:t xml:space="preserve">Fossil + elec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remains. Further simulations were done to assess the impact of a fossil fuel price shock in</w:t>
      </w:r>
      <w:r>
        <w:t xml:space="preserve"> </w:t>
      </w:r>
      <w:r>
        <w:t xml:space="preserve">2040 under three main scenarios. The difference between scenarios for the variables</w:t>
      </w:r>
      <w:r>
        <w:t xml:space="preserve"> </w:t>
      </w:r>
      <w:r>
        <w:t xml:space="preserve">listed in Table 56 is small, but a higher level of ambition is nevertheless associated with a</w:t>
      </w:r>
      <w:r>
        <w:t xml:space="preserve"> </w:t>
      </w:r>
      <w:r>
        <w:t xml:space="preserve">smaller impact of a fossil fuel price shock on GDP, private consumption, employment</w:t>
      </w:r>
      <w:r>
        <w:t xml:space="preserve"> </w:t>
      </w:r>
      <w:r>
        <w:t xml:space="preserve">and consumer prices. For energy intensive industries, the positive impact of a higher</w:t>
      </w:r>
      <w:r>
        <w:t xml:space="preserve"> </w:t>
      </w:r>
      <w:r>
        <w:t xml:space="preserve">ambition is more significant in terms of output as they gain further protection under S2</w:t>
      </w:r>
      <w:r>
        <w:t xml:space="preserve"> </w:t>
      </w:r>
      <w:r>
        <w:t xml:space="preserve">and S3 in case of fossil fuel price shock than under S1.</w:t>
      </w:r>
      <w:r>
        <w:t xml:space="preserve"> </w:t>
      </w:r>
      <w:r>
        <w:t xml:space="preserve">These modelling results should also be seen in the context of the support that Member</w:t>
      </w:r>
      <w:r>
        <w:t xml:space="preserve"> </w:t>
      </w:r>
      <w:r>
        <w:t xml:space="preserve">States have provided to households and businesses to shelter them from the impact of the</w:t>
      </w:r>
      <w:r>
        <w:t xml:space="preserve"> </w:t>
      </w:r>
      <w:r>
        <w:t xml:space="preserve">recent surge in energy prices following Russia’s war of aggressionin Ukraine. In</w:t>
      </w:r>
      <w:r>
        <w:t xml:space="preserve"> </w:t>
      </w:r>
      <w:r>
        <w:t xml:space="preserve">response to the crisis, and to foster support measures in sectors which are key for the</w:t>
      </w:r>
      <w:r>
        <w:t xml:space="preserve"> </w:t>
      </w:r>
      <w:r>
        <w:t xml:space="preserve">transition to a net-zero economy, the Commission adopted in March 2023 the Temporary</w:t>
      </w:r>
      <w:r>
        <w:t xml:space="preserve"> </w:t>
      </w:r>
      <w:r>
        <w:t xml:space="preserve">Crisis and Transition Framework (TCTF), as subsequently amended. The TCTF replaces</w:t>
      </w:r>
      <w:r>
        <w:t xml:space="preserve"> </w:t>
      </w:r>
      <w:r>
        <w:t xml:space="preserve">the former Temporary Crisis Framework (TCF) which was adopted in March 2022. The</w:t>
      </w:r>
      <w:r>
        <w:t xml:space="preserve"> </w:t>
      </w:r>
      <w:r>
        <w:t xml:space="preserve">TCTF facilitates, on a temporary basis, the granting of the following types of aid:</w:t>
      </w:r>
      <w:r>
        <w:t xml:space="preserve"> </w:t>
      </w:r>
      <w:r>
        <w:t xml:space="preserve">(1) limited aid amounts to companies affected by the crisis; (2) liquidity support in the</w:t>
      </w:r>
      <w:r>
        <w:t xml:space="preserve"> </w:t>
      </w:r>
      <w:r>
        <w:t xml:space="preserve">form of subsidised loans or State guarantees; (3) aid to compensate for exceptionally high</w:t>
      </w:r>
      <w:r>
        <w:t xml:space="preserve"> </w:t>
      </w:r>
      <w:r>
        <w:t xml:space="preserve">energy prices; (4) investment aid for accelerating the rollout of renewable energy, (5) aid</w:t>
      </w:r>
      <w:r>
        <w:t xml:space="preserve"> </w:t>
      </w:r>
      <w:r>
        <w:t xml:space="preserve">for the decarbonisation of industrial production processes, (6) aid for the reduction of</w:t>
      </w:r>
      <w:r>
        <w:t xml:space="preserve"> </w:t>
      </w:r>
      <w:r>
        <w:t xml:space="preserve">electricity consumption, and (7) aid for accelerated investments in sectors strategic for</w:t>
      </w:r>
      <w:r>
        <w:t xml:space="preserve"> </w:t>
      </w:r>
      <w:r>
        <w:t xml:space="preserve">the transition towards a net-zero economy.</w:t>
      </w:r>
      <w:r>
        <w:t xml:space="preserve"> </w:t>
      </w:r>
      <w:r>
        <w:t xml:space="preserve">As of 23 January 2024, the Commission had issued 431 decisions approving 334 national</w:t>
      </w:r>
      <w:r>
        <w:t xml:space="preserve"> </w:t>
      </w:r>
      <w:r>
        <w:t xml:space="preserve">measures for a cumulative of amount of aid of EUR 777 billion. All Member States</w:t>
      </w:r>
      <w:r>
        <w:t xml:space="preserve"> </w:t>
      </w:r>
      <w:r>
        <w:t xml:space="preserve">notified schemes under the TCTF. Although aid amounts approved are not evenly</w:t>
      </w:r>
      <w:r>
        <w:t xml:space="preserve"> </w:t>
      </w:r>
      <w:r>
        <w:t xml:space="preserve">distributed among Member States, this may be due to a number of reasons, including that</w:t>
      </w:r>
      <w:r>
        <w:t xml:space="preserve"> </w:t>
      </w:r>
      <w:r>
        <w:t xml:space="preserve">aid amounts approved do not equate to aid actually granted or disbursed. Based on a</w:t>
      </w:r>
      <w:r>
        <w:t xml:space="preserve"> </w:t>
      </w:r>
      <w:r>
        <w:t xml:space="preserve">survey of Member States, the Commission estimates that approximately EUR 141 billion</w:t>
      </w:r>
      <w:r>
        <w:t xml:space="preserve"> </w:t>
      </w:r>
      <w:r>
        <w:t xml:space="preserve">of aid was actually granted to companies, representing 19.3% of the aid approved by the</w:t>
      </w:r>
      <w:r>
        <w:t xml:space="preserve"> </w:t>
      </w:r>
      <w:r>
        <w:t xml:space="preserve">end of June 2023 and corresponding to 0.6% of the EU27 GDP in 2022 and first half of</w:t>
      </w:r>
      <w:r>
        <w:t xml:space="preserve"> </w:t>
      </w:r>
      <w:r>
        <w:t xml:space="preserve">2023.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TABLE OF FIGURES</w:t>
      </w:r>
      <w:r>
        <w:t xml:space="preserve"> </w:t>
      </w:r>
      <w:r>
        <w:t xml:space="preserve">Figure 1: Domestic Gross GHG emissions …………………………………………………………….. 7</w:t>
      </w:r>
      <w:r>
        <w:t xml:space="preserve"> </w:t>
      </w:r>
      <w:r>
        <w:t xml:space="preserve">Figure 2: Carbon removals by source and use ………………………………………………………… 10</w:t>
      </w:r>
      <w:r>
        <w:t xml:space="preserve"> </w:t>
      </w:r>
      <w:r>
        <w:t xml:space="preserve">Figure 3: Industrial carbon removals in PRIMES and POTEnCIA in 2040 ……………….. 12</w:t>
      </w:r>
      <w:r>
        <w:t xml:space="preserve"> </w:t>
      </w:r>
      <w:r>
        <w:t xml:space="preserve">Figure 4: Net and Gross GHG Emissions and % reductions vs 1990 ………………………… 13</w:t>
      </w:r>
      <w:r>
        <w:t xml:space="preserve"> </w:t>
      </w:r>
      <w:r>
        <w:t xml:space="preserve">Figure 5: Economy-wide GHG emission pathways ………………………………………………… 15</w:t>
      </w:r>
      <w:r>
        <w:t xml:space="preserve"> </w:t>
      </w:r>
      <w:r>
        <w:t xml:space="preserve">Figure 6: Energy and Industry net CO2 emissions ………………………………………………….. 16</w:t>
      </w:r>
      <w:r>
        <w:t xml:space="preserve"> </w:t>
      </w:r>
      <w:r>
        <w:t xml:space="preserve">Figure 7: Energy and Industry CO2 emissions in 2040 …………………………………………… 18</w:t>
      </w:r>
      <w:r>
        <w:t xml:space="preserve"> </w:t>
      </w:r>
      <w:r>
        <w:t xml:space="preserve">Figure 8: Total (left) and additional (right) carbon captured yearly in selected years ….. 19</w:t>
      </w:r>
      <w:r>
        <w:t xml:space="preserve"> </w:t>
      </w:r>
      <w:r>
        <w:t xml:space="preserve">Figure 9: Carbon captured by source…………………………………………………………………….. 21</w:t>
      </w:r>
      <w:r>
        <w:t xml:space="preserve"> </w:t>
      </w:r>
      <w:r>
        <w:t xml:space="preserve">Figure 10: Carbon Captured by end application ……………………………………………………… 22</w:t>
      </w:r>
      <w:r>
        <w:t xml:space="preserve"> </w:t>
      </w:r>
      <w:r>
        <w:t xml:space="preserve">Figure 11: Flow of captured carbon in 2040 ………………………………………………………….. 23</w:t>
      </w:r>
      <w:r>
        <w:t xml:space="preserve"> </w:t>
      </w:r>
      <w:r>
        <w:t xml:space="preserve">Figure 12: Evolution of non-CO2 greenhouse gas emissions by sector ……………………… 25</w:t>
      </w:r>
      <w:r>
        <w:t xml:space="preserve"> </w:t>
      </w:r>
      <w:r>
        <w:t xml:space="preserve">Figure 13: Evolution of non-CO2 greenhouse gas emissions by gas …………………………. 25</w:t>
      </w:r>
      <w:r>
        <w:t xml:space="preserve"> </w:t>
      </w:r>
      <w:r>
        <w:t xml:space="preserve">Figure 14: Gross Available Energy by energy vector, 2015-2050 …………………………….. 27</w:t>
      </w:r>
      <w:r>
        <w:t xml:space="preserve"> </w:t>
      </w:r>
      <w:r>
        <w:t xml:space="preserve">Figure 15: Net imports by energy vector, 2015-2050 ……………………………………………… 28</w:t>
      </w:r>
      <w:r>
        <w:t xml:space="preserve"> </w:t>
      </w:r>
      <w:r>
        <w:t xml:space="preserve">Figure 16: Import dependence ……………………………………………………………………………… 29</w:t>
      </w:r>
      <w:r>
        <w:t xml:space="preserve"> </w:t>
      </w:r>
      <w:r>
        <w:t xml:space="preserve">Figure 17: Total Gross Available Energy from different energy models, 2019-2050 ….. 30</w:t>
      </w:r>
      <w:r>
        <w:t xml:space="preserve"> </w:t>
      </w:r>
      <w:r>
        <w:t xml:space="preserve">Figure 18: Final electricity consumption by end-use sector ……………………………………… 31</w:t>
      </w:r>
      <w:r>
        <w:t xml:space="preserve"> </w:t>
      </w:r>
      <w:r>
        <w:t xml:space="preserve">Figure 19: Electricity generation by energy carrier, 2015-2050 ……………………………….. 32</w:t>
      </w:r>
      <w:r>
        <w:t xml:space="preserve"> </w:t>
      </w:r>
      <w:r>
        <w:t xml:space="preserve">Figure 20: Electricity generation from renewables, 2015-2050 ………………………………… 33</w:t>
      </w:r>
      <w:r>
        <w:t xml:space="preserve"> </w:t>
      </w:r>
      <w:r>
        <w:t xml:space="preserve">Figure 21: Net installed capacity by energy carrier, 2015-2050 ……………………………….. 34</w:t>
      </w:r>
      <w:r>
        <w:t xml:space="preserve"> </w:t>
      </w:r>
      <w:r>
        <w:t xml:space="preserve">Figure 22: Net installed renewable capacity, 2015-2050 …………………………………………. 35</w:t>
      </w:r>
      <w:r>
        <w:t xml:space="preserve"> </w:t>
      </w:r>
      <w:r>
        <w:t xml:space="preserve">Figure 23: Net installed storage and new fuels production capacity, 2015-2050 ………… 35</w:t>
      </w:r>
      <w:r>
        <w:t xml:space="preserve"> </w:t>
      </w:r>
      <w:r>
        <w:t xml:space="preserve">Figure 24: Stored energy by technology, 2015-2050 ………………………………………………. 36</w:t>
      </w:r>
      <w:r>
        <w:t xml:space="preserve"> </w:t>
      </w:r>
      <w:r>
        <w:t xml:space="preserve">Figure 25: Share of renewables in gross electricity generation, 2019-2050 ……………….. 37</w:t>
      </w:r>
      <w:r>
        <w:t xml:space="preserve"> </w:t>
      </w:r>
      <w:r>
        <w:t xml:space="preserve">Figure 26: Gross electricity generation in different energy models, 2019-2050 ………….. 38</w:t>
      </w:r>
      <w:r>
        <w:t xml:space="preserve"> </w:t>
      </w:r>
      <w:r>
        <w:t xml:space="preserve">Figure 27: Average annual deployment of wind and PV …………………………………………. 38</w:t>
      </w:r>
      <w:r>
        <w:t xml:space="preserve"> </w:t>
      </w:r>
      <w:r>
        <w:t xml:space="preserve">Figure 28: Average change in renewable power generation …………………………………….. 39</w:t>
      </w:r>
      <w:r>
        <w:t xml:space="preserve"> </w:t>
      </w:r>
      <w:r>
        <w:t xml:space="preserve">Figure 29: Consumption of gaseous fuels in the gas network, 2040-2050 …………………. 40</w:t>
      </w:r>
      <w:r>
        <w:t xml:space="preserve"> </w:t>
      </w:r>
      <w:r>
        <w:t xml:space="preserve">Figure 30: Consumption of gaseous fuels by sector, 2040-2050 ………………………………. 40</w:t>
      </w:r>
      <w:r>
        <w:t xml:space="preserve"> </w:t>
      </w:r>
      <w:r>
        <w:t xml:space="preserve">Figure 31: Consumption of hydrogen by sector, 2040-2050 …………………………………….. 42</w:t>
      </w:r>
      <w:r>
        <w:t xml:space="preserve"> </w:t>
      </w:r>
      <w:r>
        <w:t xml:space="preserve">Figure 32: Final Energy Consumption by fuel, 2015-2050 ………………………………………. 42</w:t>
      </w:r>
      <w:r>
        <w:t xml:space="preserve"> </w:t>
      </w:r>
      <w:r>
        <w:t xml:space="preserve">Figure 33: Share of electricity (left) and RFNBOs (right) in FEC, 2019-2050 …………… 44</w:t>
      </w:r>
      <w:r>
        <w:t xml:space="preserve"> </w:t>
      </w:r>
      <w:r>
        <w:t xml:space="preserve">Figure 34: FEC by sector, 2015-2050 …………………………………………………………………… 45</w:t>
      </w:r>
      <w:r>
        <w:t xml:space="preserve"> </w:t>
      </w:r>
      <w:r>
        <w:t xml:space="preserve">Figure 35: Total FEC from different energy models, 2019-2050 ……………………………… 46</w:t>
      </w:r>
      <w:r>
        <w:t xml:space="preserve"> </w:t>
      </w:r>
      <w:r>
        <w:t xml:space="preserve">Figure 36: Domestic energy-related CO2 emissions by sector, 2015-2050 …………………. 47</w:t>
      </w:r>
      <w:r>
        <w:t xml:space="preserve"> </w:t>
      </w:r>
      <w:r>
        <w:t xml:space="preserve">Figure 37: Comparison of domestic energy-related CO2 emissions, 2021-2050 ………… 47</w:t>
      </w:r>
      <w:r>
        <w:t xml:space="preserve"> </w:t>
      </w:r>
      <w:r>
        <w:t xml:space="preserve">Figure 38: FEC in the residential sector by energy service, 2015-2050 …………………….. 50</w:t>
      </w:r>
      <w:r>
        <w:t xml:space="preserve"> </w:t>
      </w:r>
      <w:r>
        <w:t xml:space="preserve">Figure 39: FEC in the services sector by energy service, 2015-2050 ………………………… 51</w:t>
      </w:r>
      <w:r>
        <w:t xml:space="preserve"> </w:t>
      </w:r>
      <w:r>
        <w:t xml:space="preserve">Figure 40: Renovation rates in the residential and services sectors, 2020-2050 ………….. 52</w:t>
      </w:r>
      <w:r>
        <w:t xml:space="preserve"> </w:t>
      </w:r>
      <w:r>
        <w:t xml:space="preserve">Figure 41: Average useful energy for space heating (S3) ………………………………………… 53</w:t>
      </w:r>
      <w:r>
        <w:t xml:space="preserve"> </w:t>
      </w:r>
      <w:r>
        <w:t xml:space="preserve">Figure 42: FEC in the residential sector, 2015-2050 ……………………………………………….. 54</w:t>
      </w:r>
      <w:r>
        <w:t xml:space="preserve"> </w:t>
      </w:r>
      <w:r>
        <w:t xml:space="preserve">Figure 43: FEC in the services sector, 2015-2050 ………………………………………………….. 54</w:t>
      </w:r>
      <w:r>
        <w:t xml:space="preserve"> </w:t>
      </w:r>
      <w:r>
        <w:t xml:space="preserve">Figure 44: Stock of heat pumps in the residential and services sector, 2015-2050 ………. 55</w:t>
      </w:r>
      <w:r>
        <w:t xml:space="preserve"> </w:t>
      </w:r>
      <w:r>
        <w:t xml:space="preserve">Figure 45: Contribution of electricity and gaseous fuels to buildings’ FEC, 2030-2050 . 56</w:t>
      </w:r>
      <w:r>
        <w:t xml:space="preserve"> </w:t>
      </w:r>
      <w:r>
        <w:t xml:space="preserve">Figure 46: Stock of black and white appliances and of lighting equipment, 2015-2050 . 57</w:t>
      </w:r>
      <w:r>
        <w:t xml:space="preserve"> </w:t>
      </w:r>
      <w:r>
        <w:t xml:space="preserve">Figure 47: Electricity demand associated to appliances and lighting, 2015-2050 ……….. 58</w:t>
      </w:r>
      <w:r>
        <w:t xml:space="preserve"> </w:t>
      </w:r>
      <w:r>
        <w:t xml:space="preserve">Figure 48: Buildings CO2 emissions trajectory by sector, 2015-2050 ………………………. 58</w:t>
      </w:r>
      <w:r>
        <w:t xml:space="preserve"> </w:t>
      </w:r>
      <w:r>
        <w:t xml:space="preserve">Figure 49: Final Energy Consumption in industry by sector ……………………………………. 62</w:t>
      </w:r>
      <w:r>
        <w:t xml:space="preserve"> </w:t>
      </w:r>
      <w:r>
        <w:t xml:space="preserve">Figure 50: Energy Consumption in industry by fuel ……………………………………………….. 63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Figure 51: Final Non-Energy Consumption in industry by fuel………………………………… 64</w:t>
      </w:r>
      <w:r>
        <w:t xml:space="preserve"> </w:t>
      </w:r>
      <w:r>
        <w:t xml:space="preserve">Figure 52 : Energy-related CO2 emissions in industry by sector ………………………………. 65</w:t>
      </w:r>
      <w:r>
        <w:t xml:space="preserve"> </w:t>
      </w:r>
      <w:r>
        <w:t xml:space="preserve">Figure 53: Process CO2 emissions in industry by sector …………………………………………. 65</w:t>
      </w:r>
      <w:r>
        <w:t xml:space="preserve"> </w:t>
      </w:r>
      <w:r>
        <w:t xml:space="preserve">Figure 54: Carbon captured in industrial processes. ……………………………………………….. 66</w:t>
      </w:r>
      <w:r>
        <w:t xml:space="preserve"> </w:t>
      </w:r>
      <w:r>
        <w:t xml:space="preserve">Figure 55: CO2 Emissions from industrial sector …………………………………………………… 67</w:t>
      </w:r>
      <w:r>
        <w:t xml:space="preserve"> </w:t>
      </w:r>
      <w:r>
        <w:t xml:space="preserve">Figure 56: Historical EU production and future demand for specific materials ………….. 71</w:t>
      </w:r>
      <w:r>
        <w:t xml:space="preserve"> </w:t>
      </w:r>
      <w:r>
        <w:t xml:space="preserve">Figure 57: FEC, FEC-E and FEC-RFNBOs as % of 2019 ……………………………………….. 72</w:t>
      </w:r>
      <w:r>
        <w:t xml:space="preserve"> </w:t>
      </w:r>
      <w:r>
        <w:t xml:space="preserve">Figure 58: Share of electricity and RFNBOs in FEC ………………………………………………. 73</w:t>
      </w:r>
      <w:r>
        <w:t xml:space="preserve"> </w:t>
      </w:r>
      <w:r>
        <w:t xml:space="preserve">Figure 59: GHG emissions by type in % of 2019 values …………………………………………. 75</w:t>
      </w:r>
      <w:r>
        <w:t xml:space="preserve"> </w:t>
      </w:r>
      <w:r>
        <w:t xml:space="preserve">Figure 60: Passenger transport activity in the EU disaggregated by mode …………………. 77</w:t>
      </w:r>
      <w:r>
        <w:t xml:space="preserve"> </w:t>
      </w:r>
      <w:r>
        <w:t xml:space="preserve">Figure 61: Change in passenger transport activity between 2015 and 2040 by mode ….. 78</w:t>
      </w:r>
      <w:r>
        <w:t xml:space="preserve"> </w:t>
      </w:r>
      <w:r>
        <w:t xml:space="preserve">Figure 62: EU freight transport activity by mode (excluding international navigation) .. 79</w:t>
      </w:r>
      <w:r>
        <w:t xml:space="preserve"> </w:t>
      </w:r>
      <w:r>
        <w:t xml:space="preserve">Figure 63: Change in EU freight transport activity between 2015 and 2040 by mode …. 79</w:t>
      </w:r>
      <w:r>
        <w:t xml:space="preserve"> </w:t>
      </w:r>
      <w:r>
        <w:t xml:space="preserve">Figure 64: EU energy consumption in the transport sector by mode …………………………. 81</w:t>
      </w:r>
      <w:r>
        <w:t xml:space="preserve"> </w:t>
      </w:r>
      <w:r>
        <w:t xml:space="preserve">Figure 65: Change in EU energy consumption between 2015 and 2040 by mode ………. 81</w:t>
      </w:r>
      <w:r>
        <w:t xml:space="preserve"> </w:t>
      </w:r>
      <w:r>
        <w:t xml:space="preserve">Figure 66: EU energy consumption in the transport sector by fuel/energy carrier type .. 83</w:t>
      </w:r>
      <w:r>
        <w:t xml:space="preserve"> </w:t>
      </w:r>
      <w:r>
        <w:t xml:space="preserve">Figure 67: Distribution of the EU passenger car stock per type of drivetrain ……………… 85</w:t>
      </w:r>
      <w:r>
        <w:t xml:space="preserve"> </w:t>
      </w:r>
      <w:r>
        <w:t xml:space="preserve">Figure 68: EU energy consumption by passenger cars by fuel/energy carrier type ……… 86</w:t>
      </w:r>
      <w:r>
        <w:t xml:space="preserve"> </w:t>
      </w:r>
      <w:r>
        <w:t xml:space="preserve">Figure 69: Distribution of the EU HGV stock by type of drivetrain ………………………….. 88</w:t>
      </w:r>
      <w:r>
        <w:t xml:space="preserve"> </w:t>
      </w:r>
      <w:r>
        <w:t xml:space="preserve">Figure 70: EU energy consumption by HGVs by fuel/energy carrier type …………………. 88</w:t>
      </w:r>
      <w:r>
        <w:t xml:space="preserve"> </w:t>
      </w:r>
      <w:r>
        <w:t xml:space="preserve">Figure 71: EU energy consumption in the rail sector by fuel/energy carrier type ……….. 91</w:t>
      </w:r>
      <w:r>
        <w:t xml:space="preserve"> </w:t>
      </w:r>
      <w:r>
        <w:t xml:space="preserve">Figure 72: EU energy consumption in domestic navigation by fuel/energy carrier type . 93</w:t>
      </w:r>
      <w:r>
        <w:t xml:space="preserve"> </w:t>
      </w:r>
      <w:r>
        <w:t xml:space="preserve">Figure 73: Composition of the EU vessel fleet used for international navigation ……….. 95</w:t>
      </w:r>
      <w:r>
        <w:t xml:space="preserve"> </w:t>
      </w:r>
      <w:r>
        <w:t xml:space="preserve">Figure 74: EU energy consumption in international navigation by fuel/energy carrier type</w:t>
      </w:r>
      <w:r>
        <w:t xml:space="preserve"> </w:t>
      </w:r>
      <w:r>
        <w:t xml:space="preserve">………………………………………………………………………………………………………………………… 95</w:t>
      </w:r>
      <w:r>
        <w:t xml:space="preserve"> </w:t>
      </w:r>
      <w:r>
        <w:t xml:space="preserve">Figure 75: EU energy consumption in aviation by fuel/energy carrier type ……………….. 97</w:t>
      </w:r>
      <w:r>
        <w:t xml:space="preserve"> </w:t>
      </w:r>
      <w:r>
        <w:t xml:space="preserve">Figure 76: Direct CO2 emissions from the EU transport sector by mode …………………… 99</w:t>
      </w:r>
      <w:r>
        <w:t xml:space="preserve"> </w:t>
      </w:r>
      <w:r>
        <w:t xml:space="preserve">Figure 77: Change in EU transport direct CO2 emissions between 2015 and 2040 by</w:t>
      </w:r>
      <w:r>
        <w:t xml:space="preserve"> </w:t>
      </w:r>
      <w:r>
        <w:t xml:space="preserve">mode ………………………………………………………………………………………………………………… 99</w:t>
      </w:r>
      <w:r>
        <w:t xml:space="preserve"> </w:t>
      </w:r>
      <w:r>
        <w:t xml:space="preserve">Figure 78: MACC across all non-land-related sectors in 2040 (per gas) ………………….. 102</w:t>
      </w:r>
      <w:r>
        <w:t xml:space="preserve"> </w:t>
      </w:r>
      <w:r>
        <w:t xml:space="preserve">Figure 79: MACC across all non-CO2 greenhouse gases in 2040 (per sector) ………….. 102</w:t>
      </w:r>
      <w:r>
        <w:t xml:space="preserve"> </w:t>
      </w:r>
      <w:r>
        <w:t xml:space="preserve">Figure 80: Emissions from Agriculture in the EU by sector …………………………………… 107</w:t>
      </w:r>
      <w:r>
        <w:t xml:space="preserve"> </w:t>
      </w:r>
      <w:r>
        <w:t xml:space="preserve">Figure 81: MACC of the agriculture sector in 2040 per scenario ……………………………. 112</w:t>
      </w:r>
      <w:r>
        <w:t xml:space="preserve"> </w:t>
      </w:r>
      <w:r>
        <w:t xml:space="preserve">Figure 82: MACC of the agriculture sector in 2040 in S1, S2 and S3 (by gas and area of</w:t>
      </w:r>
      <w:r>
        <w:t xml:space="preserve"> </w:t>
      </w:r>
      <w:r>
        <w:t xml:space="preserve">application) ……………………………………………………………………………………………………… 113</w:t>
      </w:r>
      <w:r>
        <w:t xml:space="preserve"> </w:t>
      </w:r>
      <w:r>
        <w:t xml:space="preserve">Figure 83: MACC of the agriculture sector in 2040 in LIFE (by gas and area of</w:t>
      </w:r>
      <w:r>
        <w:t xml:space="preserve"> </w:t>
      </w:r>
      <w:r>
        <w:t xml:space="preserve">application) ……………………………………………………………………………………………………… 113</w:t>
      </w:r>
      <w:r>
        <w:t xml:space="preserve"> </w:t>
      </w:r>
      <w:r>
        <w:t xml:space="preserve">Figure 84: GHG emissions from agriculture by gas ………………………………………………. 115</w:t>
      </w:r>
      <w:r>
        <w:t xml:space="preserve"> </w:t>
      </w:r>
      <w:r>
        <w:t xml:space="preserve">Figure 85: GHG emissions from agriculture by type of source ………………………………. 117</w:t>
      </w:r>
      <w:r>
        <w:t xml:space="preserve"> </w:t>
      </w:r>
      <w:r>
        <w:t xml:space="preserve">Figure 86: Historical LULUCF emissions, removals and net carbon removals…………. 118</w:t>
      </w:r>
      <w:r>
        <w:t xml:space="preserve"> </w:t>
      </w:r>
      <w:r>
        <w:t xml:space="preserve">Figure 87: Final bioenergy demand by sector and scenario ……………………………………. 119</w:t>
      </w:r>
      <w:r>
        <w:t xml:space="preserve"> </w:t>
      </w:r>
      <w:r>
        <w:t xml:space="preserve">Figure 88: Domestic supply of feedstock for bioenergy and waste …………………………. 121</w:t>
      </w:r>
      <w:r>
        <w:t xml:space="preserve"> </w:t>
      </w:r>
      <w:r>
        <w:t xml:space="preserve">Figure 89: Harvest of wood for energy and non-energy use …………………………………… 122</w:t>
      </w:r>
      <w:r>
        <w:t xml:space="preserve"> </w:t>
      </w:r>
      <w:r>
        <w:t xml:space="preserve">Figure 90: Total forest increment of managed forests per year and scenario in EU …… 123</w:t>
      </w:r>
      <w:r>
        <w:t xml:space="preserve"> </w:t>
      </w:r>
      <w:r>
        <w:t xml:space="preserve">Figure 91: Evolution of land use in EU by category ……………………………………………… 124</w:t>
      </w:r>
      <w:r>
        <w:t xml:space="preserve"> </w:t>
      </w:r>
      <w:r>
        <w:t xml:space="preserve">Figure 92: Changes in land use between 2020 and 2040 by scenario ………………………. 124</w:t>
      </w:r>
      <w:r>
        <w:t xml:space="preserve"> </w:t>
      </w:r>
      <w:r>
        <w:t xml:space="preserve">Figure 93: Mitigation potentials in LULUCF at different mitigation costs ………………. 128</w:t>
      </w:r>
      <w:r>
        <w:t xml:space="preserve"> </w:t>
      </w:r>
      <w:r>
        <w:t xml:space="preserve">Figure 94: LULUCF net carbon removal potential for different mitigation costs ……… 129</w:t>
      </w:r>
      <w:r>
        <w:t xml:space="preserve"> </w:t>
      </w:r>
      <w:r>
        <w:t xml:space="preserve">Figure 95: LULUCF net removal emissions and removals …………………………………….. 131</w:t>
      </w:r>
      <w:r>
        <w:t xml:space="preserve"> </w:t>
      </w:r>
      <w:r>
        <w:t xml:space="preserve">Figure 96: Estimated climate change impacts on LULUCF net removal in EU ………… 134</w:t>
      </w:r>
      <w:r>
        <w:t xml:space="preserve"> </w:t>
      </w:r>
      <w:r>
        <w:t xml:space="preserve">Figure 97: Area coverage of simulated series of extreme events in 2035 …………………. 136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Figure 98: Estimated climate change impacts and extreme events on LULUCF net</w:t>
      </w:r>
      <w:r>
        <w:t xml:space="preserve"> </w:t>
      </w:r>
      <w:r>
        <w:t xml:space="preserve">removal …………………………………………………………………………………………………………… 137</w:t>
      </w:r>
      <w:r>
        <w:t xml:space="preserve"> </w:t>
      </w:r>
      <w:r>
        <w:t xml:space="preserve">Figure 99: Biodiversity impacts from LIFE by region. ………………………………………….. 146</w:t>
      </w:r>
      <w:r>
        <w:t xml:space="preserve"> </w:t>
      </w:r>
      <w:r>
        <w:t xml:space="preserve">Figure 100: Composition of private consumption (% of total, S3) ………………………….. 153</w:t>
      </w:r>
      <w:r>
        <w:t xml:space="preserve"> </w:t>
      </w:r>
      <w:r>
        <w:t xml:space="preserve">Figure 101: Real GDP, deviation from S2 …………………………………………………………… 153</w:t>
      </w:r>
      <w:r>
        <w:t xml:space="preserve"> </w:t>
      </w:r>
      <w:r>
        <w:t xml:space="preserve">Figure 102: Impact of frictions in investment decisions ………………………………………… 155</w:t>
      </w:r>
      <w:r>
        <w:t xml:space="preserve"> </w:t>
      </w:r>
      <w:r>
        <w:t xml:space="preserve">Figure 103: Average annual energy system investment needs, excluding transport …… 160</w:t>
      </w:r>
      <w:r>
        <w:t xml:space="preserve"> </w:t>
      </w:r>
      <w:r>
        <w:t xml:space="preserve">Figure 104: Average annual energy system investment needs by sector ………………….. 161</w:t>
      </w:r>
      <w:r>
        <w:t xml:space="preserve"> </w:t>
      </w:r>
      <w:r>
        <w:t xml:space="preserve">Figure 105: Ratio of gross fixed capital formation to GDP and GDP growth (5-year</w:t>
      </w:r>
      <w:r>
        <w:t xml:space="preserve"> </w:t>
      </w:r>
      <w:r>
        <w:t xml:space="preserve">backward moving average)………………………………………………………………………………… 162</w:t>
      </w:r>
      <w:r>
        <w:t xml:space="preserve"> </w:t>
      </w:r>
      <w:r>
        <w:t xml:space="preserve">Figure 106: Average annual investment in power supply ………………………………………. 163</w:t>
      </w:r>
      <w:r>
        <w:t xml:space="preserve"> </w:t>
      </w:r>
      <w:r>
        <w:t xml:space="preserve">Figure 107: Average annual energy system investment needs in industrial sectors …… 164</w:t>
      </w:r>
      <w:r>
        <w:t xml:space="preserve"> </w:t>
      </w:r>
      <w:r>
        <w:t xml:space="preserve">Figure 108: Average annual energy system investment needs in services ………………… 170</w:t>
      </w:r>
      <w:r>
        <w:t xml:space="preserve"> </w:t>
      </w:r>
      <w:r>
        <w:t xml:space="preserve">Figure 109: Average annual energy system investment needs in residential sector …… 171</w:t>
      </w:r>
      <w:r>
        <w:t xml:space="preserve"> </w:t>
      </w:r>
      <w:r>
        <w:t xml:space="preserve">Figure 110: Average annual investment needs in transport ……………………………………. 175</w:t>
      </w:r>
      <w:r>
        <w:t xml:space="preserve"> </w:t>
      </w:r>
      <w:r>
        <w:t xml:space="preserve">Figure 111: Carbon pricing payments …………………………………………………………………. 183</w:t>
      </w:r>
      <w:r>
        <w:t xml:space="preserve"> </w:t>
      </w:r>
      <w:r>
        <w:t xml:space="preserve">Figure 112: Total energy system costs as a percentage of GDP ……………………………… 186</w:t>
      </w:r>
      <w:r>
        <w:t xml:space="preserve"> </w:t>
      </w:r>
      <w:r>
        <w:t xml:space="preserve">Figure 113: Consumption of electricity by industry………………………………………………. 188</w:t>
      </w:r>
      <w:r>
        <w:t xml:space="preserve"> </w:t>
      </w:r>
      <w:r>
        <w:t xml:space="preserve">Figure 114: Consumption of gas by industry ……………………………………………………….. 189</w:t>
      </w:r>
      <w:r>
        <w:t xml:space="preserve"> </w:t>
      </w:r>
      <w:r>
        <w:t xml:space="preserve">Figure 115: Annual fuel purchasing expenses in buildings per low-income household 200</w:t>
      </w:r>
      <w:r>
        <w:t xml:space="preserve"> </w:t>
      </w:r>
      <w:r>
        <w:t xml:space="preserve">Figure 116: Annual fuel purchasing expenses in buildings in S2 ……………………………. 201</w:t>
      </w:r>
      <w:r>
        <w:t xml:space="preserve"> </w:t>
      </w:r>
      <w:r>
        <w:t xml:space="preserve">Figure 117: Annual expenditures for private vehicles per household ………………………. 202</w:t>
      </w:r>
      <w:r>
        <w:t xml:space="preserve"> </w:t>
      </w:r>
      <w:r>
        <w:t xml:space="preserve">Figure 118: Annual expenditures for transport-related energy purchases per household</w:t>
      </w:r>
      <w:r>
        <w:t xml:space="preserve"> </w:t>
      </w:r>
      <w:r>
        <w:t xml:space="preserve">………………………………………………………………………………………………………………………. 202</w:t>
      </w:r>
      <w:r>
        <w:t xml:space="preserve"> </w:t>
      </w:r>
      <w:r>
        <w:t xml:space="preserve">Figure 119: Annual expenditures for transport services per household ……………………. 203</w:t>
      </w:r>
      <w:r>
        <w:t xml:space="preserve"> </w:t>
      </w:r>
      <w:r>
        <w:t xml:space="preserve">Figure 120: Historical and projected shares of employment by occupations in 2040 (% of</w:t>
      </w:r>
      <w:r>
        <w:t xml:space="preserve"> </w:t>
      </w:r>
      <w:r>
        <w:t xml:space="preserve">total) ……………………………………………………………………………………………………………….. 209</w:t>
      </w:r>
      <w:r>
        <w:t xml:space="preserve"> </w:t>
      </w:r>
      <w:r>
        <w:t xml:space="preserve">Figure 121: EU household mean budget shares by expenditure decile, 2015 (%) ……… 214</w:t>
      </w:r>
      <w:r>
        <w:t xml:space="preserve"> </w:t>
      </w:r>
      <w:r>
        <w:t xml:space="preserve">Figure 122: Change in relative welfare by expenditure decile, S2…………………………… 216</w:t>
      </w:r>
      <w:r>
        <w:t xml:space="preserve"> </w:t>
      </w:r>
      <w:r>
        <w:t xml:space="preserve">Figure 123: Change in relative welfare by expenditure decile, S3…………………………… 216</w:t>
      </w:r>
      <w:r>
        <w:t xml:space="preserve"> </w:t>
      </w:r>
      <w:r>
        <w:t xml:space="preserve">Figure 124: Household GHG emissions per income category ………………………………… 217</w:t>
      </w:r>
      <w:r>
        <w:t xml:space="preserve"> </w:t>
      </w:r>
      <w:r>
        <w:t xml:space="preserve">Figure 125: Total emissions at regional level (left) and corresponding change since 1990</w:t>
      </w:r>
      <w:r>
        <w:t xml:space="preserve"> </w:t>
      </w:r>
      <w:r>
        <w:t xml:space="preserve">(right) ……………………………………………………………………………………………………………… 218</w:t>
      </w:r>
      <w:r>
        <w:t xml:space="preserve"> </w:t>
      </w:r>
      <w:r>
        <w:t xml:space="preserve">Figure 126: GHG emissions per capita in 2021 and change in GHG emissions per capita</w:t>
      </w:r>
      <w:r>
        <w:t xml:space="preserve"> </w:t>
      </w:r>
      <w:r>
        <w:t xml:space="preserve">between 1990 and 2021 …………………………………………………………………………………….. 219</w:t>
      </w:r>
      <w:r>
        <w:t xml:space="preserve"> </w:t>
      </w:r>
      <w:r>
        <w:t xml:space="preserve">Figure 127:Emission intensity (left) and corresponding change since 1990 (right) …… 221</w:t>
      </w:r>
      <w:r>
        <w:t xml:space="preserve"> </w:t>
      </w:r>
      <w:r>
        <w:t xml:space="preserve">Figure 128: Greenhouse gas emissions by sector in the EU27 and sector with the highest</w:t>
      </w:r>
      <w:r>
        <w:t xml:space="preserve"> </w:t>
      </w:r>
      <w:r>
        <w:t xml:space="preserve">contribution at the regional level in 2021 …………………………………………………………….. 221</w:t>
      </w:r>
      <w:r>
        <w:t xml:space="preserve"> </w:t>
      </w:r>
      <w:r>
        <w:t xml:space="preserve">Figure 129: Share of employment in sectors most negatively impacted …………………… 226</w:t>
      </w:r>
      <w:r>
        <w:t xml:space="preserve"> </w:t>
      </w:r>
      <w:r>
        <w:t xml:space="preserve">Figure 130: Untapped potential for electricity production from solar and wind in 2019</w:t>
      </w:r>
      <w:r>
        <w:t xml:space="preserve"> </w:t>
      </w:r>
      <w:r>
        <w:t xml:space="preserve">(left) and present-day annual hydrogen production (right) in EU regions. ……………….. 227</w:t>
      </w:r>
      <w:r>
        <w:t xml:space="preserve"> </w:t>
      </w:r>
      <w:r>
        <w:t xml:space="preserve">Figure 131: Potential contribution of the various economic sectors to the EU emission</w:t>
      </w:r>
      <w:r>
        <w:t xml:space="preserve"> </w:t>
      </w:r>
      <w:r>
        <w:t xml:space="preserve">reductions ……………………………………………………………………………………………………….. 228</w:t>
      </w:r>
      <w:r>
        <w:t xml:space="preserve"> </w:t>
      </w:r>
      <w:r>
        <w:t xml:space="preserve">Figure 132: Regional readiness for the green transition and correlation with growth</w:t>
      </w:r>
      <w:r>
        <w:t xml:space="preserve"> </w:t>
      </w:r>
      <w:r>
        <w:t xml:space="preserve">potential ………………………………………………………………………………………………………….. 229</w:t>
      </w:r>
      <w:r>
        <w:t xml:space="preserve"> </w:t>
      </w:r>
      <w:r>
        <w:t xml:space="preserve">Figure 133: Net fossil fuel imports, 2000-2022 ……………………………………………………. 230</w:t>
      </w:r>
      <w:r>
        <w:t xml:space="preserve"> </w:t>
      </w:r>
      <w:r>
        <w:t xml:space="preserve">Figure 134: Annual fossil fuels imports ………………………………………………………………. 231</w:t>
      </w:r>
      <w:r>
        <w:t xml:space="preserve"> </w:t>
      </w:r>
      <w:r>
        <w:t xml:space="preserve">Figure 135: Monthly fossil fuel prices (US$, 1960-October 2023) …………………………. 232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TABLE OF TABLES</w:t>
      </w:r>
      <w:r>
        <w:t xml:space="preserve"> </w:t>
      </w:r>
      <w:r>
        <w:t xml:space="preserve">Table 1: Net GHG emissions and reductions compared to 1990 ………………………………… 4</w:t>
      </w:r>
      <w:r>
        <w:t xml:space="preserve"> </w:t>
      </w:r>
      <w:r>
        <w:t xml:space="preserve">Table 2: CO2, non-CO2 and emissions from LULUCF sector. ………………………………….. 5</w:t>
      </w:r>
      <w:r>
        <w:t xml:space="preserve"> </w:t>
      </w:r>
      <w:r>
        <w:t xml:space="preserve">Table 3: Gross GHG emissions ……………………………………………………………………………… 8</w:t>
      </w:r>
      <w:r>
        <w:t xml:space="preserve"> </w:t>
      </w:r>
      <w:r>
        <w:t xml:space="preserve">Table 4: LULUCF net removals by scenarios in 2040 and 2050 ………………………………… 9</w:t>
      </w:r>
      <w:r>
        <w:t xml:space="preserve"> </w:t>
      </w:r>
      <w:r>
        <w:t xml:space="preserve">Table 5: LULUCF net removals and industrial carbon removals ……………………………… 13</w:t>
      </w:r>
      <w:r>
        <w:t xml:space="preserve"> </w:t>
      </w:r>
      <w:r>
        <w:t xml:space="preserve">Table 6: Energy and Industry net CO2 emissions …………………………………………………… 17</w:t>
      </w:r>
      <w:r>
        <w:t xml:space="preserve"> </w:t>
      </w:r>
      <w:r>
        <w:t xml:space="preserve">Table 7: Total non-CO2 GHG emissions in all sectors and CO2 emissions from</w:t>
      </w:r>
      <w:r>
        <w:t xml:space="preserve"> </w:t>
      </w:r>
      <w:r>
        <w:t xml:space="preserve">agriculture …………………………………………………………………………………………………………. 26</w:t>
      </w:r>
      <w:r>
        <w:t xml:space="preserve"> </w:t>
      </w:r>
      <w:r>
        <w:t xml:space="preserve">Table 8: Assumptions on evolution of industrial domestic production for selected</w:t>
      </w:r>
      <w:r>
        <w:t xml:space="preserve"> </w:t>
      </w:r>
      <w:r>
        <w:t xml:space="preserve">materials …………………………………………………………………………………………………………… 61</w:t>
      </w:r>
      <w:r>
        <w:t xml:space="preserve"> </w:t>
      </w:r>
      <w:r>
        <w:t xml:space="preserve">Table 9: List of circular economy actions applied to the CIRC scenario ……………………. 70</w:t>
      </w:r>
      <w:r>
        <w:t xml:space="preserve"> </w:t>
      </w:r>
      <w:r>
        <w:t xml:space="preserve">Table 10: Non-CO2 GHG emissions without add. mitigation in non-land-related sectors</w:t>
      </w:r>
      <w:r>
        <w:t xml:space="preserve"> </w:t>
      </w:r>
      <w:r>
        <w:t xml:space="preserve">………………………………………………………………………………………………………………………. 101</w:t>
      </w:r>
      <w:r>
        <w:t xml:space="preserve"> </w:t>
      </w:r>
      <w:r>
        <w:t xml:space="preserve">Table 11: Additional mitigation potentials of non-CO2 GHG emissions across all non-</w:t>
      </w:r>
      <w:r>
        <w:t xml:space="preserve"> </w:t>
      </w:r>
      <w:r>
        <w:t xml:space="preserve">land-related sectors in 2040 (by gas) …………………………………………………………………… 103</w:t>
      </w:r>
      <w:r>
        <w:t xml:space="preserve"> </w:t>
      </w:r>
      <w:r>
        <w:t xml:space="preserve">Table 12: Additional mitigation potentials of non-CO2 GHG emissions in 2040 (by non-</w:t>
      </w:r>
      <w:r>
        <w:t xml:space="preserve"> </w:t>
      </w:r>
      <w:r>
        <w:t xml:space="preserve">land-related sector) …………………………………………………………………………………………… 104</w:t>
      </w:r>
      <w:r>
        <w:t xml:space="preserve"> </w:t>
      </w:r>
      <w:r>
        <w:t xml:space="preserve">Table 13: Non-CO2 GHG emissions from the non-land-related sectors ………………….. 106</w:t>
      </w:r>
      <w:r>
        <w:t xml:space="preserve"> </w:t>
      </w:r>
      <w:r>
        <w:t xml:space="preserve">Table 14: GHG emissions in agriculture without additional mitigation in S1, S2, S3… 110</w:t>
      </w:r>
      <w:r>
        <w:t xml:space="preserve"> </w:t>
      </w:r>
      <w:r>
        <w:t xml:space="preserve">Table 15: GHG emissions in the agriculture without additional mitigation in LIFE ….. 111</w:t>
      </w:r>
      <w:r>
        <w:t xml:space="preserve"> </w:t>
      </w:r>
      <w:r>
        <w:t xml:space="preserve">Table 16: Mitigation potential in the agriculture sector in S1, S2 and S3 …………………. 114</w:t>
      </w:r>
      <w:r>
        <w:t xml:space="preserve"> </w:t>
      </w:r>
      <w:r>
        <w:t xml:space="preserve">Table 17: Mitigation potential in the agriculture sector in LIFE ……………………………… 114</w:t>
      </w:r>
      <w:r>
        <w:t xml:space="preserve"> </w:t>
      </w:r>
      <w:r>
        <w:t xml:space="preserve">Table 18: GHG emissions from the agriculture sector (by gas and type of source) …… 116</w:t>
      </w:r>
      <w:r>
        <w:t xml:space="preserve"> </w:t>
      </w:r>
      <w:r>
        <w:t xml:space="preserve">Table 19: Air pollution emissions, impacts on public health and costs ……………………. 141</w:t>
      </w:r>
      <w:r>
        <w:t xml:space="preserve"> </w:t>
      </w:r>
      <w:r>
        <w:t xml:space="preserve">Table 20: Area affected by acidification and eutrophication per scenario ………………… 142</w:t>
      </w:r>
      <w:r>
        <w:t xml:space="preserve"> </w:t>
      </w:r>
      <w:r>
        <w:t xml:space="preserve">Table 21: Overview of Farm to Fork objectives indicators in LIFE in 2040 …………….. 144</w:t>
      </w:r>
      <w:r>
        <w:t xml:space="preserve"> </w:t>
      </w:r>
      <w:r>
        <w:t xml:space="preserve">Table 22: Overview of LIFE outputs related to biodiversity in 2040 ………………………. 145</w:t>
      </w:r>
      <w:r>
        <w:t xml:space="preserve"> </w:t>
      </w:r>
      <w:r>
        <w:t xml:space="preserve">Table 23: Agricultural area change in 2040 by scenarios. ……………………………………… 145</w:t>
      </w:r>
      <w:r>
        <w:t xml:space="preserve"> </w:t>
      </w:r>
      <w:r>
        <w:t xml:space="preserve">Table 24: Net production of agricultural outputs in 2040 by scenarios ……………………. 147</w:t>
      </w:r>
      <w:r>
        <w:t xml:space="preserve"> </w:t>
      </w:r>
      <w:r>
        <w:t xml:space="preserve">Table 25: Macro-economic impacts (% change compared to S2) ……………………………. 152</w:t>
      </w:r>
      <w:r>
        <w:t xml:space="preserve"> </w:t>
      </w:r>
      <w:r>
        <w:t xml:space="preserve">Table 26: Average annual energy system investment needs (billion EUR 2023) ………. 159</w:t>
      </w:r>
      <w:r>
        <w:t xml:space="preserve"> </w:t>
      </w:r>
      <w:r>
        <w:t xml:space="preserve">Table 27: Indicators of SME activity by sector (2019) ………………………………………….. 165</w:t>
      </w:r>
      <w:r>
        <w:t xml:space="preserve"> </w:t>
      </w:r>
      <w:r>
        <w:t xml:space="preserve">Table 28: Average annual energy-related side investment needs in industry,services and</w:t>
      </w:r>
      <w:r>
        <w:t xml:space="preserve"> </w:t>
      </w:r>
      <w:r>
        <w:t xml:space="preserve">agriculture (billion EUR 2023) …………………………………………………………………………… 167</w:t>
      </w:r>
      <w:r>
        <w:t xml:space="preserve"> </w:t>
      </w:r>
      <w:r>
        <w:t xml:space="preserve">Table 29: Average annual demand side investment, residential sector (billion EUR 2023)</w:t>
      </w:r>
      <w:r>
        <w:t xml:space="preserve"> </w:t>
      </w:r>
      <w:r>
        <w:t xml:space="preserve">………………………………………………………………………………………………………………………. 173</w:t>
      </w:r>
      <w:r>
        <w:t xml:space="preserve"> </w:t>
      </w:r>
      <w:r>
        <w:t xml:space="preserve">Table 30: Average annual demand side investment needs, transport (billion EUR 2023)</w:t>
      </w:r>
      <w:r>
        <w:t xml:space="preserve"> </w:t>
      </w:r>
      <w:r>
        <w:t xml:space="preserve">………………………………………………………………………………………………………………………. 176</w:t>
      </w:r>
      <w:r>
        <w:t xml:space="preserve"> </w:t>
      </w:r>
      <w:r>
        <w:t xml:space="preserve">Table 31: Technology investment costs assumptions (EUR 2015 per kW) ………………. 177</w:t>
      </w:r>
      <w:r>
        <w:t xml:space="preserve"> </w:t>
      </w:r>
      <w:r>
        <w:t xml:space="preserve">Table 32: Sensitivity of average annual energy system investment needs (excluding</w:t>
      </w:r>
      <w:r>
        <w:t xml:space="preserve"> </w:t>
      </w:r>
      <w:r>
        <w:t xml:space="preserve">transport) to a price shock …………………………………………………………………………………. 178</w:t>
      </w:r>
      <w:r>
        <w:t xml:space="preserve"> </w:t>
      </w:r>
      <w:r>
        <w:t xml:space="preserve">Table 33: Manufacturing capacity and investment needs per technology (2031-2040) 179</w:t>
      </w:r>
      <w:r>
        <w:t xml:space="preserve"> </w:t>
      </w:r>
      <w:r>
        <w:t xml:space="preserve">Table 34: Sectoral disaggregation of energy system costs (% difference vs. S2) ………. 185</w:t>
      </w:r>
      <w:r>
        <w:t xml:space="preserve"> </w:t>
      </w:r>
      <w:r>
        <w:t xml:space="preserve">Table 35: Energy system costs for industry (% difference vs. S2) ………………………….. 187</w:t>
      </w:r>
      <w:r>
        <w:t xml:space="preserve"> </w:t>
      </w:r>
      <w:r>
        <w:t xml:space="preserve">Table 36: Average final price of electricity for industry ………………………………………… 188</w:t>
      </w:r>
      <w:r>
        <w:t xml:space="preserve"> </w:t>
      </w:r>
      <w:r>
        <w:t xml:space="preserve">Table 37: Average final price of electricity for services ………………………………………… 190</w:t>
      </w:r>
      <w:r>
        <w:t xml:space="preserve"> </w:t>
      </w:r>
      <w:r>
        <w:t xml:space="preserve">Table 38: Energy prices for private transport in S2 ………………………………………………. 190</w:t>
      </w:r>
      <w:r>
        <w:t xml:space="preserve"> </w:t>
      </w:r>
      <w:r>
        <w:t xml:space="preserve">Table 39: Costs related to GHG emissions mitigation in LULUCF and non-CO2 …….. 191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Table 40: Sectoral output, deviation vs. S2 (%) ……………………………………………………. 193</w:t>
      </w:r>
      <w:r>
        <w:t xml:space="preserve"> </w:t>
      </w:r>
      <w:r>
        <w:t xml:space="preserve">Table 41: Sectoral output, % change vs. 2015 ……………………………………………………… 194</w:t>
      </w:r>
      <w:r>
        <w:t xml:space="preserve"> </w:t>
      </w:r>
      <w:r>
        <w:t xml:space="preserve">Table 42: Sectoral output, share of total (%) ………………………………………………………… 194</w:t>
      </w:r>
      <w:r>
        <w:t xml:space="preserve"> </w:t>
      </w:r>
      <w:r>
        <w:t xml:space="preserve">Table 43: EU shares in global exports (% of total) ……………………………………………….. 195</w:t>
      </w:r>
      <w:r>
        <w:t xml:space="preserve"> </w:t>
      </w:r>
      <w:r>
        <w:t xml:space="preserve">Table 44: EU shares in global imports (% of total) ……………………………………………….. 196</w:t>
      </w:r>
      <w:r>
        <w:t xml:space="preserve"> </w:t>
      </w:r>
      <w:r>
        <w:t xml:space="preserve">Table 45: Structure of EU imports (% of total) …………………………………………………….. 197</w:t>
      </w:r>
      <w:r>
        <w:t xml:space="preserve"> </w:t>
      </w:r>
      <w:r>
        <w:t xml:space="preserve">Table 46: Origin of EU imports by main trading parterns (% of total EU imports, S3) 198</w:t>
      </w:r>
      <w:r>
        <w:t xml:space="preserve"> </w:t>
      </w:r>
      <w:r>
        <w:t xml:space="preserve">Table 47: Average annual energy system costs as % of private consumption and average</w:t>
      </w:r>
      <w:r>
        <w:t xml:space="preserve"> </w:t>
      </w:r>
      <w:r>
        <w:t xml:space="preserve">final price of electricity for households in the residential sector……………………………… 200</w:t>
      </w:r>
      <w:r>
        <w:t xml:space="preserve"> </w:t>
      </w:r>
      <w:r>
        <w:t xml:space="preserve">Table 48: Employment by economic activity (million people and % of total) ………….. 206</w:t>
      </w:r>
      <w:r>
        <w:t xml:space="preserve"> </w:t>
      </w:r>
      <w:r>
        <w:t xml:space="preserve">Table 49: Employment by occupations ……………………………………………………………….. 207</w:t>
      </w:r>
      <w:r>
        <w:t xml:space="preserve"> </w:t>
      </w:r>
      <w:r>
        <w:t xml:space="preserve">Table 50: Sectoral employment, share in total employment (%) …………………………….. 208</w:t>
      </w:r>
      <w:r>
        <w:t xml:space="preserve"> </w:t>
      </w:r>
      <w:r>
        <w:t xml:space="preserve">Table 51: Average annual renovations in residential and tertiary sectors …………………. 211</w:t>
      </w:r>
      <w:r>
        <w:t xml:space="preserve"> </w:t>
      </w:r>
      <w:r>
        <w:t xml:space="preserve">Table 52: Changes in relative prices, S1 and S3 vs. S2 (% change) ………………………… 215</w:t>
      </w:r>
      <w:r>
        <w:t xml:space="preserve"> </w:t>
      </w:r>
      <w:r>
        <w:t xml:space="preserve">Table 53: National per capita emissions and range across regions ………………………….. 220</w:t>
      </w:r>
      <w:r>
        <w:t xml:space="preserve"> </w:t>
      </w:r>
      <w:r>
        <w:t xml:space="preserve">Table 54: Sectoral per capita emissions and range across regions in 1990 ……………….. 223</w:t>
      </w:r>
      <w:r>
        <w:t xml:space="preserve"> </w:t>
      </w:r>
      <w:r>
        <w:t xml:space="preserve">Table 55: Sectoral per capita emissions and range across regions in 2021 ……………….. 224</w:t>
      </w:r>
      <w:r>
        <w:t xml:space="preserve"> </w:t>
      </w:r>
      <w:r>
        <w:t xml:space="preserve">Table 56: Macroeconomic impacts of energy price shocks (deviation from baseline) .. 233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312">
    <w:nsid w:val="0A994312"/>
    <w:multiLevelType w:val="multilevel"/>
    <w:lvl w:ilvl="0">
      <w:start w:val="12"/>
      <w:numFmt w:val="decimal"/>
      <w:lvlText w:val="(%1)"/>
      <w:lvlJc w:val="left"/>
      <w:pPr>
        <w:ind w:left="720" w:hanging="360"/>
      </w:pPr>
    </w:lvl>
    <w:lvl w:ilvl="1">
      <w:start w:val="12"/>
      <w:numFmt w:val="decimal"/>
      <w:lvlText w:val="(%2)"/>
      <w:lvlJc w:val="left"/>
      <w:pPr>
        <w:ind w:left="1440" w:hanging="360"/>
      </w:pPr>
    </w:lvl>
    <w:lvl w:ilvl="2">
      <w:start w:val="12"/>
      <w:numFmt w:val="decimal"/>
      <w:lvlText w:val="(%3)"/>
      <w:lvlJc w:val="left"/>
      <w:pPr>
        <w:ind w:left="2160" w:hanging="360"/>
      </w:pPr>
    </w:lvl>
    <w:lvl w:ilvl="3">
      <w:start w:val="12"/>
      <w:numFmt w:val="decimal"/>
      <w:lvlText w:val="(%4)"/>
      <w:lvlJc w:val="left"/>
      <w:pPr>
        <w:ind w:left="2880" w:hanging="360"/>
      </w:pPr>
    </w:lvl>
    <w:lvl w:ilvl="4">
      <w:start w:val="12"/>
      <w:numFmt w:val="decimal"/>
      <w:lvlText w:val="(%5)"/>
      <w:lvlJc w:val="left"/>
      <w:pPr>
        <w:ind w:left="3600" w:hanging="360"/>
      </w:pPr>
    </w:lvl>
    <w:lvl w:ilvl="5">
      <w:start w:val="12"/>
      <w:numFmt w:val="decimal"/>
      <w:lvlText w:val="(%6)"/>
      <w:lvlJc w:val="left"/>
      <w:pPr>
        <w:ind w:left="4320" w:hanging="360"/>
      </w:pPr>
    </w:lvl>
    <w:lvl w:ilvl="6">
      <w:start w:val="12"/>
      <w:numFmt w:val="decimal"/>
      <w:lvlText w:val="(%7)"/>
      <w:lvlJc w:val="left"/>
      <w:pPr>
        <w:ind w:left="5040" w:hanging="360"/>
      </w:pPr>
    </w:lvl>
    <w:lvl w:ilvl="7">
      <w:start w:val="12"/>
      <w:numFmt w:val="decimal"/>
      <w:lvlText w:val="(%8)"/>
      <w:lvlJc w:val="left"/>
      <w:pPr>
        <w:ind w:left="5760" w:hanging="360"/>
      </w:pPr>
    </w:lvl>
    <w:lvl w:ilvl="8">
      <w:start w:val="12"/>
      <w:numFmt w:val="decimal"/>
      <w:lvlText w:val="(%9)"/>
      <w:lvlJc w:val="left"/>
      <w:pPr>
        <w:ind w:left="6480" w:hanging="360"/>
      </w:pPr>
    </w:lvl>
  </w:abstractNum>
  <w:abstractNum w:abstractNumId="994319">
    <w:nsid w:val="0A994319"/>
    <w:multiLevelType w:val="multilevel"/>
    <w:lvl w:ilvl="0">
      <w:start w:val="19"/>
      <w:numFmt w:val="decimal"/>
      <w:lvlText w:val="(%1)"/>
      <w:lvlJc w:val="left"/>
      <w:pPr>
        <w:ind w:left="720" w:hanging="360"/>
      </w:pPr>
    </w:lvl>
    <w:lvl w:ilvl="1">
      <w:start w:val="19"/>
      <w:numFmt w:val="decimal"/>
      <w:lvlText w:val="(%2)"/>
      <w:lvlJc w:val="left"/>
      <w:pPr>
        <w:ind w:left="1440" w:hanging="360"/>
      </w:pPr>
    </w:lvl>
    <w:lvl w:ilvl="2">
      <w:start w:val="19"/>
      <w:numFmt w:val="decimal"/>
      <w:lvlText w:val="(%3)"/>
      <w:lvlJc w:val="left"/>
      <w:pPr>
        <w:ind w:left="2160" w:hanging="360"/>
      </w:pPr>
    </w:lvl>
    <w:lvl w:ilvl="3">
      <w:start w:val="19"/>
      <w:numFmt w:val="decimal"/>
      <w:lvlText w:val="(%4)"/>
      <w:lvlJc w:val="left"/>
      <w:pPr>
        <w:ind w:left="2880" w:hanging="360"/>
      </w:pPr>
    </w:lvl>
    <w:lvl w:ilvl="4">
      <w:start w:val="19"/>
      <w:numFmt w:val="decimal"/>
      <w:lvlText w:val="(%5)"/>
      <w:lvlJc w:val="left"/>
      <w:pPr>
        <w:ind w:left="3600" w:hanging="360"/>
      </w:pPr>
    </w:lvl>
    <w:lvl w:ilvl="5">
      <w:start w:val="19"/>
      <w:numFmt w:val="decimal"/>
      <w:lvlText w:val="(%6)"/>
      <w:lvlJc w:val="left"/>
      <w:pPr>
        <w:ind w:left="4320" w:hanging="360"/>
      </w:pPr>
    </w:lvl>
    <w:lvl w:ilvl="6">
      <w:start w:val="19"/>
      <w:numFmt w:val="decimal"/>
      <w:lvlText w:val="(%7)"/>
      <w:lvlJc w:val="left"/>
      <w:pPr>
        <w:ind w:left="5040" w:hanging="360"/>
      </w:pPr>
    </w:lvl>
    <w:lvl w:ilvl="7">
      <w:start w:val="19"/>
      <w:numFmt w:val="decimal"/>
      <w:lvlText w:val="(%8)"/>
      <w:lvlJc w:val="left"/>
      <w:pPr>
        <w:ind w:left="5760" w:hanging="360"/>
      </w:pPr>
    </w:lvl>
    <w:lvl w:ilvl="8">
      <w:start w:val="19"/>
      <w:numFmt w:val="decimal"/>
      <w:lvlText w:val="(%9)"/>
      <w:lvlJc w:val="left"/>
      <w:pPr>
        <w:ind w:left="6480" w:hanging="360"/>
      </w:pPr>
    </w:lvl>
  </w:abstractNum>
  <w:abstractNum w:abstractNumId="9941121485">
    <w:nsid w:val="A9941121485"/>
    <w:multiLevelType w:val="multilevel"/>
    <w:lvl w:ilvl="0">
      <w:start w:val="121485"/>
      <w:numFmt w:val="decimal"/>
      <w:lvlText w:val="%1."/>
      <w:lvlJc w:val="left"/>
      <w:pPr>
        <w:ind w:left="720" w:hanging="360"/>
      </w:pPr>
    </w:lvl>
    <w:lvl w:ilvl="1">
      <w:start w:val="121485"/>
      <w:numFmt w:val="decimal"/>
      <w:lvlText w:val="%2."/>
      <w:lvlJc w:val="left"/>
      <w:pPr>
        <w:ind w:left="1440" w:hanging="360"/>
      </w:pPr>
    </w:lvl>
    <w:lvl w:ilvl="2">
      <w:start w:val="121485"/>
      <w:numFmt w:val="decimal"/>
      <w:lvlText w:val="%3."/>
      <w:lvlJc w:val="left"/>
      <w:pPr>
        <w:ind w:left="2160" w:hanging="360"/>
      </w:pPr>
    </w:lvl>
    <w:lvl w:ilvl="3">
      <w:start w:val="121485"/>
      <w:numFmt w:val="decimal"/>
      <w:lvlText w:val="%4."/>
      <w:lvlJc w:val="left"/>
      <w:pPr>
        <w:ind w:left="2880" w:hanging="360"/>
      </w:pPr>
    </w:lvl>
    <w:lvl w:ilvl="4">
      <w:start w:val="121485"/>
      <w:numFmt w:val="decimal"/>
      <w:lvlText w:val="%5."/>
      <w:lvlJc w:val="left"/>
      <w:pPr>
        <w:ind w:left="3600" w:hanging="360"/>
      </w:pPr>
    </w:lvl>
    <w:lvl w:ilvl="5">
      <w:start w:val="121485"/>
      <w:numFmt w:val="decimal"/>
      <w:lvlText w:val="%6."/>
      <w:lvlJc w:val="left"/>
      <w:pPr>
        <w:ind w:left="4320" w:hanging="360"/>
      </w:pPr>
    </w:lvl>
    <w:lvl w:ilvl="6">
      <w:start w:val="121485"/>
      <w:numFmt w:val="decimal"/>
      <w:lvlText w:val="%7."/>
      <w:lvlJc w:val="left"/>
      <w:pPr>
        <w:ind w:left="5040" w:hanging="360"/>
      </w:pPr>
    </w:lvl>
    <w:lvl w:ilvl="7">
      <w:start w:val="121485"/>
      <w:numFmt w:val="decimal"/>
      <w:lvlText w:val="%8."/>
      <w:lvlJc w:val="left"/>
      <w:pPr>
        <w:ind w:left="5760" w:hanging="360"/>
      </w:pPr>
    </w:lvl>
    <w:lvl w:ilvl="8">
      <w:start w:val="121485"/>
      <w:numFmt w:val="decimal"/>
      <w:lvlText w:val="%9."/>
      <w:lvlJc w:val="left"/>
      <w:pPr>
        <w:ind w:left="6480" w:hanging="360"/>
      </w:pPr>
    </w:lvl>
  </w:abstractNum>
  <w:abstractNum w:abstractNumId="994320">
    <w:nsid w:val="0A994320"/>
    <w:multiLevelType w:val="multilevel"/>
    <w:lvl w:ilvl="0">
      <w:start w:val="20"/>
      <w:numFmt w:val="decimal"/>
      <w:lvlText w:val="(%1)"/>
      <w:lvlJc w:val="left"/>
      <w:pPr>
        <w:ind w:left="720" w:hanging="360"/>
      </w:pPr>
    </w:lvl>
    <w:lvl w:ilvl="1">
      <w:start w:val="20"/>
      <w:numFmt w:val="decimal"/>
      <w:lvlText w:val="(%2)"/>
      <w:lvlJc w:val="left"/>
      <w:pPr>
        <w:ind w:left="1440" w:hanging="360"/>
      </w:pPr>
    </w:lvl>
    <w:lvl w:ilvl="2">
      <w:start w:val="20"/>
      <w:numFmt w:val="decimal"/>
      <w:lvlText w:val="(%3)"/>
      <w:lvlJc w:val="left"/>
      <w:pPr>
        <w:ind w:left="2160" w:hanging="360"/>
      </w:pPr>
    </w:lvl>
    <w:lvl w:ilvl="3">
      <w:start w:val="20"/>
      <w:numFmt w:val="decimal"/>
      <w:lvlText w:val="(%4)"/>
      <w:lvlJc w:val="left"/>
      <w:pPr>
        <w:ind w:left="2880" w:hanging="360"/>
      </w:pPr>
    </w:lvl>
    <w:lvl w:ilvl="4">
      <w:start w:val="20"/>
      <w:numFmt w:val="decimal"/>
      <w:lvlText w:val="(%5)"/>
      <w:lvlJc w:val="left"/>
      <w:pPr>
        <w:ind w:left="3600" w:hanging="360"/>
      </w:pPr>
    </w:lvl>
    <w:lvl w:ilvl="5">
      <w:start w:val="20"/>
      <w:numFmt w:val="decimal"/>
      <w:lvlText w:val="(%6)"/>
      <w:lvlJc w:val="left"/>
      <w:pPr>
        <w:ind w:left="4320" w:hanging="360"/>
      </w:pPr>
    </w:lvl>
    <w:lvl w:ilvl="6">
      <w:start w:val="20"/>
      <w:numFmt w:val="decimal"/>
      <w:lvlText w:val="(%7)"/>
      <w:lvlJc w:val="left"/>
      <w:pPr>
        <w:ind w:left="5040" w:hanging="360"/>
      </w:pPr>
    </w:lvl>
    <w:lvl w:ilvl="7">
      <w:start w:val="20"/>
      <w:numFmt w:val="decimal"/>
      <w:lvlText w:val="(%8)"/>
      <w:lvlJc w:val="left"/>
      <w:pPr>
        <w:ind w:left="5760" w:hanging="360"/>
      </w:pPr>
    </w:lvl>
    <w:lvl w:ilvl="8">
      <w:start w:val="20"/>
      <w:numFmt w:val="decimal"/>
      <w:lvlText w:val="(%9)"/>
      <w:lvlJc w:val="left"/>
      <w:pPr>
        <w:ind w:left="6480" w:hanging="360"/>
      </w:pPr>
    </w:lvl>
  </w:abstractNum>
  <w:abstractNum w:abstractNumId="994324">
    <w:nsid w:val="0A994324"/>
    <w:multiLevelType w:val="multilevel"/>
    <w:lvl w:ilvl="0">
      <w:start w:val="24"/>
      <w:numFmt w:val="decimal"/>
      <w:lvlText w:val="(%1)"/>
      <w:lvlJc w:val="left"/>
      <w:pPr>
        <w:ind w:left="720" w:hanging="360"/>
      </w:pPr>
    </w:lvl>
    <w:lvl w:ilvl="1">
      <w:start w:val="24"/>
      <w:numFmt w:val="decimal"/>
      <w:lvlText w:val="(%2)"/>
      <w:lvlJc w:val="left"/>
      <w:pPr>
        <w:ind w:left="1440" w:hanging="360"/>
      </w:pPr>
    </w:lvl>
    <w:lvl w:ilvl="2">
      <w:start w:val="24"/>
      <w:numFmt w:val="decimal"/>
      <w:lvlText w:val="(%3)"/>
      <w:lvlJc w:val="left"/>
      <w:pPr>
        <w:ind w:left="2160" w:hanging="360"/>
      </w:pPr>
    </w:lvl>
    <w:lvl w:ilvl="3">
      <w:start w:val="24"/>
      <w:numFmt w:val="decimal"/>
      <w:lvlText w:val="(%4)"/>
      <w:lvlJc w:val="left"/>
      <w:pPr>
        <w:ind w:left="2880" w:hanging="360"/>
      </w:pPr>
    </w:lvl>
    <w:lvl w:ilvl="4">
      <w:start w:val="24"/>
      <w:numFmt w:val="decimal"/>
      <w:lvlText w:val="(%5)"/>
      <w:lvlJc w:val="left"/>
      <w:pPr>
        <w:ind w:left="3600" w:hanging="360"/>
      </w:pPr>
    </w:lvl>
    <w:lvl w:ilvl="5">
      <w:start w:val="24"/>
      <w:numFmt w:val="decimal"/>
      <w:lvlText w:val="(%6)"/>
      <w:lvlJc w:val="left"/>
      <w:pPr>
        <w:ind w:left="4320" w:hanging="360"/>
      </w:pPr>
    </w:lvl>
    <w:lvl w:ilvl="6">
      <w:start w:val="24"/>
      <w:numFmt w:val="decimal"/>
      <w:lvlText w:val="(%7)"/>
      <w:lvlJc w:val="left"/>
      <w:pPr>
        <w:ind w:left="5040" w:hanging="360"/>
      </w:pPr>
    </w:lvl>
    <w:lvl w:ilvl="7">
      <w:start w:val="24"/>
      <w:numFmt w:val="decimal"/>
      <w:lvlText w:val="(%8)"/>
      <w:lvlJc w:val="left"/>
      <w:pPr>
        <w:ind w:left="5760" w:hanging="360"/>
      </w:pPr>
    </w:lvl>
    <w:lvl w:ilvl="8">
      <w:start w:val="24"/>
      <w:numFmt w:val="decimal"/>
      <w:lvlText w:val="(%9)"/>
      <w:lvlJc w:val="left"/>
      <w:pPr>
        <w:ind w:left="6480" w:hanging="360"/>
      </w:pPr>
    </w:lvl>
  </w:abstractNum>
  <w:abstractNum w:abstractNumId="994332">
    <w:nsid w:val="0A994332"/>
    <w:multiLevelType w:val="multilevel"/>
    <w:lvl w:ilvl="0">
      <w:start w:val="32"/>
      <w:numFmt w:val="decimal"/>
      <w:lvlText w:val="(%1)"/>
      <w:lvlJc w:val="left"/>
      <w:pPr>
        <w:ind w:left="720" w:hanging="360"/>
      </w:pPr>
    </w:lvl>
    <w:lvl w:ilvl="1">
      <w:start w:val="32"/>
      <w:numFmt w:val="decimal"/>
      <w:lvlText w:val="(%2)"/>
      <w:lvlJc w:val="left"/>
      <w:pPr>
        <w:ind w:left="1440" w:hanging="360"/>
      </w:pPr>
    </w:lvl>
    <w:lvl w:ilvl="2">
      <w:start w:val="32"/>
      <w:numFmt w:val="decimal"/>
      <w:lvlText w:val="(%3)"/>
      <w:lvlJc w:val="left"/>
      <w:pPr>
        <w:ind w:left="2160" w:hanging="360"/>
      </w:pPr>
    </w:lvl>
    <w:lvl w:ilvl="3">
      <w:start w:val="32"/>
      <w:numFmt w:val="decimal"/>
      <w:lvlText w:val="(%4)"/>
      <w:lvlJc w:val="left"/>
      <w:pPr>
        <w:ind w:left="2880" w:hanging="360"/>
      </w:pPr>
    </w:lvl>
    <w:lvl w:ilvl="4">
      <w:start w:val="32"/>
      <w:numFmt w:val="decimal"/>
      <w:lvlText w:val="(%5)"/>
      <w:lvlJc w:val="left"/>
      <w:pPr>
        <w:ind w:left="3600" w:hanging="360"/>
      </w:pPr>
    </w:lvl>
    <w:lvl w:ilvl="5">
      <w:start w:val="32"/>
      <w:numFmt w:val="decimal"/>
      <w:lvlText w:val="(%6)"/>
      <w:lvlJc w:val="left"/>
      <w:pPr>
        <w:ind w:left="4320" w:hanging="360"/>
      </w:pPr>
    </w:lvl>
    <w:lvl w:ilvl="6">
      <w:start w:val="32"/>
      <w:numFmt w:val="decimal"/>
      <w:lvlText w:val="(%7)"/>
      <w:lvlJc w:val="left"/>
      <w:pPr>
        <w:ind w:left="5040" w:hanging="360"/>
      </w:pPr>
    </w:lvl>
    <w:lvl w:ilvl="7">
      <w:start w:val="32"/>
      <w:numFmt w:val="decimal"/>
      <w:lvlText w:val="(%8)"/>
      <w:lvlJc w:val="left"/>
      <w:pPr>
        <w:ind w:left="5760" w:hanging="360"/>
      </w:pPr>
    </w:lvl>
    <w:lvl w:ilvl="8">
      <w:start w:val="32"/>
      <w:numFmt w:val="decimal"/>
      <w:lvlText w:val="(%9)"/>
      <w:lvlJc w:val="left"/>
      <w:pPr>
        <w:ind w:left="6480" w:hanging="360"/>
      </w:pPr>
    </w:lvl>
  </w:abstractNum>
  <w:abstractNum w:abstractNumId="994333">
    <w:nsid w:val="0A994333"/>
    <w:multiLevelType w:val="multilevel"/>
    <w:lvl w:ilvl="0">
      <w:start w:val="33"/>
      <w:numFmt w:val="decimal"/>
      <w:lvlText w:val="(%1)"/>
      <w:lvlJc w:val="left"/>
      <w:pPr>
        <w:ind w:left="720" w:hanging="360"/>
      </w:pPr>
    </w:lvl>
    <w:lvl w:ilvl="1">
      <w:start w:val="33"/>
      <w:numFmt w:val="decimal"/>
      <w:lvlText w:val="(%2)"/>
      <w:lvlJc w:val="left"/>
      <w:pPr>
        <w:ind w:left="1440" w:hanging="360"/>
      </w:pPr>
    </w:lvl>
    <w:lvl w:ilvl="2">
      <w:start w:val="33"/>
      <w:numFmt w:val="decimal"/>
      <w:lvlText w:val="(%3)"/>
      <w:lvlJc w:val="left"/>
      <w:pPr>
        <w:ind w:left="2160" w:hanging="360"/>
      </w:pPr>
    </w:lvl>
    <w:lvl w:ilvl="3">
      <w:start w:val="33"/>
      <w:numFmt w:val="decimal"/>
      <w:lvlText w:val="(%4)"/>
      <w:lvlJc w:val="left"/>
      <w:pPr>
        <w:ind w:left="2880" w:hanging="360"/>
      </w:pPr>
    </w:lvl>
    <w:lvl w:ilvl="4">
      <w:start w:val="33"/>
      <w:numFmt w:val="decimal"/>
      <w:lvlText w:val="(%5)"/>
      <w:lvlJc w:val="left"/>
      <w:pPr>
        <w:ind w:left="3600" w:hanging="360"/>
      </w:pPr>
    </w:lvl>
    <w:lvl w:ilvl="5">
      <w:start w:val="33"/>
      <w:numFmt w:val="decimal"/>
      <w:lvlText w:val="(%6)"/>
      <w:lvlJc w:val="left"/>
      <w:pPr>
        <w:ind w:left="4320" w:hanging="360"/>
      </w:pPr>
    </w:lvl>
    <w:lvl w:ilvl="6">
      <w:start w:val="33"/>
      <w:numFmt w:val="decimal"/>
      <w:lvlText w:val="(%7)"/>
      <w:lvlJc w:val="left"/>
      <w:pPr>
        <w:ind w:left="5040" w:hanging="360"/>
      </w:pPr>
    </w:lvl>
    <w:lvl w:ilvl="7">
      <w:start w:val="33"/>
      <w:numFmt w:val="decimal"/>
      <w:lvlText w:val="(%8)"/>
      <w:lvlJc w:val="left"/>
      <w:pPr>
        <w:ind w:left="5760" w:hanging="360"/>
      </w:pPr>
    </w:lvl>
    <w:lvl w:ilvl="8">
      <w:start w:val="33"/>
      <w:numFmt w:val="decimal"/>
      <w:lvlText w:val="(%9)"/>
      <w:lvlJc w:val="left"/>
      <w:pPr>
        <w:ind w:left="6480" w:hanging="360"/>
      </w:pPr>
    </w:lvl>
  </w:abstractNum>
  <w:abstractNum w:abstractNumId="994334">
    <w:nsid w:val="0A994334"/>
    <w:multiLevelType w:val="multilevel"/>
    <w:lvl w:ilvl="0">
      <w:start w:val="34"/>
      <w:numFmt w:val="decimal"/>
      <w:lvlText w:val="(%1)"/>
      <w:lvlJc w:val="left"/>
      <w:pPr>
        <w:ind w:left="720" w:hanging="360"/>
      </w:pPr>
    </w:lvl>
    <w:lvl w:ilvl="1">
      <w:start w:val="34"/>
      <w:numFmt w:val="decimal"/>
      <w:lvlText w:val="(%2)"/>
      <w:lvlJc w:val="left"/>
      <w:pPr>
        <w:ind w:left="1440" w:hanging="360"/>
      </w:pPr>
    </w:lvl>
    <w:lvl w:ilvl="2">
      <w:start w:val="34"/>
      <w:numFmt w:val="decimal"/>
      <w:lvlText w:val="(%3)"/>
      <w:lvlJc w:val="left"/>
      <w:pPr>
        <w:ind w:left="2160" w:hanging="360"/>
      </w:pPr>
    </w:lvl>
    <w:lvl w:ilvl="3">
      <w:start w:val="34"/>
      <w:numFmt w:val="decimal"/>
      <w:lvlText w:val="(%4)"/>
      <w:lvlJc w:val="left"/>
      <w:pPr>
        <w:ind w:left="2880" w:hanging="360"/>
      </w:pPr>
    </w:lvl>
    <w:lvl w:ilvl="4">
      <w:start w:val="34"/>
      <w:numFmt w:val="decimal"/>
      <w:lvlText w:val="(%5)"/>
      <w:lvlJc w:val="left"/>
      <w:pPr>
        <w:ind w:left="3600" w:hanging="360"/>
      </w:pPr>
    </w:lvl>
    <w:lvl w:ilvl="5">
      <w:start w:val="34"/>
      <w:numFmt w:val="decimal"/>
      <w:lvlText w:val="(%6)"/>
      <w:lvlJc w:val="left"/>
      <w:pPr>
        <w:ind w:left="4320" w:hanging="360"/>
      </w:pPr>
    </w:lvl>
    <w:lvl w:ilvl="6">
      <w:start w:val="34"/>
      <w:numFmt w:val="decimal"/>
      <w:lvlText w:val="(%7)"/>
      <w:lvlJc w:val="left"/>
      <w:pPr>
        <w:ind w:left="5040" w:hanging="360"/>
      </w:pPr>
    </w:lvl>
    <w:lvl w:ilvl="7">
      <w:start w:val="34"/>
      <w:numFmt w:val="decimal"/>
      <w:lvlText w:val="(%8)"/>
      <w:lvlJc w:val="left"/>
      <w:pPr>
        <w:ind w:left="5760" w:hanging="360"/>
      </w:pPr>
    </w:lvl>
    <w:lvl w:ilvl="8">
      <w:start w:val="34"/>
      <w:numFmt w:val="decimal"/>
      <w:lvlText w:val="(%9)"/>
      <w:lvlJc w:val="left"/>
      <w:pPr>
        <w:ind w:left="6480" w:hanging="360"/>
      </w:pPr>
    </w:lvl>
  </w:abstractNum>
  <w:abstractNum w:abstractNumId="994336">
    <w:nsid w:val="0A994336"/>
    <w:multiLevelType w:val="multilevel"/>
    <w:lvl w:ilvl="0">
      <w:start w:val="36"/>
      <w:numFmt w:val="decimal"/>
      <w:lvlText w:val="(%1)"/>
      <w:lvlJc w:val="left"/>
      <w:pPr>
        <w:ind w:left="720" w:hanging="360"/>
      </w:pPr>
    </w:lvl>
    <w:lvl w:ilvl="1">
      <w:start w:val="36"/>
      <w:numFmt w:val="decimal"/>
      <w:lvlText w:val="(%2)"/>
      <w:lvlJc w:val="left"/>
      <w:pPr>
        <w:ind w:left="1440" w:hanging="360"/>
      </w:pPr>
    </w:lvl>
    <w:lvl w:ilvl="2">
      <w:start w:val="36"/>
      <w:numFmt w:val="decimal"/>
      <w:lvlText w:val="(%3)"/>
      <w:lvlJc w:val="left"/>
      <w:pPr>
        <w:ind w:left="2160" w:hanging="360"/>
      </w:pPr>
    </w:lvl>
    <w:lvl w:ilvl="3">
      <w:start w:val="36"/>
      <w:numFmt w:val="decimal"/>
      <w:lvlText w:val="(%4)"/>
      <w:lvlJc w:val="left"/>
      <w:pPr>
        <w:ind w:left="2880" w:hanging="360"/>
      </w:pPr>
    </w:lvl>
    <w:lvl w:ilvl="4">
      <w:start w:val="36"/>
      <w:numFmt w:val="decimal"/>
      <w:lvlText w:val="(%5)"/>
      <w:lvlJc w:val="left"/>
      <w:pPr>
        <w:ind w:left="3600" w:hanging="360"/>
      </w:pPr>
    </w:lvl>
    <w:lvl w:ilvl="5">
      <w:start w:val="36"/>
      <w:numFmt w:val="decimal"/>
      <w:lvlText w:val="(%6)"/>
      <w:lvlJc w:val="left"/>
      <w:pPr>
        <w:ind w:left="4320" w:hanging="360"/>
      </w:pPr>
    </w:lvl>
    <w:lvl w:ilvl="6">
      <w:start w:val="36"/>
      <w:numFmt w:val="decimal"/>
      <w:lvlText w:val="(%7)"/>
      <w:lvlJc w:val="left"/>
      <w:pPr>
        <w:ind w:left="5040" w:hanging="360"/>
      </w:pPr>
    </w:lvl>
    <w:lvl w:ilvl="7">
      <w:start w:val="36"/>
      <w:numFmt w:val="decimal"/>
      <w:lvlText w:val="(%8)"/>
      <w:lvlJc w:val="left"/>
      <w:pPr>
        <w:ind w:left="5760" w:hanging="360"/>
      </w:pPr>
    </w:lvl>
    <w:lvl w:ilvl="8">
      <w:start w:val="36"/>
      <w:numFmt w:val="decimal"/>
      <w:lvlText w:val="(%9)"/>
      <w:lvlJc w:val="left"/>
      <w:pPr>
        <w:ind w:left="6480" w:hanging="360"/>
      </w:pPr>
    </w:lvl>
  </w:abstractNum>
  <w:abstractNum w:abstractNumId="994337">
    <w:nsid w:val="0A994337"/>
    <w:multiLevelType w:val="multilevel"/>
    <w:lvl w:ilvl="0">
      <w:start w:val="37"/>
      <w:numFmt w:val="decimal"/>
      <w:lvlText w:val="(%1)"/>
      <w:lvlJc w:val="left"/>
      <w:pPr>
        <w:ind w:left="720" w:hanging="360"/>
      </w:pPr>
    </w:lvl>
    <w:lvl w:ilvl="1">
      <w:start w:val="37"/>
      <w:numFmt w:val="decimal"/>
      <w:lvlText w:val="(%2)"/>
      <w:lvlJc w:val="left"/>
      <w:pPr>
        <w:ind w:left="1440" w:hanging="360"/>
      </w:pPr>
    </w:lvl>
    <w:lvl w:ilvl="2">
      <w:start w:val="37"/>
      <w:numFmt w:val="decimal"/>
      <w:lvlText w:val="(%3)"/>
      <w:lvlJc w:val="left"/>
      <w:pPr>
        <w:ind w:left="2160" w:hanging="360"/>
      </w:pPr>
    </w:lvl>
    <w:lvl w:ilvl="3">
      <w:start w:val="37"/>
      <w:numFmt w:val="decimal"/>
      <w:lvlText w:val="(%4)"/>
      <w:lvlJc w:val="left"/>
      <w:pPr>
        <w:ind w:left="2880" w:hanging="360"/>
      </w:pPr>
    </w:lvl>
    <w:lvl w:ilvl="4">
      <w:start w:val="37"/>
      <w:numFmt w:val="decimal"/>
      <w:lvlText w:val="(%5)"/>
      <w:lvlJc w:val="left"/>
      <w:pPr>
        <w:ind w:left="3600" w:hanging="360"/>
      </w:pPr>
    </w:lvl>
    <w:lvl w:ilvl="5">
      <w:start w:val="37"/>
      <w:numFmt w:val="decimal"/>
      <w:lvlText w:val="(%6)"/>
      <w:lvlJc w:val="left"/>
      <w:pPr>
        <w:ind w:left="4320" w:hanging="360"/>
      </w:pPr>
    </w:lvl>
    <w:lvl w:ilvl="6">
      <w:start w:val="37"/>
      <w:numFmt w:val="decimal"/>
      <w:lvlText w:val="(%7)"/>
      <w:lvlJc w:val="left"/>
      <w:pPr>
        <w:ind w:left="5040" w:hanging="360"/>
      </w:pPr>
    </w:lvl>
    <w:lvl w:ilvl="7">
      <w:start w:val="37"/>
      <w:numFmt w:val="decimal"/>
      <w:lvlText w:val="(%8)"/>
      <w:lvlJc w:val="left"/>
      <w:pPr>
        <w:ind w:left="5760" w:hanging="360"/>
      </w:pPr>
    </w:lvl>
    <w:lvl w:ilvl="8">
      <w:start w:val="37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8">
    <w:nsid w:val="0A994338"/>
    <w:multiLevelType w:val="multilevel"/>
    <w:lvl w:ilvl="0">
      <w:start w:val="38"/>
      <w:numFmt w:val="decimal"/>
      <w:lvlText w:val="(%1)"/>
      <w:lvlJc w:val="left"/>
      <w:pPr>
        <w:ind w:left="720" w:hanging="360"/>
      </w:pPr>
    </w:lvl>
    <w:lvl w:ilvl="1">
      <w:start w:val="38"/>
      <w:numFmt w:val="decimal"/>
      <w:lvlText w:val="(%2)"/>
      <w:lvlJc w:val="left"/>
      <w:pPr>
        <w:ind w:left="1440" w:hanging="360"/>
      </w:pPr>
    </w:lvl>
    <w:lvl w:ilvl="2">
      <w:start w:val="38"/>
      <w:numFmt w:val="decimal"/>
      <w:lvlText w:val="(%3)"/>
      <w:lvlJc w:val="left"/>
      <w:pPr>
        <w:ind w:left="2160" w:hanging="360"/>
      </w:pPr>
    </w:lvl>
    <w:lvl w:ilvl="3">
      <w:start w:val="38"/>
      <w:numFmt w:val="decimal"/>
      <w:lvlText w:val="(%4)"/>
      <w:lvlJc w:val="left"/>
      <w:pPr>
        <w:ind w:left="2880" w:hanging="360"/>
      </w:pPr>
    </w:lvl>
    <w:lvl w:ilvl="4">
      <w:start w:val="38"/>
      <w:numFmt w:val="decimal"/>
      <w:lvlText w:val="(%5)"/>
      <w:lvlJc w:val="left"/>
      <w:pPr>
        <w:ind w:left="3600" w:hanging="360"/>
      </w:pPr>
    </w:lvl>
    <w:lvl w:ilvl="5">
      <w:start w:val="38"/>
      <w:numFmt w:val="decimal"/>
      <w:lvlText w:val="(%6)"/>
      <w:lvlJc w:val="left"/>
      <w:pPr>
        <w:ind w:left="4320" w:hanging="360"/>
      </w:pPr>
    </w:lvl>
    <w:lvl w:ilvl="6">
      <w:start w:val="38"/>
      <w:numFmt w:val="decimal"/>
      <w:lvlText w:val="(%7)"/>
      <w:lvlJc w:val="left"/>
      <w:pPr>
        <w:ind w:left="5040" w:hanging="360"/>
      </w:pPr>
    </w:lvl>
    <w:lvl w:ilvl="7">
      <w:start w:val="38"/>
      <w:numFmt w:val="decimal"/>
      <w:lvlText w:val="(%8)"/>
      <w:lvlJc w:val="left"/>
      <w:pPr>
        <w:ind w:left="5760" w:hanging="360"/>
      </w:pPr>
    </w:lvl>
    <w:lvl w:ilvl="8">
      <w:start w:val="38"/>
      <w:numFmt w:val="decimal"/>
      <w:lvlText w:val="(%9)"/>
      <w:lvlJc w:val="left"/>
      <w:pPr>
        <w:ind w:left="6480" w:hanging="360"/>
      </w:pPr>
    </w:lvl>
  </w:abstractNum>
  <w:abstractNum w:abstractNumId="994339">
    <w:nsid w:val="0A994339"/>
    <w:multiLevelType w:val="multilevel"/>
    <w:lvl w:ilvl="0">
      <w:start w:val="39"/>
      <w:numFmt w:val="decimal"/>
      <w:lvlText w:val="(%1)"/>
      <w:lvlJc w:val="left"/>
      <w:pPr>
        <w:ind w:left="720" w:hanging="360"/>
      </w:pPr>
    </w:lvl>
    <w:lvl w:ilvl="1">
      <w:start w:val="39"/>
      <w:numFmt w:val="decimal"/>
      <w:lvlText w:val="(%2)"/>
      <w:lvlJc w:val="left"/>
      <w:pPr>
        <w:ind w:left="1440" w:hanging="360"/>
      </w:pPr>
    </w:lvl>
    <w:lvl w:ilvl="2">
      <w:start w:val="39"/>
      <w:numFmt w:val="decimal"/>
      <w:lvlText w:val="(%3)"/>
      <w:lvlJc w:val="left"/>
      <w:pPr>
        <w:ind w:left="2160" w:hanging="360"/>
      </w:pPr>
    </w:lvl>
    <w:lvl w:ilvl="3">
      <w:start w:val="39"/>
      <w:numFmt w:val="decimal"/>
      <w:lvlText w:val="(%4)"/>
      <w:lvlJc w:val="left"/>
      <w:pPr>
        <w:ind w:left="2880" w:hanging="360"/>
      </w:pPr>
    </w:lvl>
    <w:lvl w:ilvl="4">
      <w:start w:val="39"/>
      <w:numFmt w:val="decimal"/>
      <w:lvlText w:val="(%5)"/>
      <w:lvlJc w:val="left"/>
      <w:pPr>
        <w:ind w:left="3600" w:hanging="360"/>
      </w:pPr>
    </w:lvl>
    <w:lvl w:ilvl="5">
      <w:start w:val="39"/>
      <w:numFmt w:val="decimal"/>
      <w:lvlText w:val="(%6)"/>
      <w:lvlJc w:val="left"/>
      <w:pPr>
        <w:ind w:left="4320" w:hanging="360"/>
      </w:pPr>
    </w:lvl>
    <w:lvl w:ilvl="6">
      <w:start w:val="39"/>
      <w:numFmt w:val="decimal"/>
      <w:lvlText w:val="(%7)"/>
      <w:lvlJc w:val="left"/>
      <w:pPr>
        <w:ind w:left="5040" w:hanging="360"/>
      </w:pPr>
    </w:lvl>
    <w:lvl w:ilvl="7">
      <w:start w:val="39"/>
      <w:numFmt w:val="decimal"/>
      <w:lvlText w:val="(%8)"/>
      <w:lvlJc w:val="left"/>
      <w:pPr>
        <w:ind w:left="5760" w:hanging="360"/>
      </w:pPr>
    </w:lvl>
    <w:lvl w:ilvl="8">
      <w:start w:val="39"/>
      <w:numFmt w:val="decimal"/>
      <w:lvlText w:val="(%9)"/>
      <w:lvlJc w:val="left"/>
      <w:pPr>
        <w:ind w:left="6480" w:hanging="360"/>
      </w:pPr>
    </w:lvl>
  </w:abstractNum>
  <w:abstractNum w:abstractNumId="994346">
    <w:nsid w:val="0A994346"/>
    <w:multiLevelType w:val="multilevel"/>
    <w:lvl w:ilvl="0">
      <w:start w:val="46"/>
      <w:numFmt w:val="decimal"/>
      <w:lvlText w:val="(%1)"/>
      <w:lvlJc w:val="left"/>
      <w:pPr>
        <w:ind w:left="720" w:hanging="360"/>
      </w:pPr>
    </w:lvl>
    <w:lvl w:ilvl="1">
      <w:start w:val="46"/>
      <w:numFmt w:val="decimal"/>
      <w:lvlText w:val="(%2)"/>
      <w:lvlJc w:val="left"/>
      <w:pPr>
        <w:ind w:left="1440" w:hanging="360"/>
      </w:pPr>
    </w:lvl>
    <w:lvl w:ilvl="2">
      <w:start w:val="46"/>
      <w:numFmt w:val="decimal"/>
      <w:lvlText w:val="(%3)"/>
      <w:lvlJc w:val="left"/>
      <w:pPr>
        <w:ind w:left="2160" w:hanging="360"/>
      </w:pPr>
    </w:lvl>
    <w:lvl w:ilvl="3">
      <w:start w:val="46"/>
      <w:numFmt w:val="decimal"/>
      <w:lvlText w:val="(%4)"/>
      <w:lvlJc w:val="left"/>
      <w:pPr>
        <w:ind w:left="2880" w:hanging="360"/>
      </w:pPr>
    </w:lvl>
    <w:lvl w:ilvl="4">
      <w:start w:val="46"/>
      <w:numFmt w:val="decimal"/>
      <w:lvlText w:val="(%5)"/>
      <w:lvlJc w:val="left"/>
      <w:pPr>
        <w:ind w:left="3600" w:hanging="360"/>
      </w:pPr>
    </w:lvl>
    <w:lvl w:ilvl="5">
      <w:start w:val="46"/>
      <w:numFmt w:val="decimal"/>
      <w:lvlText w:val="(%6)"/>
      <w:lvlJc w:val="left"/>
      <w:pPr>
        <w:ind w:left="4320" w:hanging="360"/>
      </w:pPr>
    </w:lvl>
    <w:lvl w:ilvl="6">
      <w:start w:val="46"/>
      <w:numFmt w:val="decimal"/>
      <w:lvlText w:val="(%7)"/>
      <w:lvlJc w:val="left"/>
      <w:pPr>
        <w:ind w:left="5040" w:hanging="360"/>
      </w:pPr>
    </w:lvl>
    <w:lvl w:ilvl="7">
      <w:start w:val="46"/>
      <w:numFmt w:val="decimal"/>
      <w:lvlText w:val="(%8)"/>
      <w:lvlJc w:val="left"/>
      <w:pPr>
        <w:ind w:left="5760" w:hanging="360"/>
      </w:pPr>
    </w:lvl>
    <w:lvl w:ilvl="8">
      <w:start w:val="46"/>
      <w:numFmt w:val="decimal"/>
      <w:lvlText w:val="(%9)"/>
      <w:lvlJc w:val="left"/>
      <w:pPr>
        <w:ind w:left="6480" w:hanging="360"/>
      </w:pPr>
    </w:lvl>
  </w:abstractNum>
  <w:abstractNum w:abstractNumId="994351">
    <w:nsid w:val="0A994351"/>
    <w:multiLevelType w:val="multilevel"/>
    <w:lvl w:ilvl="0">
      <w:start w:val="51"/>
      <w:numFmt w:val="decimal"/>
      <w:lvlText w:val="(%1)"/>
      <w:lvlJc w:val="left"/>
      <w:pPr>
        <w:ind w:left="720" w:hanging="360"/>
      </w:pPr>
    </w:lvl>
    <w:lvl w:ilvl="1">
      <w:start w:val="51"/>
      <w:numFmt w:val="decimal"/>
      <w:lvlText w:val="(%2)"/>
      <w:lvlJc w:val="left"/>
      <w:pPr>
        <w:ind w:left="1440" w:hanging="360"/>
      </w:pPr>
    </w:lvl>
    <w:lvl w:ilvl="2">
      <w:start w:val="51"/>
      <w:numFmt w:val="decimal"/>
      <w:lvlText w:val="(%3)"/>
      <w:lvlJc w:val="left"/>
      <w:pPr>
        <w:ind w:left="2160" w:hanging="360"/>
      </w:pPr>
    </w:lvl>
    <w:lvl w:ilvl="3">
      <w:start w:val="51"/>
      <w:numFmt w:val="decimal"/>
      <w:lvlText w:val="(%4)"/>
      <w:lvlJc w:val="left"/>
      <w:pPr>
        <w:ind w:left="2880" w:hanging="360"/>
      </w:pPr>
    </w:lvl>
    <w:lvl w:ilvl="4">
      <w:start w:val="51"/>
      <w:numFmt w:val="decimal"/>
      <w:lvlText w:val="(%5)"/>
      <w:lvlJc w:val="left"/>
      <w:pPr>
        <w:ind w:left="3600" w:hanging="360"/>
      </w:pPr>
    </w:lvl>
    <w:lvl w:ilvl="5">
      <w:start w:val="51"/>
      <w:numFmt w:val="decimal"/>
      <w:lvlText w:val="(%6)"/>
      <w:lvlJc w:val="left"/>
      <w:pPr>
        <w:ind w:left="4320" w:hanging="360"/>
      </w:pPr>
    </w:lvl>
    <w:lvl w:ilvl="6">
      <w:start w:val="51"/>
      <w:numFmt w:val="decimal"/>
      <w:lvlText w:val="(%7)"/>
      <w:lvlJc w:val="left"/>
      <w:pPr>
        <w:ind w:left="5040" w:hanging="360"/>
      </w:pPr>
    </w:lvl>
    <w:lvl w:ilvl="7">
      <w:start w:val="51"/>
      <w:numFmt w:val="decimal"/>
      <w:lvlText w:val="(%8)"/>
      <w:lvlJc w:val="left"/>
      <w:pPr>
        <w:ind w:left="5760" w:hanging="360"/>
      </w:pPr>
    </w:lvl>
    <w:lvl w:ilvl="8">
      <w:start w:val="51"/>
      <w:numFmt w:val="decimal"/>
      <w:lvlText w:val="(%9)"/>
      <w:lvlJc w:val="left"/>
      <w:pPr>
        <w:ind w:left="6480" w:hanging="360"/>
      </w:pPr>
    </w:lvl>
  </w:abstractNum>
  <w:abstractNum w:abstractNumId="994352">
    <w:nsid w:val="0A994352"/>
    <w:multiLevelType w:val="multilevel"/>
    <w:lvl w:ilvl="0">
      <w:start w:val="52"/>
      <w:numFmt w:val="decimal"/>
      <w:lvlText w:val="(%1)"/>
      <w:lvlJc w:val="left"/>
      <w:pPr>
        <w:ind w:left="720" w:hanging="360"/>
      </w:pPr>
    </w:lvl>
    <w:lvl w:ilvl="1">
      <w:start w:val="52"/>
      <w:numFmt w:val="decimal"/>
      <w:lvlText w:val="(%2)"/>
      <w:lvlJc w:val="left"/>
      <w:pPr>
        <w:ind w:left="1440" w:hanging="360"/>
      </w:pPr>
    </w:lvl>
    <w:lvl w:ilvl="2">
      <w:start w:val="52"/>
      <w:numFmt w:val="decimal"/>
      <w:lvlText w:val="(%3)"/>
      <w:lvlJc w:val="left"/>
      <w:pPr>
        <w:ind w:left="2160" w:hanging="360"/>
      </w:pPr>
    </w:lvl>
    <w:lvl w:ilvl="3">
      <w:start w:val="52"/>
      <w:numFmt w:val="decimal"/>
      <w:lvlText w:val="(%4)"/>
      <w:lvlJc w:val="left"/>
      <w:pPr>
        <w:ind w:left="2880" w:hanging="360"/>
      </w:pPr>
    </w:lvl>
    <w:lvl w:ilvl="4">
      <w:start w:val="52"/>
      <w:numFmt w:val="decimal"/>
      <w:lvlText w:val="(%5)"/>
      <w:lvlJc w:val="left"/>
      <w:pPr>
        <w:ind w:left="3600" w:hanging="360"/>
      </w:pPr>
    </w:lvl>
    <w:lvl w:ilvl="5">
      <w:start w:val="52"/>
      <w:numFmt w:val="decimal"/>
      <w:lvlText w:val="(%6)"/>
      <w:lvlJc w:val="left"/>
      <w:pPr>
        <w:ind w:left="4320" w:hanging="360"/>
      </w:pPr>
    </w:lvl>
    <w:lvl w:ilvl="6">
      <w:start w:val="52"/>
      <w:numFmt w:val="decimal"/>
      <w:lvlText w:val="(%7)"/>
      <w:lvlJc w:val="left"/>
      <w:pPr>
        <w:ind w:left="5040" w:hanging="360"/>
      </w:pPr>
    </w:lvl>
    <w:lvl w:ilvl="7">
      <w:start w:val="52"/>
      <w:numFmt w:val="decimal"/>
      <w:lvlText w:val="(%8)"/>
      <w:lvlJc w:val="left"/>
      <w:pPr>
        <w:ind w:left="5760" w:hanging="360"/>
      </w:pPr>
    </w:lvl>
    <w:lvl w:ilvl="8">
      <w:start w:val="52"/>
      <w:numFmt w:val="decimal"/>
      <w:lvlText w:val="(%9)"/>
      <w:lvlJc w:val="left"/>
      <w:pPr>
        <w:ind w:left="6480" w:hanging="360"/>
      </w:pPr>
    </w:lvl>
  </w:abstractNum>
  <w:abstractNum w:abstractNumId="994354">
    <w:nsid w:val="0A994354"/>
    <w:multiLevelType w:val="multilevel"/>
    <w:lvl w:ilvl="0">
      <w:start w:val="54"/>
      <w:numFmt w:val="decimal"/>
      <w:lvlText w:val="(%1)"/>
      <w:lvlJc w:val="left"/>
      <w:pPr>
        <w:ind w:left="720" w:hanging="360"/>
      </w:pPr>
    </w:lvl>
    <w:lvl w:ilvl="1">
      <w:start w:val="54"/>
      <w:numFmt w:val="decimal"/>
      <w:lvlText w:val="(%2)"/>
      <w:lvlJc w:val="left"/>
      <w:pPr>
        <w:ind w:left="1440" w:hanging="360"/>
      </w:pPr>
    </w:lvl>
    <w:lvl w:ilvl="2">
      <w:start w:val="54"/>
      <w:numFmt w:val="decimal"/>
      <w:lvlText w:val="(%3)"/>
      <w:lvlJc w:val="left"/>
      <w:pPr>
        <w:ind w:left="2160" w:hanging="360"/>
      </w:pPr>
    </w:lvl>
    <w:lvl w:ilvl="3">
      <w:start w:val="54"/>
      <w:numFmt w:val="decimal"/>
      <w:lvlText w:val="(%4)"/>
      <w:lvlJc w:val="left"/>
      <w:pPr>
        <w:ind w:left="2880" w:hanging="360"/>
      </w:pPr>
    </w:lvl>
    <w:lvl w:ilvl="4">
      <w:start w:val="54"/>
      <w:numFmt w:val="decimal"/>
      <w:lvlText w:val="(%5)"/>
      <w:lvlJc w:val="left"/>
      <w:pPr>
        <w:ind w:left="3600" w:hanging="360"/>
      </w:pPr>
    </w:lvl>
    <w:lvl w:ilvl="5">
      <w:start w:val="54"/>
      <w:numFmt w:val="decimal"/>
      <w:lvlText w:val="(%6)"/>
      <w:lvlJc w:val="left"/>
      <w:pPr>
        <w:ind w:left="4320" w:hanging="360"/>
      </w:pPr>
    </w:lvl>
    <w:lvl w:ilvl="6">
      <w:start w:val="54"/>
      <w:numFmt w:val="decimal"/>
      <w:lvlText w:val="(%7)"/>
      <w:lvlJc w:val="left"/>
      <w:pPr>
        <w:ind w:left="5040" w:hanging="360"/>
      </w:pPr>
    </w:lvl>
    <w:lvl w:ilvl="7">
      <w:start w:val="54"/>
      <w:numFmt w:val="decimal"/>
      <w:lvlText w:val="(%8)"/>
      <w:lvlJc w:val="left"/>
      <w:pPr>
        <w:ind w:left="5760" w:hanging="360"/>
      </w:pPr>
    </w:lvl>
    <w:lvl w:ilvl="8">
      <w:start w:val="54"/>
      <w:numFmt w:val="decimal"/>
      <w:lvlText w:val="(%9)"/>
      <w:lvlJc w:val="left"/>
      <w:pPr>
        <w:ind w:left="6480" w:hanging="360"/>
      </w:pPr>
    </w:lvl>
  </w:abstractNum>
  <w:abstractNum w:abstractNumId="994355">
    <w:nsid w:val="0A994355"/>
    <w:multiLevelType w:val="multilevel"/>
    <w:lvl w:ilvl="0">
      <w:start w:val="55"/>
      <w:numFmt w:val="decimal"/>
      <w:lvlText w:val="(%1)"/>
      <w:lvlJc w:val="left"/>
      <w:pPr>
        <w:ind w:left="720" w:hanging="360"/>
      </w:pPr>
    </w:lvl>
    <w:lvl w:ilvl="1">
      <w:start w:val="55"/>
      <w:numFmt w:val="decimal"/>
      <w:lvlText w:val="(%2)"/>
      <w:lvlJc w:val="left"/>
      <w:pPr>
        <w:ind w:left="1440" w:hanging="360"/>
      </w:pPr>
    </w:lvl>
    <w:lvl w:ilvl="2">
      <w:start w:val="55"/>
      <w:numFmt w:val="decimal"/>
      <w:lvlText w:val="(%3)"/>
      <w:lvlJc w:val="left"/>
      <w:pPr>
        <w:ind w:left="2160" w:hanging="360"/>
      </w:pPr>
    </w:lvl>
    <w:lvl w:ilvl="3">
      <w:start w:val="55"/>
      <w:numFmt w:val="decimal"/>
      <w:lvlText w:val="(%4)"/>
      <w:lvlJc w:val="left"/>
      <w:pPr>
        <w:ind w:left="2880" w:hanging="360"/>
      </w:pPr>
    </w:lvl>
    <w:lvl w:ilvl="4">
      <w:start w:val="55"/>
      <w:numFmt w:val="decimal"/>
      <w:lvlText w:val="(%5)"/>
      <w:lvlJc w:val="left"/>
      <w:pPr>
        <w:ind w:left="3600" w:hanging="360"/>
      </w:pPr>
    </w:lvl>
    <w:lvl w:ilvl="5">
      <w:start w:val="55"/>
      <w:numFmt w:val="decimal"/>
      <w:lvlText w:val="(%6)"/>
      <w:lvlJc w:val="left"/>
      <w:pPr>
        <w:ind w:left="4320" w:hanging="360"/>
      </w:pPr>
    </w:lvl>
    <w:lvl w:ilvl="6">
      <w:start w:val="55"/>
      <w:numFmt w:val="decimal"/>
      <w:lvlText w:val="(%7)"/>
      <w:lvlJc w:val="left"/>
      <w:pPr>
        <w:ind w:left="5040" w:hanging="360"/>
      </w:pPr>
    </w:lvl>
    <w:lvl w:ilvl="7">
      <w:start w:val="55"/>
      <w:numFmt w:val="decimal"/>
      <w:lvlText w:val="(%8)"/>
      <w:lvlJc w:val="left"/>
      <w:pPr>
        <w:ind w:left="5760" w:hanging="360"/>
      </w:pPr>
    </w:lvl>
    <w:lvl w:ilvl="8">
      <w:start w:val="55"/>
      <w:numFmt w:val="decimal"/>
      <w:lvlText w:val="(%9)"/>
      <w:lvlJc w:val="left"/>
      <w:pPr>
        <w:ind w:left="6480" w:hanging="360"/>
      </w:pPr>
    </w:lvl>
  </w:abstractNum>
  <w:abstractNum w:abstractNumId="994356">
    <w:nsid w:val="0A994356"/>
    <w:multiLevelType w:val="multilevel"/>
    <w:lvl w:ilvl="0">
      <w:start w:val="56"/>
      <w:numFmt w:val="decimal"/>
      <w:lvlText w:val="(%1)"/>
      <w:lvlJc w:val="left"/>
      <w:pPr>
        <w:ind w:left="720" w:hanging="360"/>
      </w:pPr>
    </w:lvl>
    <w:lvl w:ilvl="1">
      <w:start w:val="56"/>
      <w:numFmt w:val="decimal"/>
      <w:lvlText w:val="(%2)"/>
      <w:lvlJc w:val="left"/>
      <w:pPr>
        <w:ind w:left="1440" w:hanging="360"/>
      </w:pPr>
    </w:lvl>
    <w:lvl w:ilvl="2">
      <w:start w:val="56"/>
      <w:numFmt w:val="decimal"/>
      <w:lvlText w:val="(%3)"/>
      <w:lvlJc w:val="left"/>
      <w:pPr>
        <w:ind w:left="2160" w:hanging="360"/>
      </w:pPr>
    </w:lvl>
    <w:lvl w:ilvl="3">
      <w:start w:val="56"/>
      <w:numFmt w:val="decimal"/>
      <w:lvlText w:val="(%4)"/>
      <w:lvlJc w:val="left"/>
      <w:pPr>
        <w:ind w:left="2880" w:hanging="360"/>
      </w:pPr>
    </w:lvl>
    <w:lvl w:ilvl="4">
      <w:start w:val="56"/>
      <w:numFmt w:val="decimal"/>
      <w:lvlText w:val="(%5)"/>
      <w:lvlJc w:val="left"/>
      <w:pPr>
        <w:ind w:left="3600" w:hanging="360"/>
      </w:pPr>
    </w:lvl>
    <w:lvl w:ilvl="5">
      <w:start w:val="56"/>
      <w:numFmt w:val="decimal"/>
      <w:lvlText w:val="(%6)"/>
      <w:lvlJc w:val="left"/>
      <w:pPr>
        <w:ind w:left="4320" w:hanging="360"/>
      </w:pPr>
    </w:lvl>
    <w:lvl w:ilvl="6">
      <w:start w:val="56"/>
      <w:numFmt w:val="decimal"/>
      <w:lvlText w:val="(%7)"/>
      <w:lvlJc w:val="left"/>
      <w:pPr>
        <w:ind w:left="5040" w:hanging="360"/>
      </w:pPr>
    </w:lvl>
    <w:lvl w:ilvl="7">
      <w:start w:val="56"/>
      <w:numFmt w:val="decimal"/>
      <w:lvlText w:val="(%8)"/>
      <w:lvlJc w:val="left"/>
      <w:pPr>
        <w:ind w:left="5760" w:hanging="360"/>
      </w:pPr>
    </w:lvl>
    <w:lvl w:ilvl="8">
      <w:start w:val="56"/>
      <w:numFmt w:val="decimal"/>
      <w:lvlText w:val="(%9)"/>
      <w:lvlJc w:val="left"/>
      <w:pPr>
        <w:ind w:left="6480" w:hanging="360"/>
      </w:pPr>
    </w:lvl>
  </w:abstractNum>
  <w:abstractNum w:abstractNumId="994357">
    <w:nsid w:val="0A994357"/>
    <w:multiLevelType w:val="multilevel"/>
    <w:lvl w:ilvl="0">
      <w:start w:val="57"/>
      <w:numFmt w:val="decimal"/>
      <w:lvlText w:val="(%1)"/>
      <w:lvlJc w:val="left"/>
      <w:pPr>
        <w:ind w:left="720" w:hanging="360"/>
      </w:pPr>
    </w:lvl>
    <w:lvl w:ilvl="1">
      <w:start w:val="57"/>
      <w:numFmt w:val="decimal"/>
      <w:lvlText w:val="(%2)"/>
      <w:lvlJc w:val="left"/>
      <w:pPr>
        <w:ind w:left="1440" w:hanging="360"/>
      </w:pPr>
    </w:lvl>
    <w:lvl w:ilvl="2">
      <w:start w:val="57"/>
      <w:numFmt w:val="decimal"/>
      <w:lvlText w:val="(%3)"/>
      <w:lvlJc w:val="left"/>
      <w:pPr>
        <w:ind w:left="2160" w:hanging="360"/>
      </w:pPr>
    </w:lvl>
    <w:lvl w:ilvl="3">
      <w:start w:val="57"/>
      <w:numFmt w:val="decimal"/>
      <w:lvlText w:val="(%4)"/>
      <w:lvlJc w:val="left"/>
      <w:pPr>
        <w:ind w:left="2880" w:hanging="360"/>
      </w:pPr>
    </w:lvl>
    <w:lvl w:ilvl="4">
      <w:start w:val="57"/>
      <w:numFmt w:val="decimal"/>
      <w:lvlText w:val="(%5)"/>
      <w:lvlJc w:val="left"/>
      <w:pPr>
        <w:ind w:left="3600" w:hanging="360"/>
      </w:pPr>
    </w:lvl>
    <w:lvl w:ilvl="5">
      <w:start w:val="57"/>
      <w:numFmt w:val="decimal"/>
      <w:lvlText w:val="(%6)"/>
      <w:lvlJc w:val="left"/>
      <w:pPr>
        <w:ind w:left="4320" w:hanging="360"/>
      </w:pPr>
    </w:lvl>
    <w:lvl w:ilvl="6">
      <w:start w:val="57"/>
      <w:numFmt w:val="decimal"/>
      <w:lvlText w:val="(%7)"/>
      <w:lvlJc w:val="left"/>
      <w:pPr>
        <w:ind w:left="5040" w:hanging="360"/>
      </w:pPr>
    </w:lvl>
    <w:lvl w:ilvl="7">
      <w:start w:val="57"/>
      <w:numFmt w:val="decimal"/>
      <w:lvlText w:val="(%8)"/>
      <w:lvlJc w:val="left"/>
      <w:pPr>
        <w:ind w:left="5760" w:hanging="360"/>
      </w:pPr>
    </w:lvl>
    <w:lvl w:ilvl="8">
      <w:start w:val="57"/>
      <w:numFmt w:val="decimal"/>
      <w:lvlText w:val="(%9)"/>
      <w:lvlJc w:val="left"/>
      <w:pPr>
        <w:ind w:left="6480" w:hanging="360"/>
      </w:pPr>
    </w:lvl>
  </w:abstractNum>
  <w:abstractNum w:abstractNumId="994358">
    <w:nsid w:val="0A994358"/>
    <w:multiLevelType w:val="multilevel"/>
    <w:lvl w:ilvl="0">
      <w:start w:val="58"/>
      <w:numFmt w:val="decimal"/>
      <w:lvlText w:val="(%1)"/>
      <w:lvlJc w:val="left"/>
      <w:pPr>
        <w:ind w:left="720" w:hanging="360"/>
      </w:pPr>
    </w:lvl>
    <w:lvl w:ilvl="1">
      <w:start w:val="58"/>
      <w:numFmt w:val="decimal"/>
      <w:lvlText w:val="(%2)"/>
      <w:lvlJc w:val="left"/>
      <w:pPr>
        <w:ind w:left="1440" w:hanging="360"/>
      </w:pPr>
    </w:lvl>
    <w:lvl w:ilvl="2">
      <w:start w:val="58"/>
      <w:numFmt w:val="decimal"/>
      <w:lvlText w:val="(%3)"/>
      <w:lvlJc w:val="left"/>
      <w:pPr>
        <w:ind w:left="2160" w:hanging="360"/>
      </w:pPr>
    </w:lvl>
    <w:lvl w:ilvl="3">
      <w:start w:val="58"/>
      <w:numFmt w:val="decimal"/>
      <w:lvlText w:val="(%4)"/>
      <w:lvlJc w:val="left"/>
      <w:pPr>
        <w:ind w:left="2880" w:hanging="360"/>
      </w:pPr>
    </w:lvl>
    <w:lvl w:ilvl="4">
      <w:start w:val="58"/>
      <w:numFmt w:val="decimal"/>
      <w:lvlText w:val="(%5)"/>
      <w:lvlJc w:val="left"/>
      <w:pPr>
        <w:ind w:left="3600" w:hanging="360"/>
      </w:pPr>
    </w:lvl>
    <w:lvl w:ilvl="5">
      <w:start w:val="58"/>
      <w:numFmt w:val="decimal"/>
      <w:lvlText w:val="(%6)"/>
      <w:lvlJc w:val="left"/>
      <w:pPr>
        <w:ind w:left="4320" w:hanging="360"/>
      </w:pPr>
    </w:lvl>
    <w:lvl w:ilvl="6">
      <w:start w:val="58"/>
      <w:numFmt w:val="decimal"/>
      <w:lvlText w:val="(%7)"/>
      <w:lvlJc w:val="left"/>
      <w:pPr>
        <w:ind w:left="5040" w:hanging="360"/>
      </w:pPr>
    </w:lvl>
    <w:lvl w:ilvl="7">
      <w:start w:val="58"/>
      <w:numFmt w:val="decimal"/>
      <w:lvlText w:val="(%8)"/>
      <w:lvlJc w:val="left"/>
      <w:pPr>
        <w:ind w:left="5760" w:hanging="360"/>
      </w:pPr>
    </w:lvl>
    <w:lvl w:ilvl="8">
      <w:start w:val="58"/>
      <w:numFmt w:val="decimal"/>
      <w:lvlText w:val="(%9)"/>
      <w:lvlJc w:val="left"/>
      <w:pPr>
        <w:ind w:left="6480" w:hanging="360"/>
      </w:pPr>
    </w:lvl>
  </w:abstractNum>
  <w:abstractNum w:abstractNumId="994359">
    <w:nsid w:val="0A994359"/>
    <w:multiLevelType w:val="multilevel"/>
    <w:lvl w:ilvl="0">
      <w:start w:val="59"/>
      <w:numFmt w:val="decimal"/>
      <w:lvlText w:val="(%1)"/>
      <w:lvlJc w:val="left"/>
      <w:pPr>
        <w:ind w:left="720" w:hanging="360"/>
      </w:pPr>
    </w:lvl>
    <w:lvl w:ilvl="1">
      <w:start w:val="59"/>
      <w:numFmt w:val="decimal"/>
      <w:lvlText w:val="(%2)"/>
      <w:lvlJc w:val="left"/>
      <w:pPr>
        <w:ind w:left="1440" w:hanging="360"/>
      </w:pPr>
    </w:lvl>
    <w:lvl w:ilvl="2">
      <w:start w:val="59"/>
      <w:numFmt w:val="decimal"/>
      <w:lvlText w:val="(%3)"/>
      <w:lvlJc w:val="left"/>
      <w:pPr>
        <w:ind w:left="2160" w:hanging="360"/>
      </w:pPr>
    </w:lvl>
    <w:lvl w:ilvl="3">
      <w:start w:val="59"/>
      <w:numFmt w:val="decimal"/>
      <w:lvlText w:val="(%4)"/>
      <w:lvlJc w:val="left"/>
      <w:pPr>
        <w:ind w:left="2880" w:hanging="360"/>
      </w:pPr>
    </w:lvl>
    <w:lvl w:ilvl="4">
      <w:start w:val="59"/>
      <w:numFmt w:val="decimal"/>
      <w:lvlText w:val="(%5)"/>
      <w:lvlJc w:val="left"/>
      <w:pPr>
        <w:ind w:left="3600" w:hanging="360"/>
      </w:pPr>
    </w:lvl>
    <w:lvl w:ilvl="5">
      <w:start w:val="59"/>
      <w:numFmt w:val="decimal"/>
      <w:lvlText w:val="(%6)"/>
      <w:lvlJc w:val="left"/>
      <w:pPr>
        <w:ind w:left="4320" w:hanging="360"/>
      </w:pPr>
    </w:lvl>
    <w:lvl w:ilvl="6">
      <w:start w:val="59"/>
      <w:numFmt w:val="decimal"/>
      <w:lvlText w:val="(%7)"/>
      <w:lvlJc w:val="left"/>
      <w:pPr>
        <w:ind w:left="5040" w:hanging="360"/>
      </w:pPr>
    </w:lvl>
    <w:lvl w:ilvl="7">
      <w:start w:val="59"/>
      <w:numFmt w:val="decimal"/>
      <w:lvlText w:val="(%8)"/>
      <w:lvlJc w:val="left"/>
      <w:pPr>
        <w:ind w:left="5760" w:hanging="360"/>
      </w:pPr>
    </w:lvl>
    <w:lvl w:ilvl="8">
      <w:start w:val="59"/>
      <w:numFmt w:val="decimal"/>
      <w:lvlText w:val="(%9)"/>
      <w:lvlJc w:val="left"/>
      <w:pPr>
        <w:ind w:left="6480" w:hanging="360"/>
      </w:pPr>
    </w:lvl>
  </w:abstractNum>
  <w:abstractNum w:abstractNumId="994360">
    <w:nsid w:val="0A994360"/>
    <w:multiLevelType w:val="multilevel"/>
    <w:lvl w:ilvl="0">
      <w:start w:val="60"/>
      <w:numFmt w:val="decimal"/>
      <w:lvlText w:val="(%1)"/>
      <w:lvlJc w:val="left"/>
      <w:pPr>
        <w:ind w:left="720" w:hanging="360"/>
      </w:pPr>
    </w:lvl>
    <w:lvl w:ilvl="1">
      <w:start w:val="60"/>
      <w:numFmt w:val="decimal"/>
      <w:lvlText w:val="(%2)"/>
      <w:lvlJc w:val="left"/>
      <w:pPr>
        <w:ind w:left="1440" w:hanging="360"/>
      </w:pPr>
    </w:lvl>
    <w:lvl w:ilvl="2">
      <w:start w:val="60"/>
      <w:numFmt w:val="decimal"/>
      <w:lvlText w:val="(%3)"/>
      <w:lvlJc w:val="left"/>
      <w:pPr>
        <w:ind w:left="2160" w:hanging="360"/>
      </w:pPr>
    </w:lvl>
    <w:lvl w:ilvl="3">
      <w:start w:val="60"/>
      <w:numFmt w:val="decimal"/>
      <w:lvlText w:val="(%4)"/>
      <w:lvlJc w:val="left"/>
      <w:pPr>
        <w:ind w:left="2880" w:hanging="360"/>
      </w:pPr>
    </w:lvl>
    <w:lvl w:ilvl="4">
      <w:start w:val="60"/>
      <w:numFmt w:val="decimal"/>
      <w:lvlText w:val="(%5)"/>
      <w:lvlJc w:val="left"/>
      <w:pPr>
        <w:ind w:left="3600" w:hanging="360"/>
      </w:pPr>
    </w:lvl>
    <w:lvl w:ilvl="5">
      <w:start w:val="60"/>
      <w:numFmt w:val="decimal"/>
      <w:lvlText w:val="(%6)"/>
      <w:lvlJc w:val="left"/>
      <w:pPr>
        <w:ind w:left="4320" w:hanging="360"/>
      </w:pPr>
    </w:lvl>
    <w:lvl w:ilvl="6">
      <w:start w:val="60"/>
      <w:numFmt w:val="decimal"/>
      <w:lvlText w:val="(%7)"/>
      <w:lvlJc w:val="left"/>
      <w:pPr>
        <w:ind w:left="5040" w:hanging="360"/>
      </w:pPr>
    </w:lvl>
    <w:lvl w:ilvl="7">
      <w:start w:val="60"/>
      <w:numFmt w:val="decimal"/>
      <w:lvlText w:val="(%8)"/>
      <w:lvlJc w:val="left"/>
      <w:pPr>
        <w:ind w:left="5760" w:hanging="360"/>
      </w:pPr>
    </w:lvl>
    <w:lvl w:ilvl="8">
      <w:start w:val="60"/>
      <w:numFmt w:val="decimal"/>
      <w:lvlText w:val="(%9)"/>
      <w:lvlJc w:val="left"/>
      <w:pPr>
        <w:ind w:left="6480" w:hanging="360"/>
      </w:pPr>
    </w:lvl>
  </w:abstractNum>
  <w:abstractNum w:abstractNumId="994364">
    <w:nsid w:val="0A994364"/>
    <w:multiLevelType w:val="multilevel"/>
    <w:lvl w:ilvl="0">
      <w:start w:val="64"/>
      <w:numFmt w:val="decimal"/>
      <w:lvlText w:val="(%1)"/>
      <w:lvlJc w:val="left"/>
      <w:pPr>
        <w:ind w:left="720" w:hanging="360"/>
      </w:pPr>
    </w:lvl>
    <w:lvl w:ilvl="1">
      <w:start w:val="64"/>
      <w:numFmt w:val="decimal"/>
      <w:lvlText w:val="(%2)"/>
      <w:lvlJc w:val="left"/>
      <w:pPr>
        <w:ind w:left="1440" w:hanging="360"/>
      </w:pPr>
    </w:lvl>
    <w:lvl w:ilvl="2">
      <w:start w:val="64"/>
      <w:numFmt w:val="decimal"/>
      <w:lvlText w:val="(%3)"/>
      <w:lvlJc w:val="left"/>
      <w:pPr>
        <w:ind w:left="2160" w:hanging="360"/>
      </w:pPr>
    </w:lvl>
    <w:lvl w:ilvl="3">
      <w:start w:val="64"/>
      <w:numFmt w:val="decimal"/>
      <w:lvlText w:val="(%4)"/>
      <w:lvlJc w:val="left"/>
      <w:pPr>
        <w:ind w:left="2880" w:hanging="360"/>
      </w:pPr>
    </w:lvl>
    <w:lvl w:ilvl="4">
      <w:start w:val="64"/>
      <w:numFmt w:val="decimal"/>
      <w:lvlText w:val="(%5)"/>
      <w:lvlJc w:val="left"/>
      <w:pPr>
        <w:ind w:left="3600" w:hanging="360"/>
      </w:pPr>
    </w:lvl>
    <w:lvl w:ilvl="5">
      <w:start w:val="64"/>
      <w:numFmt w:val="decimal"/>
      <w:lvlText w:val="(%6)"/>
      <w:lvlJc w:val="left"/>
      <w:pPr>
        <w:ind w:left="4320" w:hanging="360"/>
      </w:pPr>
    </w:lvl>
    <w:lvl w:ilvl="6">
      <w:start w:val="64"/>
      <w:numFmt w:val="decimal"/>
      <w:lvlText w:val="(%7)"/>
      <w:lvlJc w:val="left"/>
      <w:pPr>
        <w:ind w:left="5040" w:hanging="360"/>
      </w:pPr>
    </w:lvl>
    <w:lvl w:ilvl="7">
      <w:start w:val="64"/>
      <w:numFmt w:val="decimal"/>
      <w:lvlText w:val="(%8)"/>
      <w:lvlJc w:val="left"/>
      <w:pPr>
        <w:ind w:left="5760" w:hanging="360"/>
      </w:pPr>
    </w:lvl>
    <w:lvl w:ilvl="8">
      <w:start w:val="64"/>
      <w:numFmt w:val="decimal"/>
      <w:lvlText w:val="(%9)"/>
      <w:lvlJc w:val="left"/>
      <w:pPr>
        <w:ind w:left="6480" w:hanging="360"/>
      </w:pPr>
    </w:lvl>
  </w:abstractNum>
  <w:abstractNum w:abstractNumId="994366">
    <w:nsid w:val="0A994366"/>
    <w:multiLevelType w:val="multilevel"/>
    <w:lvl w:ilvl="0">
      <w:start w:val="66"/>
      <w:numFmt w:val="decimal"/>
      <w:lvlText w:val="(%1)"/>
      <w:lvlJc w:val="left"/>
      <w:pPr>
        <w:ind w:left="720" w:hanging="360"/>
      </w:pPr>
    </w:lvl>
    <w:lvl w:ilvl="1">
      <w:start w:val="66"/>
      <w:numFmt w:val="decimal"/>
      <w:lvlText w:val="(%2)"/>
      <w:lvlJc w:val="left"/>
      <w:pPr>
        <w:ind w:left="1440" w:hanging="360"/>
      </w:pPr>
    </w:lvl>
    <w:lvl w:ilvl="2">
      <w:start w:val="66"/>
      <w:numFmt w:val="decimal"/>
      <w:lvlText w:val="(%3)"/>
      <w:lvlJc w:val="left"/>
      <w:pPr>
        <w:ind w:left="2160" w:hanging="360"/>
      </w:pPr>
    </w:lvl>
    <w:lvl w:ilvl="3">
      <w:start w:val="66"/>
      <w:numFmt w:val="decimal"/>
      <w:lvlText w:val="(%4)"/>
      <w:lvlJc w:val="left"/>
      <w:pPr>
        <w:ind w:left="2880" w:hanging="360"/>
      </w:pPr>
    </w:lvl>
    <w:lvl w:ilvl="4">
      <w:start w:val="66"/>
      <w:numFmt w:val="decimal"/>
      <w:lvlText w:val="(%5)"/>
      <w:lvlJc w:val="left"/>
      <w:pPr>
        <w:ind w:left="3600" w:hanging="360"/>
      </w:pPr>
    </w:lvl>
    <w:lvl w:ilvl="5">
      <w:start w:val="66"/>
      <w:numFmt w:val="decimal"/>
      <w:lvlText w:val="(%6)"/>
      <w:lvlJc w:val="left"/>
      <w:pPr>
        <w:ind w:left="4320" w:hanging="360"/>
      </w:pPr>
    </w:lvl>
    <w:lvl w:ilvl="6">
      <w:start w:val="66"/>
      <w:numFmt w:val="decimal"/>
      <w:lvlText w:val="(%7)"/>
      <w:lvlJc w:val="left"/>
      <w:pPr>
        <w:ind w:left="5040" w:hanging="360"/>
      </w:pPr>
    </w:lvl>
    <w:lvl w:ilvl="7">
      <w:start w:val="66"/>
      <w:numFmt w:val="decimal"/>
      <w:lvlText w:val="(%8)"/>
      <w:lvlJc w:val="left"/>
      <w:pPr>
        <w:ind w:left="5760" w:hanging="360"/>
      </w:pPr>
    </w:lvl>
    <w:lvl w:ilvl="8">
      <w:start w:val="66"/>
      <w:numFmt w:val="decimal"/>
      <w:lvlText w:val="(%9)"/>
      <w:lvlJc w:val="left"/>
      <w:pPr>
        <w:ind w:left="6480" w:hanging="360"/>
      </w:pPr>
    </w:lvl>
  </w:abstractNum>
  <w:abstractNum w:abstractNumId="994367">
    <w:nsid w:val="0A994367"/>
    <w:multiLevelType w:val="multilevel"/>
    <w:lvl w:ilvl="0">
      <w:start w:val="67"/>
      <w:numFmt w:val="decimal"/>
      <w:lvlText w:val="(%1)"/>
      <w:lvlJc w:val="left"/>
      <w:pPr>
        <w:ind w:left="720" w:hanging="360"/>
      </w:pPr>
    </w:lvl>
    <w:lvl w:ilvl="1">
      <w:start w:val="67"/>
      <w:numFmt w:val="decimal"/>
      <w:lvlText w:val="(%2)"/>
      <w:lvlJc w:val="left"/>
      <w:pPr>
        <w:ind w:left="1440" w:hanging="360"/>
      </w:pPr>
    </w:lvl>
    <w:lvl w:ilvl="2">
      <w:start w:val="67"/>
      <w:numFmt w:val="decimal"/>
      <w:lvlText w:val="(%3)"/>
      <w:lvlJc w:val="left"/>
      <w:pPr>
        <w:ind w:left="2160" w:hanging="360"/>
      </w:pPr>
    </w:lvl>
    <w:lvl w:ilvl="3">
      <w:start w:val="67"/>
      <w:numFmt w:val="decimal"/>
      <w:lvlText w:val="(%4)"/>
      <w:lvlJc w:val="left"/>
      <w:pPr>
        <w:ind w:left="2880" w:hanging="360"/>
      </w:pPr>
    </w:lvl>
    <w:lvl w:ilvl="4">
      <w:start w:val="67"/>
      <w:numFmt w:val="decimal"/>
      <w:lvlText w:val="(%5)"/>
      <w:lvlJc w:val="left"/>
      <w:pPr>
        <w:ind w:left="3600" w:hanging="360"/>
      </w:pPr>
    </w:lvl>
    <w:lvl w:ilvl="5">
      <w:start w:val="67"/>
      <w:numFmt w:val="decimal"/>
      <w:lvlText w:val="(%6)"/>
      <w:lvlJc w:val="left"/>
      <w:pPr>
        <w:ind w:left="4320" w:hanging="360"/>
      </w:pPr>
    </w:lvl>
    <w:lvl w:ilvl="6">
      <w:start w:val="67"/>
      <w:numFmt w:val="decimal"/>
      <w:lvlText w:val="(%7)"/>
      <w:lvlJc w:val="left"/>
      <w:pPr>
        <w:ind w:left="5040" w:hanging="360"/>
      </w:pPr>
    </w:lvl>
    <w:lvl w:ilvl="7">
      <w:start w:val="67"/>
      <w:numFmt w:val="decimal"/>
      <w:lvlText w:val="(%8)"/>
      <w:lvlJc w:val="left"/>
      <w:pPr>
        <w:ind w:left="5760" w:hanging="360"/>
      </w:pPr>
    </w:lvl>
    <w:lvl w:ilvl="8">
      <w:start w:val="67"/>
      <w:numFmt w:val="decimal"/>
      <w:lvlText w:val="(%9)"/>
      <w:lvlJc w:val="left"/>
      <w:pPr>
        <w:ind w:left="6480" w:hanging="360"/>
      </w:pPr>
    </w:lvl>
  </w:abstractNum>
  <w:abstractNum w:abstractNumId="994369">
    <w:nsid w:val="0A994369"/>
    <w:multiLevelType w:val="multilevel"/>
    <w:lvl w:ilvl="0">
      <w:start w:val="69"/>
      <w:numFmt w:val="decimal"/>
      <w:lvlText w:val="(%1)"/>
      <w:lvlJc w:val="left"/>
      <w:pPr>
        <w:ind w:left="720" w:hanging="360"/>
      </w:pPr>
    </w:lvl>
    <w:lvl w:ilvl="1">
      <w:start w:val="69"/>
      <w:numFmt w:val="decimal"/>
      <w:lvlText w:val="(%2)"/>
      <w:lvlJc w:val="left"/>
      <w:pPr>
        <w:ind w:left="1440" w:hanging="360"/>
      </w:pPr>
    </w:lvl>
    <w:lvl w:ilvl="2">
      <w:start w:val="69"/>
      <w:numFmt w:val="decimal"/>
      <w:lvlText w:val="(%3)"/>
      <w:lvlJc w:val="left"/>
      <w:pPr>
        <w:ind w:left="2160" w:hanging="360"/>
      </w:pPr>
    </w:lvl>
    <w:lvl w:ilvl="3">
      <w:start w:val="69"/>
      <w:numFmt w:val="decimal"/>
      <w:lvlText w:val="(%4)"/>
      <w:lvlJc w:val="left"/>
      <w:pPr>
        <w:ind w:left="2880" w:hanging="360"/>
      </w:pPr>
    </w:lvl>
    <w:lvl w:ilvl="4">
      <w:start w:val="69"/>
      <w:numFmt w:val="decimal"/>
      <w:lvlText w:val="(%5)"/>
      <w:lvlJc w:val="left"/>
      <w:pPr>
        <w:ind w:left="3600" w:hanging="360"/>
      </w:pPr>
    </w:lvl>
    <w:lvl w:ilvl="5">
      <w:start w:val="69"/>
      <w:numFmt w:val="decimal"/>
      <w:lvlText w:val="(%6)"/>
      <w:lvlJc w:val="left"/>
      <w:pPr>
        <w:ind w:left="4320" w:hanging="360"/>
      </w:pPr>
    </w:lvl>
    <w:lvl w:ilvl="6">
      <w:start w:val="69"/>
      <w:numFmt w:val="decimal"/>
      <w:lvlText w:val="(%7)"/>
      <w:lvlJc w:val="left"/>
      <w:pPr>
        <w:ind w:left="5040" w:hanging="360"/>
      </w:pPr>
    </w:lvl>
    <w:lvl w:ilvl="7">
      <w:start w:val="69"/>
      <w:numFmt w:val="decimal"/>
      <w:lvlText w:val="(%8)"/>
      <w:lvlJc w:val="left"/>
      <w:pPr>
        <w:ind w:left="5760" w:hanging="360"/>
      </w:pPr>
    </w:lvl>
    <w:lvl w:ilvl="8">
      <w:start w:val="69"/>
      <w:numFmt w:val="decimal"/>
      <w:lvlText w:val="(%9)"/>
      <w:lvlJc w:val="left"/>
      <w:pPr>
        <w:ind w:left="6480" w:hanging="360"/>
      </w:pPr>
    </w:lvl>
  </w:abstractNum>
  <w:abstractNum w:abstractNumId="994370">
    <w:nsid w:val="0A994370"/>
    <w:multiLevelType w:val="multilevel"/>
    <w:lvl w:ilvl="0">
      <w:start w:val="70"/>
      <w:numFmt w:val="decimal"/>
      <w:lvlText w:val="(%1)"/>
      <w:lvlJc w:val="left"/>
      <w:pPr>
        <w:ind w:left="720" w:hanging="360"/>
      </w:pPr>
    </w:lvl>
    <w:lvl w:ilvl="1">
      <w:start w:val="70"/>
      <w:numFmt w:val="decimal"/>
      <w:lvlText w:val="(%2)"/>
      <w:lvlJc w:val="left"/>
      <w:pPr>
        <w:ind w:left="1440" w:hanging="360"/>
      </w:pPr>
    </w:lvl>
    <w:lvl w:ilvl="2">
      <w:start w:val="70"/>
      <w:numFmt w:val="decimal"/>
      <w:lvlText w:val="(%3)"/>
      <w:lvlJc w:val="left"/>
      <w:pPr>
        <w:ind w:left="2160" w:hanging="360"/>
      </w:pPr>
    </w:lvl>
    <w:lvl w:ilvl="3">
      <w:start w:val="70"/>
      <w:numFmt w:val="decimal"/>
      <w:lvlText w:val="(%4)"/>
      <w:lvlJc w:val="left"/>
      <w:pPr>
        <w:ind w:left="2880" w:hanging="360"/>
      </w:pPr>
    </w:lvl>
    <w:lvl w:ilvl="4">
      <w:start w:val="70"/>
      <w:numFmt w:val="decimal"/>
      <w:lvlText w:val="(%5)"/>
      <w:lvlJc w:val="left"/>
      <w:pPr>
        <w:ind w:left="3600" w:hanging="360"/>
      </w:pPr>
    </w:lvl>
    <w:lvl w:ilvl="5">
      <w:start w:val="70"/>
      <w:numFmt w:val="decimal"/>
      <w:lvlText w:val="(%6)"/>
      <w:lvlJc w:val="left"/>
      <w:pPr>
        <w:ind w:left="4320" w:hanging="360"/>
      </w:pPr>
    </w:lvl>
    <w:lvl w:ilvl="6">
      <w:start w:val="70"/>
      <w:numFmt w:val="decimal"/>
      <w:lvlText w:val="(%7)"/>
      <w:lvlJc w:val="left"/>
      <w:pPr>
        <w:ind w:left="5040" w:hanging="360"/>
      </w:pPr>
    </w:lvl>
    <w:lvl w:ilvl="7">
      <w:start w:val="70"/>
      <w:numFmt w:val="decimal"/>
      <w:lvlText w:val="(%8)"/>
      <w:lvlJc w:val="left"/>
      <w:pPr>
        <w:ind w:left="5760" w:hanging="360"/>
      </w:pPr>
    </w:lvl>
    <w:lvl w:ilvl="8">
      <w:start w:val="70"/>
      <w:numFmt w:val="decimal"/>
      <w:lvlText w:val="(%9)"/>
      <w:lvlJc w:val="left"/>
      <w:pPr>
        <w:ind w:left="6480" w:hanging="360"/>
      </w:pPr>
    </w:lvl>
  </w:abstractNum>
  <w:abstractNum w:abstractNumId="994372">
    <w:nsid w:val="0A994372"/>
    <w:multiLevelType w:val="multilevel"/>
    <w:lvl w:ilvl="0">
      <w:start w:val="72"/>
      <w:numFmt w:val="decimal"/>
      <w:lvlText w:val="(%1)"/>
      <w:lvlJc w:val="left"/>
      <w:pPr>
        <w:ind w:left="720" w:hanging="360"/>
      </w:pPr>
    </w:lvl>
    <w:lvl w:ilvl="1">
      <w:start w:val="72"/>
      <w:numFmt w:val="decimal"/>
      <w:lvlText w:val="(%2)"/>
      <w:lvlJc w:val="left"/>
      <w:pPr>
        <w:ind w:left="1440" w:hanging="360"/>
      </w:pPr>
    </w:lvl>
    <w:lvl w:ilvl="2">
      <w:start w:val="72"/>
      <w:numFmt w:val="decimal"/>
      <w:lvlText w:val="(%3)"/>
      <w:lvlJc w:val="left"/>
      <w:pPr>
        <w:ind w:left="2160" w:hanging="360"/>
      </w:pPr>
    </w:lvl>
    <w:lvl w:ilvl="3">
      <w:start w:val="72"/>
      <w:numFmt w:val="decimal"/>
      <w:lvlText w:val="(%4)"/>
      <w:lvlJc w:val="left"/>
      <w:pPr>
        <w:ind w:left="2880" w:hanging="360"/>
      </w:pPr>
    </w:lvl>
    <w:lvl w:ilvl="4">
      <w:start w:val="72"/>
      <w:numFmt w:val="decimal"/>
      <w:lvlText w:val="(%5)"/>
      <w:lvlJc w:val="left"/>
      <w:pPr>
        <w:ind w:left="3600" w:hanging="360"/>
      </w:pPr>
    </w:lvl>
    <w:lvl w:ilvl="5">
      <w:start w:val="72"/>
      <w:numFmt w:val="decimal"/>
      <w:lvlText w:val="(%6)"/>
      <w:lvlJc w:val="left"/>
      <w:pPr>
        <w:ind w:left="4320" w:hanging="360"/>
      </w:pPr>
    </w:lvl>
    <w:lvl w:ilvl="6">
      <w:start w:val="72"/>
      <w:numFmt w:val="decimal"/>
      <w:lvlText w:val="(%7)"/>
      <w:lvlJc w:val="left"/>
      <w:pPr>
        <w:ind w:left="5040" w:hanging="360"/>
      </w:pPr>
    </w:lvl>
    <w:lvl w:ilvl="7">
      <w:start w:val="72"/>
      <w:numFmt w:val="decimal"/>
      <w:lvlText w:val="(%8)"/>
      <w:lvlJc w:val="left"/>
      <w:pPr>
        <w:ind w:left="5760" w:hanging="360"/>
      </w:pPr>
    </w:lvl>
    <w:lvl w:ilvl="8">
      <w:start w:val="72"/>
      <w:numFmt w:val="decimal"/>
      <w:lvlText w:val="(%9)"/>
      <w:lvlJc w:val="left"/>
      <w:pPr>
        <w:ind w:left="6480" w:hanging="360"/>
      </w:pPr>
    </w:lvl>
  </w:abstractNum>
  <w:abstractNum w:abstractNumId="994378">
    <w:nsid w:val="0A994378"/>
    <w:multiLevelType w:val="multilevel"/>
    <w:lvl w:ilvl="0">
      <w:start w:val="78"/>
      <w:numFmt w:val="decimal"/>
      <w:lvlText w:val="(%1)"/>
      <w:lvlJc w:val="left"/>
      <w:pPr>
        <w:ind w:left="720" w:hanging="360"/>
      </w:pPr>
    </w:lvl>
    <w:lvl w:ilvl="1">
      <w:start w:val="78"/>
      <w:numFmt w:val="decimal"/>
      <w:lvlText w:val="(%2)"/>
      <w:lvlJc w:val="left"/>
      <w:pPr>
        <w:ind w:left="1440" w:hanging="360"/>
      </w:pPr>
    </w:lvl>
    <w:lvl w:ilvl="2">
      <w:start w:val="78"/>
      <w:numFmt w:val="decimal"/>
      <w:lvlText w:val="(%3)"/>
      <w:lvlJc w:val="left"/>
      <w:pPr>
        <w:ind w:left="2160" w:hanging="360"/>
      </w:pPr>
    </w:lvl>
    <w:lvl w:ilvl="3">
      <w:start w:val="78"/>
      <w:numFmt w:val="decimal"/>
      <w:lvlText w:val="(%4)"/>
      <w:lvlJc w:val="left"/>
      <w:pPr>
        <w:ind w:left="2880" w:hanging="360"/>
      </w:pPr>
    </w:lvl>
    <w:lvl w:ilvl="4">
      <w:start w:val="78"/>
      <w:numFmt w:val="decimal"/>
      <w:lvlText w:val="(%5)"/>
      <w:lvlJc w:val="left"/>
      <w:pPr>
        <w:ind w:left="3600" w:hanging="360"/>
      </w:pPr>
    </w:lvl>
    <w:lvl w:ilvl="5">
      <w:start w:val="78"/>
      <w:numFmt w:val="decimal"/>
      <w:lvlText w:val="(%6)"/>
      <w:lvlJc w:val="left"/>
      <w:pPr>
        <w:ind w:left="4320" w:hanging="360"/>
      </w:pPr>
    </w:lvl>
    <w:lvl w:ilvl="6">
      <w:start w:val="78"/>
      <w:numFmt w:val="decimal"/>
      <w:lvlText w:val="(%7)"/>
      <w:lvlJc w:val="left"/>
      <w:pPr>
        <w:ind w:left="5040" w:hanging="360"/>
      </w:pPr>
    </w:lvl>
    <w:lvl w:ilvl="7">
      <w:start w:val="78"/>
      <w:numFmt w:val="decimal"/>
      <w:lvlText w:val="(%8)"/>
      <w:lvlJc w:val="left"/>
      <w:pPr>
        <w:ind w:left="5760" w:hanging="360"/>
      </w:pPr>
    </w:lvl>
    <w:lvl w:ilvl="8">
      <w:start w:val="78"/>
      <w:numFmt w:val="decimal"/>
      <w:lvlText w:val="(%9)"/>
      <w:lvlJc w:val="left"/>
      <w:pPr>
        <w:ind w:left="6480" w:hanging="360"/>
      </w:pPr>
    </w:lvl>
  </w:abstractNum>
  <w:abstractNum w:abstractNumId="994383">
    <w:nsid w:val="0A994383"/>
    <w:multiLevelType w:val="multilevel"/>
    <w:lvl w:ilvl="0">
      <w:start w:val="83"/>
      <w:numFmt w:val="decimal"/>
      <w:lvlText w:val="(%1)"/>
      <w:lvlJc w:val="left"/>
      <w:pPr>
        <w:ind w:left="720" w:hanging="360"/>
      </w:pPr>
    </w:lvl>
    <w:lvl w:ilvl="1">
      <w:start w:val="83"/>
      <w:numFmt w:val="decimal"/>
      <w:lvlText w:val="(%2)"/>
      <w:lvlJc w:val="left"/>
      <w:pPr>
        <w:ind w:left="1440" w:hanging="360"/>
      </w:pPr>
    </w:lvl>
    <w:lvl w:ilvl="2">
      <w:start w:val="83"/>
      <w:numFmt w:val="decimal"/>
      <w:lvlText w:val="(%3)"/>
      <w:lvlJc w:val="left"/>
      <w:pPr>
        <w:ind w:left="2160" w:hanging="360"/>
      </w:pPr>
    </w:lvl>
    <w:lvl w:ilvl="3">
      <w:start w:val="83"/>
      <w:numFmt w:val="decimal"/>
      <w:lvlText w:val="(%4)"/>
      <w:lvlJc w:val="left"/>
      <w:pPr>
        <w:ind w:left="2880" w:hanging="360"/>
      </w:pPr>
    </w:lvl>
    <w:lvl w:ilvl="4">
      <w:start w:val="83"/>
      <w:numFmt w:val="decimal"/>
      <w:lvlText w:val="(%5)"/>
      <w:lvlJc w:val="left"/>
      <w:pPr>
        <w:ind w:left="3600" w:hanging="360"/>
      </w:pPr>
    </w:lvl>
    <w:lvl w:ilvl="5">
      <w:start w:val="83"/>
      <w:numFmt w:val="decimal"/>
      <w:lvlText w:val="(%6)"/>
      <w:lvlJc w:val="left"/>
      <w:pPr>
        <w:ind w:left="4320" w:hanging="360"/>
      </w:pPr>
    </w:lvl>
    <w:lvl w:ilvl="6">
      <w:start w:val="83"/>
      <w:numFmt w:val="decimal"/>
      <w:lvlText w:val="(%7)"/>
      <w:lvlJc w:val="left"/>
      <w:pPr>
        <w:ind w:left="5040" w:hanging="360"/>
      </w:pPr>
    </w:lvl>
    <w:lvl w:ilvl="7">
      <w:start w:val="83"/>
      <w:numFmt w:val="decimal"/>
      <w:lvlText w:val="(%8)"/>
      <w:lvlJc w:val="left"/>
      <w:pPr>
        <w:ind w:left="5760" w:hanging="360"/>
      </w:pPr>
    </w:lvl>
    <w:lvl w:ilvl="8">
      <w:start w:val="83"/>
      <w:numFmt w:val="decimal"/>
      <w:lvlText w:val="(%9)"/>
      <w:lvlJc w:val="left"/>
      <w:pPr>
        <w:ind w:left="6480" w:hanging="360"/>
      </w:pPr>
    </w:lvl>
  </w:abstractNum>
  <w:abstractNum w:abstractNumId="994384">
    <w:nsid w:val="0A994384"/>
    <w:multiLevelType w:val="multilevel"/>
    <w:lvl w:ilvl="0">
      <w:start w:val="84"/>
      <w:numFmt w:val="decimal"/>
      <w:lvlText w:val="(%1)"/>
      <w:lvlJc w:val="left"/>
      <w:pPr>
        <w:ind w:left="720" w:hanging="360"/>
      </w:pPr>
    </w:lvl>
    <w:lvl w:ilvl="1">
      <w:start w:val="84"/>
      <w:numFmt w:val="decimal"/>
      <w:lvlText w:val="(%2)"/>
      <w:lvlJc w:val="left"/>
      <w:pPr>
        <w:ind w:left="1440" w:hanging="360"/>
      </w:pPr>
    </w:lvl>
    <w:lvl w:ilvl="2">
      <w:start w:val="84"/>
      <w:numFmt w:val="decimal"/>
      <w:lvlText w:val="(%3)"/>
      <w:lvlJc w:val="left"/>
      <w:pPr>
        <w:ind w:left="2160" w:hanging="360"/>
      </w:pPr>
    </w:lvl>
    <w:lvl w:ilvl="3">
      <w:start w:val="84"/>
      <w:numFmt w:val="decimal"/>
      <w:lvlText w:val="(%4)"/>
      <w:lvlJc w:val="left"/>
      <w:pPr>
        <w:ind w:left="2880" w:hanging="360"/>
      </w:pPr>
    </w:lvl>
    <w:lvl w:ilvl="4">
      <w:start w:val="84"/>
      <w:numFmt w:val="decimal"/>
      <w:lvlText w:val="(%5)"/>
      <w:lvlJc w:val="left"/>
      <w:pPr>
        <w:ind w:left="3600" w:hanging="360"/>
      </w:pPr>
    </w:lvl>
    <w:lvl w:ilvl="5">
      <w:start w:val="84"/>
      <w:numFmt w:val="decimal"/>
      <w:lvlText w:val="(%6)"/>
      <w:lvlJc w:val="left"/>
      <w:pPr>
        <w:ind w:left="4320" w:hanging="360"/>
      </w:pPr>
    </w:lvl>
    <w:lvl w:ilvl="6">
      <w:start w:val="84"/>
      <w:numFmt w:val="decimal"/>
      <w:lvlText w:val="(%7)"/>
      <w:lvlJc w:val="left"/>
      <w:pPr>
        <w:ind w:left="5040" w:hanging="360"/>
      </w:pPr>
    </w:lvl>
    <w:lvl w:ilvl="7">
      <w:start w:val="84"/>
      <w:numFmt w:val="decimal"/>
      <w:lvlText w:val="(%8)"/>
      <w:lvlJc w:val="left"/>
      <w:pPr>
        <w:ind w:left="5760" w:hanging="360"/>
      </w:pPr>
    </w:lvl>
    <w:lvl w:ilvl="8">
      <w:start w:val="84"/>
      <w:numFmt w:val="decimal"/>
      <w:lvlText w:val="(%9)"/>
      <w:lvlJc w:val="left"/>
      <w:pPr>
        <w:ind w:left="6480" w:hanging="360"/>
      </w:pPr>
    </w:lvl>
  </w:abstractNum>
  <w:abstractNum w:abstractNumId="994387">
    <w:nsid w:val="0A994387"/>
    <w:multiLevelType w:val="multilevel"/>
    <w:lvl w:ilvl="0">
      <w:start w:val="87"/>
      <w:numFmt w:val="decimal"/>
      <w:lvlText w:val="(%1)"/>
      <w:lvlJc w:val="left"/>
      <w:pPr>
        <w:ind w:left="720" w:hanging="360"/>
      </w:pPr>
    </w:lvl>
    <w:lvl w:ilvl="1">
      <w:start w:val="87"/>
      <w:numFmt w:val="decimal"/>
      <w:lvlText w:val="(%2)"/>
      <w:lvlJc w:val="left"/>
      <w:pPr>
        <w:ind w:left="1440" w:hanging="360"/>
      </w:pPr>
    </w:lvl>
    <w:lvl w:ilvl="2">
      <w:start w:val="87"/>
      <w:numFmt w:val="decimal"/>
      <w:lvlText w:val="(%3)"/>
      <w:lvlJc w:val="left"/>
      <w:pPr>
        <w:ind w:left="2160" w:hanging="360"/>
      </w:pPr>
    </w:lvl>
    <w:lvl w:ilvl="3">
      <w:start w:val="87"/>
      <w:numFmt w:val="decimal"/>
      <w:lvlText w:val="(%4)"/>
      <w:lvlJc w:val="left"/>
      <w:pPr>
        <w:ind w:left="2880" w:hanging="360"/>
      </w:pPr>
    </w:lvl>
    <w:lvl w:ilvl="4">
      <w:start w:val="87"/>
      <w:numFmt w:val="decimal"/>
      <w:lvlText w:val="(%5)"/>
      <w:lvlJc w:val="left"/>
      <w:pPr>
        <w:ind w:left="3600" w:hanging="360"/>
      </w:pPr>
    </w:lvl>
    <w:lvl w:ilvl="5">
      <w:start w:val="87"/>
      <w:numFmt w:val="decimal"/>
      <w:lvlText w:val="(%6)"/>
      <w:lvlJc w:val="left"/>
      <w:pPr>
        <w:ind w:left="4320" w:hanging="360"/>
      </w:pPr>
    </w:lvl>
    <w:lvl w:ilvl="6">
      <w:start w:val="87"/>
      <w:numFmt w:val="decimal"/>
      <w:lvlText w:val="(%7)"/>
      <w:lvlJc w:val="left"/>
      <w:pPr>
        <w:ind w:left="5040" w:hanging="360"/>
      </w:pPr>
    </w:lvl>
    <w:lvl w:ilvl="7">
      <w:start w:val="87"/>
      <w:numFmt w:val="decimal"/>
      <w:lvlText w:val="(%8)"/>
      <w:lvlJc w:val="left"/>
      <w:pPr>
        <w:ind w:left="5760" w:hanging="360"/>
      </w:pPr>
    </w:lvl>
    <w:lvl w:ilvl="8">
      <w:start w:val="87"/>
      <w:numFmt w:val="decimal"/>
      <w:lvlText w:val="(%9)"/>
      <w:lvlJc w:val="left"/>
      <w:pPr>
        <w:ind w:left="6480" w:hanging="360"/>
      </w:pPr>
    </w:lvl>
  </w:abstractNum>
  <w:abstractNum w:abstractNumId="994388">
    <w:nsid w:val="0A994388"/>
    <w:multiLevelType w:val="multilevel"/>
    <w:lvl w:ilvl="0">
      <w:start w:val="88"/>
      <w:numFmt w:val="decimal"/>
      <w:lvlText w:val="(%1)"/>
      <w:lvlJc w:val="left"/>
      <w:pPr>
        <w:ind w:left="720" w:hanging="360"/>
      </w:pPr>
    </w:lvl>
    <w:lvl w:ilvl="1">
      <w:start w:val="88"/>
      <w:numFmt w:val="decimal"/>
      <w:lvlText w:val="(%2)"/>
      <w:lvlJc w:val="left"/>
      <w:pPr>
        <w:ind w:left="1440" w:hanging="360"/>
      </w:pPr>
    </w:lvl>
    <w:lvl w:ilvl="2">
      <w:start w:val="88"/>
      <w:numFmt w:val="decimal"/>
      <w:lvlText w:val="(%3)"/>
      <w:lvlJc w:val="left"/>
      <w:pPr>
        <w:ind w:left="2160" w:hanging="360"/>
      </w:pPr>
    </w:lvl>
    <w:lvl w:ilvl="3">
      <w:start w:val="88"/>
      <w:numFmt w:val="decimal"/>
      <w:lvlText w:val="(%4)"/>
      <w:lvlJc w:val="left"/>
      <w:pPr>
        <w:ind w:left="2880" w:hanging="360"/>
      </w:pPr>
    </w:lvl>
    <w:lvl w:ilvl="4">
      <w:start w:val="88"/>
      <w:numFmt w:val="decimal"/>
      <w:lvlText w:val="(%5)"/>
      <w:lvlJc w:val="left"/>
      <w:pPr>
        <w:ind w:left="3600" w:hanging="360"/>
      </w:pPr>
    </w:lvl>
    <w:lvl w:ilvl="5">
      <w:start w:val="88"/>
      <w:numFmt w:val="decimal"/>
      <w:lvlText w:val="(%6)"/>
      <w:lvlJc w:val="left"/>
      <w:pPr>
        <w:ind w:left="4320" w:hanging="360"/>
      </w:pPr>
    </w:lvl>
    <w:lvl w:ilvl="6">
      <w:start w:val="88"/>
      <w:numFmt w:val="decimal"/>
      <w:lvlText w:val="(%7)"/>
      <w:lvlJc w:val="left"/>
      <w:pPr>
        <w:ind w:left="5040" w:hanging="360"/>
      </w:pPr>
    </w:lvl>
    <w:lvl w:ilvl="7">
      <w:start w:val="88"/>
      <w:numFmt w:val="decimal"/>
      <w:lvlText w:val="(%8)"/>
      <w:lvlJc w:val="left"/>
      <w:pPr>
        <w:ind w:left="5760" w:hanging="360"/>
      </w:pPr>
    </w:lvl>
    <w:lvl w:ilvl="8">
      <w:start w:val="88"/>
      <w:numFmt w:val="decimal"/>
      <w:lvlText w:val="(%9)"/>
      <w:lvlJc w:val="left"/>
      <w:pPr>
        <w:ind w:left="6480" w:hanging="360"/>
      </w:pPr>
    </w:lvl>
  </w:abstractNum>
  <w:abstractNum w:abstractNumId="994390">
    <w:nsid w:val="0A994390"/>
    <w:multiLevelType w:val="multilevel"/>
    <w:lvl w:ilvl="0">
      <w:start w:val="90"/>
      <w:numFmt w:val="decimal"/>
      <w:lvlText w:val="(%1)"/>
      <w:lvlJc w:val="left"/>
      <w:pPr>
        <w:ind w:left="720" w:hanging="360"/>
      </w:pPr>
    </w:lvl>
    <w:lvl w:ilvl="1">
      <w:start w:val="90"/>
      <w:numFmt w:val="decimal"/>
      <w:lvlText w:val="(%2)"/>
      <w:lvlJc w:val="left"/>
      <w:pPr>
        <w:ind w:left="1440" w:hanging="360"/>
      </w:pPr>
    </w:lvl>
    <w:lvl w:ilvl="2">
      <w:start w:val="90"/>
      <w:numFmt w:val="decimal"/>
      <w:lvlText w:val="(%3)"/>
      <w:lvlJc w:val="left"/>
      <w:pPr>
        <w:ind w:left="2160" w:hanging="360"/>
      </w:pPr>
    </w:lvl>
    <w:lvl w:ilvl="3">
      <w:start w:val="90"/>
      <w:numFmt w:val="decimal"/>
      <w:lvlText w:val="(%4)"/>
      <w:lvlJc w:val="left"/>
      <w:pPr>
        <w:ind w:left="2880" w:hanging="360"/>
      </w:pPr>
    </w:lvl>
    <w:lvl w:ilvl="4">
      <w:start w:val="90"/>
      <w:numFmt w:val="decimal"/>
      <w:lvlText w:val="(%5)"/>
      <w:lvlJc w:val="left"/>
      <w:pPr>
        <w:ind w:left="3600" w:hanging="360"/>
      </w:pPr>
    </w:lvl>
    <w:lvl w:ilvl="5">
      <w:start w:val="90"/>
      <w:numFmt w:val="decimal"/>
      <w:lvlText w:val="(%6)"/>
      <w:lvlJc w:val="left"/>
      <w:pPr>
        <w:ind w:left="4320" w:hanging="360"/>
      </w:pPr>
    </w:lvl>
    <w:lvl w:ilvl="6">
      <w:start w:val="90"/>
      <w:numFmt w:val="decimal"/>
      <w:lvlText w:val="(%7)"/>
      <w:lvlJc w:val="left"/>
      <w:pPr>
        <w:ind w:left="5040" w:hanging="360"/>
      </w:pPr>
    </w:lvl>
    <w:lvl w:ilvl="7">
      <w:start w:val="90"/>
      <w:numFmt w:val="decimal"/>
      <w:lvlText w:val="(%8)"/>
      <w:lvlJc w:val="left"/>
      <w:pPr>
        <w:ind w:left="5760" w:hanging="360"/>
      </w:pPr>
    </w:lvl>
    <w:lvl w:ilvl="8">
      <w:start w:val="90"/>
      <w:numFmt w:val="decimal"/>
      <w:lvlText w:val="(%9)"/>
      <w:lvlJc w:val="left"/>
      <w:pPr>
        <w:ind w:left="6480" w:hanging="360"/>
      </w:pPr>
    </w:lvl>
  </w:abstractNum>
  <w:abstractNum w:abstractNumId="994395">
    <w:nsid w:val="0A994395"/>
    <w:multiLevelType w:val="multilevel"/>
    <w:lvl w:ilvl="0">
      <w:start w:val="95"/>
      <w:numFmt w:val="decimal"/>
      <w:lvlText w:val="(%1)"/>
      <w:lvlJc w:val="left"/>
      <w:pPr>
        <w:ind w:left="720" w:hanging="360"/>
      </w:pPr>
    </w:lvl>
    <w:lvl w:ilvl="1">
      <w:start w:val="95"/>
      <w:numFmt w:val="decimal"/>
      <w:lvlText w:val="(%2)"/>
      <w:lvlJc w:val="left"/>
      <w:pPr>
        <w:ind w:left="1440" w:hanging="360"/>
      </w:pPr>
    </w:lvl>
    <w:lvl w:ilvl="2">
      <w:start w:val="95"/>
      <w:numFmt w:val="decimal"/>
      <w:lvlText w:val="(%3)"/>
      <w:lvlJc w:val="left"/>
      <w:pPr>
        <w:ind w:left="2160" w:hanging="360"/>
      </w:pPr>
    </w:lvl>
    <w:lvl w:ilvl="3">
      <w:start w:val="95"/>
      <w:numFmt w:val="decimal"/>
      <w:lvlText w:val="(%4)"/>
      <w:lvlJc w:val="left"/>
      <w:pPr>
        <w:ind w:left="2880" w:hanging="360"/>
      </w:pPr>
    </w:lvl>
    <w:lvl w:ilvl="4">
      <w:start w:val="95"/>
      <w:numFmt w:val="decimal"/>
      <w:lvlText w:val="(%5)"/>
      <w:lvlJc w:val="left"/>
      <w:pPr>
        <w:ind w:left="3600" w:hanging="360"/>
      </w:pPr>
    </w:lvl>
    <w:lvl w:ilvl="5">
      <w:start w:val="95"/>
      <w:numFmt w:val="decimal"/>
      <w:lvlText w:val="(%6)"/>
      <w:lvlJc w:val="left"/>
      <w:pPr>
        <w:ind w:left="4320" w:hanging="360"/>
      </w:pPr>
    </w:lvl>
    <w:lvl w:ilvl="6">
      <w:start w:val="95"/>
      <w:numFmt w:val="decimal"/>
      <w:lvlText w:val="(%7)"/>
      <w:lvlJc w:val="left"/>
      <w:pPr>
        <w:ind w:left="5040" w:hanging="360"/>
      </w:pPr>
    </w:lvl>
    <w:lvl w:ilvl="7">
      <w:start w:val="95"/>
      <w:numFmt w:val="decimal"/>
      <w:lvlText w:val="(%8)"/>
      <w:lvlJc w:val="left"/>
      <w:pPr>
        <w:ind w:left="5760" w:hanging="360"/>
      </w:pPr>
    </w:lvl>
    <w:lvl w:ilvl="8">
      <w:start w:val="95"/>
      <w:numFmt w:val="decimal"/>
      <w:lvlText w:val="(%9)"/>
      <w:lvlJc w:val="left"/>
      <w:pPr>
        <w:ind w:left="6480" w:hanging="360"/>
      </w:pPr>
    </w:lvl>
  </w:abstractNum>
  <w:abstractNum w:abstractNumId="994299">
    <w:nsid w:val="0A994299"/>
    <w:multiLevelType w:val="multilevel"/>
    <w:lvl w:ilvl="0">
      <w:start w:val="99"/>
      <w:numFmt w:val="decimal"/>
      <w:lvlText w:val="%1)"/>
      <w:lvlJc w:val="left"/>
      <w:pPr>
        <w:ind w:left="720" w:hanging="360"/>
      </w:pPr>
    </w:lvl>
    <w:lvl w:ilvl="1">
      <w:start w:val="99"/>
      <w:numFmt w:val="decimal"/>
      <w:lvlText w:val="%2)"/>
      <w:lvlJc w:val="left"/>
      <w:pPr>
        <w:ind w:left="1440" w:hanging="360"/>
      </w:pPr>
    </w:lvl>
    <w:lvl w:ilvl="2">
      <w:start w:val="99"/>
      <w:numFmt w:val="decimal"/>
      <w:lvlText w:val="%3)"/>
      <w:lvlJc w:val="left"/>
      <w:pPr>
        <w:ind w:left="2160" w:hanging="360"/>
      </w:pPr>
    </w:lvl>
    <w:lvl w:ilvl="3">
      <w:start w:val="99"/>
      <w:numFmt w:val="decimal"/>
      <w:lvlText w:val="%4)"/>
      <w:lvlJc w:val="left"/>
      <w:pPr>
        <w:ind w:left="2880" w:hanging="360"/>
      </w:pPr>
    </w:lvl>
    <w:lvl w:ilvl="4">
      <w:start w:val="99"/>
      <w:numFmt w:val="decimal"/>
      <w:lvlText w:val="%5)"/>
      <w:lvlJc w:val="left"/>
      <w:pPr>
        <w:ind w:left="3600" w:hanging="360"/>
      </w:pPr>
    </w:lvl>
    <w:lvl w:ilvl="5">
      <w:start w:val="99"/>
      <w:numFmt w:val="decimal"/>
      <w:lvlText w:val="%6)"/>
      <w:lvlJc w:val="left"/>
      <w:pPr>
        <w:ind w:left="4320" w:hanging="360"/>
      </w:pPr>
    </w:lvl>
    <w:lvl w:ilvl="6">
      <w:start w:val="99"/>
      <w:numFmt w:val="decimal"/>
      <w:lvlText w:val="%7)"/>
      <w:lvlJc w:val="left"/>
      <w:pPr>
        <w:ind w:left="5040" w:hanging="360"/>
      </w:pPr>
    </w:lvl>
    <w:lvl w:ilvl="7">
      <w:start w:val="99"/>
      <w:numFmt w:val="decimal"/>
      <w:lvlText w:val="%8)"/>
      <w:lvlJc w:val="left"/>
      <w:pPr>
        <w:ind w:left="5760" w:hanging="360"/>
      </w:pPr>
    </w:lvl>
    <w:lvl w:ilvl="8">
      <w:start w:val="99"/>
      <w:numFmt w:val="decimal"/>
      <w:lvlText w:val="%9)"/>
      <w:lvlJc w:val="left"/>
      <w:pPr>
        <w:ind w:left="6480" w:hanging="360"/>
      </w:pPr>
    </w:lvl>
  </w:abstractNum>
  <w:abstractNum w:abstractNumId="9943100">
    <w:nsid w:val="A9943100"/>
    <w:multiLevelType w:val="multilevel"/>
    <w:lvl w:ilvl="0">
      <w:start w:val="100"/>
      <w:numFmt w:val="decimal"/>
      <w:lvlText w:val="(%1)"/>
      <w:lvlJc w:val="left"/>
      <w:pPr>
        <w:ind w:left="720" w:hanging="360"/>
      </w:pPr>
    </w:lvl>
    <w:lvl w:ilvl="1">
      <w:start w:val="100"/>
      <w:numFmt w:val="decimal"/>
      <w:lvlText w:val="(%2)"/>
      <w:lvlJc w:val="left"/>
      <w:pPr>
        <w:ind w:left="1440" w:hanging="360"/>
      </w:pPr>
    </w:lvl>
    <w:lvl w:ilvl="2">
      <w:start w:val="100"/>
      <w:numFmt w:val="decimal"/>
      <w:lvlText w:val="(%3)"/>
      <w:lvlJc w:val="left"/>
      <w:pPr>
        <w:ind w:left="2160" w:hanging="360"/>
      </w:pPr>
    </w:lvl>
    <w:lvl w:ilvl="3">
      <w:start w:val="100"/>
      <w:numFmt w:val="decimal"/>
      <w:lvlText w:val="(%4)"/>
      <w:lvlJc w:val="left"/>
      <w:pPr>
        <w:ind w:left="2880" w:hanging="360"/>
      </w:pPr>
    </w:lvl>
    <w:lvl w:ilvl="4">
      <w:start w:val="100"/>
      <w:numFmt w:val="decimal"/>
      <w:lvlText w:val="(%5)"/>
      <w:lvlJc w:val="left"/>
      <w:pPr>
        <w:ind w:left="3600" w:hanging="360"/>
      </w:pPr>
    </w:lvl>
    <w:lvl w:ilvl="5">
      <w:start w:val="100"/>
      <w:numFmt w:val="decimal"/>
      <w:lvlText w:val="(%6)"/>
      <w:lvlJc w:val="left"/>
      <w:pPr>
        <w:ind w:left="4320" w:hanging="360"/>
      </w:pPr>
    </w:lvl>
    <w:lvl w:ilvl="6">
      <w:start w:val="100"/>
      <w:numFmt w:val="decimal"/>
      <w:lvlText w:val="(%7)"/>
      <w:lvlJc w:val="left"/>
      <w:pPr>
        <w:ind w:left="5040" w:hanging="360"/>
      </w:pPr>
    </w:lvl>
    <w:lvl w:ilvl="7">
      <w:start w:val="100"/>
      <w:numFmt w:val="decimal"/>
      <w:lvlText w:val="(%8)"/>
      <w:lvlJc w:val="left"/>
      <w:pPr>
        <w:ind w:left="5760" w:hanging="360"/>
      </w:pPr>
    </w:lvl>
    <w:lvl w:ilvl="8">
      <w:start w:val="100"/>
      <w:numFmt w:val="decimal"/>
      <w:lvlText w:val="(%9)"/>
      <w:lvlJc w:val="left"/>
      <w:pPr>
        <w:ind w:left="6480" w:hanging="360"/>
      </w:pPr>
    </w:lvl>
  </w:abstractNum>
  <w:abstractNum w:abstractNumId="9943101">
    <w:nsid w:val="A9943101"/>
    <w:multiLevelType w:val="multilevel"/>
    <w:lvl w:ilvl="0">
      <w:start w:val="101"/>
      <w:numFmt w:val="decimal"/>
      <w:lvlText w:val="(%1)"/>
      <w:lvlJc w:val="left"/>
      <w:pPr>
        <w:ind w:left="720" w:hanging="360"/>
      </w:pPr>
    </w:lvl>
    <w:lvl w:ilvl="1">
      <w:start w:val="101"/>
      <w:numFmt w:val="decimal"/>
      <w:lvlText w:val="(%2)"/>
      <w:lvlJc w:val="left"/>
      <w:pPr>
        <w:ind w:left="1440" w:hanging="360"/>
      </w:pPr>
    </w:lvl>
    <w:lvl w:ilvl="2">
      <w:start w:val="101"/>
      <w:numFmt w:val="decimal"/>
      <w:lvlText w:val="(%3)"/>
      <w:lvlJc w:val="left"/>
      <w:pPr>
        <w:ind w:left="2160" w:hanging="360"/>
      </w:pPr>
    </w:lvl>
    <w:lvl w:ilvl="3">
      <w:start w:val="101"/>
      <w:numFmt w:val="decimal"/>
      <w:lvlText w:val="(%4)"/>
      <w:lvlJc w:val="left"/>
      <w:pPr>
        <w:ind w:left="2880" w:hanging="360"/>
      </w:pPr>
    </w:lvl>
    <w:lvl w:ilvl="4">
      <w:start w:val="101"/>
      <w:numFmt w:val="decimal"/>
      <w:lvlText w:val="(%5)"/>
      <w:lvlJc w:val="left"/>
      <w:pPr>
        <w:ind w:left="3600" w:hanging="360"/>
      </w:pPr>
    </w:lvl>
    <w:lvl w:ilvl="5">
      <w:start w:val="101"/>
      <w:numFmt w:val="decimal"/>
      <w:lvlText w:val="(%6)"/>
      <w:lvlJc w:val="left"/>
      <w:pPr>
        <w:ind w:left="4320" w:hanging="360"/>
      </w:pPr>
    </w:lvl>
    <w:lvl w:ilvl="6">
      <w:start w:val="101"/>
      <w:numFmt w:val="decimal"/>
      <w:lvlText w:val="(%7)"/>
      <w:lvlJc w:val="left"/>
      <w:pPr>
        <w:ind w:left="5040" w:hanging="360"/>
      </w:pPr>
    </w:lvl>
    <w:lvl w:ilvl="7">
      <w:start w:val="101"/>
      <w:numFmt w:val="decimal"/>
      <w:lvlText w:val="(%8)"/>
      <w:lvlJc w:val="left"/>
      <w:pPr>
        <w:ind w:left="5760" w:hanging="360"/>
      </w:pPr>
    </w:lvl>
    <w:lvl w:ilvl="8">
      <w:start w:val="101"/>
      <w:numFmt w:val="decimal"/>
      <w:lvlText w:val="(%9)"/>
      <w:lvlJc w:val="left"/>
      <w:pPr>
        <w:ind w:left="6480" w:hanging="360"/>
      </w:pPr>
    </w:lvl>
  </w:abstractNum>
  <w:abstractNum w:abstractNumId="9943105">
    <w:nsid w:val="A9943105"/>
    <w:multiLevelType w:val="multilevel"/>
    <w:lvl w:ilvl="0">
      <w:start w:val="105"/>
      <w:numFmt w:val="decimal"/>
      <w:lvlText w:val="(%1)"/>
      <w:lvlJc w:val="left"/>
      <w:pPr>
        <w:ind w:left="720" w:hanging="360"/>
      </w:pPr>
    </w:lvl>
    <w:lvl w:ilvl="1">
      <w:start w:val="105"/>
      <w:numFmt w:val="decimal"/>
      <w:lvlText w:val="(%2)"/>
      <w:lvlJc w:val="left"/>
      <w:pPr>
        <w:ind w:left="1440" w:hanging="360"/>
      </w:pPr>
    </w:lvl>
    <w:lvl w:ilvl="2">
      <w:start w:val="105"/>
      <w:numFmt w:val="decimal"/>
      <w:lvlText w:val="(%3)"/>
      <w:lvlJc w:val="left"/>
      <w:pPr>
        <w:ind w:left="2160" w:hanging="360"/>
      </w:pPr>
    </w:lvl>
    <w:lvl w:ilvl="3">
      <w:start w:val="105"/>
      <w:numFmt w:val="decimal"/>
      <w:lvlText w:val="(%4)"/>
      <w:lvlJc w:val="left"/>
      <w:pPr>
        <w:ind w:left="2880" w:hanging="360"/>
      </w:pPr>
    </w:lvl>
    <w:lvl w:ilvl="4">
      <w:start w:val="105"/>
      <w:numFmt w:val="decimal"/>
      <w:lvlText w:val="(%5)"/>
      <w:lvlJc w:val="left"/>
      <w:pPr>
        <w:ind w:left="3600" w:hanging="360"/>
      </w:pPr>
    </w:lvl>
    <w:lvl w:ilvl="5">
      <w:start w:val="105"/>
      <w:numFmt w:val="decimal"/>
      <w:lvlText w:val="(%6)"/>
      <w:lvlJc w:val="left"/>
      <w:pPr>
        <w:ind w:left="4320" w:hanging="360"/>
      </w:pPr>
    </w:lvl>
    <w:lvl w:ilvl="6">
      <w:start w:val="105"/>
      <w:numFmt w:val="decimal"/>
      <w:lvlText w:val="(%7)"/>
      <w:lvlJc w:val="left"/>
      <w:pPr>
        <w:ind w:left="5040" w:hanging="360"/>
      </w:pPr>
    </w:lvl>
    <w:lvl w:ilvl="7">
      <w:start w:val="105"/>
      <w:numFmt w:val="decimal"/>
      <w:lvlText w:val="(%8)"/>
      <w:lvlJc w:val="left"/>
      <w:pPr>
        <w:ind w:left="5760" w:hanging="360"/>
      </w:pPr>
    </w:lvl>
    <w:lvl w:ilvl="8">
      <w:start w:val="105"/>
      <w:numFmt w:val="decimal"/>
      <w:lvlText w:val="(%9)"/>
      <w:lvlJc w:val="left"/>
      <w:pPr>
        <w:ind w:left="6480" w:hanging="360"/>
      </w:pPr>
    </w:lvl>
  </w:abstractNum>
  <w:abstractNum w:abstractNumId="9943107">
    <w:nsid w:val="A9943107"/>
    <w:multiLevelType w:val="multilevel"/>
    <w:lvl w:ilvl="0">
      <w:start w:val="107"/>
      <w:numFmt w:val="decimal"/>
      <w:lvlText w:val="(%1)"/>
      <w:lvlJc w:val="left"/>
      <w:pPr>
        <w:ind w:left="720" w:hanging="360"/>
      </w:pPr>
    </w:lvl>
    <w:lvl w:ilvl="1">
      <w:start w:val="107"/>
      <w:numFmt w:val="decimal"/>
      <w:lvlText w:val="(%2)"/>
      <w:lvlJc w:val="left"/>
      <w:pPr>
        <w:ind w:left="1440" w:hanging="360"/>
      </w:pPr>
    </w:lvl>
    <w:lvl w:ilvl="2">
      <w:start w:val="107"/>
      <w:numFmt w:val="decimal"/>
      <w:lvlText w:val="(%3)"/>
      <w:lvlJc w:val="left"/>
      <w:pPr>
        <w:ind w:left="2160" w:hanging="360"/>
      </w:pPr>
    </w:lvl>
    <w:lvl w:ilvl="3">
      <w:start w:val="107"/>
      <w:numFmt w:val="decimal"/>
      <w:lvlText w:val="(%4)"/>
      <w:lvlJc w:val="left"/>
      <w:pPr>
        <w:ind w:left="2880" w:hanging="360"/>
      </w:pPr>
    </w:lvl>
    <w:lvl w:ilvl="4">
      <w:start w:val="107"/>
      <w:numFmt w:val="decimal"/>
      <w:lvlText w:val="(%5)"/>
      <w:lvlJc w:val="left"/>
      <w:pPr>
        <w:ind w:left="3600" w:hanging="360"/>
      </w:pPr>
    </w:lvl>
    <w:lvl w:ilvl="5">
      <w:start w:val="107"/>
      <w:numFmt w:val="decimal"/>
      <w:lvlText w:val="(%6)"/>
      <w:lvlJc w:val="left"/>
      <w:pPr>
        <w:ind w:left="4320" w:hanging="360"/>
      </w:pPr>
    </w:lvl>
    <w:lvl w:ilvl="6">
      <w:start w:val="107"/>
      <w:numFmt w:val="decimal"/>
      <w:lvlText w:val="(%7)"/>
      <w:lvlJc w:val="left"/>
      <w:pPr>
        <w:ind w:left="5040" w:hanging="360"/>
      </w:pPr>
    </w:lvl>
    <w:lvl w:ilvl="7">
      <w:start w:val="107"/>
      <w:numFmt w:val="decimal"/>
      <w:lvlText w:val="(%8)"/>
      <w:lvlJc w:val="left"/>
      <w:pPr>
        <w:ind w:left="5760" w:hanging="360"/>
      </w:pPr>
    </w:lvl>
    <w:lvl w:ilvl="8">
      <w:start w:val="107"/>
      <w:numFmt w:val="decimal"/>
      <w:lvlText w:val="(%9)"/>
      <w:lvlJc w:val="left"/>
      <w:pPr>
        <w:ind w:left="6480" w:hanging="360"/>
      </w:pPr>
    </w:lvl>
  </w:abstractNum>
  <w:abstractNum w:abstractNumId="9943108">
    <w:nsid w:val="A9943108"/>
    <w:multiLevelType w:val="multilevel"/>
    <w:lvl w:ilvl="0">
      <w:start w:val="108"/>
      <w:numFmt w:val="decimal"/>
      <w:lvlText w:val="(%1)"/>
      <w:lvlJc w:val="left"/>
      <w:pPr>
        <w:ind w:left="720" w:hanging="360"/>
      </w:pPr>
    </w:lvl>
    <w:lvl w:ilvl="1">
      <w:start w:val="108"/>
      <w:numFmt w:val="decimal"/>
      <w:lvlText w:val="(%2)"/>
      <w:lvlJc w:val="left"/>
      <w:pPr>
        <w:ind w:left="1440" w:hanging="360"/>
      </w:pPr>
    </w:lvl>
    <w:lvl w:ilvl="2">
      <w:start w:val="108"/>
      <w:numFmt w:val="decimal"/>
      <w:lvlText w:val="(%3)"/>
      <w:lvlJc w:val="left"/>
      <w:pPr>
        <w:ind w:left="2160" w:hanging="360"/>
      </w:pPr>
    </w:lvl>
    <w:lvl w:ilvl="3">
      <w:start w:val="108"/>
      <w:numFmt w:val="decimal"/>
      <w:lvlText w:val="(%4)"/>
      <w:lvlJc w:val="left"/>
      <w:pPr>
        <w:ind w:left="2880" w:hanging="360"/>
      </w:pPr>
    </w:lvl>
    <w:lvl w:ilvl="4">
      <w:start w:val="108"/>
      <w:numFmt w:val="decimal"/>
      <w:lvlText w:val="(%5)"/>
      <w:lvlJc w:val="left"/>
      <w:pPr>
        <w:ind w:left="3600" w:hanging="360"/>
      </w:pPr>
    </w:lvl>
    <w:lvl w:ilvl="5">
      <w:start w:val="108"/>
      <w:numFmt w:val="decimal"/>
      <w:lvlText w:val="(%6)"/>
      <w:lvlJc w:val="left"/>
      <w:pPr>
        <w:ind w:left="4320" w:hanging="360"/>
      </w:pPr>
    </w:lvl>
    <w:lvl w:ilvl="6">
      <w:start w:val="108"/>
      <w:numFmt w:val="decimal"/>
      <w:lvlText w:val="(%7)"/>
      <w:lvlJc w:val="left"/>
      <w:pPr>
        <w:ind w:left="5040" w:hanging="360"/>
      </w:pPr>
    </w:lvl>
    <w:lvl w:ilvl="7">
      <w:start w:val="108"/>
      <w:numFmt w:val="decimal"/>
      <w:lvlText w:val="(%8)"/>
      <w:lvlJc w:val="left"/>
      <w:pPr>
        <w:ind w:left="5760" w:hanging="360"/>
      </w:pPr>
    </w:lvl>
    <w:lvl w:ilvl="8">
      <w:start w:val="108"/>
      <w:numFmt w:val="decimal"/>
      <w:lvlText w:val="(%9)"/>
      <w:lvlJc w:val="left"/>
      <w:pPr>
        <w:ind w:left="6480" w:hanging="360"/>
      </w:pPr>
    </w:lvl>
  </w:abstractNum>
  <w:abstractNum w:abstractNumId="99412019">
    <w:nsid w:val="A99412019"/>
    <w:multiLevelType w:val="multilevel"/>
    <w:lvl w:ilvl="0">
      <w:start w:val="2019"/>
      <w:numFmt w:val="decimal"/>
      <w:lvlText w:val="%1."/>
      <w:lvlJc w:val="left"/>
      <w:pPr>
        <w:ind w:left="720" w:hanging="360"/>
      </w:pPr>
    </w:lvl>
    <w:lvl w:ilvl="1">
      <w:start w:val="2019"/>
      <w:numFmt w:val="decimal"/>
      <w:lvlText w:val="%2."/>
      <w:lvlJc w:val="left"/>
      <w:pPr>
        <w:ind w:left="1440" w:hanging="360"/>
      </w:pPr>
    </w:lvl>
    <w:lvl w:ilvl="2">
      <w:start w:val="2019"/>
      <w:numFmt w:val="decimal"/>
      <w:lvlText w:val="%3."/>
      <w:lvlJc w:val="left"/>
      <w:pPr>
        <w:ind w:left="2160" w:hanging="360"/>
      </w:pPr>
    </w:lvl>
    <w:lvl w:ilvl="3">
      <w:start w:val="2019"/>
      <w:numFmt w:val="decimal"/>
      <w:lvlText w:val="%4."/>
      <w:lvlJc w:val="left"/>
      <w:pPr>
        <w:ind w:left="2880" w:hanging="360"/>
      </w:pPr>
    </w:lvl>
    <w:lvl w:ilvl="4">
      <w:start w:val="2019"/>
      <w:numFmt w:val="decimal"/>
      <w:lvlText w:val="%5."/>
      <w:lvlJc w:val="left"/>
      <w:pPr>
        <w:ind w:left="3600" w:hanging="360"/>
      </w:pPr>
    </w:lvl>
    <w:lvl w:ilvl="5">
      <w:start w:val="2019"/>
      <w:numFmt w:val="decimal"/>
      <w:lvlText w:val="%6."/>
      <w:lvlJc w:val="left"/>
      <w:pPr>
        <w:ind w:left="4320" w:hanging="360"/>
      </w:pPr>
    </w:lvl>
    <w:lvl w:ilvl="6">
      <w:start w:val="2019"/>
      <w:numFmt w:val="decimal"/>
      <w:lvlText w:val="%7."/>
      <w:lvlJc w:val="left"/>
      <w:pPr>
        <w:ind w:left="5040" w:hanging="360"/>
      </w:pPr>
    </w:lvl>
    <w:lvl w:ilvl="7">
      <w:start w:val="2019"/>
      <w:numFmt w:val="decimal"/>
      <w:lvlText w:val="%8."/>
      <w:lvlJc w:val="left"/>
      <w:pPr>
        <w:ind w:left="5760" w:hanging="360"/>
      </w:pPr>
    </w:lvl>
    <w:lvl w:ilvl="8">
      <w:start w:val="2019"/>
      <w:numFmt w:val="decimal"/>
      <w:lvlText w:val="%9."/>
      <w:lvlJc w:val="left"/>
      <w:pPr>
        <w:ind w:left="6480" w:hanging="360"/>
      </w:pPr>
    </w:lvl>
  </w:abstractNum>
  <w:abstractNum w:abstractNumId="9943109">
    <w:nsid w:val="A9943109"/>
    <w:multiLevelType w:val="multilevel"/>
    <w:lvl w:ilvl="0">
      <w:start w:val="109"/>
      <w:numFmt w:val="decimal"/>
      <w:lvlText w:val="(%1)"/>
      <w:lvlJc w:val="left"/>
      <w:pPr>
        <w:ind w:left="720" w:hanging="360"/>
      </w:pPr>
    </w:lvl>
    <w:lvl w:ilvl="1">
      <w:start w:val="109"/>
      <w:numFmt w:val="decimal"/>
      <w:lvlText w:val="(%2)"/>
      <w:lvlJc w:val="left"/>
      <w:pPr>
        <w:ind w:left="1440" w:hanging="360"/>
      </w:pPr>
    </w:lvl>
    <w:lvl w:ilvl="2">
      <w:start w:val="109"/>
      <w:numFmt w:val="decimal"/>
      <w:lvlText w:val="(%3)"/>
      <w:lvlJc w:val="left"/>
      <w:pPr>
        <w:ind w:left="2160" w:hanging="360"/>
      </w:pPr>
    </w:lvl>
    <w:lvl w:ilvl="3">
      <w:start w:val="109"/>
      <w:numFmt w:val="decimal"/>
      <w:lvlText w:val="(%4)"/>
      <w:lvlJc w:val="left"/>
      <w:pPr>
        <w:ind w:left="2880" w:hanging="360"/>
      </w:pPr>
    </w:lvl>
    <w:lvl w:ilvl="4">
      <w:start w:val="109"/>
      <w:numFmt w:val="decimal"/>
      <w:lvlText w:val="(%5)"/>
      <w:lvlJc w:val="left"/>
      <w:pPr>
        <w:ind w:left="3600" w:hanging="360"/>
      </w:pPr>
    </w:lvl>
    <w:lvl w:ilvl="5">
      <w:start w:val="109"/>
      <w:numFmt w:val="decimal"/>
      <w:lvlText w:val="(%6)"/>
      <w:lvlJc w:val="left"/>
      <w:pPr>
        <w:ind w:left="4320" w:hanging="360"/>
      </w:pPr>
    </w:lvl>
    <w:lvl w:ilvl="6">
      <w:start w:val="109"/>
      <w:numFmt w:val="decimal"/>
      <w:lvlText w:val="(%7)"/>
      <w:lvlJc w:val="left"/>
      <w:pPr>
        <w:ind w:left="5040" w:hanging="360"/>
      </w:pPr>
    </w:lvl>
    <w:lvl w:ilvl="7">
      <w:start w:val="109"/>
      <w:numFmt w:val="decimal"/>
      <w:lvlText w:val="(%8)"/>
      <w:lvlJc w:val="left"/>
      <w:pPr>
        <w:ind w:left="5760" w:hanging="360"/>
      </w:pPr>
    </w:lvl>
    <w:lvl w:ilvl="8">
      <w:start w:val="109"/>
      <w:numFmt w:val="decimal"/>
      <w:lvlText w:val="(%9)"/>
      <w:lvlJc w:val="left"/>
      <w:pPr>
        <w:ind w:left="6480" w:hanging="360"/>
      </w:pPr>
    </w:lvl>
  </w:abstractNum>
  <w:abstractNum w:abstractNumId="9943110">
    <w:nsid w:val="A9943110"/>
    <w:multiLevelType w:val="multilevel"/>
    <w:lvl w:ilvl="0">
      <w:start w:val="110"/>
      <w:numFmt w:val="decimal"/>
      <w:lvlText w:val="(%1)"/>
      <w:lvlJc w:val="left"/>
      <w:pPr>
        <w:ind w:left="720" w:hanging="360"/>
      </w:pPr>
    </w:lvl>
    <w:lvl w:ilvl="1">
      <w:start w:val="110"/>
      <w:numFmt w:val="decimal"/>
      <w:lvlText w:val="(%2)"/>
      <w:lvlJc w:val="left"/>
      <w:pPr>
        <w:ind w:left="1440" w:hanging="360"/>
      </w:pPr>
    </w:lvl>
    <w:lvl w:ilvl="2">
      <w:start w:val="110"/>
      <w:numFmt w:val="decimal"/>
      <w:lvlText w:val="(%3)"/>
      <w:lvlJc w:val="left"/>
      <w:pPr>
        <w:ind w:left="2160" w:hanging="360"/>
      </w:pPr>
    </w:lvl>
    <w:lvl w:ilvl="3">
      <w:start w:val="110"/>
      <w:numFmt w:val="decimal"/>
      <w:lvlText w:val="(%4)"/>
      <w:lvlJc w:val="left"/>
      <w:pPr>
        <w:ind w:left="2880" w:hanging="360"/>
      </w:pPr>
    </w:lvl>
    <w:lvl w:ilvl="4">
      <w:start w:val="110"/>
      <w:numFmt w:val="decimal"/>
      <w:lvlText w:val="(%5)"/>
      <w:lvlJc w:val="left"/>
      <w:pPr>
        <w:ind w:left="3600" w:hanging="360"/>
      </w:pPr>
    </w:lvl>
    <w:lvl w:ilvl="5">
      <w:start w:val="110"/>
      <w:numFmt w:val="decimal"/>
      <w:lvlText w:val="(%6)"/>
      <w:lvlJc w:val="left"/>
      <w:pPr>
        <w:ind w:left="4320" w:hanging="360"/>
      </w:pPr>
    </w:lvl>
    <w:lvl w:ilvl="6">
      <w:start w:val="110"/>
      <w:numFmt w:val="decimal"/>
      <w:lvlText w:val="(%7)"/>
      <w:lvlJc w:val="left"/>
      <w:pPr>
        <w:ind w:left="5040" w:hanging="360"/>
      </w:pPr>
    </w:lvl>
    <w:lvl w:ilvl="7">
      <w:start w:val="110"/>
      <w:numFmt w:val="decimal"/>
      <w:lvlText w:val="(%8)"/>
      <w:lvlJc w:val="left"/>
      <w:pPr>
        <w:ind w:left="5760" w:hanging="360"/>
      </w:pPr>
    </w:lvl>
    <w:lvl w:ilvl="8">
      <w:start w:val="110"/>
      <w:numFmt w:val="decimal"/>
      <w:lvlText w:val="(%9)"/>
      <w:lvlJc w:val="left"/>
      <w:pPr>
        <w:ind w:left="6480" w:hanging="360"/>
      </w:pPr>
    </w:lvl>
  </w:abstractNum>
  <w:abstractNum w:abstractNumId="9943112">
    <w:nsid w:val="A9943112"/>
    <w:multiLevelType w:val="multilevel"/>
    <w:lvl w:ilvl="0">
      <w:start w:val="112"/>
      <w:numFmt w:val="decimal"/>
      <w:lvlText w:val="(%1)"/>
      <w:lvlJc w:val="left"/>
      <w:pPr>
        <w:ind w:left="720" w:hanging="360"/>
      </w:pPr>
    </w:lvl>
    <w:lvl w:ilvl="1">
      <w:start w:val="112"/>
      <w:numFmt w:val="decimal"/>
      <w:lvlText w:val="(%2)"/>
      <w:lvlJc w:val="left"/>
      <w:pPr>
        <w:ind w:left="1440" w:hanging="360"/>
      </w:pPr>
    </w:lvl>
    <w:lvl w:ilvl="2">
      <w:start w:val="112"/>
      <w:numFmt w:val="decimal"/>
      <w:lvlText w:val="(%3)"/>
      <w:lvlJc w:val="left"/>
      <w:pPr>
        <w:ind w:left="2160" w:hanging="360"/>
      </w:pPr>
    </w:lvl>
    <w:lvl w:ilvl="3">
      <w:start w:val="112"/>
      <w:numFmt w:val="decimal"/>
      <w:lvlText w:val="(%4)"/>
      <w:lvlJc w:val="left"/>
      <w:pPr>
        <w:ind w:left="2880" w:hanging="360"/>
      </w:pPr>
    </w:lvl>
    <w:lvl w:ilvl="4">
      <w:start w:val="112"/>
      <w:numFmt w:val="decimal"/>
      <w:lvlText w:val="(%5)"/>
      <w:lvlJc w:val="left"/>
      <w:pPr>
        <w:ind w:left="3600" w:hanging="360"/>
      </w:pPr>
    </w:lvl>
    <w:lvl w:ilvl="5">
      <w:start w:val="112"/>
      <w:numFmt w:val="decimal"/>
      <w:lvlText w:val="(%6)"/>
      <w:lvlJc w:val="left"/>
      <w:pPr>
        <w:ind w:left="4320" w:hanging="360"/>
      </w:pPr>
    </w:lvl>
    <w:lvl w:ilvl="6">
      <w:start w:val="112"/>
      <w:numFmt w:val="decimal"/>
      <w:lvlText w:val="(%7)"/>
      <w:lvlJc w:val="left"/>
      <w:pPr>
        <w:ind w:left="5040" w:hanging="360"/>
      </w:pPr>
    </w:lvl>
    <w:lvl w:ilvl="7">
      <w:start w:val="112"/>
      <w:numFmt w:val="decimal"/>
      <w:lvlText w:val="(%8)"/>
      <w:lvlJc w:val="left"/>
      <w:pPr>
        <w:ind w:left="5760" w:hanging="360"/>
      </w:pPr>
    </w:lvl>
    <w:lvl w:ilvl="8">
      <w:start w:val="112"/>
      <w:numFmt w:val="decimal"/>
      <w:lvlText w:val="(%9)"/>
      <w:lvlJc w:val="left"/>
      <w:pPr>
        <w:ind w:left="6480" w:hanging="360"/>
      </w:pPr>
    </w:lvl>
  </w:abstractNum>
  <w:abstractNum w:abstractNumId="9943113">
    <w:nsid w:val="A9943113"/>
    <w:multiLevelType w:val="multilevel"/>
    <w:lvl w:ilvl="0">
      <w:start w:val="113"/>
      <w:numFmt w:val="decimal"/>
      <w:lvlText w:val="(%1)"/>
      <w:lvlJc w:val="left"/>
      <w:pPr>
        <w:ind w:left="720" w:hanging="360"/>
      </w:pPr>
    </w:lvl>
    <w:lvl w:ilvl="1">
      <w:start w:val="113"/>
      <w:numFmt w:val="decimal"/>
      <w:lvlText w:val="(%2)"/>
      <w:lvlJc w:val="left"/>
      <w:pPr>
        <w:ind w:left="1440" w:hanging="360"/>
      </w:pPr>
    </w:lvl>
    <w:lvl w:ilvl="2">
      <w:start w:val="113"/>
      <w:numFmt w:val="decimal"/>
      <w:lvlText w:val="(%3)"/>
      <w:lvlJc w:val="left"/>
      <w:pPr>
        <w:ind w:left="2160" w:hanging="360"/>
      </w:pPr>
    </w:lvl>
    <w:lvl w:ilvl="3">
      <w:start w:val="113"/>
      <w:numFmt w:val="decimal"/>
      <w:lvlText w:val="(%4)"/>
      <w:lvlJc w:val="left"/>
      <w:pPr>
        <w:ind w:left="2880" w:hanging="360"/>
      </w:pPr>
    </w:lvl>
    <w:lvl w:ilvl="4">
      <w:start w:val="113"/>
      <w:numFmt w:val="decimal"/>
      <w:lvlText w:val="(%5)"/>
      <w:lvlJc w:val="left"/>
      <w:pPr>
        <w:ind w:left="3600" w:hanging="360"/>
      </w:pPr>
    </w:lvl>
    <w:lvl w:ilvl="5">
      <w:start w:val="113"/>
      <w:numFmt w:val="decimal"/>
      <w:lvlText w:val="(%6)"/>
      <w:lvlJc w:val="left"/>
      <w:pPr>
        <w:ind w:left="4320" w:hanging="360"/>
      </w:pPr>
    </w:lvl>
    <w:lvl w:ilvl="6">
      <w:start w:val="113"/>
      <w:numFmt w:val="decimal"/>
      <w:lvlText w:val="(%7)"/>
      <w:lvlJc w:val="left"/>
      <w:pPr>
        <w:ind w:left="5040" w:hanging="360"/>
      </w:pPr>
    </w:lvl>
    <w:lvl w:ilvl="7">
      <w:start w:val="113"/>
      <w:numFmt w:val="decimal"/>
      <w:lvlText w:val="(%8)"/>
      <w:lvlJc w:val="left"/>
      <w:pPr>
        <w:ind w:left="5760" w:hanging="360"/>
      </w:pPr>
    </w:lvl>
    <w:lvl w:ilvl="8">
      <w:start w:val="113"/>
      <w:numFmt w:val="decimal"/>
      <w:lvlText w:val="(%9)"/>
      <w:lvlJc w:val="left"/>
      <w:pPr>
        <w:ind w:left="6480" w:hanging="360"/>
      </w:pPr>
    </w:lvl>
  </w:abstractNum>
  <w:abstractNum w:abstractNumId="9943114">
    <w:nsid w:val="A9943114"/>
    <w:multiLevelType w:val="multilevel"/>
    <w:lvl w:ilvl="0">
      <w:start w:val="114"/>
      <w:numFmt w:val="decimal"/>
      <w:lvlText w:val="(%1)"/>
      <w:lvlJc w:val="left"/>
      <w:pPr>
        <w:ind w:left="720" w:hanging="360"/>
      </w:pPr>
    </w:lvl>
    <w:lvl w:ilvl="1">
      <w:start w:val="114"/>
      <w:numFmt w:val="decimal"/>
      <w:lvlText w:val="(%2)"/>
      <w:lvlJc w:val="left"/>
      <w:pPr>
        <w:ind w:left="1440" w:hanging="360"/>
      </w:pPr>
    </w:lvl>
    <w:lvl w:ilvl="2">
      <w:start w:val="114"/>
      <w:numFmt w:val="decimal"/>
      <w:lvlText w:val="(%3)"/>
      <w:lvlJc w:val="left"/>
      <w:pPr>
        <w:ind w:left="2160" w:hanging="360"/>
      </w:pPr>
    </w:lvl>
    <w:lvl w:ilvl="3">
      <w:start w:val="114"/>
      <w:numFmt w:val="decimal"/>
      <w:lvlText w:val="(%4)"/>
      <w:lvlJc w:val="left"/>
      <w:pPr>
        <w:ind w:left="2880" w:hanging="360"/>
      </w:pPr>
    </w:lvl>
    <w:lvl w:ilvl="4">
      <w:start w:val="114"/>
      <w:numFmt w:val="decimal"/>
      <w:lvlText w:val="(%5)"/>
      <w:lvlJc w:val="left"/>
      <w:pPr>
        <w:ind w:left="3600" w:hanging="360"/>
      </w:pPr>
    </w:lvl>
    <w:lvl w:ilvl="5">
      <w:start w:val="114"/>
      <w:numFmt w:val="decimal"/>
      <w:lvlText w:val="(%6)"/>
      <w:lvlJc w:val="left"/>
      <w:pPr>
        <w:ind w:left="4320" w:hanging="360"/>
      </w:pPr>
    </w:lvl>
    <w:lvl w:ilvl="6">
      <w:start w:val="114"/>
      <w:numFmt w:val="decimal"/>
      <w:lvlText w:val="(%7)"/>
      <w:lvlJc w:val="left"/>
      <w:pPr>
        <w:ind w:left="5040" w:hanging="360"/>
      </w:pPr>
    </w:lvl>
    <w:lvl w:ilvl="7">
      <w:start w:val="114"/>
      <w:numFmt w:val="decimal"/>
      <w:lvlText w:val="(%8)"/>
      <w:lvlJc w:val="left"/>
      <w:pPr>
        <w:ind w:left="5760" w:hanging="360"/>
      </w:pPr>
    </w:lvl>
    <w:lvl w:ilvl="8">
      <w:start w:val="114"/>
      <w:numFmt w:val="decimal"/>
      <w:lvlText w:val="(%9)"/>
      <w:lvlJc w:val="left"/>
      <w:pPr>
        <w:ind w:left="6480" w:hanging="360"/>
      </w:pPr>
    </w:lvl>
  </w:abstractNum>
  <w:abstractNum w:abstractNumId="9943115">
    <w:nsid w:val="A9943115"/>
    <w:multiLevelType w:val="multilevel"/>
    <w:lvl w:ilvl="0">
      <w:start w:val="115"/>
      <w:numFmt w:val="decimal"/>
      <w:lvlText w:val="(%1)"/>
      <w:lvlJc w:val="left"/>
      <w:pPr>
        <w:ind w:left="720" w:hanging="360"/>
      </w:pPr>
    </w:lvl>
    <w:lvl w:ilvl="1">
      <w:start w:val="115"/>
      <w:numFmt w:val="decimal"/>
      <w:lvlText w:val="(%2)"/>
      <w:lvlJc w:val="left"/>
      <w:pPr>
        <w:ind w:left="1440" w:hanging="360"/>
      </w:pPr>
    </w:lvl>
    <w:lvl w:ilvl="2">
      <w:start w:val="115"/>
      <w:numFmt w:val="decimal"/>
      <w:lvlText w:val="(%3)"/>
      <w:lvlJc w:val="left"/>
      <w:pPr>
        <w:ind w:left="2160" w:hanging="360"/>
      </w:pPr>
    </w:lvl>
    <w:lvl w:ilvl="3">
      <w:start w:val="115"/>
      <w:numFmt w:val="decimal"/>
      <w:lvlText w:val="(%4)"/>
      <w:lvlJc w:val="left"/>
      <w:pPr>
        <w:ind w:left="2880" w:hanging="360"/>
      </w:pPr>
    </w:lvl>
    <w:lvl w:ilvl="4">
      <w:start w:val="115"/>
      <w:numFmt w:val="decimal"/>
      <w:lvlText w:val="(%5)"/>
      <w:lvlJc w:val="left"/>
      <w:pPr>
        <w:ind w:left="3600" w:hanging="360"/>
      </w:pPr>
    </w:lvl>
    <w:lvl w:ilvl="5">
      <w:start w:val="115"/>
      <w:numFmt w:val="decimal"/>
      <w:lvlText w:val="(%6)"/>
      <w:lvlJc w:val="left"/>
      <w:pPr>
        <w:ind w:left="4320" w:hanging="360"/>
      </w:pPr>
    </w:lvl>
    <w:lvl w:ilvl="6">
      <w:start w:val="115"/>
      <w:numFmt w:val="decimal"/>
      <w:lvlText w:val="(%7)"/>
      <w:lvlJc w:val="left"/>
      <w:pPr>
        <w:ind w:left="5040" w:hanging="360"/>
      </w:pPr>
    </w:lvl>
    <w:lvl w:ilvl="7">
      <w:start w:val="115"/>
      <w:numFmt w:val="decimal"/>
      <w:lvlText w:val="(%8)"/>
      <w:lvlJc w:val="left"/>
      <w:pPr>
        <w:ind w:left="5760" w:hanging="360"/>
      </w:pPr>
    </w:lvl>
    <w:lvl w:ilvl="8">
      <w:start w:val="115"/>
      <w:numFmt w:val="decimal"/>
      <w:lvlText w:val="(%9)"/>
      <w:lvlJc w:val="left"/>
      <w:pPr>
        <w:ind w:left="6480" w:hanging="360"/>
      </w:pPr>
    </w:lvl>
  </w:abstractNum>
  <w:abstractNum w:abstractNumId="9943118">
    <w:nsid w:val="A9943118"/>
    <w:multiLevelType w:val="multilevel"/>
    <w:lvl w:ilvl="0">
      <w:start w:val="118"/>
      <w:numFmt w:val="decimal"/>
      <w:lvlText w:val="(%1)"/>
      <w:lvlJc w:val="left"/>
      <w:pPr>
        <w:ind w:left="720" w:hanging="360"/>
      </w:pPr>
    </w:lvl>
    <w:lvl w:ilvl="1">
      <w:start w:val="118"/>
      <w:numFmt w:val="decimal"/>
      <w:lvlText w:val="(%2)"/>
      <w:lvlJc w:val="left"/>
      <w:pPr>
        <w:ind w:left="1440" w:hanging="360"/>
      </w:pPr>
    </w:lvl>
    <w:lvl w:ilvl="2">
      <w:start w:val="118"/>
      <w:numFmt w:val="decimal"/>
      <w:lvlText w:val="(%3)"/>
      <w:lvlJc w:val="left"/>
      <w:pPr>
        <w:ind w:left="2160" w:hanging="360"/>
      </w:pPr>
    </w:lvl>
    <w:lvl w:ilvl="3">
      <w:start w:val="118"/>
      <w:numFmt w:val="decimal"/>
      <w:lvlText w:val="(%4)"/>
      <w:lvlJc w:val="left"/>
      <w:pPr>
        <w:ind w:left="2880" w:hanging="360"/>
      </w:pPr>
    </w:lvl>
    <w:lvl w:ilvl="4">
      <w:start w:val="118"/>
      <w:numFmt w:val="decimal"/>
      <w:lvlText w:val="(%5)"/>
      <w:lvlJc w:val="left"/>
      <w:pPr>
        <w:ind w:left="3600" w:hanging="360"/>
      </w:pPr>
    </w:lvl>
    <w:lvl w:ilvl="5">
      <w:start w:val="118"/>
      <w:numFmt w:val="decimal"/>
      <w:lvlText w:val="(%6)"/>
      <w:lvlJc w:val="left"/>
      <w:pPr>
        <w:ind w:left="4320" w:hanging="360"/>
      </w:pPr>
    </w:lvl>
    <w:lvl w:ilvl="6">
      <w:start w:val="118"/>
      <w:numFmt w:val="decimal"/>
      <w:lvlText w:val="(%7)"/>
      <w:lvlJc w:val="left"/>
      <w:pPr>
        <w:ind w:left="5040" w:hanging="360"/>
      </w:pPr>
    </w:lvl>
    <w:lvl w:ilvl="7">
      <w:start w:val="118"/>
      <w:numFmt w:val="decimal"/>
      <w:lvlText w:val="(%8)"/>
      <w:lvlJc w:val="left"/>
      <w:pPr>
        <w:ind w:left="5760" w:hanging="360"/>
      </w:pPr>
    </w:lvl>
    <w:lvl w:ilvl="8">
      <w:start w:val="118"/>
      <w:numFmt w:val="decimal"/>
      <w:lvlText w:val="(%9)"/>
      <w:lvlJc w:val="left"/>
      <w:pPr>
        <w:ind w:left="6480" w:hanging="360"/>
      </w:pPr>
    </w:lvl>
  </w:abstractNum>
  <w:abstractNum w:abstractNumId="9943119">
    <w:nsid w:val="A9943119"/>
    <w:multiLevelType w:val="multilevel"/>
    <w:lvl w:ilvl="0">
      <w:start w:val="119"/>
      <w:numFmt w:val="decimal"/>
      <w:lvlText w:val="(%1)"/>
      <w:lvlJc w:val="left"/>
      <w:pPr>
        <w:ind w:left="720" w:hanging="360"/>
      </w:pPr>
    </w:lvl>
    <w:lvl w:ilvl="1">
      <w:start w:val="119"/>
      <w:numFmt w:val="decimal"/>
      <w:lvlText w:val="(%2)"/>
      <w:lvlJc w:val="left"/>
      <w:pPr>
        <w:ind w:left="1440" w:hanging="360"/>
      </w:pPr>
    </w:lvl>
    <w:lvl w:ilvl="2">
      <w:start w:val="119"/>
      <w:numFmt w:val="decimal"/>
      <w:lvlText w:val="(%3)"/>
      <w:lvlJc w:val="left"/>
      <w:pPr>
        <w:ind w:left="2160" w:hanging="360"/>
      </w:pPr>
    </w:lvl>
    <w:lvl w:ilvl="3">
      <w:start w:val="119"/>
      <w:numFmt w:val="decimal"/>
      <w:lvlText w:val="(%4)"/>
      <w:lvlJc w:val="left"/>
      <w:pPr>
        <w:ind w:left="2880" w:hanging="360"/>
      </w:pPr>
    </w:lvl>
    <w:lvl w:ilvl="4">
      <w:start w:val="119"/>
      <w:numFmt w:val="decimal"/>
      <w:lvlText w:val="(%5)"/>
      <w:lvlJc w:val="left"/>
      <w:pPr>
        <w:ind w:left="3600" w:hanging="360"/>
      </w:pPr>
    </w:lvl>
    <w:lvl w:ilvl="5">
      <w:start w:val="119"/>
      <w:numFmt w:val="decimal"/>
      <w:lvlText w:val="(%6)"/>
      <w:lvlJc w:val="left"/>
      <w:pPr>
        <w:ind w:left="4320" w:hanging="360"/>
      </w:pPr>
    </w:lvl>
    <w:lvl w:ilvl="6">
      <w:start w:val="119"/>
      <w:numFmt w:val="decimal"/>
      <w:lvlText w:val="(%7)"/>
      <w:lvlJc w:val="left"/>
      <w:pPr>
        <w:ind w:left="5040" w:hanging="360"/>
      </w:pPr>
    </w:lvl>
    <w:lvl w:ilvl="7">
      <w:start w:val="119"/>
      <w:numFmt w:val="decimal"/>
      <w:lvlText w:val="(%8)"/>
      <w:lvlJc w:val="left"/>
      <w:pPr>
        <w:ind w:left="5760" w:hanging="360"/>
      </w:pPr>
    </w:lvl>
    <w:lvl w:ilvl="8">
      <w:start w:val="119"/>
      <w:numFmt w:val="decimal"/>
      <w:lvlText w:val="(%9)"/>
      <w:lvlJc w:val="left"/>
      <w:pPr>
        <w:ind w:left="6480" w:hanging="360"/>
      </w:pPr>
    </w:lvl>
  </w:abstractNum>
  <w:abstractNum w:abstractNumId="9943120">
    <w:nsid w:val="A9943120"/>
    <w:multiLevelType w:val="multilevel"/>
    <w:lvl w:ilvl="0">
      <w:start w:val="120"/>
      <w:numFmt w:val="decimal"/>
      <w:lvlText w:val="(%1)"/>
      <w:lvlJc w:val="left"/>
      <w:pPr>
        <w:ind w:left="720" w:hanging="360"/>
      </w:pPr>
    </w:lvl>
    <w:lvl w:ilvl="1">
      <w:start w:val="120"/>
      <w:numFmt w:val="decimal"/>
      <w:lvlText w:val="(%2)"/>
      <w:lvlJc w:val="left"/>
      <w:pPr>
        <w:ind w:left="1440" w:hanging="360"/>
      </w:pPr>
    </w:lvl>
    <w:lvl w:ilvl="2">
      <w:start w:val="120"/>
      <w:numFmt w:val="decimal"/>
      <w:lvlText w:val="(%3)"/>
      <w:lvlJc w:val="left"/>
      <w:pPr>
        <w:ind w:left="2160" w:hanging="360"/>
      </w:pPr>
    </w:lvl>
    <w:lvl w:ilvl="3">
      <w:start w:val="120"/>
      <w:numFmt w:val="decimal"/>
      <w:lvlText w:val="(%4)"/>
      <w:lvlJc w:val="left"/>
      <w:pPr>
        <w:ind w:left="2880" w:hanging="360"/>
      </w:pPr>
    </w:lvl>
    <w:lvl w:ilvl="4">
      <w:start w:val="120"/>
      <w:numFmt w:val="decimal"/>
      <w:lvlText w:val="(%5)"/>
      <w:lvlJc w:val="left"/>
      <w:pPr>
        <w:ind w:left="3600" w:hanging="360"/>
      </w:pPr>
    </w:lvl>
    <w:lvl w:ilvl="5">
      <w:start w:val="120"/>
      <w:numFmt w:val="decimal"/>
      <w:lvlText w:val="(%6)"/>
      <w:lvlJc w:val="left"/>
      <w:pPr>
        <w:ind w:left="4320" w:hanging="360"/>
      </w:pPr>
    </w:lvl>
    <w:lvl w:ilvl="6">
      <w:start w:val="120"/>
      <w:numFmt w:val="decimal"/>
      <w:lvlText w:val="(%7)"/>
      <w:lvlJc w:val="left"/>
      <w:pPr>
        <w:ind w:left="5040" w:hanging="360"/>
      </w:pPr>
    </w:lvl>
    <w:lvl w:ilvl="7">
      <w:start w:val="120"/>
      <w:numFmt w:val="decimal"/>
      <w:lvlText w:val="(%8)"/>
      <w:lvlJc w:val="left"/>
      <w:pPr>
        <w:ind w:left="5760" w:hanging="360"/>
      </w:pPr>
    </w:lvl>
    <w:lvl w:ilvl="8">
      <w:start w:val="120"/>
      <w:numFmt w:val="decimal"/>
      <w:lvlText w:val="(%9)"/>
      <w:lvlJc w:val="left"/>
      <w:pPr>
        <w:ind w:left="6480" w:hanging="360"/>
      </w:pPr>
    </w:lvl>
  </w:abstractNum>
  <w:abstractNum w:abstractNumId="9943123">
    <w:nsid w:val="A9943123"/>
    <w:multiLevelType w:val="multilevel"/>
    <w:lvl w:ilvl="0">
      <w:start w:val="123"/>
      <w:numFmt w:val="decimal"/>
      <w:lvlText w:val="(%1)"/>
      <w:lvlJc w:val="left"/>
      <w:pPr>
        <w:ind w:left="720" w:hanging="360"/>
      </w:pPr>
    </w:lvl>
    <w:lvl w:ilvl="1">
      <w:start w:val="123"/>
      <w:numFmt w:val="decimal"/>
      <w:lvlText w:val="(%2)"/>
      <w:lvlJc w:val="left"/>
      <w:pPr>
        <w:ind w:left="1440" w:hanging="360"/>
      </w:pPr>
    </w:lvl>
    <w:lvl w:ilvl="2">
      <w:start w:val="123"/>
      <w:numFmt w:val="decimal"/>
      <w:lvlText w:val="(%3)"/>
      <w:lvlJc w:val="left"/>
      <w:pPr>
        <w:ind w:left="2160" w:hanging="360"/>
      </w:pPr>
    </w:lvl>
    <w:lvl w:ilvl="3">
      <w:start w:val="123"/>
      <w:numFmt w:val="decimal"/>
      <w:lvlText w:val="(%4)"/>
      <w:lvlJc w:val="left"/>
      <w:pPr>
        <w:ind w:left="2880" w:hanging="360"/>
      </w:pPr>
    </w:lvl>
    <w:lvl w:ilvl="4">
      <w:start w:val="123"/>
      <w:numFmt w:val="decimal"/>
      <w:lvlText w:val="(%5)"/>
      <w:lvlJc w:val="left"/>
      <w:pPr>
        <w:ind w:left="3600" w:hanging="360"/>
      </w:pPr>
    </w:lvl>
    <w:lvl w:ilvl="5">
      <w:start w:val="123"/>
      <w:numFmt w:val="decimal"/>
      <w:lvlText w:val="(%6)"/>
      <w:lvlJc w:val="left"/>
      <w:pPr>
        <w:ind w:left="4320" w:hanging="360"/>
      </w:pPr>
    </w:lvl>
    <w:lvl w:ilvl="6">
      <w:start w:val="123"/>
      <w:numFmt w:val="decimal"/>
      <w:lvlText w:val="(%7)"/>
      <w:lvlJc w:val="left"/>
      <w:pPr>
        <w:ind w:left="5040" w:hanging="360"/>
      </w:pPr>
    </w:lvl>
    <w:lvl w:ilvl="7">
      <w:start w:val="123"/>
      <w:numFmt w:val="decimal"/>
      <w:lvlText w:val="(%8)"/>
      <w:lvlJc w:val="left"/>
      <w:pPr>
        <w:ind w:left="5760" w:hanging="360"/>
      </w:pPr>
    </w:lvl>
    <w:lvl w:ilvl="8">
      <w:start w:val="123"/>
      <w:numFmt w:val="decimal"/>
      <w:lvlText w:val="(%9)"/>
      <w:lvlJc w:val="left"/>
      <w:pPr>
        <w:ind w:left="6480" w:hanging="360"/>
      </w:pPr>
    </w:lvl>
  </w:abstractNum>
  <w:abstractNum w:abstractNumId="9943127">
    <w:nsid w:val="A9943127"/>
    <w:multiLevelType w:val="multilevel"/>
    <w:lvl w:ilvl="0">
      <w:start w:val="127"/>
      <w:numFmt w:val="decimal"/>
      <w:lvlText w:val="(%1)"/>
      <w:lvlJc w:val="left"/>
      <w:pPr>
        <w:ind w:left="720" w:hanging="360"/>
      </w:pPr>
    </w:lvl>
    <w:lvl w:ilvl="1">
      <w:start w:val="127"/>
      <w:numFmt w:val="decimal"/>
      <w:lvlText w:val="(%2)"/>
      <w:lvlJc w:val="left"/>
      <w:pPr>
        <w:ind w:left="1440" w:hanging="360"/>
      </w:pPr>
    </w:lvl>
    <w:lvl w:ilvl="2">
      <w:start w:val="127"/>
      <w:numFmt w:val="decimal"/>
      <w:lvlText w:val="(%3)"/>
      <w:lvlJc w:val="left"/>
      <w:pPr>
        <w:ind w:left="2160" w:hanging="360"/>
      </w:pPr>
    </w:lvl>
    <w:lvl w:ilvl="3">
      <w:start w:val="127"/>
      <w:numFmt w:val="decimal"/>
      <w:lvlText w:val="(%4)"/>
      <w:lvlJc w:val="left"/>
      <w:pPr>
        <w:ind w:left="2880" w:hanging="360"/>
      </w:pPr>
    </w:lvl>
    <w:lvl w:ilvl="4">
      <w:start w:val="127"/>
      <w:numFmt w:val="decimal"/>
      <w:lvlText w:val="(%5)"/>
      <w:lvlJc w:val="left"/>
      <w:pPr>
        <w:ind w:left="3600" w:hanging="360"/>
      </w:pPr>
    </w:lvl>
    <w:lvl w:ilvl="5">
      <w:start w:val="127"/>
      <w:numFmt w:val="decimal"/>
      <w:lvlText w:val="(%6)"/>
      <w:lvlJc w:val="left"/>
      <w:pPr>
        <w:ind w:left="4320" w:hanging="360"/>
      </w:pPr>
    </w:lvl>
    <w:lvl w:ilvl="6">
      <w:start w:val="127"/>
      <w:numFmt w:val="decimal"/>
      <w:lvlText w:val="(%7)"/>
      <w:lvlJc w:val="left"/>
      <w:pPr>
        <w:ind w:left="5040" w:hanging="360"/>
      </w:pPr>
    </w:lvl>
    <w:lvl w:ilvl="7">
      <w:start w:val="127"/>
      <w:numFmt w:val="decimal"/>
      <w:lvlText w:val="(%8)"/>
      <w:lvlJc w:val="left"/>
      <w:pPr>
        <w:ind w:left="5760" w:hanging="360"/>
      </w:pPr>
    </w:lvl>
    <w:lvl w:ilvl="8">
      <w:start w:val="127"/>
      <w:numFmt w:val="decimal"/>
      <w:lvlText w:val="(%9)"/>
      <w:lvlJc w:val="left"/>
      <w:pPr>
        <w:ind w:left="6480" w:hanging="360"/>
      </w:pPr>
    </w:lvl>
  </w:abstractNum>
  <w:abstractNum w:abstractNumId="9943128">
    <w:nsid w:val="A9943128"/>
    <w:multiLevelType w:val="multilevel"/>
    <w:lvl w:ilvl="0">
      <w:start w:val="128"/>
      <w:numFmt w:val="decimal"/>
      <w:lvlText w:val="(%1)"/>
      <w:lvlJc w:val="left"/>
      <w:pPr>
        <w:ind w:left="720" w:hanging="360"/>
      </w:pPr>
    </w:lvl>
    <w:lvl w:ilvl="1">
      <w:start w:val="128"/>
      <w:numFmt w:val="decimal"/>
      <w:lvlText w:val="(%2)"/>
      <w:lvlJc w:val="left"/>
      <w:pPr>
        <w:ind w:left="1440" w:hanging="360"/>
      </w:pPr>
    </w:lvl>
    <w:lvl w:ilvl="2">
      <w:start w:val="128"/>
      <w:numFmt w:val="decimal"/>
      <w:lvlText w:val="(%3)"/>
      <w:lvlJc w:val="left"/>
      <w:pPr>
        <w:ind w:left="2160" w:hanging="360"/>
      </w:pPr>
    </w:lvl>
    <w:lvl w:ilvl="3">
      <w:start w:val="128"/>
      <w:numFmt w:val="decimal"/>
      <w:lvlText w:val="(%4)"/>
      <w:lvlJc w:val="left"/>
      <w:pPr>
        <w:ind w:left="2880" w:hanging="360"/>
      </w:pPr>
    </w:lvl>
    <w:lvl w:ilvl="4">
      <w:start w:val="128"/>
      <w:numFmt w:val="decimal"/>
      <w:lvlText w:val="(%5)"/>
      <w:lvlJc w:val="left"/>
      <w:pPr>
        <w:ind w:left="3600" w:hanging="360"/>
      </w:pPr>
    </w:lvl>
    <w:lvl w:ilvl="5">
      <w:start w:val="128"/>
      <w:numFmt w:val="decimal"/>
      <w:lvlText w:val="(%6)"/>
      <w:lvlJc w:val="left"/>
      <w:pPr>
        <w:ind w:left="4320" w:hanging="360"/>
      </w:pPr>
    </w:lvl>
    <w:lvl w:ilvl="6">
      <w:start w:val="128"/>
      <w:numFmt w:val="decimal"/>
      <w:lvlText w:val="(%7)"/>
      <w:lvlJc w:val="left"/>
      <w:pPr>
        <w:ind w:left="5040" w:hanging="360"/>
      </w:pPr>
    </w:lvl>
    <w:lvl w:ilvl="7">
      <w:start w:val="128"/>
      <w:numFmt w:val="decimal"/>
      <w:lvlText w:val="(%8)"/>
      <w:lvlJc w:val="left"/>
      <w:pPr>
        <w:ind w:left="5760" w:hanging="360"/>
      </w:pPr>
    </w:lvl>
    <w:lvl w:ilvl="8">
      <w:start w:val="128"/>
      <w:numFmt w:val="decimal"/>
      <w:lvlText w:val="(%9)"/>
      <w:lvlJc w:val="left"/>
      <w:pPr>
        <w:ind w:left="6480" w:hanging="360"/>
      </w:pPr>
    </w:lvl>
  </w:abstractNum>
  <w:abstractNum w:abstractNumId="9943129">
    <w:nsid w:val="A9943129"/>
    <w:multiLevelType w:val="multilevel"/>
    <w:lvl w:ilvl="0">
      <w:start w:val="129"/>
      <w:numFmt w:val="decimal"/>
      <w:lvlText w:val="(%1)"/>
      <w:lvlJc w:val="left"/>
      <w:pPr>
        <w:ind w:left="720" w:hanging="360"/>
      </w:pPr>
    </w:lvl>
    <w:lvl w:ilvl="1">
      <w:start w:val="129"/>
      <w:numFmt w:val="decimal"/>
      <w:lvlText w:val="(%2)"/>
      <w:lvlJc w:val="left"/>
      <w:pPr>
        <w:ind w:left="1440" w:hanging="360"/>
      </w:pPr>
    </w:lvl>
    <w:lvl w:ilvl="2">
      <w:start w:val="129"/>
      <w:numFmt w:val="decimal"/>
      <w:lvlText w:val="(%3)"/>
      <w:lvlJc w:val="left"/>
      <w:pPr>
        <w:ind w:left="2160" w:hanging="360"/>
      </w:pPr>
    </w:lvl>
    <w:lvl w:ilvl="3">
      <w:start w:val="129"/>
      <w:numFmt w:val="decimal"/>
      <w:lvlText w:val="(%4)"/>
      <w:lvlJc w:val="left"/>
      <w:pPr>
        <w:ind w:left="2880" w:hanging="360"/>
      </w:pPr>
    </w:lvl>
    <w:lvl w:ilvl="4">
      <w:start w:val="129"/>
      <w:numFmt w:val="decimal"/>
      <w:lvlText w:val="(%5)"/>
      <w:lvlJc w:val="left"/>
      <w:pPr>
        <w:ind w:left="3600" w:hanging="360"/>
      </w:pPr>
    </w:lvl>
    <w:lvl w:ilvl="5">
      <w:start w:val="129"/>
      <w:numFmt w:val="decimal"/>
      <w:lvlText w:val="(%6)"/>
      <w:lvlJc w:val="left"/>
      <w:pPr>
        <w:ind w:left="4320" w:hanging="360"/>
      </w:pPr>
    </w:lvl>
    <w:lvl w:ilvl="6">
      <w:start w:val="129"/>
      <w:numFmt w:val="decimal"/>
      <w:lvlText w:val="(%7)"/>
      <w:lvlJc w:val="left"/>
      <w:pPr>
        <w:ind w:left="5040" w:hanging="360"/>
      </w:pPr>
    </w:lvl>
    <w:lvl w:ilvl="7">
      <w:start w:val="129"/>
      <w:numFmt w:val="decimal"/>
      <w:lvlText w:val="(%8)"/>
      <w:lvlJc w:val="left"/>
      <w:pPr>
        <w:ind w:left="5760" w:hanging="360"/>
      </w:pPr>
    </w:lvl>
    <w:lvl w:ilvl="8">
      <w:start w:val="129"/>
      <w:numFmt w:val="decimal"/>
      <w:lvlText w:val="(%9)"/>
      <w:lvlJc w:val="left"/>
      <w:pPr>
        <w:ind w:left="6480" w:hanging="360"/>
      </w:pPr>
    </w:lvl>
  </w:abstractNum>
  <w:abstractNum w:abstractNumId="9943130">
    <w:nsid w:val="A9943130"/>
    <w:multiLevelType w:val="multilevel"/>
    <w:lvl w:ilvl="0">
      <w:start w:val="130"/>
      <w:numFmt w:val="decimal"/>
      <w:lvlText w:val="(%1)"/>
      <w:lvlJc w:val="left"/>
      <w:pPr>
        <w:ind w:left="720" w:hanging="360"/>
      </w:pPr>
    </w:lvl>
    <w:lvl w:ilvl="1">
      <w:start w:val="130"/>
      <w:numFmt w:val="decimal"/>
      <w:lvlText w:val="(%2)"/>
      <w:lvlJc w:val="left"/>
      <w:pPr>
        <w:ind w:left="1440" w:hanging="360"/>
      </w:pPr>
    </w:lvl>
    <w:lvl w:ilvl="2">
      <w:start w:val="130"/>
      <w:numFmt w:val="decimal"/>
      <w:lvlText w:val="(%3)"/>
      <w:lvlJc w:val="left"/>
      <w:pPr>
        <w:ind w:left="2160" w:hanging="360"/>
      </w:pPr>
    </w:lvl>
    <w:lvl w:ilvl="3">
      <w:start w:val="130"/>
      <w:numFmt w:val="decimal"/>
      <w:lvlText w:val="(%4)"/>
      <w:lvlJc w:val="left"/>
      <w:pPr>
        <w:ind w:left="2880" w:hanging="360"/>
      </w:pPr>
    </w:lvl>
    <w:lvl w:ilvl="4">
      <w:start w:val="130"/>
      <w:numFmt w:val="decimal"/>
      <w:lvlText w:val="(%5)"/>
      <w:lvlJc w:val="left"/>
      <w:pPr>
        <w:ind w:left="3600" w:hanging="360"/>
      </w:pPr>
    </w:lvl>
    <w:lvl w:ilvl="5">
      <w:start w:val="130"/>
      <w:numFmt w:val="decimal"/>
      <w:lvlText w:val="(%6)"/>
      <w:lvlJc w:val="left"/>
      <w:pPr>
        <w:ind w:left="4320" w:hanging="360"/>
      </w:pPr>
    </w:lvl>
    <w:lvl w:ilvl="6">
      <w:start w:val="130"/>
      <w:numFmt w:val="decimal"/>
      <w:lvlText w:val="(%7)"/>
      <w:lvlJc w:val="left"/>
      <w:pPr>
        <w:ind w:left="5040" w:hanging="360"/>
      </w:pPr>
    </w:lvl>
    <w:lvl w:ilvl="7">
      <w:start w:val="130"/>
      <w:numFmt w:val="decimal"/>
      <w:lvlText w:val="(%8)"/>
      <w:lvlJc w:val="left"/>
      <w:pPr>
        <w:ind w:left="5760" w:hanging="360"/>
      </w:pPr>
    </w:lvl>
    <w:lvl w:ilvl="8">
      <w:start w:val="130"/>
      <w:numFmt w:val="decimal"/>
      <w:lvlText w:val="(%9)"/>
      <w:lvlJc w:val="left"/>
      <w:pPr>
        <w:ind w:left="6480" w:hanging="360"/>
      </w:pPr>
    </w:lvl>
  </w:abstractNum>
  <w:abstractNum w:abstractNumId="9943131">
    <w:nsid w:val="A9943131"/>
    <w:multiLevelType w:val="multilevel"/>
    <w:lvl w:ilvl="0">
      <w:start w:val="131"/>
      <w:numFmt w:val="decimal"/>
      <w:lvlText w:val="(%1)"/>
      <w:lvlJc w:val="left"/>
      <w:pPr>
        <w:ind w:left="720" w:hanging="360"/>
      </w:pPr>
    </w:lvl>
    <w:lvl w:ilvl="1">
      <w:start w:val="131"/>
      <w:numFmt w:val="decimal"/>
      <w:lvlText w:val="(%2)"/>
      <w:lvlJc w:val="left"/>
      <w:pPr>
        <w:ind w:left="1440" w:hanging="360"/>
      </w:pPr>
    </w:lvl>
    <w:lvl w:ilvl="2">
      <w:start w:val="131"/>
      <w:numFmt w:val="decimal"/>
      <w:lvlText w:val="(%3)"/>
      <w:lvlJc w:val="left"/>
      <w:pPr>
        <w:ind w:left="2160" w:hanging="360"/>
      </w:pPr>
    </w:lvl>
    <w:lvl w:ilvl="3">
      <w:start w:val="131"/>
      <w:numFmt w:val="decimal"/>
      <w:lvlText w:val="(%4)"/>
      <w:lvlJc w:val="left"/>
      <w:pPr>
        <w:ind w:left="2880" w:hanging="360"/>
      </w:pPr>
    </w:lvl>
    <w:lvl w:ilvl="4">
      <w:start w:val="131"/>
      <w:numFmt w:val="decimal"/>
      <w:lvlText w:val="(%5)"/>
      <w:lvlJc w:val="left"/>
      <w:pPr>
        <w:ind w:left="3600" w:hanging="360"/>
      </w:pPr>
    </w:lvl>
    <w:lvl w:ilvl="5">
      <w:start w:val="131"/>
      <w:numFmt w:val="decimal"/>
      <w:lvlText w:val="(%6)"/>
      <w:lvlJc w:val="left"/>
      <w:pPr>
        <w:ind w:left="4320" w:hanging="360"/>
      </w:pPr>
    </w:lvl>
    <w:lvl w:ilvl="6">
      <w:start w:val="131"/>
      <w:numFmt w:val="decimal"/>
      <w:lvlText w:val="(%7)"/>
      <w:lvlJc w:val="left"/>
      <w:pPr>
        <w:ind w:left="5040" w:hanging="360"/>
      </w:pPr>
    </w:lvl>
    <w:lvl w:ilvl="7">
      <w:start w:val="131"/>
      <w:numFmt w:val="decimal"/>
      <w:lvlText w:val="(%8)"/>
      <w:lvlJc w:val="left"/>
      <w:pPr>
        <w:ind w:left="5760" w:hanging="360"/>
      </w:pPr>
    </w:lvl>
    <w:lvl w:ilvl="8">
      <w:start w:val="131"/>
      <w:numFmt w:val="decimal"/>
      <w:lvlText w:val="(%9)"/>
      <w:lvlJc w:val="left"/>
      <w:pPr>
        <w:ind w:left="6480" w:hanging="360"/>
      </w:pPr>
    </w:lvl>
  </w:abstractNum>
  <w:abstractNum w:abstractNumId="9943132">
    <w:nsid w:val="A9943132"/>
    <w:multiLevelType w:val="multilevel"/>
    <w:lvl w:ilvl="0">
      <w:start w:val="132"/>
      <w:numFmt w:val="decimal"/>
      <w:lvlText w:val="(%1)"/>
      <w:lvlJc w:val="left"/>
      <w:pPr>
        <w:ind w:left="720" w:hanging="360"/>
      </w:pPr>
    </w:lvl>
    <w:lvl w:ilvl="1">
      <w:start w:val="132"/>
      <w:numFmt w:val="decimal"/>
      <w:lvlText w:val="(%2)"/>
      <w:lvlJc w:val="left"/>
      <w:pPr>
        <w:ind w:left="1440" w:hanging="360"/>
      </w:pPr>
    </w:lvl>
    <w:lvl w:ilvl="2">
      <w:start w:val="132"/>
      <w:numFmt w:val="decimal"/>
      <w:lvlText w:val="(%3)"/>
      <w:lvlJc w:val="left"/>
      <w:pPr>
        <w:ind w:left="2160" w:hanging="360"/>
      </w:pPr>
    </w:lvl>
    <w:lvl w:ilvl="3">
      <w:start w:val="132"/>
      <w:numFmt w:val="decimal"/>
      <w:lvlText w:val="(%4)"/>
      <w:lvlJc w:val="left"/>
      <w:pPr>
        <w:ind w:left="2880" w:hanging="360"/>
      </w:pPr>
    </w:lvl>
    <w:lvl w:ilvl="4">
      <w:start w:val="132"/>
      <w:numFmt w:val="decimal"/>
      <w:lvlText w:val="(%5)"/>
      <w:lvlJc w:val="left"/>
      <w:pPr>
        <w:ind w:left="3600" w:hanging="360"/>
      </w:pPr>
    </w:lvl>
    <w:lvl w:ilvl="5">
      <w:start w:val="132"/>
      <w:numFmt w:val="decimal"/>
      <w:lvlText w:val="(%6)"/>
      <w:lvlJc w:val="left"/>
      <w:pPr>
        <w:ind w:left="4320" w:hanging="360"/>
      </w:pPr>
    </w:lvl>
    <w:lvl w:ilvl="6">
      <w:start w:val="132"/>
      <w:numFmt w:val="decimal"/>
      <w:lvlText w:val="(%7)"/>
      <w:lvlJc w:val="left"/>
      <w:pPr>
        <w:ind w:left="5040" w:hanging="360"/>
      </w:pPr>
    </w:lvl>
    <w:lvl w:ilvl="7">
      <w:start w:val="132"/>
      <w:numFmt w:val="decimal"/>
      <w:lvlText w:val="(%8)"/>
      <w:lvlJc w:val="left"/>
      <w:pPr>
        <w:ind w:left="5760" w:hanging="360"/>
      </w:pPr>
    </w:lvl>
    <w:lvl w:ilvl="8">
      <w:start w:val="132"/>
      <w:numFmt w:val="decimal"/>
      <w:lvlText w:val="(%9)"/>
      <w:lvlJc w:val="left"/>
      <w:pPr>
        <w:ind w:left="6480" w:hanging="360"/>
      </w:pPr>
    </w:lvl>
  </w:abstractNum>
  <w:abstractNum w:abstractNumId="9943133">
    <w:nsid w:val="A9943133"/>
    <w:multiLevelType w:val="multilevel"/>
    <w:lvl w:ilvl="0">
      <w:start w:val="133"/>
      <w:numFmt w:val="decimal"/>
      <w:lvlText w:val="(%1)"/>
      <w:lvlJc w:val="left"/>
      <w:pPr>
        <w:ind w:left="720" w:hanging="360"/>
      </w:pPr>
    </w:lvl>
    <w:lvl w:ilvl="1">
      <w:start w:val="133"/>
      <w:numFmt w:val="decimal"/>
      <w:lvlText w:val="(%2)"/>
      <w:lvlJc w:val="left"/>
      <w:pPr>
        <w:ind w:left="1440" w:hanging="360"/>
      </w:pPr>
    </w:lvl>
    <w:lvl w:ilvl="2">
      <w:start w:val="133"/>
      <w:numFmt w:val="decimal"/>
      <w:lvlText w:val="(%3)"/>
      <w:lvlJc w:val="left"/>
      <w:pPr>
        <w:ind w:left="2160" w:hanging="360"/>
      </w:pPr>
    </w:lvl>
    <w:lvl w:ilvl="3">
      <w:start w:val="133"/>
      <w:numFmt w:val="decimal"/>
      <w:lvlText w:val="(%4)"/>
      <w:lvlJc w:val="left"/>
      <w:pPr>
        <w:ind w:left="2880" w:hanging="360"/>
      </w:pPr>
    </w:lvl>
    <w:lvl w:ilvl="4">
      <w:start w:val="133"/>
      <w:numFmt w:val="decimal"/>
      <w:lvlText w:val="(%5)"/>
      <w:lvlJc w:val="left"/>
      <w:pPr>
        <w:ind w:left="3600" w:hanging="360"/>
      </w:pPr>
    </w:lvl>
    <w:lvl w:ilvl="5">
      <w:start w:val="133"/>
      <w:numFmt w:val="decimal"/>
      <w:lvlText w:val="(%6)"/>
      <w:lvlJc w:val="left"/>
      <w:pPr>
        <w:ind w:left="4320" w:hanging="360"/>
      </w:pPr>
    </w:lvl>
    <w:lvl w:ilvl="6">
      <w:start w:val="133"/>
      <w:numFmt w:val="decimal"/>
      <w:lvlText w:val="(%7)"/>
      <w:lvlJc w:val="left"/>
      <w:pPr>
        <w:ind w:left="5040" w:hanging="360"/>
      </w:pPr>
    </w:lvl>
    <w:lvl w:ilvl="7">
      <w:start w:val="133"/>
      <w:numFmt w:val="decimal"/>
      <w:lvlText w:val="(%8)"/>
      <w:lvlJc w:val="left"/>
      <w:pPr>
        <w:ind w:left="5760" w:hanging="360"/>
      </w:pPr>
    </w:lvl>
    <w:lvl w:ilvl="8">
      <w:start w:val="133"/>
      <w:numFmt w:val="decimal"/>
      <w:lvlText w:val="(%9)"/>
      <w:lvlJc w:val="left"/>
      <w:pPr>
        <w:ind w:left="6480" w:hanging="360"/>
      </w:pPr>
    </w:lvl>
  </w:abstractNum>
  <w:abstractNum w:abstractNumId="9943138">
    <w:nsid w:val="A9943138"/>
    <w:multiLevelType w:val="multilevel"/>
    <w:lvl w:ilvl="0">
      <w:start w:val="138"/>
      <w:numFmt w:val="decimal"/>
      <w:lvlText w:val="(%1)"/>
      <w:lvlJc w:val="left"/>
      <w:pPr>
        <w:ind w:left="720" w:hanging="360"/>
      </w:pPr>
    </w:lvl>
    <w:lvl w:ilvl="1">
      <w:start w:val="138"/>
      <w:numFmt w:val="decimal"/>
      <w:lvlText w:val="(%2)"/>
      <w:lvlJc w:val="left"/>
      <w:pPr>
        <w:ind w:left="1440" w:hanging="360"/>
      </w:pPr>
    </w:lvl>
    <w:lvl w:ilvl="2">
      <w:start w:val="138"/>
      <w:numFmt w:val="decimal"/>
      <w:lvlText w:val="(%3)"/>
      <w:lvlJc w:val="left"/>
      <w:pPr>
        <w:ind w:left="2160" w:hanging="360"/>
      </w:pPr>
    </w:lvl>
    <w:lvl w:ilvl="3">
      <w:start w:val="138"/>
      <w:numFmt w:val="decimal"/>
      <w:lvlText w:val="(%4)"/>
      <w:lvlJc w:val="left"/>
      <w:pPr>
        <w:ind w:left="2880" w:hanging="360"/>
      </w:pPr>
    </w:lvl>
    <w:lvl w:ilvl="4">
      <w:start w:val="138"/>
      <w:numFmt w:val="decimal"/>
      <w:lvlText w:val="(%5)"/>
      <w:lvlJc w:val="left"/>
      <w:pPr>
        <w:ind w:left="3600" w:hanging="360"/>
      </w:pPr>
    </w:lvl>
    <w:lvl w:ilvl="5">
      <w:start w:val="138"/>
      <w:numFmt w:val="decimal"/>
      <w:lvlText w:val="(%6)"/>
      <w:lvlJc w:val="left"/>
      <w:pPr>
        <w:ind w:left="4320" w:hanging="360"/>
      </w:pPr>
    </w:lvl>
    <w:lvl w:ilvl="6">
      <w:start w:val="138"/>
      <w:numFmt w:val="decimal"/>
      <w:lvlText w:val="(%7)"/>
      <w:lvlJc w:val="left"/>
      <w:pPr>
        <w:ind w:left="5040" w:hanging="360"/>
      </w:pPr>
    </w:lvl>
    <w:lvl w:ilvl="7">
      <w:start w:val="138"/>
      <w:numFmt w:val="decimal"/>
      <w:lvlText w:val="(%8)"/>
      <w:lvlJc w:val="left"/>
      <w:pPr>
        <w:ind w:left="5760" w:hanging="360"/>
      </w:pPr>
    </w:lvl>
    <w:lvl w:ilvl="8">
      <w:start w:val="138"/>
      <w:numFmt w:val="decimal"/>
      <w:lvlText w:val="(%9)"/>
      <w:lvlJc w:val="left"/>
      <w:pPr>
        <w:ind w:left="6480" w:hanging="360"/>
      </w:pPr>
    </w:lvl>
  </w:abstractNum>
  <w:abstractNum w:abstractNumId="9943139">
    <w:nsid w:val="A9943139"/>
    <w:multiLevelType w:val="multilevel"/>
    <w:lvl w:ilvl="0">
      <w:start w:val="139"/>
      <w:numFmt w:val="decimal"/>
      <w:lvlText w:val="(%1)"/>
      <w:lvlJc w:val="left"/>
      <w:pPr>
        <w:ind w:left="720" w:hanging="360"/>
      </w:pPr>
    </w:lvl>
    <w:lvl w:ilvl="1">
      <w:start w:val="139"/>
      <w:numFmt w:val="decimal"/>
      <w:lvlText w:val="(%2)"/>
      <w:lvlJc w:val="left"/>
      <w:pPr>
        <w:ind w:left="1440" w:hanging="360"/>
      </w:pPr>
    </w:lvl>
    <w:lvl w:ilvl="2">
      <w:start w:val="139"/>
      <w:numFmt w:val="decimal"/>
      <w:lvlText w:val="(%3)"/>
      <w:lvlJc w:val="left"/>
      <w:pPr>
        <w:ind w:left="2160" w:hanging="360"/>
      </w:pPr>
    </w:lvl>
    <w:lvl w:ilvl="3">
      <w:start w:val="139"/>
      <w:numFmt w:val="decimal"/>
      <w:lvlText w:val="(%4)"/>
      <w:lvlJc w:val="left"/>
      <w:pPr>
        <w:ind w:left="2880" w:hanging="360"/>
      </w:pPr>
    </w:lvl>
    <w:lvl w:ilvl="4">
      <w:start w:val="139"/>
      <w:numFmt w:val="decimal"/>
      <w:lvlText w:val="(%5)"/>
      <w:lvlJc w:val="left"/>
      <w:pPr>
        <w:ind w:left="3600" w:hanging="360"/>
      </w:pPr>
    </w:lvl>
    <w:lvl w:ilvl="5">
      <w:start w:val="139"/>
      <w:numFmt w:val="decimal"/>
      <w:lvlText w:val="(%6)"/>
      <w:lvlJc w:val="left"/>
      <w:pPr>
        <w:ind w:left="4320" w:hanging="360"/>
      </w:pPr>
    </w:lvl>
    <w:lvl w:ilvl="6">
      <w:start w:val="139"/>
      <w:numFmt w:val="decimal"/>
      <w:lvlText w:val="(%7)"/>
      <w:lvlJc w:val="left"/>
      <w:pPr>
        <w:ind w:left="5040" w:hanging="360"/>
      </w:pPr>
    </w:lvl>
    <w:lvl w:ilvl="7">
      <w:start w:val="139"/>
      <w:numFmt w:val="decimal"/>
      <w:lvlText w:val="(%8)"/>
      <w:lvlJc w:val="left"/>
      <w:pPr>
        <w:ind w:left="5760" w:hanging="360"/>
      </w:pPr>
    </w:lvl>
    <w:lvl w:ilvl="8">
      <w:start w:val="139"/>
      <w:numFmt w:val="decimal"/>
      <w:lvlText w:val="(%9)"/>
      <w:lvlJc w:val="left"/>
      <w:pPr>
        <w:ind w:left="6480" w:hanging="360"/>
      </w:pPr>
    </w:lvl>
  </w:abstractNum>
  <w:abstractNum w:abstractNumId="9943142">
    <w:nsid w:val="A9943142"/>
    <w:multiLevelType w:val="multilevel"/>
    <w:lvl w:ilvl="0">
      <w:start w:val="142"/>
      <w:numFmt w:val="decimal"/>
      <w:lvlText w:val="(%1)"/>
      <w:lvlJc w:val="left"/>
      <w:pPr>
        <w:ind w:left="720" w:hanging="360"/>
      </w:pPr>
    </w:lvl>
    <w:lvl w:ilvl="1">
      <w:start w:val="142"/>
      <w:numFmt w:val="decimal"/>
      <w:lvlText w:val="(%2)"/>
      <w:lvlJc w:val="left"/>
      <w:pPr>
        <w:ind w:left="1440" w:hanging="360"/>
      </w:pPr>
    </w:lvl>
    <w:lvl w:ilvl="2">
      <w:start w:val="142"/>
      <w:numFmt w:val="decimal"/>
      <w:lvlText w:val="(%3)"/>
      <w:lvlJc w:val="left"/>
      <w:pPr>
        <w:ind w:left="2160" w:hanging="360"/>
      </w:pPr>
    </w:lvl>
    <w:lvl w:ilvl="3">
      <w:start w:val="142"/>
      <w:numFmt w:val="decimal"/>
      <w:lvlText w:val="(%4)"/>
      <w:lvlJc w:val="left"/>
      <w:pPr>
        <w:ind w:left="2880" w:hanging="360"/>
      </w:pPr>
    </w:lvl>
    <w:lvl w:ilvl="4">
      <w:start w:val="142"/>
      <w:numFmt w:val="decimal"/>
      <w:lvlText w:val="(%5)"/>
      <w:lvlJc w:val="left"/>
      <w:pPr>
        <w:ind w:left="3600" w:hanging="360"/>
      </w:pPr>
    </w:lvl>
    <w:lvl w:ilvl="5">
      <w:start w:val="142"/>
      <w:numFmt w:val="decimal"/>
      <w:lvlText w:val="(%6)"/>
      <w:lvlJc w:val="left"/>
      <w:pPr>
        <w:ind w:left="4320" w:hanging="360"/>
      </w:pPr>
    </w:lvl>
    <w:lvl w:ilvl="6">
      <w:start w:val="142"/>
      <w:numFmt w:val="decimal"/>
      <w:lvlText w:val="(%7)"/>
      <w:lvlJc w:val="left"/>
      <w:pPr>
        <w:ind w:left="5040" w:hanging="360"/>
      </w:pPr>
    </w:lvl>
    <w:lvl w:ilvl="7">
      <w:start w:val="142"/>
      <w:numFmt w:val="decimal"/>
      <w:lvlText w:val="(%8)"/>
      <w:lvlJc w:val="left"/>
      <w:pPr>
        <w:ind w:left="5760" w:hanging="360"/>
      </w:pPr>
    </w:lvl>
    <w:lvl w:ilvl="8">
      <w:start w:val="142"/>
      <w:numFmt w:val="decimal"/>
      <w:lvlText w:val="(%9)"/>
      <w:lvlJc w:val="left"/>
      <w:pPr>
        <w:ind w:left="6480" w:hanging="360"/>
      </w:pPr>
    </w:lvl>
  </w:abstractNum>
  <w:abstractNum w:abstractNumId="9943147">
    <w:nsid w:val="A9943147"/>
    <w:multiLevelType w:val="multilevel"/>
    <w:lvl w:ilvl="0">
      <w:start w:val="147"/>
      <w:numFmt w:val="decimal"/>
      <w:lvlText w:val="(%1)"/>
      <w:lvlJc w:val="left"/>
      <w:pPr>
        <w:ind w:left="720" w:hanging="360"/>
      </w:pPr>
    </w:lvl>
    <w:lvl w:ilvl="1">
      <w:start w:val="147"/>
      <w:numFmt w:val="decimal"/>
      <w:lvlText w:val="(%2)"/>
      <w:lvlJc w:val="left"/>
      <w:pPr>
        <w:ind w:left="1440" w:hanging="360"/>
      </w:pPr>
    </w:lvl>
    <w:lvl w:ilvl="2">
      <w:start w:val="147"/>
      <w:numFmt w:val="decimal"/>
      <w:lvlText w:val="(%3)"/>
      <w:lvlJc w:val="left"/>
      <w:pPr>
        <w:ind w:left="2160" w:hanging="360"/>
      </w:pPr>
    </w:lvl>
    <w:lvl w:ilvl="3">
      <w:start w:val="147"/>
      <w:numFmt w:val="decimal"/>
      <w:lvlText w:val="(%4)"/>
      <w:lvlJc w:val="left"/>
      <w:pPr>
        <w:ind w:left="2880" w:hanging="360"/>
      </w:pPr>
    </w:lvl>
    <w:lvl w:ilvl="4">
      <w:start w:val="147"/>
      <w:numFmt w:val="decimal"/>
      <w:lvlText w:val="(%5)"/>
      <w:lvlJc w:val="left"/>
      <w:pPr>
        <w:ind w:left="3600" w:hanging="360"/>
      </w:pPr>
    </w:lvl>
    <w:lvl w:ilvl="5">
      <w:start w:val="147"/>
      <w:numFmt w:val="decimal"/>
      <w:lvlText w:val="(%6)"/>
      <w:lvlJc w:val="left"/>
      <w:pPr>
        <w:ind w:left="4320" w:hanging="360"/>
      </w:pPr>
    </w:lvl>
    <w:lvl w:ilvl="6">
      <w:start w:val="147"/>
      <w:numFmt w:val="decimal"/>
      <w:lvlText w:val="(%7)"/>
      <w:lvlJc w:val="left"/>
      <w:pPr>
        <w:ind w:left="5040" w:hanging="360"/>
      </w:pPr>
    </w:lvl>
    <w:lvl w:ilvl="7">
      <w:start w:val="147"/>
      <w:numFmt w:val="decimal"/>
      <w:lvlText w:val="(%8)"/>
      <w:lvlJc w:val="left"/>
      <w:pPr>
        <w:ind w:left="5760" w:hanging="360"/>
      </w:pPr>
    </w:lvl>
    <w:lvl w:ilvl="8">
      <w:start w:val="147"/>
      <w:numFmt w:val="decimal"/>
      <w:lvlText w:val="(%9)"/>
      <w:lvlJc w:val="left"/>
      <w:pPr>
        <w:ind w:left="6480" w:hanging="360"/>
      </w:pPr>
    </w:lvl>
  </w:abstractNum>
  <w:abstractNum w:abstractNumId="9943150">
    <w:nsid w:val="A9943150"/>
    <w:multiLevelType w:val="multilevel"/>
    <w:lvl w:ilvl="0">
      <w:start w:val="150"/>
      <w:numFmt w:val="decimal"/>
      <w:lvlText w:val="(%1)"/>
      <w:lvlJc w:val="left"/>
      <w:pPr>
        <w:ind w:left="720" w:hanging="360"/>
      </w:pPr>
    </w:lvl>
    <w:lvl w:ilvl="1">
      <w:start w:val="150"/>
      <w:numFmt w:val="decimal"/>
      <w:lvlText w:val="(%2)"/>
      <w:lvlJc w:val="left"/>
      <w:pPr>
        <w:ind w:left="1440" w:hanging="360"/>
      </w:pPr>
    </w:lvl>
    <w:lvl w:ilvl="2">
      <w:start w:val="150"/>
      <w:numFmt w:val="decimal"/>
      <w:lvlText w:val="(%3)"/>
      <w:lvlJc w:val="left"/>
      <w:pPr>
        <w:ind w:left="2160" w:hanging="360"/>
      </w:pPr>
    </w:lvl>
    <w:lvl w:ilvl="3">
      <w:start w:val="150"/>
      <w:numFmt w:val="decimal"/>
      <w:lvlText w:val="(%4)"/>
      <w:lvlJc w:val="left"/>
      <w:pPr>
        <w:ind w:left="2880" w:hanging="360"/>
      </w:pPr>
    </w:lvl>
    <w:lvl w:ilvl="4">
      <w:start w:val="150"/>
      <w:numFmt w:val="decimal"/>
      <w:lvlText w:val="(%5)"/>
      <w:lvlJc w:val="left"/>
      <w:pPr>
        <w:ind w:left="3600" w:hanging="360"/>
      </w:pPr>
    </w:lvl>
    <w:lvl w:ilvl="5">
      <w:start w:val="150"/>
      <w:numFmt w:val="decimal"/>
      <w:lvlText w:val="(%6)"/>
      <w:lvlJc w:val="left"/>
      <w:pPr>
        <w:ind w:left="4320" w:hanging="360"/>
      </w:pPr>
    </w:lvl>
    <w:lvl w:ilvl="6">
      <w:start w:val="150"/>
      <w:numFmt w:val="decimal"/>
      <w:lvlText w:val="(%7)"/>
      <w:lvlJc w:val="left"/>
      <w:pPr>
        <w:ind w:left="5040" w:hanging="360"/>
      </w:pPr>
    </w:lvl>
    <w:lvl w:ilvl="7">
      <w:start w:val="150"/>
      <w:numFmt w:val="decimal"/>
      <w:lvlText w:val="(%8)"/>
      <w:lvlJc w:val="left"/>
      <w:pPr>
        <w:ind w:left="5760" w:hanging="360"/>
      </w:pPr>
    </w:lvl>
    <w:lvl w:ilvl="8">
      <w:start w:val="150"/>
      <w:numFmt w:val="decimal"/>
      <w:lvlText w:val="(%9)"/>
      <w:lvlJc w:val="left"/>
      <w:pPr>
        <w:ind w:left="6480" w:hanging="360"/>
      </w:pPr>
    </w:lvl>
  </w:abstractNum>
  <w:abstractNum w:abstractNumId="9943152">
    <w:nsid w:val="A9943152"/>
    <w:multiLevelType w:val="multilevel"/>
    <w:lvl w:ilvl="0">
      <w:start w:val="152"/>
      <w:numFmt w:val="decimal"/>
      <w:lvlText w:val="(%1)"/>
      <w:lvlJc w:val="left"/>
      <w:pPr>
        <w:ind w:left="720" w:hanging="360"/>
      </w:pPr>
    </w:lvl>
    <w:lvl w:ilvl="1">
      <w:start w:val="152"/>
      <w:numFmt w:val="decimal"/>
      <w:lvlText w:val="(%2)"/>
      <w:lvlJc w:val="left"/>
      <w:pPr>
        <w:ind w:left="1440" w:hanging="360"/>
      </w:pPr>
    </w:lvl>
    <w:lvl w:ilvl="2">
      <w:start w:val="152"/>
      <w:numFmt w:val="decimal"/>
      <w:lvlText w:val="(%3)"/>
      <w:lvlJc w:val="left"/>
      <w:pPr>
        <w:ind w:left="2160" w:hanging="360"/>
      </w:pPr>
    </w:lvl>
    <w:lvl w:ilvl="3">
      <w:start w:val="152"/>
      <w:numFmt w:val="decimal"/>
      <w:lvlText w:val="(%4)"/>
      <w:lvlJc w:val="left"/>
      <w:pPr>
        <w:ind w:left="2880" w:hanging="360"/>
      </w:pPr>
    </w:lvl>
    <w:lvl w:ilvl="4">
      <w:start w:val="152"/>
      <w:numFmt w:val="decimal"/>
      <w:lvlText w:val="(%5)"/>
      <w:lvlJc w:val="left"/>
      <w:pPr>
        <w:ind w:left="3600" w:hanging="360"/>
      </w:pPr>
    </w:lvl>
    <w:lvl w:ilvl="5">
      <w:start w:val="152"/>
      <w:numFmt w:val="decimal"/>
      <w:lvlText w:val="(%6)"/>
      <w:lvlJc w:val="left"/>
      <w:pPr>
        <w:ind w:left="4320" w:hanging="360"/>
      </w:pPr>
    </w:lvl>
    <w:lvl w:ilvl="6">
      <w:start w:val="152"/>
      <w:numFmt w:val="decimal"/>
      <w:lvlText w:val="(%7)"/>
      <w:lvlJc w:val="left"/>
      <w:pPr>
        <w:ind w:left="5040" w:hanging="360"/>
      </w:pPr>
    </w:lvl>
    <w:lvl w:ilvl="7">
      <w:start w:val="152"/>
      <w:numFmt w:val="decimal"/>
      <w:lvlText w:val="(%8)"/>
      <w:lvlJc w:val="left"/>
      <w:pPr>
        <w:ind w:left="5760" w:hanging="360"/>
      </w:pPr>
    </w:lvl>
    <w:lvl w:ilvl="8">
      <w:start w:val="152"/>
      <w:numFmt w:val="decimal"/>
      <w:lvlText w:val="(%9)"/>
      <w:lvlJc w:val="left"/>
      <w:pPr>
        <w:ind w:left="6480" w:hanging="360"/>
      </w:pPr>
    </w:lvl>
  </w:abstractNum>
  <w:abstractNum w:abstractNumId="9943153">
    <w:nsid w:val="A9943153"/>
    <w:multiLevelType w:val="multilevel"/>
    <w:lvl w:ilvl="0">
      <w:start w:val="153"/>
      <w:numFmt w:val="decimal"/>
      <w:lvlText w:val="(%1)"/>
      <w:lvlJc w:val="left"/>
      <w:pPr>
        <w:ind w:left="720" w:hanging="360"/>
      </w:pPr>
    </w:lvl>
    <w:lvl w:ilvl="1">
      <w:start w:val="153"/>
      <w:numFmt w:val="decimal"/>
      <w:lvlText w:val="(%2)"/>
      <w:lvlJc w:val="left"/>
      <w:pPr>
        <w:ind w:left="1440" w:hanging="360"/>
      </w:pPr>
    </w:lvl>
    <w:lvl w:ilvl="2">
      <w:start w:val="153"/>
      <w:numFmt w:val="decimal"/>
      <w:lvlText w:val="(%3)"/>
      <w:lvlJc w:val="left"/>
      <w:pPr>
        <w:ind w:left="2160" w:hanging="360"/>
      </w:pPr>
    </w:lvl>
    <w:lvl w:ilvl="3">
      <w:start w:val="153"/>
      <w:numFmt w:val="decimal"/>
      <w:lvlText w:val="(%4)"/>
      <w:lvlJc w:val="left"/>
      <w:pPr>
        <w:ind w:left="2880" w:hanging="360"/>
      </w:pPr>
    </w:lvl>
    <w:lvl w:ilvl="4">
      <w:start w:val="153"/>
      <w:numFmt w:val="decimal"/>
      <w:lvlText w:val="(%5)"/>
      <w:lvlJc w:val="left"/>
      <w:pPr>
        <w:ind w:left="3600" w:hanging="360"/>
      </w:pPr>
    </w:lvl>
    <w:lvl w:ilvl="5">
      <w:start w:val="153"/>
      <w:numFmt w:val="decimal"/>
      <w:lvlText w:val="(%6)"/>
      <w:lvlJc w:val="left"/>
      <w:pPr>
        <w:ind w:left="4320" w:hanging="360"/>
      </w:pPr>
    </w:lvl>
    <w:lvl w:ilvl="6">
      <w:start w:val="153"/>
      <w:numFmt w:val="decimal"/>
      <w:lvlText w:val="(%7)"/>
      <w:lvlJc w:val="left"/>
      <w:pPr>
        <w:ind w:left="5040" w:hanging="360"/>
      </w:pPr>
    </w:lvl>
    <w:lvl w:ilvl="7">
      <w:start w:val="153"/>
      <w:numFmt w:val="decimal"/>
      <w:lvlText w:val="(%8)"/>
      <w:lvlJc w:val="left"/>
      <w:pPr>
        <w:ind w:left="5760" w:hanging="360"/>
      </w:pPr>
    </w:lvl>
    <w:lvl w:ilvl="8">
      <w:start w:val="153"/>
      <w:numFmt w:val="decimal"/>
      <w:lvlText w:val="(%9)"/>
      <w:lvlJc w:val="left"/>
      <w:pPr>
        <w:ind w:left="6480" w:hanging="360"/>
      </w:pPr>
    </w:lvl>
  </w:abstractNum>
  <w:abstractNum w:abstractNumId="9943155">
    <w:nsid w:val="A9943155"/>
    <w:multiLevelType w:val="multilevel"/>
    <w:lvl w:ilvl="0">
      <w:start w:val="155"/>
      <w:numFmt w:val="decimal"/>
      <w:lvlText w:val="(%1)"/>
      <w:lvlJc w:val="left"/>
      <w:pPr>
        <w:ind w:left="720" w:hanging="360"/>
      </w:pPr>
    </w:lvl>
    <w:lvl w:ilvl="1">
      <w:start w:val="155"/>
      <w:numFmt w:val="decimal"/>
      <w:lvlText w:val="(%2)"/>
      <w:lvlJc w:val="left"/>
      <w:pPr>
        <w:ind w:left="1440" w:hanging="360"/>
      </w:pPr>
    </w:lvl>
    <w:lvl w:ilvl="2">
      <w:start w:val="155"/>
      <w:numFmt w:val="decimal"/>
      <w:lvlText w:val="(%3)"/>
      <w:lvlJc w:val="left"/>
      <w:pPr>
        <w:ind w:left="2160" w:hanging="360"/>
      </w:pPr>
    </w:lvl>
    <w:lvl w:ilvl="3">
      <w:start w:val="155"/>
      <w:numFmt w:val="decimal"/>
      <w:lvlText w:val="(%4)"/>
      <w:lvlJc w:val="left"/>
      <w:pPr>
        <w:ind w:left="2880" w:hanging="360"/>
      </w:pPr>
    </w:lvl>
    <w:lvl w:ilvl="4">
      <w:start w:val="155"/>
      <w:numFmt w:val="decimal"/>
      <w:lvlText w:val="(%5)"/>
      <w:lvlJc w:val="left"/>
      <w:pPr>
        <w:ind w:left="3600" w:hanging="360"/>
      </w:pPr>
    </w:lvl>
    <w:lvl w:ilvl="5">
      <w:start w:val="155"/>
      <w:numFmt w:val="decimal"/>
      <w:lvlText w:val="(%6)"/>
      <w:lvlJc w:val="left"/>
      <w:pPr>
        <w:ind w:left="4320" w:hanging="360"/>
      </w:pPr>
    </w:lvl>
    <w:lvl w:ilvl="6">
      <w:start w:val="155"/>
      <w:numFmt w:val="decimal"/>
      <w:lvlText w:val="(%7)"/>
      <w:lvlJc w:val="left"/>
      <w:pPr>
        <w:ind w:left="5040" w:hanging="360"/>
      </w:pPr>
    </w:lvl>
    <w:lvl w:ilvl="7">
      <w:start w:val="155"/>
      <w:numFmt w:val="decimal"/>
      <w:lvlText w:val="(%8)"/>
      <w:lvlJc w:val="left"/>
      <w:pPr>
        <w:ind w:left="5760" w:hanging="360"/>
      </w:pPr>
    </w:lvl>
    <w:lvl w:ilvl="8">
      <w:start w:val="155"/>
      <w:numFmt w:val="decimal"/>
      <w:lvlText w:val="(%9)"/>
      <w:lvlJc w:val="left"/>
      <w:pPr>
        <w:ind w:left="6480" w:hanging="360"/>
      </w:pPr>
    </w:lvl>
  </w:abstractNum>
  <w:abstractNum w:abstractNumId="9943158">
    <w:nsid w:val="A9943158"/>
    <w:multiLevelType w:val="multilevel"/>
    <w:lvl w:ilvl="0">
      <w:start w:val="158"/>
      <w:numFmt w:val="decimal"/>
      <w:lvlText w:val="(%1)"/>
      <w:lvlJc w:val="left"/>
      <w:pPr>
        <w:ind w:left="720" w:hanging="360"/>
      </w:pPr>
    </w:lvl>
    <w:lvl w:ilvl="1">
      <w:start w:val="158"/>
      <w:numFmt w:val="decimal"/>
      <w:lvlText w:val="(%2)"/>
      <w:lvlJc w:val="left"/>
      <w:pPr>
        <w:ind w:left="1440" w:hanging="360"/>
      </w:pPr>
    </w:lvl>
    <w:lvl w:ilvl="2">
      <w:start w:val="158"/>
      <w:numFmt w:val="decimal"/>
      <w:lvlText w:val="(%3)"/>
      <w:lvlJc w:val="left"/>
      <w:pPr>
        <w:ind w:left="2160" w:hanging="360"/>
      </w:pPr>
    </w:lvl>
    <w:lvl w:ilvl="3">
      <w:start w:val="158"/>
      <w:numFmt w:val="decimal"/>
      <w:lvlText w:val="(%4)"/>
      <w:lvlJc w:val="left"/>
      <w:pPr>
        <w:ind w:left="2880" w:hanging="360"/>
      </w:pPr>
    </w:lvl>
    <w:lvl w:ilvl="4">
      <w:start w:val="158"/>
      <w:numFmt w:val="decimal"/>
      <w:lvlText w:val="(%5)"/>
      <w:lvlJc w:val="left"/>
      <w:pPr>
        <w:ind w:left="3600" w:hanging="360"/>
      </w:pPr>
    </w:lvl>
    <w:lvl w:ilvl="5">
      <w:start w:val="158"/>
      <w:numFmt w:val="decimal"/>
      <w:lvlText w:val="(%6)"/>
      <w:lvlJc w:val="left"/>
      <w:pPr>
        <w:ind w:left="4320" w:hanging="360"/>
      </w:pPr>
    </w:lvl>
    <w:lvl w:ilvl="6">
      <w:start w:val="158"/>
      <w:numFmt w:val="decimal"/>
      <w:lvlText w:val="(%7)"/>
      <w:lvlJc w:val="left"/>
      <w:pPr>
        <w:ind w:left="5040" w:hanging="360"/>
      </w:pPr>
    </w:lvl>
    <w:lvl w:ilvl="7">
      <w:start w:val="158"/>
      <w:numFmt w:val="decimal"/>
      <w:lvlText w:val="(%8)"/>
      <w:lvlJc w:val="left"/>
      <w:pPr>
        <w:ind w:left="5760" w:hanging="360"/>
      </w:pPr>
    </w:lvl>
    <w:lvl w:ilvl="8">
      <w:start w:val="158"/>
      <w:numFmt w:val="decimal"/>
      <w:lvlText w:val="(%9)"/>
      <w:lvlJc w:val="left"/>
      <w:pPr>
        <w:ind w:left="6480" w:hanging="360"/>
      </w:pPr>
    </w:lvl>
  </w:abstractNum>
  <w:abstractNum w:abstractNumId="9943161">
    <w:nsid w:val="A9943161"/>
    <w:multiLevelType w:val="multilevel"/>
    <w:lvl w:ilvl="0">
      <w:start w:val="161"/>
      <w:numFmt w:val="decimal"/>
      <w:lvlText w:val="(%1)"/>
      <w:lvlJc w:val="left"/>
      <w:pPr>
        <w:ind w:left="720" w:hanging="360"/>
      </w:pPr>
    </w:lvl>
    <w:lvl w:ilvl="1">
      <w:start w:val="161"/>
      <w:numFmt w:val="decimal"/>
      <w:lvlText w:val="(%2)"/>
      <w:lvlJc w:val="left"/>
      <w:pPr>
        <w:ind w:left="1440" w:hanging="360"/>
      </w:pPr>
    </w:lvl>
    <w:lvl w:ilvl="2">
      <w:start w:val="161"/>
      <w:numFmt w:val="decimal"/>
      <w:lvlText w:val="(%3)"/>
      <w:lvlJc w:val="left"/>
      <w:pPr>
        <w:ind w:left="2160" w:hanging="360"/>
      </w:pPr>
    </w:lvl>
    <w:lvl w:ilvl="3">
      <w:start w:val="161"/>
      <w:numFmt w:val="decimal"/>
      <w:lvlText w:val="(%4)"/>
      <w:lvlJc w:val="left"/>
      <w:pPr>
        <w:ind w:left="2880" w:hanging="360"/>
      </w:pPr>
    </w:lvl>
    <w:lvl w:ilvl="4">
      <w:start w:val="161"/>
      <w:numFmt w:val="decimal"/>
      <w:lvlText w:val="(%5)"/>
      <w:lvlJc w:val="left"/>
      <w:pPr>
        <w:ind w:left="3600" w:hanging="360"/>
      </w:pPr>
    </w:lvl>
    <w:lvl w:ilvl="5">
      <w:start w:val="161"/>
      <w:numFmt w:val="decimal"/>
      <w:lvlText w:val="(%6)"/>
      <w:lvlJc w:val="left"/>
      <w:pPr>
        <w:ind w:left="4320" w:hanging="360"/>
      </w:pPr>
    </w:lvl>
    <w:lvl w:ilvl="6">
      <w:start w:val="161"/>
      <w:numFmt w:val="decimal"/>
      <w:lvlText w:val="(%7)"/>
      <w:lvlJc w:val="left"/>
      <w:pPr>
        <w:ind w:left="5040" w:hanging="360"/>
      </w:pPr>
    </w:lvl>
    <w:lvl w:ilvl="7">
      <w:start w:val="161"/>
      <w:numFmt w:val="decimal"/>
      <w:lvlText w:val="(%8)"/>
      <w:lvlJc w:val="left"/>
      <w:pPr>
        <w:ind w:left="5760" w:hanging="360"/>
      </w:pPr>
    </w:lvl>
    <w:lvl w:ilvl="8">
      <w:start w:val="161"/>
      <w:numFmt w:val="decimal"/>
      <w:lvlText w:val="(%9)"/>
      <w:lvlJc w:val="left"/>
      <w:pPr>
        <w:ind w:left="6480" w:hanging="360"/>
      </w:pPr>
    </w:lvl>
  </w:abstractNum>
  <w:abstractNum w:abstractNumId="9943163">
    <w:nsid w:val="A9943163"/>
    <w:multiLevelType w:val="multilevel"/>
    <w:lvl w:ilvl="0">
      <w:start w:val="163"/>
      <w:numFmt w:val="decimal"/>
      <w:lvlText w:val="(%1)"/>
      <w:lvlJc w:val="left"/>
      <w:pPr>
        <w:ind w:left="720" w:hanging="360"/>
      </w:pPr>
    </w:lvl>
    <w:lvl w:ilvl="1">
      <w:start w:val="163"/>
      <w:numFmt w:val="decimal"/>
      <w:lvlText w:val="(%2)"/>
      <w:lvlJc w:val="left"/>
      <w:pPr>
        <w:ind w:left="1440" w:hanging="360"/>
      </w:pPr>
    </w:lvl>
    <w:lvl w:ilvl="2">
      <w:start w:val="163"/>
      <w:numFmt w:val="decimal"/>
      <w:lvlText w:val="(%3)"/>
      <w:lvlJc w:val="left"/>
      <w:pPr>
        <w:ind w:left="2160" w:hanging="360"/>
      </w:pPr>
    </w:lvl>
    <w:lvl w:ilvl="3">
      <w:start w:val="163"/>
      <w:numFmt w:val="decimal"/>
      <w:lvlText w:val="(%4)"/>
      <w:lvlJc w:val="left"/>
      <w:pPr>
        <w:ind w:left="2880" w:hanging="360"/>
      </w:pPr>
    </w:lvl>
    <w:lvl w:ilvl="4">
      <w:start w:val="163"/>
      <w:numFmt w:val="decimal"/>
      <w:lvlText w:val="(%5)"/>
      <w:lvlJc w:val="left"/>
      <w:pPr>
        <w:ind w:left="3600" w:hanging="360"/>
      </w:pPr>
    </w:lvl>
    <w:lvl w:ilvl="5">
      <w:start w:val="163"/>
      <w:numFmt w:val="decimal"/>
      <w:lvlText w:val="(%6)"/>
      <w:lvlJc w:val="left"/>
      <w:pPr>
        <w:ind w:left="4320" w:hanging="360"/>
      </w:pPr>
    </w:lvl>
    <w:lvl w:ilvl="6">
      <w:start w:val="163"/>
      <w:numFmt w:val="decimal"/>
      <w:lvlText w:val="(%7)"/>
      <w:lvlJc w:val="left"/>
      <w:pPr>
        <w:ind w:left="5040" w:hanging="360"/>
      </w:pPr>
    </w:lvl>
    <w:lvl w:ilvl="7">
      <w:start w:val="163"/>
      <w:numFmt w:val="decimal"/>
      <w:lvlText w:val="(%8)"/>
      <w:lvlJc w:val="left"/>
      <w:pPr>
        <w:ind w:left="5760" w:hanging="360"/>
      </w:pPr>
    </w:lvl>
    <w:lvl w:ilvl="8">
      <w:start w:val="163"/>
      <w:numFmt w:val="decimal"/>
      <w:lvlText w:val="(%9)"/>
      <w:lvlJc w:val="left"/>
      <w:pPr>
        <w:ind w:left="6480" w:hanging="360"/>
      </w:pPr>
    </w:lvl>
  </w:abstractNum>
  <w:abstractNum w:abstractNumId="9943164">
    <w:nsid w:val="A9943164"/>
    <w:multiLevelType w:val="multilevel"/>
    <w:lvl w:ilvl="0">
      <w:start w:val="164"/>
      <w:numFmt w:val="decimal"/>
      <w:lvlText w:val="(%1)"/>
      <w:lvlJc w:val="left"/>
      <w:pPr>
        <w:ind w:left="720" w:hanging="360"/>
      </w:pPr>
    </w:lvl>
    <w:lvl w:ilvl="1">
      <w:start w:val="164"/>
      <w:numFmt w:val="decimal"/>
      <w:lvlText w:val="(%2)"/>
      <w:lvlJc w:val="left"/>
      <w:pPr>
        <w:ind w:left="1440" w:hanging="360"/>
      </w:pPr>
    </w:lvl>
    <w:lvl w:ilvl="2">
      <w:start w:val="164"/>
      <w:numFmt w:val="decimal"/>
      <w:lvlText w:val="(%3)"/>
      <w:lvlJc w:val="left"/>
      <w:pPr>
        <w:ind w:left="2160" w:hanging="360"/>
      </w:pPr>
    </w:lvl>
    <w:lvl w:ilvl="3">
      <w:start w:val="164"/>
      <w:numFmt w:val="decimal"/>
      <w:lvlText w:val="(%4)"/>
      <w:lvlJc w:val="left"/>
      <w:pPr>
        <w:ind w:left="2880" w:hanging="360"/>
      </w:pPr>
    </w:lvl>
    <w:lvl w:ilvl="4">
      <w:start w:val="164"/>
      <w:numFmt w:val="decimal"/>
      <w:lvlText w:val="(%5)"/>
      <w:lvlJc w:val="left"/>
      <w:pPr>
        <w:ind w:left="3600" w:hanging="360"/>
      </w:pPr>
    </w:lvl>
    <w:lvl w:ilvl="5">
      <w:start w:val="164"/>
      <w:numFmt w:val="decimal"/>
      <w:lvlText w:val="(%6)"/>
      <w:lvlJc w:val="left"/>
      <w:pPr>
        <w:ind w:left="4320" w:hanging="360"/>
      </w:pPr>
    </w:lvl>
    <w:lvl w:ilvl="6">
      <w:start w:val="164"/>
      <w:numFmt w:val="decimal"/>
      <w:lvlText w:val="(%7)"/>
      <w:lvlJc w:val="left"/>
      <w:pPr>
        <w:ind w:left="5040" w:hanging="360"/>
      </w:pPr>
    </w:lvl>
    <w:lvl w:ilvl="7">
      <w:start w:val="164"/>
      <w:numFmt w:val="decimal"/>
      <w:lvlText w:val="(%8)"/>
      <w:lvlJc w:val="left"/>
      <w:pPr>
        <w:ind w:left="5760" w:hanging="360"/>
      </w:pPr>
    </w:lvl>
    <w:lvl w:ilvl="8">
      <w:start w:val="164"/>
      <w:numFmt w:val="decimal"/>
      <w:lvlText w:val="(%9)"/>
      <w:lvlJc w:val="left"/>
      <w:pPr>
        <w:ind w:left="6480" w:hanging="360"/>
      </w:pPr>
    </w:lvl>
  </w:abstractNum>
  <w:abstractNum w:abstractNumId="9943166">
    <w:nsid w:val="A9943166"/>
    <w:multiLevelType w:val="multilevel"/>
    <w:lvl w:ilvl="0">
      <w:start w:val="166"/>
      <w:numFmt w:val="decimal"/>
      <w:lvlText w:val="(%1)"/>
      <w:lvlJc w:val="left"/>
      <w:pPr>
        <w:ind w:left="720" w:hanging="360"/>
      </w:pPr>
    </w:lvl>
    <w:lvl w:ilvl="1">
      <w:start w:val="166"/>
      <w:numFmt w:val="decimal"/>
      <w:lvlText w:val="(%2)"/>
      <w:lvlJc w:val="left"/>
      <w:pPr>
        <w:ind w:left="1440" w:hanging="360"/>
      </w:pPr>
    </w:lvl>
    <w:lvl w:ilvl="2">
      <w:start w:val="166"/>
      <w:numFmt w:val="decimal"/>
      <w:lvlText w:val="(%3)"/>
      <w:lvlJc w:val="left"/>
      <w:pPr>
        <w:ind w:left="2160" w:hanging="360"/>
      </w:pPr>
    </w:lvl>
    <w:lvl w:ilvl="3">
      <w:start w:val="166"/>
      <w:numFmt w:val="decimal"/>
      <w:lvlText w:val="(%4)"/>
      <w:lvlJc w:val="left"/>
      <w:pPr>
        <w:ind w:left="2880" w:hanging="360"/>
      </w:pPr>
    </w:lvl>
    <w:lvl w:ilvl="4">
      <w:start w:val="166"/>
      <w:numFmt w:val="decimal"/>
      <w:lvlText w:val="(%5)"/>
      <w:lvlJc w:val="left"/>
      <w:pPr>
        <w:ind w:left="3600" w:hanging="360"/>
      </w:pPr>
    </w:lvl>
    <w:lvl w:ilvl="5">
      <w:start w:val="166"/>
      <w:numFmt w:val="decimal"/>
      <w:lvlText w:val="(%6)"/>
      <w:lvlJc w:val="left"/>
      <w:pPr>
        <w:ind w:left="4320" w:hanging="360"/>
      </w:pPr>
    </w:lvl>
    <w:lvl w:ilvl="6">
      <w:start w:val="166"/>
      <w:numFmt w:val="decimal"/>
      <w:lvlText w:val="(%7)"/>
      <w:lvlJc w:val="left"/>
      <w:pPr>
        <w:ind w:left="5040" w:hanging="360"/>
      </w:pPr>
    </w:lvl>
    <w:lvl w:ilvl="7">
      <w:start w:val="166"/>
      <w:numFmt w:val="decimal"/>
      <w:lvlText w:val="(%8)"/>
      <w:lvlJc w:val="left"/>
      <w:pPr>
        <w:ind w:left="5760" w:hanging="360"/>
      </w:pPr>
    </w:lvl>
    <w:lvl w:ilvl="8">
      <w:start w:val="166"/>
      <w:numFmt w:val="decimal"/>
      <w:lvlText w:val="(%9)"/>
      <w:lvlJc w:val="left"/>
      <w:pPr>
        <w:ind w:left="6480" w:hanging="360"/>
      </w:pPr>
    </w:lvl>
  </w:abstractNum>
  <w:abstractNum w:abstractNumId="9943167">
    <w:nsid w:val="A9943167"/>
    <w:multiLevelType w:val="multilevel"/>
    <w:lvl w:ilvl="0">
      <w:start w:val="167"/>
      <w:numFmt w:val="decimal"/>
      <w:lvlText w:val="(%1)"/>
      <w:lvlJc w:val="left"/>
      <w:pPr>
        <w:ind w:left="720" w:hanging="360"/>
      </w:pPr>
    </w:lvl>
    <w:lvl w:ilvl="1">
      <w:start w:val="167"/>
      <w:numFmt w:val="decimal"/>
      <w:lvlText w:val="(%2)"/>
      <w:lvlJc w:val="left"/>
      <w:pPr>
        <w:ind w:left="1440" w:hanging="360"/>
      </w:pPr>
    </w:lvl>
    <w:lvl w:ilvl="2">
      <w:start w:val="167"/>
      <w:numFmt w:val="decimal"/>
      <w:lvlText w:val="(%3)"/>
      <w:lvlJc w:val="left"/>
      <w:pPr>
        <w:ind w:left="2160" w:hanging="360"/>
      </w:pPr>
    </w:lvl>
    <w:lvl w:ilvl="3">
      <w:start w:val="167"/>
      <w:numFmt w:val="decimal"/>
      <w:lvlText w:val="(%4)"/>
      <w:lvlJc w:val="left"/>
      <w:pPr>
        <w:ind w:left="2880" w:hanging="360"/>
      </w:pPr>
    </w:lvl>
    <w:lvl w:ilvl="4">
      <w:start w:val="167"/>
      <w:numFmt w:val="decimal"/>
      <w:lvlText w:val="(%5)"/>
      <w:lvlJc w:val="left"/>
      <w:pPr>
        <w:ind w:left="3600" w:hanging="360"/>
      </w:pPr>
    </w:lvl>
    <w:lvl w:ilvl="5">
      <w:start w:val="167"/>
      <w:numFmt w:val="decimal"/>
      <w:lvlText w:val="(%6)"/>
      <w:lvlJc w:val="left"/>
      <w:pPr>
        <w:ind w:left="4320" w:hanging="360"/>
      </w:pPr>
    </w:lvl>
    <w:lvl w:ilvl="6">
      <w:start w:val="167"/>
      <w:numFmt w:val="decimal"/>
      <w:lvlText w:val="(%7)"/>
      <w:lvlJc w:val="left"/>
      <w:pPr>
        <w:ind w:left="5040" w:hanging="360"/>
      </w:pPr>
    </w:lvl>
    <w:lvl w:ilvl="7">
      <w:start w:val="167"/>
      <w:numFmt w:val="decimal"/>
      <w:lvlText w:val="(%8)"/>
      <w:lvlJc w:val="left"/>
      <w:pPr>
        <w:ind w:left="5760" w:hanging="360"/>
      </w:pPr>
    </w:lvl>
    <w:lvl w:ilvl="8">
      <w:start w:val="167"/>
      <w:numFmt w:val="decimal"/>
      <w:lvlText w:val="(%9)"/>
      <w:lvlJc w:val="left"/>
      <w:pPr>
        <w:ind w:left="6480" w:hanging="360"/>
      </w:pPr>
    </w:lvl>
  </w:abstractNum>
  <w:abstractNum w:abstractNumId="9943172">
    <w:nsid w:val="A9943172"/>
    <w:multiLevelType w:val="multilevel"/>
    <w:lvl w:ilvl="0">
      <w:start w:val="172"/>
      <w:numFmt w:val="decimal"/>
      <w:lvlText w:val="(%1)"/>
      <w:lvlJc w:val="left"/>
      <w:pPr>
        <w:ind w:left="720" w:hanging="360"/>
      </w:pPr>
    </w:lvl>
    <w:lvl w:ilvl="1">
      <w:start w:val="172"/>
      <w:numFmt w:val="decimal"/>
      <w:lvlText w:val="(%2)"/>
      <w:lvlJc w:val="left"/>
      <w:pPr>
        <w:ind w:left="1440" w:hanging="360"/>
      </w:pPr>
    </w:lvl>
    <w:lvl w:ilvl="2">
      <w:start w:val="172"/>
      <w:numFmt w:val="decimal"/>
      <w:lvlText w:val="(%3)"/>
      <w:lvlJc w:val="left"/>
      <w:pPr>
        <w:ind w:left="2160" w:hanging="360"/>
      </w:pPr>
    </w:lvl>
    <w:lvl w:ilvl="3">
      <w:start w:val="172"/>
      <w:numFmt w:val="decimal"/>
      <w:lvlText w:val="(%4)"/>
      <w:lvlJc w:val="left"/>
      <w:pPr>
        <w:ind w:left="2880" w:hanging="360"/>
      </w:pPr>
    </w:lvl>
    <w:lvl w:ilvl="4">
      <w:start w:val="172"/>
      <w:numFmt w:val="decimal"/>
      <w:lvlText w:val="(%5)"/>
      <w:lvlJc w:val="left"/>
      <w:pPr>
        <w:ind w:left="3600" w:hanging="360"/>
      </w:pPr>
    </w:lvl>
    <w:lvl w:ilvl="5">
      <w:start w:val="172"/>
      <w:numFmt w:val="decimal"/>
      <w:lvlText w:val="(%6)"/>
      <w:lvlJc w:val="left"/>
      <w:pPr>
        <w:ind w:left="4320" w:hanging="360"/>
      </w:pPr>
    </w:lvl>
    <w:lvl w:ilvl="6">
      <w:start w:val="172"/>
      <w:numFmt w:val="decimal"/>
      <w:lvlText w:val="(%7)"/>
      <w:lvlJc w:val="left"/>
      <w:pPr>
        <w:ind w:left="5040" w:hanging="360"/>
      </w:pPr>
    </w:lvl>
    <w:lvl w:ilvl="7">
      <w:start w:val="172"/>
      <w:numFmt w:val="decimal"/>
      <w:lvlText w:val="(%8)"/>
      <w:lvlJc w:val="left"/>
      <w:pPr>
        <w:ind w:left="5760" w:hanging="360"/>
      </w:pPr>
    </w:lvl>
    <w:lvl w:ilvl="8">
      <w:start w:val="172"/>
      <w:numFmt w:val="decimal"/>
      <w:lvlText w:val="(%9)"/>
      <w:lvlJc w:val="left"/>
      <w:pPr>
        <w:ind w:left="6480" w:hanging="360"/>
      </w:pPr>
    </w:lvl>
  </w:abstractNum>
  <w:abstractNum w:abstractNumId="9943175">
    <w:nsid w:val="A9943175"/>
    <w:multiLevelType w:val="multilevel"/>
    <w:lvl w:ilvl="0">
      <w:start w:val="175"/>
      <w:numFmt w:val="decimal"/>
      <w:lvlText w:val="(%1)"/>
      <w:lvlJc w:val="left"/>
      <w:pPr>
        <w:ind w:left="720" w:hanging="360"/>
      </w:pPr>
    </w:lvl>
    <w:lvl w:ilvl="1">
      <w:start w:val="175"/>
      <w:numFmt w:val="decimal"/>
      <w:lvlText w:val="(%2)"/>
      <w:lvlJc w:val="left"/>
      <w:pPr>
        <w:ind w:left="1440" w:hanging="360"/>
      </w:pPr>
    </w:lvl>
    <w:lvl w:ilvl="2">
      <w:start w:val="175"/>
      <w:numFmt w:val="decimal"/>
      <w:lvlText w:val="(%3)"/>
      <w:lvlJc w:val="left"/>
      <w:pPr>
        <w:ind w:left="2160" w:hanging="360"/>
      </w:pPr>
    </w:lvl>
    <w:lvl w:ilvl="3">
      <w:start w:val="175"/>
      <w:numFmt w:val="decimal"/>
      <w:lvlText w:val="(%4)"/>
      <w:lvlJc w:val="left"/>
      <w:pPr>
        <w:ind w:left="2880" w:hanging="360"/>
      </w:pPr>
    </w:lvl>
    <w:lvl w:ilvl="4">
      <w:start w:val="175"/>
      <w:numFmt w:val="decimal"/>
      <w:lvlText w:val="(%5)"/>
      <w:lvlJc w:val="left"/>
      <w:pPr>
        <w:ind w:left="3600" w:hanging="360"/>
      </w:pPr>
    </w:lvl>
    <w:lvl w:ilvl="5">
      <w:start w:val="175"/>
      <w:numFmt w:val="decimal"/>
      <w:lvlText w:val="(%6)"/>
      <w:lvlJc w:val="left"/>
      <w:pPr>
        <w:ind w:left="4320" w:hanging="360"/>
      </w:pPr>
    </w:lvl>
    <w:lvl w:ilvl="6">
      <w:start w:val="175"/>
      <w:numFmt w:val="decimal"/>
      <w:lvlText w:val="(%7)"/>
      <w:lvlJc w:val="left"/>
      <w:pPr>
        <w:ind w:left="5040" w:hanging="360"/>
      </w:pPr>
    </w:lvl>
    <w:lvl w:ilvl="7">
      <w:start w:val="175"/>
      <w:numFmt w:val="decimal"/>
      <w:lvlText w:val="(%8)"/>
      <w:lvlJc w:val="left"/>
      <w:pPr>
        <w:ind w:left="5760" w:hanging="360"/>
      </w:pPr>
    </w:lvl>
    <w:lvl w:ilvl="8">
      <w:start w:val="175"/>
      <w:numFmt w:val="decimal"/>
      <w:lvlText w:val="(%9)"/>
      <w:lvlJc w:val="left"/>
      <w:pPr>
        <w:ind w:left="6480" w:hanging="360"/>
      </w:pPr>
    </w:lvl>
  </w:abstractNum>
  <w:abstractNum w:abstractNumId="9943179">
    <w:nsid w:val="A9943179"/>
    <w:multiLevelType w:val="multilevel"/>
    <w:lvl w:ilvl="0">
      <w:start w:val="179"/>
      <w:numFmt w:val="decimal"/>
      <w:lvlText w:val="(%1)"/>
      <w:lvlJc w:val="left"/>
      <w:pPr>
        <w:ind w:left="720" w:hanging="360"/>
      </w:pPr>
    </w:lvl>
    <w:lvl w:ilvl="1">
      <w:start w:val="179"/>
      <w:numFmt w:val="decimal"/>
      <w:lvlText w:val="(%2)"/>
      <w:lvlJc w:val="left"/>
      <w:pPr>
        <w:ind w:left="1440" w:hanging="360"/>
      </w:pPr>
    </w:lvl>
    <w:lvl w:ilvl="2">
      <w:start w:val="179"/>
      <w:numFmt w:val="decimal"/>
      <w:lvlText w:val="(%3)"/>
      <w:lvlJc w:val="left"/>
      <w:pPr>
        <w:ind w:left="2160" w:hanging="360"/>
      </w:pPr>
    </w:lvl>
    <w:lvl w:ilvl="3">
      <w:start w:val="179"/>
      <w:numFmt w:val="decimal"/>
      <w:lvlText w:val="(%4)"/>
      <w:lvlJc w:val="left"/>
      <w:pPr>
        <w:ind w:left="2880" w:hanging="360"/>
      </w:pPr>
    </w:lvl>
    <w:lvl w:ilvl="4">
      <w:start w:val="179"/>
      <w:numFmt w:val="decimal"/>
      <w:lvlText w:val="(%5)"/>
      <w:lvlJc w:val="left"/>
      <w:pPr>
        <w:ind w:left="3600" w:hanging="360"/>
      </w:pPr>
    </w:lvl>
    <w:lvl w:ilvl="5">
      <w:start w:val="179"/>
      <w:numFmt w:val="decimal"/>
      <w:lvlText w:val="(%6)"/>
      <w:lvlJc w:val="left"/>
      <w:pPr>
        <w:ind w:left="4320" w:hanging="360"/>
      </w:pPr>
    </w:lvl>
    <w:lvl w:ilvl="6">
      <w:start w:val="179"/>
      <w:numFmt w:val="decimal"/>
      <w:lvlText w:val="(%7)"/>
      <w:lvlJc w:val="left"/>
      <w:pPr>
        <w:ind w:left="5040" w:hanging="360"/>
      </w:pPr>
    </w:lvl>
    <w:lvl w:ilvl="7">
      <w:start w:val="179"/>
      <w:numFmt w:val="decimal"/>
      <w:lvlText w:val="(%8)"/>
      <w:lvlJc w:val="left"/>
      <w:pPr>
        <w:ind w:left="5760" w:hanging="360"/>
      </w:pPr>
    </w:lvl>
    <w:lvl w:ilvl="8">
      <w:start w:val="179"/>
      <w:numFmt w:val="decimal"/>
      <w:lvlText w:val="(%9)"/>
      <w:lvlJc w:val="left"/>
      <w:pPr>
        <w:ind w:left="6480" w:hanging="360"/>
      </w:pPr>
    </w:lvl>
  </w:abstractNum>
  <w:abstractNum w:abstractNumId="9943183">
    <w:nsid w:val="A9943183"/>
    <w:multiLevelType w:val="multilevel"/>
    <w:lvl w:ilvl="0">
      <w:start w:val="183"/>
      <w:numFmt w:val="decimal"/>
      <w:lvlText w:val="(%1)"/>
      <w:lvlJc w:val="left"/>
      <w:pPr>
        <w:ind w:left="720" w:hanging="360"/>
      </w:pPr>
    </w:lvl>
    <w:lvl w:ilvl="1">
      <w:start w:val="183"/>
      <w:numFmt w:val="decimal"/>
      <w:lvlText w:val="(%2)"/>
      <w:lvlJc w:val="left"/>
      <w:pPr>
        <w:ind w:left="1440" w:hanging="360"/>
      </w:pPr>
    </w:lvl>
    <w:lvl w:ilvl="2">
      <w:start w:val="183"/>
      <w:numFmt w:val="decimal"/>
      <w:lvlText w:val="(%3)"/>
      <w:lvlJc w:val="left"/>
      <w:pPr>
        <w:ind w:left="2160" w:hanging="360"/>
      </w:pPr>
    </w:lvl>
    <w:lvl w:ilvl="3">
      <w:start w:val="183"/>
      <w:numFmt w:val="decimal"/>
      <w:lvlText w:val="(%4)"/>
      <w:lvlJc w:val="left"/>
      <w:pPr>
        <w:ind w:left="2880" w:hanging="360"/>
      </w:pPr>
    </w:lvl>
    <w:lvl w:ilvl="4">
      <w:start w:val="183"/>
      <w:numFmt w:val="decimal"/>
      <w:lvlText w:val="(%5)"/>
      <w:lvlJc w:val="left"/>
      <w:pPr>
        <w:ind w:left="3600" w:hanging="360"/>
      </w:pPr>
    </w:lvl>
    <w:lvl w:ilvl="5">
      <w:start w:val="183"/>
      <w:numFmt w:val="decimal"/>
      <w:lvlText w:val="(%6)"/>
      <w:lvlJc w:val="left"/>
      <w:pPr>
        <w:ind w:left="4320" w:hanging="360"/>
      </w:pPr>
    </w:lvl>
    <w:lvl w:ilvl="6">
      <w:start w:val="183"/>
      <w:numFmt w:val="decimal"/>
      <w:lvlText w:val="(%7)"/>
      <w:lvlJc w:val="left"/>
      <w:pPr>
        <w:ind w:left="5040" w:hanging="360"/>
      </w:pPr>
    </w:lvl>
    <w:lvl w:ilvl="7">
      <w:start w:val="183"/>
      <w:numFmt w:val="decimal"/>
      <w:lvlText w:val="(%8)"/>
      <w:lvlJc w:val="left"/>
      <w:pPr>
        <w:ind w:left="5760" w:hanging="360"/>
      </w:pPr>
    </w:lvl>
    <w:lvl w:ilvl="8">
      <w:start w:val="183"/>
      <w:numFmt w:val="decimal"/>
      <w:lvlText w:val="(%9)"/>
      <w:lvlJc w:val="left"/>
      <w:pPr>
        <w:ind w:left="6480" w:hanging="360"/>
      </w:pPr>
    </w:lvl>
  </w:abstractNum>
  <w:abstractNum w:abstractNumId="9943184">
    <w:nsid w:val="A9943184"/>
    <w:multiLevelType w:val="multilevel"/>
    <w:lvl w:ilvl="0">
      <w:start w:val="184"/>
      <w:numFmt w:val="decimal"/>
      <w:lvlText w:val="(%1)"/>
      <w:lvlJc w:val="left"/>
      <w:pPr>
        <w:ind w:left="720" w:hanging="360"/>
      </w:pPr>
    </w:lvl>
    <w:lvl w:ilvl="1">
      <w:start w:val="184"/>
      <w:numFmt w:val="decimal"/>
      <w:lvlText w:val="(%2)"/>
      <w:lvlJc w:val="left"/>
      <w:pPr>
        <w:ind w:left="1440" w:hanging="360"/>
      </w:pPr>
    </w:lvl>
    <w:lvl w:ilvl="2">
      <w:start w:val="184"/>
      <w:numFmt w:val="decimal"/>
      <w:lvlText w:val="(%3)"/>
      <w:lvlJc w:val="left"/>
      <w:pPr>
        <w:ind w:left="2160" w:hanging="360"/>
      </w:pPr>
    </w:lvl>
    <w:lvl w:ilvl="3">
      <w:start w:val="184"/>
      <w:numFmt w:val="decimal"/>
      <w:lvlText w:val="(%4)"/>
      <w:lvlJc w:val="left"/>
      <w:pPr>
        <w:ind w:left="2880" w:hanging="360"/>
      </w:pPr>
    </w:lvl>
    <w:lvl w:ilvl="4">
      <w:start w:val="184"/>
      <w:numFmt w:val="decimal"/>
      <w:lvlText w:val="(%5)"/>
      <w:lvlJc w:val="left"/>
      <w:pPr>
        <w:ind w:left="3600" w:hanging="360"/>
      </w:pPr>
    </w:lvl>
    <w:lvl w:ilvl="5">
      <w:start w:val="184"/>
      <w:numFmt w:val="decimal"/>
      <w:lvlText w:val="(%6)"/>
      <w:lvlJc w:val="left"/>
      <w:pPr>
        <w:ind w:left="4320" w:hanging="360"/>
      </w:pPr>
    </w:lvl>
    <w:lvl w:ilvl="6">
      <w:start w:val="184"/>
      <w:numFmt w:val="decimal"/>
      <w:lvlText w:val="(%7)"/>
      <w:lvlJc w:val="left"/>
      <w:pPr>
        <w:ind w:left="5040" w:hanging="360"/>
      </w:pPr>
    </w:lvl>
    <w:lvl w:ilvl="7">
      <w:start w:val="184"/>
      <w:numFmt w:val="decimal"/>
      <w:lvlText w:val="(%8)"/>
      <w:lvlJc w:val="left"/>
      <w:pPr>
        <w:ind w:left="5760" w:hanging="360"/>
      </w:pPr>
    </w:lvl>
    <w:lvl w:ilvl="8">
      <w:start w:val="184"/>
      <w:numFmt w:val="decimal"/>
      <w:lvlText w:val="(%9)"/>
      <w:lvlJc w:val="left"/>
      <w:pPr>
        <w:ind w:left="6480" w:hanging="360"/>
      </w:pPr>
    </w:lvl>
  </w:abstractNum>
  <w:abstractNum w:abstractNumId="9943186">
    <w:nsid w:val="A9943186"/>
    <w:multiLevelType w:val="multilevel"/>
    <w:lvl w:ilvl="0">
      <w:start w:val="186"/>
      <w:numFmt w:val="decimal"/>
      <w:lvlText w:val="(%1)"/>
      <w:lvlJc w:val="left"/>
      <w:pPr>
        <w:ind w:left="720" w:hanging="360"/>
      </w:pPr>
    </w:lvl>
    <w:lvl w:ilvl="1">
      <w:start w:val="186"/>
      <w:numFmt w:val="decimal"/>
      <w:lvlText w:val="(%2)"/>
      <w:lvlJc w:val="left"/>
      <w:pPr>
        <w:ind w:left="1440" w:hanging="360"/>
      </w:pPr>
    </w:lvl>
    <w:lvl w:ilvl="2">
      <w:start w:val="186"/>
      <w:numFmt w:val="decimal"/>
      <w:lvlText w:val="(%3)"/>
      <w:lvlJc w:val="left"/>
      <w:pPr>
        <w:ind w:left="2160" w:hanging="360"/>
      </w:pPr>
    </w:lvl>
    <w:lvl w:ilvl="3">
      <w:start w:val="186"/>
      <w:numFmt w:val="decimal"/>
      <w:lvlText w:val="(%4)"/>
      <w:lvlJc w:val="left"/>
      <w:pPr>
        <w:ind w:left="2880" w:hanging="360"/>
      </w:pPr>
    </w:lvl>
    <w:lvl w:ilvl="4">
      <w:start w:val="186"/>
      <w:numFmt w:val="decimal"/>
      <w:lvlText w:val="(%5)"/>
      <w:lvlJc w:val="left"/>
      <w:pPr>
        <w:ind w:left="3600" w:hanging="360"/>
      </w:pPr>
    </w:lvl>
    <w:lvl w:ilvl="5">
      <w:start w:val="186"/>
      <w:numFmt w:val="decimal"/>
      <w:lvlText w:val="(%6)"/>
      <w:lvlJc w:val="left"/>
      <w:pPr>
        <w:ind w:left="4320" w:hanging="360"/>
      </w:pPr>
    </w:lvl>
    <w:lvl w:ilvl="6">
      <w:start w:val="186"/>
      <w:numFmt w:val="decimal"/>
      <w:lvlText w:val="(%7)"/>
      <w:lvlJc w:val="left"/>
      <w:pPr>
        <w:ind w:left="5040" w:hanging="360"/>
      </w:pPr>
    </w:lvl>
    <w:lvl w:ilvl="7">
      <w:start w:val="186"/>
      <w:numFmt w:val="decimal"/>
      <w:lvlText w:val="(%8)"/>
      <w:lvlJc w:val="left"/>
      <w:pPr>
        <w:ind w:left="5760" w:hanging="360"/>
      </w:pPr>
    </w:lvl>
    <w:lvl w:ilvl="8">
      <w:start w:val="186"/>
      <w:numFmt w:val="decimal"/>
      <w:lvlText w:val="(%9)"/>
      <w:lvlJc w:val="left"/>
      <w:pPr>
        <w:ind w:left="6480" w:hanging="360"/>
      </w:pPr>
    </w:lvl>
  </w:abstractNum>
  <w:abstractNum w:abstractNumId="9943192">
    <w:nsid w:val="A9943192"/>
    <w:multiLevelType w:val="multilevel"/>
    <w:lvl w:ilvl="0">
      <w:start w:val="192"/>
      <w:numFmt w:val="decimal"/>
      <w:lvlText w:val="(%1)"/>
      <w:lvlJc w:val="left"/>
      <w:pPr>
        <w:ind w:left="720" w:hanging="360"/>
      </w:pPr>
    </w:lvl>
    <w:lvl w:ilvl="1">
      <w:start w:val="192"/>
      <w:numFmt w:val="decimal"/>
      <w:lvlText w:val="(%2)"/>
      <w:lvlJc w:val="left"/>
      <w:pPr>
        <w:ind w:left="1440" w:hanging="360"/>
      </w:pPr>
    </w:lvl>
    <w:lvl w:ilvl="2">
      <w:start w:val="192"/>
      <w:numFmt w:val="decimal"/>
      <w:lvlText w:val="(%3)"/>
      <w:lvlJc w:val="left"/>
      <w:pPr>
        <w:ind w:left="2160" w:hanging="360"/>
      </w:pPr>
    </w:lvl>
    <w:lvl w:ilvl="3">
      <w:start w:val="192"/>
      <w:numFmt w:val="decimal"/>
      <w:lvlText w:val="(%4)"/>
      <w:lvlJc w:val="left"/>
      <w:pPr>
        <w:ind w:left="2880" w:hanging="360"/>
      </w:pPr>
    </w:lvl>
    <w:lvl w:ilvl="4">
      <w:start w:val="192"/>
      <w:numFmt w:val="decimal"/>
      <w:lvlText w:val="(%5)"/>
      <w:lvlJc w:val="left"/>
      <w:pPr>
        <w:ind w:left="3600" w:hanging="360"/>
      </w:pPr>
    </w:lvl>
    <w:lvl w:ilvl="5">
      <w:start w:val="192"/>
      <w:numFmt w:val="decimal"/>
      <w:lvlText w:val="(%6)"/>
      <w:lvlJc w:val="left"/>
      <w:pPr>
        <w:ind w:left="4320" w:hanging="360"/>
      </w:pPr>
    </w:lvl>
    <w:lvl w:ilvl="6">
      <w:start w:val="192"/>
      <w:numFmt w:val="decimal"/>
      <w:lvlText w:val="(%7)"/>
      <w:lvlJc w:val="left"/>
      <w:pPr>
        <w:ind w:left="5040" w:hanging="360"/>
      </w:pPr>
    </w:lvl>
    <w:lvl w:ilvl="7">
      <w:start w:val="192"/>
      <w:numFmt w:val="decimal"/>
      <w:lvlText w:val="(%8)"/>
      <w:lvlJc w:val="left"/>
      <w:pPr>
        <w:ind w:left="5760" w:hanging="360"/>
      </w:pPr>
    </w:lvl>
    <w:lvl w:ilvl="8">
      <w:start w:val="192"/>
      <w:numFmt w:val="decimal"/>
      <w:lvlText w:val="(%9)"/>
      <w:lvlJc w:val="left"/>
      <w:pPr>
        <w:ind w:left="6480" w:hanging="360"/>
      </w:pPr>
    </w:lvl>
  </w:abstractNum>
  <w:abstractNum w:abstractNumId="9943198">
    <w:nsid w:val="A9943198"/>
    <w:multiLevelType w:val="multilevel"/>
    <w:lvl w:ilvl="0">
      <w:start w:val="198"/>
      <w:numFmt w:val="decimal"/>
      <w:lvlText w:val="(%1)"/>
      <w:lvlJc w:val="left"/>
      <w:pPr>
        <w:ind w:left="720" w:hanging="360"/>
      </w:pPr>
    </w:lvl>
    <w:lvl w:ilvl="1">
      <w:start w:val="198"/>
      <w:numFmt w:val="decimal"/>
      <w:lvlText w:val="(%2)"/>
      <w:lvlJc w:val="left"/>
      <w:pPr>
        <w:ind w:left="1440" w:hanging="360"/>
      </w:pPr>
    </w:lvl>
    <w:lvl w:ilvl="2">
      <w:start w:val="198"/>
      <w:numFmt w:val="decimal"/>
      <w:lvlText w:val="(%3)"/>
      <w:lvlJc w:val="left"/>
      <w:pPr>
        <w:ind w:left="2160" w:hanging="360"/>
      </w:pPr>
    </w:lvl>
    <w:lvl w:ilvl="3">
      <w:start w:val="198"/>
      <w:numFmt w:val="decimal"/>
      <w:lvlText w:val="(%4)"/>
      <w:lvlJc w:val="left"/>
      <w:pPr>
        <w:ind w:left="2880" w:hanging="360"/>
      </w:pPr>
    </w:lvl>
    <w:lvl w:ilvl="4">
      <w:start w:val="198"/>
      <w:numFmt w:val="decimal"/>
      <w:lvlText w:val="(%5)"/>
      <w:lvlJc w:val="left"/>
      <w:pPr>
        <w:ind w:left="3600" w:hanging="360"/>
      </w:pPr>
    </w:lvl>
    <w:lvl w:ilvl="5">
      <w:start w:val="198"/>
      <w:numFmt w:val="decimal"/>
      <w:lvlText w:val="(%6)"/>
      <w:lvlJc w:val="left"/>
      <w:pPr>
        <w:ind w:left="4320" w:hanging="360"/>
      </w:pPr>
    </w:lvl>
    <w:lvl w:ilvl="6">
      <w:start w:val="198"/>
      <w:numFmt w:val="decimal"/>
      <w:lvlText w:val="(%7)"/>
      <w:lvlJc w:val="left"/>
      <w:pPr>
        <w:ind w:left="5040" w:hanging="360"/>
      </w:pPr>
    </w:lvl>
    <w:lvl w:ilvl="7">
      <w:start w:val="198"/>
      <w:numFmt w:val="decimal"/>
      <w:lvlText w:val="(%8)"/>
      <w:lvlJc w:val="left"/>
      <w:pPr>
        <w:ind w:left="5760" w:hanging="360"/>
      </w:pPr>
    </w:lvl>
    <w:lvl w:ilvl="8">
      <w:start w:val="198"/>
      <w:numFmt w:val="decimal"/>
      <w:lvlText w:val="(%9)"/>
      <w:lvlJc w:val="left"/>
      <w:pPr>
        <w:ind w:left="6480" w:hanging="360"/>
      </w:pPr>
    </w:lvl>
  </w:abstractNum>
  <w:abstractNum w:abstractNumId="9943200">
    <w:nsid w:val="A9943200"/>
    <w:multiLevelType w:val="multilevel"/>
    <w:lvl w:ilvl="0">
      <w:start w:val="200"/>
      <w:numFmt w:val="decimal"/>
      <w:lvlText w:val="(%1)"/>
      <w:lvlJc w:val="left"/>
      <w:pPr>
        <w:ind w:left="720" w:hanging="360"/>
      </w:pPr>
    </w:lvl>
    <w:lvl w:ilvl="1">
      <w:start w:val="200"/>
      <w:numFmt w:val="decimal"/>
      <w:lvlText w:val="(%2)"/>
      <w:lvlJc w:val="left"/>
      <w:pPr>
        <w:ind w:left="1440" w:hanging="360"/>
      </w:pPr>
    </w:lvl>
    <w:lvl w:ilvl="2">
      <w:start w:val="200"/>
      <w:numFmt w:val="decimal"/>
      <w:lvlText w:val="(%3)"/>
      <w:lvlJc w:val="left"/>
      <w:pPr>
        <w:ind w:left="2160" w:hanging="360"/>
      </w:pPr>
    </w:lvl>
    <w:lvl w:ilvl="3">
      <w:start w:val="200"/>
      <w:numFmt w:val="decimal"/>
      <w:lvlText w:val="(%4)"/>
      <w:lvlJc w:val="left"/>
      <w:pPr>
        <w:ind w:left="2880" w:hanging="360"/>
      </w:pPr>
    </w:lvl>
    <w:lvl w:ilvl="4">
      <w:start w:val="200"/>
      <w:numFmt w:val="decimal"/>
      <w:lvlText w:val="(%5)"/>
      <w:lvlJc w:val="left"/>
      <w:pPr>
        <w:ind w:left="3600" w:hanging="360"/>
      </w:pPr>
    </w:lvl>
    <w:lvl w:ilvl="5">
      <w:start w:val="200"/>
      <w:numFmt w:val="decimal"/>
      <w:lvlText w:val="(%6)"/>
      <w:lvlJc w:val="left"/>
      <w:pPr>
        <w:ind w:left="4320" w:hanging="360"/>
      </w:pPr>
    </w:lvl>
    <w:lvl w:ilvl="6">
      <w:start w:val="200"/>
      <w:numFmt w:val="decimal"/>
      <w:lvlText w:val="(%7)"/>
      <w:lvlJc w:val="left"/>
      <w:pPr>
        <w:ind w:left="5040" w:hanging="360"/>
      </w:pPr>
    </w:lvl>
    <w:lvl w:ilvl="7">
      <w:start w:val="200"/>
      <w:numFmt w:val="decimal"/>
      <w:lvlText w:val="(%8)"/>
      <w:lvlJc w:val="left"/>
      <w:pPr>
        <w:ind w:left="5760" w:hanging="360"/>
      </w:pPr>
    </w:lvl>
    <w:lvl w:ilvl="8">
      <w:start w:val="200"/>
      <w:numFmt w:val="decimal"/>
      <w:lvlText w:val="(%9)"/>
      <w:lvlJc w:val="left"/>
      <w:pPr>
        <w:ind w:left="6480" w:hanging="360"/>
      </w:pPr>
    </w:lvl>
  </w:abstractNum>
  <w:abstractNum w:abstractNumId="9943204">
    <w:nsid w:val="A9943204"/>
    <w:multiLevelType w:val="multilevel"/>
    <w:lvl w:ilvl="0">
      <w:start w:val="204"/>
      <w:numFmt w:val="decimal"/>
      <w:lvlText w:val="(%1)"/>
      <w:lvlJc w:val="left"/>
      <w:pPr>
        <w:ind w:left="720" w:hanging="360"/>
      </w:pPr>
    </w:lvl>
    <w:lvl w:ilvl="1">
      <w:start w:val="204"/>
      <w:numFmt w:val="decimal"/>
      <w:lvlText w:val="(%2)"/>
      <w:lvlJc w:val="left"/>
      <w:pPr>
        <w:ind w:left="1440" w:hanging="360"/>
      </w:pPr>
    </w:lvl>
    <w:lvl w:ilvl="2">
      <w:start w:val="204"/>
      <w:numFmt w:val="decimal"/>
      <w:lvlText w:val="(%3)"/>
      <w:lvlJc w:val="left"/>
      <w:pPr>
        <w:ind w:left="2160" w:hanging="360"/>
      </w:pPr>
    </w:lvl>
    <w:lvl w:ilvl="3">
      <w:start w:val="204"/>
      <w:numFmt w:val="decimal"/>
      <w:lvlText w:val="(%4)"/>
      <w:lvlJc w:val="left"/>
      <w:pPr>
        <w:ind w:left="2880" w:hanging="360"/>
      </w:pPr>
    </w:lvl>
    <w:lvl w:ilvl="4">
      <w:start w:val="204"/>
      <w:numFmt w:val="decimal"/>
      <w:lvlText w:val="(%5)"/>
      <w:lvlJc w:val="left"/>
      <w:pPr>
        <w:ind w:left="3600" w:hanging="360"/>
      </w:pPr>
    </w:lvl>
    <w:lvl w:ilvl="5">
      <w:start w:val="204"/>
      <w:numFmt w:val="decimal"/>
      <w:lvlText w:val="(%6)"/>
      <w:lvlJc w:val="left"/>
      <w:pPr>
        <w:ind w:left="4320" w:hanging="360"/>
      </w:pPr>
    </w:lvl>
    <w:lvl w:ilvl="6">
      <w:start w:val="204"/>
      <w:numFmt w:val="decimal"/>
      <w:lvlText w:val="(%7)"/>
      <w:lvlJc w:val="left"/>
      <w:pPr>
        <w:ind w:left="5040" w:hanging="360"/>
      </w:pPr>
    </w:lvl>
    <w:lvl w:ilvl="7">
      <w:start w:val="204"/>
      <w:numFmt w:val="decimal"/>
      <w:lvlText w:val="(%8)"/>
      <w:lvlJc w:val="left"/>
      <w:pPr>
        <w:ind w:left="5760" w:hanging="360"/>
      </w:pPr>
    </w:lvl>
    <w:lvl w:ilvl="8">
      <w:start w:val="204"/>
      <w:numFmt w:val="decimal"/>
      <w:lvlText w:val="(%9)"/>
      <w:lvlJc w:val="left"/>
      <w:pPr>
        <w:ind w:left="6480" w:hanging="360"/>
      </w:pPr>
    </w:lvl>
  </w:abstractNum>
  <w:abstractNum w:abstractNumId="9943207">
    <w:nsid w:val="A9943207"/>
    <w:multiLevelType w:val="multilevel"/>
    <w:lvl w:ilvl="0">
      <w:start w:val="207"/>
      <w:numFmt w:val="decimal"/>
      <w:lvlText w:val="(%1)"/>
      <w:lvlJc w:val="left"/>
      <w:pPr>
        <w:ind w:left="720" w:hanging="360"/>
      </w:pPr>
    </w:lvl>
    <w:lvl w:ilvl="1">
      <w:start w:val="207"/>
      <w:numFmt w:val="decimal"/>
      <w:lvlText w:val="(%2)"/>
      <w:lvlJc w:val="left"/>
      <w:pPr>
        <w:ind w:left="1440" w:hanging="360"/>
      </w:pPr>
    </w:lvl>
    <w:lvl w:ilvl="2">
      <w:start w:val="207"/>
      <w:numFmt w:val="decimal"/>
      <w:lvlText w:val="(%3)"/>
      <w:lvlJc w:val="left"/>
      <w:pPr>
        <w:ind w:left="2160" w:hanging="360"/>
      </w:pPr>
    </w:lvl>
    <w:lvl w:ilvl="3">
      <w:start w:val="207"/>
      <w:numFmt w:val="decimal"/>
      <w:lvlText w:val="(%4)"/>
      <w:lvlJc w:val="left"/>
      <w:pPr>
        <w:ind w:left="2880" w:hanging="360"/>
      </w:pPr>
    </w:lvl>
    <w:lvl w:ilvl="4">
      <w:start w:val="207"/>
      <w:numFmt w:val="decimal"/>
      <w:lvlText w:val="(%5)"/>
      <w:lvlJc w:val="left"/>
      <w:pPr>
        <w:ind w:left="3600" w:hanging="360"/>
      </w:pPr>
    </w:lvl>
    <w:lvl w:ilvl="5">
      <w:start w:val="207"/>
      <w:numFmt w:val="decimal"/>
      <w:lvlText w:val="(%6)"/>
      <w:lvlJc w:val="left"/>
      <w:pPr>
        <w:ind w:left="4320" w:hanging="360"/>
      </w:pPr>
    </w:lvl>
    <w:lvl w:ilvl="6">
      <w:start w:val="207"/>
      <w:numFmt w:val="decimal"/>
      <w:lvlText w:val="(%7)"/>
      <w:lvlJc w:val="left"/>
      <w:pPr>
        <w:ind w:left="5040" w:hanging="360"/>
      </w:pPr>
    </w:lvl>
    <w:lvl w:ilvl="7">
      <w:start w:val="207"/>
      <w:numFmt w:val="decimal"/>
      <w:lvlText w:val="(%8)"/>
      <w:lvlJc w:val="left"/>
      <w:pPr>
        <w:ind w:left="5760" w:hanging="360"/>
      </w:pPr>
    </w:lvl>
    <w:lvl w:ilvl="8">
      <w:start w:val="207"/>
      <w:numFmt w:val="decimal"/>
      <w:lvlText w:val="(%9)"/>
      <w:lvlJc w:val="left"/>
      <w:pPr>
        <w:ind w:left="6480" w:hanging="360"/>
      </w:pPr>
    </w:lvl>
  </w:abstractNum>
  <w:abstractNum w:abstractNumId="9943208">
    <w:nsid w:val="A9943208"/>
    <w:multiLevelType w:val="multilevel"/>
    <w:lvl w:ilvl="0">
      <w:start w:val="208"/>
      <w:numFmt w:val="decimal"/>
      <w:lvlText w:val="(%1)"/>
      <w:lvlJc w:val="left"/>
      <w:pPr>
        <w:ind w:left="720" w:hanging="360"/>
      </w:pPr>
    </w:lvl>
    <w:lvl w:ilvl="1">
      <w:start w:val="208"/>
      <w:numFmt w:val="decimal"/>
      <w:lvlText w:val="(%2)"/>
      <w:lvlJc w:val="left"/>
      <w:pPr>
        <w:ind w:left="1440" w:hanging="360"/>
      </w:pPr>
    </w:lvl>
    <w:lvl w:ilvl="2">
      <w:start w:val="208"/>
      <w:numFmt w:val="decimal"/>
      <w:lvlText w:val="(%3)"/>
      <w:lvlJc w:val="left"/>
      <w:pPr>
        <w:ind w:left="2160" w:hanging="360"/>
      </w:pPr>
    </w:lvl>
    <w:lvl w:ilvl="3">
      <w:start w:val="208"/>
      <w:numFmt w:val="decimal"/>
      <w:lvlText w:val="(%4)"/>
      <w:lvlJc w:val="left"/>
      <w:pPr>
        <w:ind w:left="2880" w:hanging="360"/>
      </w:pPr>
    </w:lvl>
    <w:lvl w:ilvl="4">
      <w:start w:val="208"/>
      <w:numFmt w:val="decimal"/>
      <w:lvlText w:val="(%5)"/>
      <w:lvlJc w:val="left"/>
      <w:pPr>
        <w:ind w:left="3600" w:hanging="360"/>
      </w:pPr>
    </w:lvl>
    <w:lvl w:ilvl="5">
      <w:start w:val="208"/>
      <w:numFmt w:val="decimal"/>
      <w:lvlText w:val="(%6)"/>
      <w:lvlJc w:val="left"/>
      <w:pPr>
        <w:ind w:left="4320" w:hanging="360"/>
      </w:pPr>
    </w:lvl>
    <w:lvl w:ilvl="6">
      <w:start w:val="208"/>
      <w:numFmt w:val="decimal"/>
      <w:lvlText w:val="(%7)"/>
      <w:lvlJc w:val="left"/>
      <w:pPr>
        <w:ind w:left="5040" w:hanging="360"/>
      </w:pPr>
    </w:lvl>
    <w:lvl w:ilvl="7">
      <w:start w:val="208"/>
      <w:numFmt w:val="decimal"/>
      <w:lvlText w:val="(%8)"/>
      <w:lvlJc w:val="left"/>
      <w:pPr>
        <w:ind w:left="5760" w:hanging="360"/>
      </w:pPr>
    </w:lvl>
    <w:lvl w:ilvl="8">
      <w:start w:val="208"/>
      <w:numFmt w:val="decimal"/>
      <w:lvlText w:val="(%9)"/>
      <w:lvlJc w:val="left"/>
      <w:pPr>
        <w:ind w:left="6480" w:hanging="360"/>
      </w:pPr>
    </w:lvl>
  </w:abstractNum>
  <w:abstractNum w:abstractNumId="9943212">
    <w:nsid w:val="A9943212"/>
    <w:multiLevelType w:val="multilevel"/>
    <w:lvl w:ilvl="0">
      <w:start w:val="212"/>
      <w:numFmt w:val="decimal"/>
      <w:lvlText w:val="(%1)"/>
      <w:lvlJc w:val="left"/>
      <w:pPr>
        <w:ind w:left="720" w:hanging="360"/>
      </w:pPr>
    </w:lvl>
    <w:lvl w:ilvl="1">
      <w:start w:val="212"/>
      <w:numFmt w:val="decimal"/>
      <w:lvlText w:val="(%2)"/>
      <w:lvlJc w:val="left"/>
      <w:pPr>
        <w:ind w:left="1440" w:hanging="360"/>
      </w:pPr>
    </w:lvl>
    <w:lvl w:ilvl="2">
      <w:start w:val="212"/>
      <w:numFmt w:val="decimal"/>
      <w:lvlText w:val="(%3)"/>
      <w:lvlJc w:val="left"/>
      <w:pPr>
        <w:ind w:left="2160" w:hanging="360"/>
      </w:pPr>
    </w:lvl>
    <w:lvl w:ilvl="3">
      <w:start w:val="212"/>
      <w:numFmt w:val="decimal"/>
      <w:lvlText w:val="(%4)"/>
      <w:lvlJc w:val="left"/>
      <w:pPr>
        <w:ind w:left="2880" w:hanging="360"/>
      </w:pPr>
    </w:lvl>
    <w:lvl w:ilvl="4">
      <w:start w:val="212"/>
      <w:numFmt w:val="decimal"/>
      <w:lvlText w:val="(%5)"/>
      <w:lvlJc w:val="left"/>
      <w:pPr>
        <w:ind w:left="3600" w:hanging="360"/>
      </w:pPr>
    </w:lvl>
    <w:lvl w:ilvl="5">
      <w:start w:val="212"/>
      <w:numFmt w:val="decimal"/>
      <w:lvlText w:val="(%6)"/>
      <w:lvlJc w:val="left"/>
      <w:pPr>
        <w:ind w:left="4320" w:hanging="360"/>
      </w:pPr>
    </w:lvl>
    <w:lvl w:ilvl="6">
      <w:start w:val="212"/>
      <w:numFmt w:val="decimal"/>
      <w:lvlText w:val="(%7)"/>
      <w:lvlJc w:val="left"/>
      <w:pPr>
        <w:ind w:left="5040" w:hanging="360"/>
      </w:pPr>
    </w:lvl>
    <w:lvl w:ilvl="7">
      <w:start w:val="212"/>
      <w:numFmt w:val="decimal"/>
      <w:lvlText w:val="(%8)"/>
      <w:lvlJc w:val="left"/>
      <w:pPr>
        <w:ind w:left="5760" w:hanging="360"/>
      </w:pPr>
    </w:lvl>
    <w:lvl w:ilvl="8">
      <w:start w:val="212"/>
      <w:numFmt w:val="decimal"/>
      <w:lvlText w:val="(%9)"/>
      <w:lvlJc w:val="left"/>
      <w:pPr>
        <w:ind w:left="6480" w:hanging="360"/>
      </w:pPr>
    </w:lvl>
  </w:abstractNum>
  <w:abstractNum w:abstractNumId="99412023">
    <w:nsid w:val="A99412023"/>
    <w:multiLevelType w:val="multilevel"/>
    <w:lvl w:ilvl="0">
      <w:start w:val="2023"/>
      <w:numFmt w:val="decimal"/>
      <w:lvlText w:val="%1."/>
      <w:lvlJc w:val="left"/>
      <w:pPr>
        <w:ind w:left="720" w:hanging="360"/>
      </w:pPr>
    </w:lvl>
    <w:lvl w:ilvl="1">
      <w:start w:val="2023"/>
      <w:numFmt w:val="decimal"/>
      <w:lvlText w:val="%2."/>
      <w:lvlJc w:val="left"/>
      <w:pPr>
        <w:ind w:left="1440" w:hanging="360"/>
      </w:pPr>
    </w:lvl>
    <w:lvl w:ilvl="2">
      <w:start w:val="2023"/>
      <w:numFmt w:val="decimal"/>
      <w:lvlText w:val="%3."/>
      <w:lvlJc w:val="left"/>
      <w:pPr>
        <w:ind w:left="2160" w:hanging="360"/>
      </w:pPr>
    </w:lvl>
    <w:lvl w:ilvl="3">
      <w:start w:val="2023"/>
      <w:numFmt w:val="decimal"/>
      <w:lvlText w:val="%4."/>
      <w:lvlJc w:val="left"/>
      <w:pPr>
        <w:ind w:left="2880" w:hanging="360"/>
      </w:pPr>
    </w:lvl>
    <w:lvl w:ilvl="4">
      <w:start w:val="2023"/>
      <w:numFmt w:val="decimal"/>
      <w:lvlText w:val="%5."/>
      <w:lvlJc w:val="left"/>
      <w:pPr>
        <w:ind w:left="3600" w:hanging="360"/>
      </w:pPr>
    </w:lvl>
    <w:lvl w:ilvl="5">
      <w:start w:val="2023"/>
      <w:numFmt w:val="decimal"/>
      <w:lvlText w:val="%6."/>
      <w:lvlJc w:val="left"/>
      <w:pPr>
        <w:ind w:left="4320" w:hanging="360"/>
      </w:pPr>
    </w:lvl>
    <w:lvl w:ilvl="6">
      <w:start w:val="2023"/>
      <w:numFmt w:val="decimal"/>
      <w:lvlText w:val="%7."/>
      <w:lvlJc w:val="left"/>
      <w:pPr>
        <w:ind w:left="5040" w:hanging="360"/>
      </w:pPr>
    </w:lvl>
    <w:lvl w:ilvl="7">
      <w:start w:val="2023"/>
      <w:numFmt w:val="decimal"/>
      <w:lvlText w:val="%8."/>
      <w:lvlJc w:val="left"/>
      <w:pPr>
        <w:ind w:left="5760" w:hanging="360"/>
      </w:pPr>
    </w:lvl>
    <w:lvl w:ilvl="8">
      <w:start w:val="2023"/>
      <w:numFmt w:val="decimal"/>
      <w:lvlText w:val="%9."/>
      <w:lvlJc w:val="left"/>
      <w:pPr>
        <w:ind w:left="6480" w:hanging="360"/>
      </w:pPr>
    </w:lvl>
  </w:abstractNum>
  <w:abstractNum w:abstractNumId="9943214">
    <w:nsid w:val="A9943214"/>
    <w:multiLevelType w:val="multilevel"/>
    <w:lvl w:ilvl="0">
      <w:start w:val="214"/>
      <w:numFmt w:val="decimal"/>
      <w:lvlText w:val="(%1)"/>
      <w:lvlJc w:val="left"/>
      <w:pPr>
        <w:ind w:left="720" w:hanging="360"/>
      </w:pPr>
    </w:lvl>
    <w:lvl w:ilvl="1">
      <w:start w:val="214"/>
      <w:numFmt w:val="decimal"/>
      <w:lvlText w:val="(%2)"/>
      <w:lvlJc w:val="left"/>
      <w:pPr>
        <w:ind w:left="1440" w:hanging="360"/>
      </w:pPr>
    </w:lvl>
    <w:lvl w:ilvl="2">
      <w:start w:val="214"/>
      <w:numFmt w:val="decimal"/>
      <w:lvlText w:val="(%3)"/>
      <w:lvlJc w:val="left"/>
      <w:pPr>
        <w:ind w:left="2160" w:hanging="360"/>
      </w:pPr>
    </w:lvl>
    <w:lvl w:ilvl="3">
      <w:start w:val="214"/>
      <w:numFmt w:val="decimal"/>
      <w:lvlText w:val="(%4)"/>
      <w:lvlJc w:val="left"/>
      <w:pPr>
        <w:ind w:left="2880" w:hanging="360"/>
      </w:pPr>
    </w:lvl>
    <w:lvl w:ilvl="4">
      <w:start w:val="214"/>
      <w:numFmt w:val="decimal"/>
      <w:lvlText w:val="(%5)"/>
      <w:lvlJc w:val="left"/>
      <w:pPr>
        <w:ind w:left="3600" w:hanging="360"/>
      </w:pPr>
    </w:lvl>
    <w:lvl w:ilvl="5">
      <w:start w:val="214"/>
      <w:numFmt w:val="decimal"/>
      <w:lvlText w:val="(%6)"/>
      <w:lvlJc w:val="left"/>
      <w:pPr>
        <w:ind w:left="4320" w:hanging="360"/>
      </w:pPr>
    </w:lvl>
    <w:lvl w:ilvl="6">
      <w:start w:val="214"/>
      <w:numFmt w:val="decimal"/>
      <w:lvlText w:val="(%7)"/>
      <w:lvlJc w:val="left"/>
      <w:pPr>
        <w:ind w:left="5040" w:hanging="360"/>
      </w:pPr>
    </w:lvl>
    <w:lvl w:ilvl="7">
      <w:start w:val="214"/>
      <w:numFmt w:val="decimal"/>
      <w:lvlText w:val="(%8)"/>
      <w:lvlJc w:val="left"/>
      <w:pPr>
        <w:ind w:left="5760" w:hanging="360"/>
      </w:pPr>
    </w:lvl>
    <w:lvl w:ilvl="8">
      <w:start w:val="214"/>
      <w:numFmt w:val="decimal"/>
      <w:lvlText w:val="(%9)"/>
      <w:lvlJc w:val="left"/>
      <w:pPr>
        <w:ind w:left="6480" w:hanging="360"/>
      </w:pPr>
    </w:lvl>
  </w:abstractNum>
  <w:abstractNum w:abstractNumId="9943217">
    <w:nsid w:val="A9943217"/>
    <w:multiLevelType w:val="multilevel"/>
    <w:lvl w:ilvl="0">
      <w:start w:val="217"/>
      <w:numFmt w:val="decimal"/>
      <w:lvlText w:val="(%1)"/>
      <w:lvlJc w:val="left"/>
      <w:pPr>
        <w:ind w:left="720" w:hanging="360"/>
      </w:pPr>
    </w:lvl>
    <w:lvl w:ilvl="1">
      <w:start w:val="217"/>
      <w:numFmt w:val="decimal"/>
      <w:lvlText w:val="(%2)"/>
      <w:lvlJc w:val="left"/>
      <w:pPr>
        <w:ind w:left="1440" w:hanging="360"/>
      </w:pPr>
    </w:lvl>
    <w:lvl w:ilvl="2">
      <w:start w:val="217"/>
      <w:numFmt w:val="decimal"/>
      <w:lvlText w:val="(%3)"/>
      <w:lvlJc w:val="left"/>
      <w:pPr>
        <w:ind w:left="2160" w:hanging="360"/>
      </w:pPr>
    </w:lvl>
    <w:lvl w:ilvl="3">
      <w:start w:val="217"/>
      <w:numFmt w:val="decimal"/>
      <w:lvlText w:val="(%4)"/>
      <w:lvlJc w:val="left"/>
      <w:pPr>
        <w:ind w:left="2880" w:hanging="360"/>
      </w:pPr>
    </w:lvl>
    <w:lvl w:ilvl="4">
      <w:start w:val="217"/>
      <w:numFmt w:val="decimal"/>
      <w:lvlText w:val="(%5)"/>
      <w:lvlJc w:val="left"/>
      <w:pPr>
        <w:ind w:left="3600" w:hanging="360"/>
      </w:pPr>
    </w:lvl>
    <w:lvl w:ilvl="5">
      <w:start w:val="217"/>
      <w:numFmt w:val="decimal"/>
      <w:lvlText w:val="(%6)"/>
      <w:lvlJc w:val="left"/>
      <w:pPr>
        <w:ind w:left="4320" w:hanging="360"/>
      </w:pPr>
    </w:lvl>
    <w:lvl w:ilvl="6">
      <w:start w:val="217"/>
      <w:numFmt w:val="decimal"/>
      <w:lvlText w:val="(%7)"/>
      <w:lvlJc w:val="left"/>
      <w:pPr>
        <w:ind w:left="5040" w:hanging="360"/>
      </w:pPr>
    </w:lvl>
    <w:lvl w:ilvl="7">
      <w:start w:val="217"/>
      <w:numFmt w:val="decimal"/>
      <w:lvlText w:val="(%8)"/>
      <w:lvlJc w:val="left"/>
      <w:pPr>
        <w:ind w:left="5760" w:hanging="360"/>
      </w:pPr>
    </w:lvl>
    <w:lvl w:ilvl="8">
      <w:start w:val="217"/>
      <w:numFmt w:val="decimal"/>
      <w:lvlText w:val="(%9)"/>
      <w:lvlJc w:val="left"/>
      <w:pPr>
        <w:ind w:left="6480" w:hanging="360"/>
      </w:pPr>
    </w:lvl>
  </w:abstractNum>
  <w:abstractNum w:abstractNumId="9943221">
    <w:nsid w:val="A9943221"/>
    <w:multiLevelType w:val="multilevel"/>
    <w:lvl w:ilvl="0">
      <w:start w:val="221"/>
      <w:numFmt w:val="decimal"/>
      <w:lvlText w:val="(%1)"/>
      <w:lvlJc w:val="left"/>
      <w:pPr>
        <w:ind w:left="720" w:hanging="360"/>
      </w:pPr>
    </w:lvl>
    <w:lvl w:ilvl="1">
      <w:start w:val="221"/>
      <w:numFmt w:val="decimal"/>
      <w:lvlText w:val="(%2)"/>
      <w:lvlJc w:val="left"/>
      <w:pPr>
        <w:ind w:left="1440" w:hanging="360"/>
      </w:pPr>
    </w:lvl>
    <w:lvl w:ilvl="2">
      <w:start w:val="221"/>
      <w:numFmt w:val="decimal"/>
      <w:lvlText w:val="(%3)"/>
      <w:lvlJc w:val="left"/>
      <w:pPr>
        <w:ind w:left="2160" w:hanging="360"/>
      </w:pPr>
    </w:lvl>
    <w:lvl w:ilvl="3">
      <w:start w:val="221"/>
      <w:numFmt w:val="decimal"/>
      <w:lvlText w:val="(%4)"/>
      <w:lvlJc w:val="left"/>
      <w:pPr>
        <w:ind w:left="2880" w:hanging="360"/>
      </w:pPr>
    </w:lvl>
    <w:lvl w:ilvl="4">
      <w:start w:val="221"/>
      <w:numFmt w:val="decimal"/>
      <w:lvlText w:val="(%5)"/>
      <w:lvlJc w:val="left"/>
      <w:pPr>
        <w:ind w:left="3600" w:hanging="360"/>
      </w:pPr>
    </w:lvl>
    <w:lvl w:ilvl="5">
      <w:start w:val="221"/>
      <w:numFmt w:val="decimal"/>
      <w:lvlText w:val="(%6)"/>
      <w:lvlJc w:val="left"/>
      <w:pPr>
        <w:ind w:left="4320" w:hanging="360"/>
      </w:pPr>
    </w:lvl>
    <w:lvl w:ilvl="6">
      <w:start w:val="221"/>
      <w:numFmt w:val="decimal"/>
      <w:lvlText w:val="(%7)"/>
      <w:lvlJc w:val="left"/>
      <w:pPr>
        <w:ind w:left="5040" w:hanging="360"/>
      </w:pPr>
    </w:lvl>
    <w:lvl w:ilvl="7">
      <w:start w:val="221"/>
      <w:numFmt w:val="decimal"/>
      <w:lvlText w:val="(%8)"/>
      <w:lvlJc w:val="left"/>
      <w:pPr>
        <w:ind w:left="5760" w:hanging="360"/>
      </w:pPr>
    </w:lvl>
    <w:lvl w:ilvl="8">
      <w:start w:val="221"/>
      <w:numFmt w:val="decimal"/>
      <w:lvlText w:val="(%9)"/>
      <w:lvlJc w:val="left"/>
      <w:pPr>
        <w:ind w:left="6480" w:hanging="360"/>
      </w:pPr>
    </w:lvl>
  </w:abstractNum>
  <w:abstractNum w:abstractNumId="9943224">
    <w:nsid w:val="A9943224"/>
    <w:multiLevelType w:val="multilevel"/>
    <w:lvl w:ilvl="0">
      <w:start w:val="224"/>
      <w:numFmt w:val="decimal"/>
      <w:lvlText w:val="(%1)"/>
      <w:lvlJc w:val="left"/>
      <w:pPr>
        <w:ind w:left="720" w:hanging="360"/>
      </w:pPr>
    </w:lvl>
    <w:lvl w:ilvl="1">
      <w:start w:val="224"/>
      <w:numFmt w:val="decimal"/>
      <w:lvlText w:val="(%2)"/>
      <w:lvlJc w:val="left"/>
      <w:pPr>
        <w:ind w:left="1440" w:hanging="360"/>
      </w:pPr>
    </w:lvl>
    <w:lvl w:ilvl="2">
      <w:start w:val="224"/>
      <w:numFmt w:val="decimal"/>
      <w:lvlText w:val="(%3)"/>
      <w:lvlJc w:val="left"/>
      <w:pPr>
        <w:ind w:left="2160" w:hanging="360"/>
      </w:pPr>
    </w:lvl>
    <w:lvl w:ilvl="3">
      <w:start w:val="224"/>
      <w:numFmt w:val="decimal"/>
      <w:lvlText w:val="(%4)"/>
      <w:lvlJc w:val="left"/>
      <w:pPr>
        <w:ind w:left="2880" w:hanging="360"/>
      </w:pPr>
    </w:lvl>
    <w:lvl w:ilvl="4">
      <w:start w:val="224"/>
      <w:numFmt w:val="decimal"/>
      <w:lvlText w:val="(%5)"/>
      <w:lvlJc w:val="left"/>
      <w:pPr>
        <w:ind w:left="3600" w:hanging="360"/>
      </w:pPr>
    </w:lvl>
    <w:lvl w:ilvl="5">
      <w:start w:val="224"/>
      <w:numFmt w:val="decimal"/>
      <w:lvlText w:val="(%6)"/>
      <w:lvlJc w:val="left"/>
      <w:pPr>
        <w:ind w:left="4320" w:hanging="360"/>
      </w:pPr>
    </w:lvl>
    <w:lvl w:ilvl="6">
      <w:start w:val="224"/>
      <w:numFmt w:val="decimal"/>
      <w:lvlText w:val="(%7)"/>
      <w:lvlJc w:val="left"/>
      <w:pPr>
        <w:ind w:left="5040" w:hanging="360"/>
      </w:pPr>
    </w:lvl>
    <w:lvl w:ilvl="7">
      <w:start w:val="224"/>
      <w:numFmt w:val="decimal"/>
      <w:lvlText w:val="(%8)"/>
      <w:lvlJc w:val="left"/>
      <w:pPr>
        <w:ind w:left="5760" w:hanging="360"/>
      </w:pPr>
    </w:lvl>
    <w:lvl w:ilvl="8">
      <w:start w:val="224"/>
      <w:numFmt w:val="decimal"/>
      <w:lvlText w:val="(%9)"/>
      <w:lvlJc w:val="left"/>
      <w:pPr>
        <w:ind w:left="6480" w:hanging="360"/>
      </w:pPr>
    </w:lvl>
  </w:abstractNum>
  <w:abstractNum w:abstractNumId="9943230">
    <w:nsid w:val="A9943230"/>
    <w:multiLevelType w:val="multilevel"/>
    <w:lvl w:ilvl="0">
      <w:start w:val="230"/>
      <w:numFmt w:val="decimal"/>
      <w:lvlText w:val="(%1)"/>
      <w:lvlJc w:val="left"/>
      <w:pPr>
        <w:ind w:left="720" w:hanging="360"/>
      </w:pPr>
    </w:lvl>
    <w:lvl w:ilvl="1">
      <w:start w:val="230"/>
      <w:numFmt w:val="decimal"/>
      <w:lvlText w:val="(%2)"/>
      <w:lvlJc w:val="left"/>
      <w:pPr>
        <w:ind w:left="1440" w:hanging="360"/>
      </w:pPr>
    </w:lvl>
    <w:lvl w:ilvl="2">
      <w:start w:val="230"/>
      <w:numFmt w:val="decimal"/>
      <w:lvlText w:val="(%3)"/>
      <w:lvlJc w:val="left"/>
      <w:pPr>
        <w:ind w:left="2160" w:hanging="360"/>
      </w:pPr>
    </w:lvl>
    <w:lvl w:ilvl="3">
      <w:start w:val="230"/>
      <w:numFmt w:val="decimal"/>
      <w:lvlText w:val="(%4)"/>
      <w:lvlJc w:val="left"/>
      <w:pPr>
        <w:ind w:left="2880" w:hanging="360"/>
      </w:pPr>
    </w:lvl>
    <w:lvl w:ilvl="4">
      <w:start w:val="230"/>
      <w:numFmt w:val="decimal"/>
      <w:lvlText w:val="(%5)"/>
      <w:lvlJc w:val="left"/>
      <w:pPr>
        <w:ind w:left="3600" w:hanging="360"/>
      </w:pPr>
    </w:lvl>
    <w:lvl w:ilvl="5">
      <w:start w:val="230"/>
      <w:numFmt w:val="decimal"/>
      <w:lvlText w:val="(%6)"/>
      <w:lvlJc w:val="left"/>
      <w:pPr>
        <w:ind w:left="4320" w:hanging="360"/>
      </w:pPr>
    </w:lvl>
    <w:lvl w:ilvl="6">
      <w:start w:val="230"/>
      <w:numFmt w:val="decimal"/>
      <w:lvlText w:val="(%7)"/>
      <w:lvlJc w:val="left"/>
      <w:pPr>
        <w:ind w:left="5040" w:hanging="360"/>
      </w:pPr>
    </w:lvl>
    <w:lvl w:ilvl="7">
      <w:start w:val="230"/>
      <w:numFmt w:val="decimal"/>
      <w:lvlText w:val="(%8)"/>
      <w:lvlJc w:val="left"/>
      <w:pPr>
        <w:ind w:left="5760" w:hanging="360"/>
      </w:pPr>
    </w:lvl>
    <w:lvl w:ilvl="8">
      <w:start w:val="230"/>
      <w:numFmt w:val="decimal"/>
      <w:lvlText w:val="(%9)"/>
      <w:lvlJc w:val="left"/>
      <w:pPr>
        <w:ind w:left="6480" w:hanging="360"/>
      </w:pPr>
    </w:lvl>
  </w:abstractNum>
  <w:abstractNum w:abstractNumId="9943231">
    <w:nsid w:val="A9943231"/>
    <w:multiLevelType w:val="multilevel"/>
    <w:lvl w:ilvl="0">
      <w:start w:val="231"/>
      <w:numFmt w:val="decimal"/>
      <w:lvlText w:val="(%1)"/>
      <w:lvlJc w:val="left"/>
      <w:pPr>
        <w:ind w:left="720" w:hanging="360"/>
      </w:pPr>
    </w:lvl>
    <w:lvl w:ilvl="1">
      <w:start w:val="231"/>
      <w:numFmt w:val="decimal"/>
      <w:lvlText w:val="(%2)"/>
      <w:lvlJc w:val="left"/>
      <w:pPr>
        <w:ind w:left="1440" w:hanging="360"/>
      </w:pPr>
    </w:lvl>
    <w:lvl w:ilvl="2">
      <w:start w:val="231"/>
      <w:numFmt w:val="decimal"/>
      <w:lvlText w:val="(%3)"/>
      <w:lvlJc w:val="left"/>
      <w:pPr>
        <w:ind w:left="2160" w:hanging="360"/>
      </w:pPr>
    </w:lvl>
    <w:lvl w:ilvl="3">
      <w:start w:val="231"/>
      <w:numFmt w:val="decimal"/>
      <w:lvlText w:val="(%4)"/>
      <w:lvlJc w:val="left"/>
      <w:pPr>
        <w:ind w:left="2880" w:hanging="360"/>
      </w:pPr>
    </w:lvl>
    <w:lvl w:ilvl="4">
      <w:start w:val="231"/>
      <w:numFmt w:val="decimal"/>
      <w:lvlText w:val="(%5)"/>
      <w:lvlJc w:val="left"/>
      <w:pPr>
        <w:ind w:left="3600" w:hanging="360"/>
      </w:pPr>
    </w:lvl>
    <w:lvl w:ilvl="5">
      <w:start w:val="231"/>
      <w:numFmt w:val="decimal"/>
      <w:lvlText w:val="(%6)"/>
      <w:lvlJc w:val="left"/>
      <w:pPr>
        <w:ind w:left="4320" w:hanging="360"/>
      </w:pPr>
    </w:lvl>
    <w:lvl w:ilvl="6">
      <w:start w:val="231"/>
      <w:numFmt w:val="decimal"/>
      <w:lvlText w:val="(%7)"/>
      <w:lvlJc w:val="left"/>
      <w:pPr>
        <w:ind w:left="5040" w:hanging="360"/>
      </w:pPr>
    </w:lvl>
    <w:lvl w:ilvl="7">
      <w:start w:val="231"/>
      <w:numFmt w:val="decimal"/>
      <w:lvlText w:val="(%8)"/>
      <w:lvlJc w:val="left"/>
      <w:pPr>
        <w:ind w:left="5760" w:hanging="360"/>
      </w:pPr>
    </w:lvl>
    <w:lvl w:ilvl="8">
      <w:start w:val="231"/>
      <w:numFmt w:val="decimal"/>
      <w:lvlText w:val="(%9)"/>
      <w:lvlJc w:val="left"/>
      <w:pPr>
        <w:ind w:left="6480" w:hanging="360"/>
      </w:pPr>
    </w:lvl>
  </w:abstractNum>
  <w:abstractNum w:abstractNumId="9943233">
    <w:nsid w:val="A9943233"/>
    <w:multiLevelType w:val="multilevel"/>
    <w:lvl w:ilvl="0">
      <w:start w:val="233"/>
      <w:numFmt w:val="decimal"/>
      <w:lvlText w:val="(%1)"/>
      <w:lvlJc w:val="left"/>
      <w:pPr>
        <w:ind w:left="720" w:hanging="360"/>
      </w:pPr>
    </w:lvl>
    <w:lvl w:ilvl="1">
      <w:start w:val="233"/>
      <w:numFmt w:val="decimal"/>
      <w:lvlText w:val="(%2)"/>
      <w:lvlJc w:val="left"/>
      <w:pPr>
        <w:ind w:left="1440" w:hanging="360"/>
      </w:pPr>
    </w:lvl>
    <w:lvl w:ilvl="2">
      <w:start w:val="233"/>
      <w:numFmt w:val="decimal"/>
      <w:lvlText w:val="(%3)"/>
      <w:lvlJc w:val="left"/>
      <w:pPr>
        <w:ind w:left="2160" w:hanging="360"/>
      </w:pPr>
    </w:lvl>
    <w:lvl w:ilvl="3">
      <w:start w:val="233"/>
      <w:numFmt w:val="decimal"/>
      <w:lvlText w:val="(%4)"/>
      <w:lvlJc w:val="left"/>
      <w:pPr>
        <w:ind w:left="2880" w:hanging="360"/>
      </w:pPr>
    </w:lvl>
    <w:lvl w:ilvl="4">
      <w:start w:val="233"/>
      <w:numFmt w:val="decimal"/>
      <w:lvlText w:val="(%5)"/>
      <w:lvlJc w:val="left"/>
      <w:pPr>
        <w:ind w:left="3600" w:hanging="360"/>
      </w:pPr>
    </w:lvl>
    <w:lvl w:ilvl="5">
      <w:start w:val="233"/>
      <w:numFmt w:val="decimal"/>
      <w:lvlText w:val="(%6)"/>
      <w:lvlJc w:val="left"/>
      <w:pPr>
        <w:ind w:left="4320" w:hanging="360"/>
      </w:pPr>
    </w:lvl>
    <w:lvl w:ilvl="6">
      <w:start w:val="233"/>
      <w:numFmt w:val="decimal"/>
      <w:lvlText w:val="(%7)"/>
      <w:lvlJc w:val="left"/>
      <w:pPr>
        <w:ind w:left="5040" w:hanging="360"/>
      </w:pPr>
    </w:lvl>
    <w:lvl w:ilvl="7">
      <w:start w:val="233"/>
      <w:numFmt w:val="decimal"/>
      <w:lvlText w:val="(%8)"/>
      <w:lvlJc w:val="left"/>
      <w:pPr>
        <w:ind w:left="5760" w:hanging="360"/>
      </w:pPr>
    </w:lvl>
    <w:lvl w:ilvl="8">
      <w:start w:val="233"/>
      <w:numFmt w:val="decimal"/>
      <w:lvlText w:val="(%9)"/>
      <w:lvlJc w:val="left"/>
      <w:pPr>
        <w:ind w:left="6480" w:hanging="360"/>
      </w:pPr>
    </w:lvl>
  </w:abstractNum>
  <w:abstractNum w:abstractNumId="9943236">
    <w:nsid w:val="A9943236"/>
    <w:multiLevelType w:val="multilevel"/>
    <w:lvl w:ilvl="0">
      <w:start w:val="236"/>
      <w:numFmt w:val="decimal"/>
      <w:lvlText w:val="(%1)"/>
      <w:lvlJc w:val="left"/>
      <w:pPr>
        <w:ind w:left="720" w:hanging="360"/>
      </w:pPr>
    </w:lvl>
    <w:lvl w:ilvl="1">
      <w:start w:val="236"/>
      <w:numFmt w:val="decimal"/>
      <w:lvlText w:val="(%2)"/>
      <w:lvlJc w:val="left"/>
      <w:pPr>
        <w:ind w:left="1440" w:hanging="360"/>
      </w:pPr>
    </w:lvl>
    <w:lvl w:ilvl="2">
      <w:start w:val="236"/>
      <w:numFmt w:val="decimal"/>
      <w:lvlText w:val="(%3)"/>
      <w:lvlJc w:val="left"/>
      <w:pPr>
        <w:ind w:left="2160" w:hanging="360"/>
      </w:pPr>
    </w:lvl>
    <w:lvl w:ilvl="3">
      <w:start w:val="236"/>
      <w:numFmt w:val="decimal"/>
      <w:lvlText w:val="(%4)"/>
      <w:lvlJc w:val="left"/>
      <w:pPr>
        <w:ind w:left="2880" w:hanging="360"/>
      </w:pPr>
    </w:lvl>
    <w:lvl w:ilvl="4">
      <w:start w:val="236"/>
      <w:numFmt w:val="decimal"/>
      <w:lvlText w:val="(%5)"/>
      <w:lvlJc w:val="left"/>
      <w:pPr>
        <w:ind w:left="3600" w:hanging="360"/>
      </w:pPr>
    </w:lvl>
    <w:lvl w:ilvl="5">
      <w:start w:val="236"/>
      <w:numFmt w:val="decimal"/>
      <w:lvlText w:val="(%6)"/>
      <w:lvlJc w:val="left"/>
      <w:pPr>
        <w:ind w:left="4320" w:hanging="360"/>
      </w:pPr>
    </w:lvl>
    <w:lvl w:ilvl="6">
      <w:start w:val="236"/>
      <w:numFmt w:val="decimal"/>
      <w:lvlText w:val="(%7)"/>
      <w:lvlJc w:val="left"/>
      <w:pPr>
        <w:ind w:left="5040" w:hanging="360"/>
      </w:pPr>
    </w:lvl>
    <w:lvl w:ilvl="7">
      <w:start w:val="236"/>
      <w:numFmt w:val="decimal"/>
      <w:lvlText w:val="(%8)"/>
      <w:lvlJc w:val="left"/>
      <w:pPr>
        <w:ind w:left="5760" w:hanging="360"/>
      </w:pPr>
    </w:lvl>
    <w:lvl w:ilvl="8">
      <w:start w:val="236"/>
      <w:numFmt w:val="decimal"/>
      <w:lvlText w:val="(%9)"/>
      <w:lvlJc w:val="left"/>
      <w:pPr>
        <w:ind w:left="6480" w:hanging="360"/>
      </w:pPr>
    </w:lvl>
  </w:abstractNum>
  <w:abstractNum w:abstractNumId="9943240">
    <w:nsid w:val="A9943240"/>
    <w:multiLevelType w:val="multilevel"/>
    <w:lvl w:ilvl="0">
      <w:start w:val="240"/>
      <w:numFmt w:val="decimal"/>
      <w:lvlText w:val="(%1)"/>
      <w:lvlJc w:val="left"/>
      <w:pPr>
        <w:ind w:left="720" w:hanging="360"/>
      </w:pPr>
    </w:lvl>
    <w:lvl w:ilvl="1">
      <w:start w:val="240"/>
      <w:numFmt w:val="decimal"/>
      <w:lvlText w:val="(%2)"/>
      <w:lvlJc w:val="left"/>
      <w:pPr>
        <w:ind w:left="1440" w:hanging="360"/>
      </w:pPr>
    </w:lvl>
    <w:lvl w:ilvl="2">
      <w:start w:val="240"/>
      <w:numFmt w:val="decimal"/>
      <w:lvlText w:val="(%3)"/>
      <w:lvlJc w:val="left"/>
      <w:pPr>
        <w:ind w:left="2160" w:hanging="360"/>
      </w:pPr>
    </w:lvl>
    <w:lvl w:ilvl="3">
      <w:start w:val="240"/>
      <w:numFmt w:val="decimal"/>
      <w:lvlText w:val="(%4)"/>
      <w:lvlJc w:val="left"/>
      <w:pPr>
        <w:ind w:left="2880" w:hanging="360"/>
      </w:pPr>
    </w:lvl>
    <w:lvl w:ilvl="4">
      <w:start w:val="240"/>
      <w:numFmt w:val="decimal"/>
      <w:lvlText w:val="(%5)"/>
      <w:lvlJc w:val="left"/>
      <w:pPr>
        <w:ind w:left="3600" w:hanging="360"/>
      </w:pPr>
    </w:lvl>
    <w:lvl w:ilvl="5">
      <w:start w:val="240"/>
      <w:numFmt w:val="decimal"/>
      <w:lvlText w:val="(%6)"/>
      <w:lvlJc w:val="left"/>
      <w:pPr>
        <w:ind w:left="4320" w:hanging="360"/>
      </w:pPr>
    </w:lvl>
    <w:lvl w:ilvl="6">
      <w:start w:val="240"/>
      <w:numFmt w:val="decimal"/>
      <w:lvlText w:val="(%7)"/>
      <w:lvlJc w:val="left"/>
      <w:pPr>
        <w:ind w:left="5040" w:hanging="360"/>
      </w:pPr>
    </w:lvl>
    <w:lvl w:ilvl="7">
      <w:start w:val="240"/>
      <w:numFmt w:val="decimal"/>
      <w:lvlText w:val="(%8)"/>
      <w:lvlJc w:val="left"/>
      <w:pPr>
        <w:ind w:left="5760" w:hanging="360"/>
      </w:pPr>
    </w:lvl>
    <w:lvl w:ilvl="8">
      <w:start w:val="240"/>
      <w:numFmt w:val="decimal"/>
      <w:lvlText w:val="(%9)"/>
      <w:lvlJc w:val="left"/>
      <w:pPr>
        <w:ind w:left="6480" w:hanging="360"/>
      </w:pPr>
    </w:lvl>
  </w:abstractNum>
  <w:abstractNum w:abstractNumId="9943249">
    <w:nsid w:val="A9943249"/>
    <w:multiLevelType w:val="multilevel"/>
    <w:lvl w:ilvl="0">
      <w:start w:val="249"/>
      <w:numFmt w:val="decimal"/>
      <w:lvlText w:val="(%1)"/>
      <w:lvlJc w:val="left"/>
      <w:pPr>
        <w:ind w:left="720" w:hanging="360"/>
      </w:pPr>
    </w:lvl>
    <w:lvl w:ilvl="1">
      <w:start w:val="249"/>
      <w:numFmt w:val="decimal"/>
      <w:lvlText w:val="(%2)"/>
      <w:lvlJc w:val="left"/>
      <w:pPr>
        <w:ind w:left="1440" w:hanging="360"/>
      </w:pPr>
    </w:lvl>
    <w:lvl w:ilvl="2">
      <w:start w:val="249"/>
      <w:numFmt w:val="decimal"/>
      <w:lvlText w:val="(%3)"/>
      <w:lvlJc w:val="left"/>
      <w:pPr>
        <w:ind w:left="2160" w:hanging="360"/>
      </w:pPr>
    </w:lvl>
    <w:lvl w:ilvl="3">
      <w:start w:val="249"/>
      <w:numFmt w:val="decimal"/>
      <w:lvlText w:val="(%4)"/>
      <w:lvlJc w:val="left"/>
      <w:pPr>
        <w:ind w:left="2880" w:hanging="360"/>
      </w:pPr>
    </w:lvl>
    <w:lvl w:ilvl="4">
      <w:start w:val="249"/>
      <w:numFmt w:val="decimal"/>
      <w:lvlText w:val="(%5)"/>
      <w:lvlJc w:val="left"/>
      <w:pPr>
        <w:ind w:left="3600" w:hanging="360"/>
      </w:pPr>
    </w:lvl>
    <w:lvl w:ilvl="5">
      <w:start w:val="249"/>
      <w:numFmt w:val="decimal"/>
      <w:lvlText w:val="(%6)"/>
      <w:lvlJc w:val="left"/>
      <w:pPr>
        <w:ind w:left="4320" w:hanging="360"/>
      </w:pPr>
    </w:lvl>
    <w:lvl w:ilvl="6">
      <w:start w:val="249"/>
      <w:numFmt w:val="decimal"/>
      <w:lvlText w:val="(%7)"/>
      <w:lvlJc w:val="left"/>
      <w:pPr>
        <w:ind w:left="5040" w:hanging="360"/>
      </w:pPr>
    </w:lvl>
    <w:lvl w:ilvl="7">
      <w:start w:val="249"/>
      <w:numFmt w:val="decimal"/>
      <w:lvlText w:val="(%8)"/>
      <w:lvlJc w:val="left"/>
      <w:pPr>
        <w:ind w:left="5760" w:hanging="360"/>
      </w:pPr>
    </w:lvl>
    <w:lvl w:ilvl="8">
      <w:start w:val="249"/>
      <w:numFmt w:val="decimal"/>
      <w:lvlText w:val="(%9)"/>
      <w:lvlJc w:val="left"/>
      <w:pPr>
        <w:ind w:left="6480" w:hanging="360"/>
      </w:pPr>
    </w:lvl>
  </w:abstractNum>
  <w:abstractNum w:abstractNumId="9943260">
    <w:nsid w:val="A9943260"/>
    <w:multiLevelType w:val="multilevel"/>
    <w:lvl w:ilvl="0">
      <w:start w:val="260"/>
      <w:numFmt w:val="decimal"/>
      <w:lvlText w:val="(%1)"/>
      <w:lvlJc w:val="left"/>
      <w:pPr>
        <w:ind w:left="720" w:hanging="360"/>
      </w:pPr>
    </w:lvl>
    <w:lvl w:ilvl="1">
      <w:start w:val="260"/>
      <w:numFmt w:val="decimal"/>
      <w:lvlText w:val="(%2)"/>
      <w:lvlJc w:val="left"/>
      <w:pPr>
        <w:ind w:left="1440" w:hanging="360"/>
      </w:pPr>
    </w:lvl>
    <w:lvl w:ilvl="2">
      <w:start w:val="260"/>
      <w:numFmt w:val="decimal"/>
      <w:lvlText w:val="(%3)"/>
      <w:lvlJc w:val="left"/>
      <w:pPr>
        <w:ind w:left="2160" w:hanging="360"/>
      </w:pPr>
    </w:lvl>
    <w:lvl w:ilvl="3">
      <w:start w:val="260"/>
      <w:numFmt w:val="decimal"/>
      <w:lvlText w:val="(%4)"/>
      <w:lvlJc w:val="left"/>
      <w:pPr>
        <w:ind w:left="2880" w:hanging="360"/>
      </w:pPr>
    </w:lvl>
    <w:lvl w:ilvl="4">
      <w:start w:val="260"/>
      <w:numFmt w:val="decimal"/>
      <w:lvlText w:val="(%5)"/>
      <w:lvlJc w:val="left"/>
      <w:pPr>
        <w:ind w:left="3600" w:hanging="360"/>
      </w:pPr>
    </w:lvl>
    <w:lvl w:ilvl="5">
      <w:start w:val="260"/>
      <w:numFmt w:val="decimal"/>
      <w:lvlText w:val="(%6)"/>
      <w:lvlJc w:val="left"/>
      <w:pPr>
        <w:ind w:left="4320" w:hanging="360"/>
      </w:pPr>
    </w:lvl>
    <w:lvl w:ilvl="6">
      <w:start w:val="260"/>
      <w:numFmt w:val="decimal"/>
      <w:lvlText w:val="(%7)"/>
      <w:lvlJc w:val="left"/>
      <w:pPr>
        <w:ind w:left="5040" w:hanging="360"/>
      </w:pPr>
    </w:lvl>
    <w:lvl w:ilvl="7">
      <w:start w:val="260"/>
      <w:numFmt w:val="decimal"/>
      <w:lvlText w:val="(%8)"/>
      <w:lvlJc w:val="left"/>
      <w:pPr>
        <w:ind w:left="5760" w:hanging="360"/>
      </w:pPr>
    </w:lvl>
    <w:lvl w:ilvl="8">
      <w:start w:val="260"/>
      <w:numFmt w:val="decimal"/>
      <w:lvlText w:val="(%9)"/>
      <w:lvlJc w:val="left"/>
      <w:pPr>
        <w:ind w:left="6480" w:hanging="360"/>
      </w:pPr>
    </w:lvl>
  </w:abstractNum>
  <w:abstractNum w:abstractNumId="9943261">
    <w:nsid w:val="A9943261"/>
    <w:multiLevelType w:val="multilevel"/>
    <w:lvl w:ilvl="0">
      <w:start w:val="261"/>
      <w:numFmt w:val="decimal"/>
      <w:lvlText w:val="(%1)"/>
      <w:lvlJc w:val="left"/>
      <w:pPr>
        <w:ind w:left="720" w:hanging="360"/>
      </w:pPr>
    </w:lvl>
    <w:lvl w:ilvl="1">
      <w:start w:val="261"/>
      <w:numFmt w:val="decimal"/>
      <w:lvlText w:val="(%2)"/>
      <w:lvlJc w:val="left"/>
      <w:pPr>
        <w:ind w:left="1440" w:hanging="360"/>
      </w:pPr>
    </w:lvl>
    <w:lvl w:ilvl="2">
      <w:start w:val="261"/>
      <w:numFmt w:val="decimal"/>
      <w:lvlText w:val="(%3)"/>
      <w:lvlJc w:val="left"/>
      <w:pPr>
        <w:ind w:left="2160" w:hanging="360"/>
      </w:pPr>
    </w:lvl>
    <w:lvl w:ilvl="3">
      <w:start w:val="261"/>
      <w:numFmt w:val="decimal"/>
      <w:lvlText w:val="(%4)"/>
      <w:lvlJc w:val="left"/>
      <w:pPr>
        <w:ind w:left="2880" w:hanging="360"/>
      </w:pPr>
    </w:lvl>
    <w:lvl w:ilvl="4">
      <w:start w:val="261"/>
      <w:numFmt w:val="decimal"/>
      <w:lvlText w:val="(%5)"/>
      <w:lvlJc w:val="left"/>
      <w:pPr>
        <w:ind w:left="3600" w:hanging="360"/>
      </w:pPr>
    </w:lvl>
    <w:lvl w:ilvl="5">
      <w:start w:val="261"/>
      <w:numFmt w:val="decimal"/>
      <w:lvlText w:val="(%6)"/>
      <w:lvlJc w:val="left"/>
      <w:pPr>
        <w:ind w:left="4320" w:hanging="360"/>
      </w:pPr>
    </w:lvl>
    <w:lvl w:ilvl="6">
      <w:start w:val="261"/>
      <w:numFmt w:val="decimal"/>
      <w:lvlText w:val="(%7)"/>
      <w:lvlJc w:val="left"/>
      <w:pPr>
        <w:ind w:left="5040" w:hanging="360"/>
      </w:pPr>
    </w:lvl>
    <w:lvl w:ilvl="7">
      <w:start w:val="261"/>
      <w:numFmt w:val="decimal"/>
      <w:lvlText w:val="(%8)"/>
      <w:lvlJc w:val="left"/>
      <w:pPr>
        <w:ind w:left="5760" w:hanging="360"/>
      </w:pPr>
    </w:lvl>
    <w:lvl w:ilvl="8">
      <w:start w:val="261"/>
      <w:numFmt w:val="decimal"/>
      <w:lvlText w:val="(%9)"/>
      <w:lvlJc w:val="left"/>
      <w:pPr>
        <w:ind w:left="6480" w:hanging="360"/>
      </w:pPr>
    </w:lvl>
  </w:abstractNum>
  <w:abstractNum w:abstractNumId="9943262">
    <w:nsid w:val="A9943262"/>
    <w:multiLevelType w:val="multilevel"/>
    <w:lvl w:ilvl="0">
      <w:start w:val="262"/>
      <w:numFmt w:val="decimal"/>
      <w:lvlText w:val="(%1)"/>
      <w:lvlJc w:val="left"/>
      <w:pPr>
        <w:ind w:left="720" w:hanging="360"/>
      </w:pPr>
    </w:lvl>
    <w:lvl w:ilvl="1">
      <w:start w:val="262"/>
      <w:numFmt w:val="decimal"/>
      <w:lvlText w:val="(%2)"/>
      <w:lvlJc w:val="left"/>
      <w:pPr>
        <w:ind w:left="1440" w:hanging="360"/>
      </w:pPr>
    </w:lvl>
    <w:lvl w:ilvl="2">
      <w:start w:val="262"/>
      <w:numFmt w:val="decimal"/>
      <w:lvlText w:val="(%3)"/>
      <w:lvlJc w:val="left"/>
      <w:pPr>
        <w:ind w:left="2160" w:hanging="360"/>
      </w:pPr>
    </w:lvl>
    <w:lvl w:ilvl="3">
      <w:start w:val="262"/>
      <w:numFmt w:val="decimal"/>
      <w:lvlText w:val="(%4)"/>
      <w:lvlJc w:val="left"/>
      <w:pPr>
        <w:ind w:left="2880" w:hanging="360"/>
      </w:pPr>
    </w:lvl>
    <w:lvl w:ilvl="4">
      <w:start w:val="262"/>
      <w:numFmt w:val="decimal"/>
      <w:lvlText w:val="(%5)"/>
      <w:lvlJc w:val="left"/>
      <w:pPr>
        <w:ind w:left="3600" w:hanging="360"/>
      </w:pPr>
    </w:lvl>
    <w:lvl w:ilvl="5">
      <w:start w:val="262"/>
      <w:numFmt w:val="decimal"/>
      <w:lvlText w:val="(%6)"/>
      <w:lvlJc w:val="left"/>
      <w:pPr>
        <w:ind w:left="4320" w:hanging="360"/>
      </w:pPr>
    </w:lvl>
    <w:lvl w:ilvl="6">
      <w:start w:val="262"/>
      <w:numFmt w:val="decimal"/>
      <w:lvlText w:val="(%7)"/>
      <w:lvlJc w:val="left"/>
      <w:pPr>
        <w:ind w:left="5040" w:hanging="360"/>
      </w:pPr>
    </w:lvl>
    <w:lvl w:ilvl="7">
      <w:start w:val="262"/>
      <w:numFmt w:val="decimal"/>
      <w:lvlText w:val="(%8)"/>
      <w:lvlJc w:val="left"/>
      <w:pPr>
        <w:ind w:left="5760" w:hanging="360"/>
      </w:pPr>
    </w:lvl>
    <w:lvl w:ilvl="8">
      <w:start w:val="262"/>
      <w:numFmt w:val="decimal"/>
      <w:lvlText w:val="(%9)"/>
      <w:lvlJc w:val="left"/>
      <w:pPr>
        <w:ind w:left="6480" w:hanging="360"/>
      </w:pPr>
    </w:lvl>
  </w:abstractNum>
  <w:abstractNum w:abstractNumId="9943263">
    <w:nsid w:val="A9943263"/>
    <w:multiLevelType w:val="multilevel"/>
    <w:lvl w:ilvl="0">
      <w:start w:val="263"/>
      <w:numFmt w:val="decimal"/>
      <w:lvlText w:val="(%1)"/>
      <w:lvlJc w:val="left"/>
      <w:pPr>
        <w:ind w:left="720" w:hanging="360"/>
      </w:pPr>
    </w:lvl>
    <w:lvl w:ilvl="1">
      <w:start w:val="263"/>
      <w:numFmt w:val="decimal"/>
      <w:lvlText w:val="(%2)"/>
      <w:lvlJc w:val="left"/>
      <w:pPr>
        <w:ind w:left="1440" w:hanging="360"/>
      </w:pPr>
    </w:lvl>
    <w:lvl w:ilvl="2">
      <w:start w:val="263"/>
      <w:numFmt w:val="decimal"/>
      <w:lvlText w:val="(%3)"/>
      <w:lvlJc w:val="left"/>
      <w:pPr>
        <w:ind w:left="2160" w:hanging="360"/>
      </w:pPr>
    </w:lvl>
    <w:lvl w:ilvl="3">
      <w:start w:val="263"/>
      <w:numFmt w:val="decimal"/>
      <w:lvlText w:val="(%4)"/>
      <w:lvlJc w:val="left"/>
      <w:pPr>
        <w:ind w:left="2880" w:hanging="360"/>
      </w:pPr>
    </w:lvl>
    <w:lvl w:ilvl="4">
      <w:start w:val="263"/>
      <w:numFmt w:val="decimal"/>
      <w:lvlText w:val="(%5)"/>
      <w:lvlJc w:val="left"/>
      <w:pPr>
        <w:ind w:left="3600" w:hanging="360"/>
      </w:pPr>
    </w:lvl>
    <w:lvl w:ilvl="5">
      <w:start w:val="263"/>
      <w:numFmt w:val="decimal"/>
      <w:lvlText w:val="(%6)"/>
      <w:lvlJc w:val="left"/>
      <w:pPr>
        <w:ind w:left="4320" w:hanging="360"/>
      </w:pPr>
    </w:lvl>
    <w:lvl w:ilvl="6">
      <w:start w:val="263"/>
      <w:numFmt w:val="decimal"/>
      <w:lvlText w:val="(%7)"/>
      <w:lvlJc w:val="left"/>
      <w:pPr>
        <w:ind w:left="5040" w:hanging="360"/>
      </w:pPr>
    </w:lvl>
    <w:lvl w:ilvl="7">
      <w:start w:val="263"/>
      <w:numFmt w:val="decimal"/>
      <w:lvlText w:val="(%8)"/>
      <w:lvlJc w:val="left"/>
      <w:pPr>
        <w:ind w:left="5760" w:hanging="360"/>
      </w:pPr>
    </w:lvl>
    <w:lvl w:ilvl="8">
      <w:start w:val="263"/>
      <w:numFmt w:val="decimal"/>
      <w:lvlText w:val="(%9)"/>
      <w:lvlJc w:val="left"/>
      <w:pPr>
        <w:ind w:left="6480" w:hanging="360"/>
      </w:pPr>
    </w:lvl>
  </w:abstractNum>
  <w:abstractNum w:abstractNumId="9943265">
    <w:nsid w:val="A9943265"/>
    <w:multiLevelType w:val="multilevel"/>
    <w:lvl w:ilvl="0">
      <w:start w:val="265"/>
      <w:numFmt w:val="decimal"/>
      <w:lvlText w:val="(%1)"/>
      <w:lvlJc w:val="left"/>
      <w:pPr>
        <w:ind w:left="720" w:hanging="360"/>
      </w:pPr>
    </w:lvl>
    <w:lvl w:ilvl="1">
      <w:start w:val="265"/>
      <w:numFmt w:val="decimal"/>
      <w:lvlText w:val="(%2)"/>
      <w:lvlJc w:val="left"/>
      <w:pPr>
        <w:ind w:left="1440" w:hanging="360"/>
      </w:pPr>
    </w:lvl>
    <w:lvl w:ilvl="2">
      <w:start w:val="265"/>
      <w:numFmt w:val="decimal"/>
      <w:lvlText w:val="(%3)"/>
      <w:lvlJc w:val="left"/>
      <w:pPr>
        <w:ind w:left="2160" w:hanging="360"/>
      </w:pPr>
    </w:lvl>
    <w:lvl w:ilvl="3">
      <w:start w:val="265"/>
      <w:numFmt w:val="decimal"/>
      <w:lvlText w:val="(%4)"/>
      <w:lvlJc w:val="left"/>
      <w:pPr>
        <w:ind w:left="2880" w:hanging="360"/>
      </w:pPr>
    </w:lvl>
    <w:lvl w:ilvl="4">
      <w:start w:val="265"/>
      <w:numFmt w:val="decimal"/>
      <w:lvlText w:val="(%5)"/>
      <w:lvlJc w:val="left"/>
      <w:pPr>
        <w:ind w:left="3600" w:hanging="360"/>
      </w:pPr>
    </w:lvl>
    <w:lvl w:ilvl="5">
      <w:start w:val="265"/>
      <w:numFmt w:val="decimal"/>
      <w:lvlText w:val="(%6)"/>
      <w:lvlJc w:val="left"/>
      <w:pPr>
        <w:ind w:left="4320" w:hanging="360"/>
      </w:pPr>
    </w:lvl>
    <w:lvl w:ilvl="6">
      <w:start w:val="265"/>
      <w:numFmt w:val="decimal"/>
      <w:lvlText w:val="(%7)"/>
      <w:lvlJc w:val="left"/>
      <w:pPr>
        <w:ind w:left="5040" w:hanging="360"/>
      </w:pPr>
    </w:lvl>
    <w:lvl w:ilvl="7">
      <w:start w:val="265"/>
      <w:numFmt w:val="decimal"/>
      <w:lvlText w:val="(%8)"/>
      <w:lvlJc w:val="left"/>
      <w:pPr>
        <w:ind w:left="5760" w:hanging="360"/>
      </w:pPr>
    </w:lvl>
    <w:lvl w:ilvl="8">
      <w:start w:val="265"/>
      <w:numFmt w:val="decimal"/>
      <w:lvlText w:val="(%9)"/>
      <w:lvlJc w:val="left"/>
      <w:pPr>
        <w:ind w:left="6480" w:hanging="360"/>
      </w:pPr>
    </w:lvl>
  </w:abstractNum>
  <w:abstractNum w:abstractNumId="9943269">
    <w:nsid w:val="A9943269"/>
    <w:multiLevelType w:val="multilevel"/>
    <w:lvl w:ilvl="0">
      <w:start w:val="269"/>
      <w:numFmt w:val="decimal"/>
      <w:lvlText w:val="(%1)"/>
      <w:lvlJc w:val="left"/>
      <w:pPr>
        <w:ind w:left="720" w:hanging="360"/>
      </w:pPr>
    </w:lvl>
    <w:lvl w:ilvl="1">
      <w:start w:val="269"/>
      <w:numFmt w:val="decimal"/>
      <w:lvlText w:val="(%2)"/>
      <w:lvlJc w:val="left"/>
      <w:pPr>
        <w:ind w:left="1440" w:hanging="360"/>
      </w:pPr>
    </w:lvl>
    <w:lvl w:ilvl="2">
      <w:start w:val="269"/>
      <w:numFmt w:val="decimal"/>
      <w:lvlText w:val="(%3)"/>
      <w:lvlJc w:val="left"/>
      <w:pPr>
        <w:ind w:left="2160" w:hanging="360"/>
      </w:pPr>
    </w:lvl>
    <w:lvl w:ilvl="3">
      <w:start w:val="269"/>
      <w:numFmt w:val="decimal"/>
      <w:lvlText w:val="(%4)"/>
      <w:lvlJc w:val="left"/>
      <w:pPr>
        <w:ind w:left="2880" w:hanging="360"/>
      </w:pPr>
    </w:lvl>
    <w:lvl w:ilvl="4">
      <w:start w:val="269"/>
      <w:numFmt w:val="decimal"/>
      <w:lvlText w:val="(%5)"/>
      <w:lvlJc w:val="left"/>
      <w:pPr>
        <w:ind w:left="3600" w:hanging="360"/>
      </w:pPr>
    </w:lvl>
    <w:lvl w:ilvl="5">
      <w:start w:val="269"/>
      <w:numFmt w:val="decimal"/>
      <w:lvlText w:val="(%6)"/>
      <w:lvlJc w:val="left"/>
      <w:pPr>
        <w:ind w:left="4320" w:hanging="360"/>
      </w:pPr>
    </w:lvl>
    <w:lvl w:ilvl="6">
      <w:start w:val="269"/>
      <w:numFmt w:val="decimal"/>
      <w:lvlText w:val="(%7)"/>
      <w:lvlJc w:val="left"/>
      <w:pPr>
        <w:ind w:left="5040" w:hanging="360"/>
      </w:pPr>
    </w:lvl>
    <w:lvl w:ilvl="7">
      <w:start w:val="269"/>
      <w:numFmt w:val="decimal"/>
      <w:lvlText w:val="(%8)"/>
      <w:lvlJc w:val="left"/>
      <w:pPr>
        <w:ind w:left="5760" w:hanging="360"/>
      </w:pPr>
    </w:lvl>
    <w:lvl w:ilvl="8">
      <w:start w:val="269"/>
      <w:numFmt w:val="decimal"/>
      <w:lvlText w:val="(%9)"/>
      <w:lvlJc w:val="left"/>
      <w:pPr>
        <w:ind w:left="6480" w:hanging="360"/>
      </w:pPr>
    </w:lvl>
  </w:abstractNum>
  <w:abstractNum w:abstractNumId="9943270">
    <w:nsid w:val="A9943270"/>
    <w:multiLevelType w:val="multilevel"/>
    <w:lvl w:ilvl="0">
      <w:start w:val="270"/>
      <w:numFmt w:val="decimal"/>
      <w:lvlText w:val="(%1)"/>
      <w:lvlJc w:val="left"/>
      <w:pPr>
        <w:ind w:left="720" w:hanging="360"/>
      </w:pPr>
    </w:lvl>
    <w:lvl w:ilvl="1">
      <w:start w:val="270"/>
      <w:numFmt w:val="decimal"/>
      <w:lvlText w:val="(%2)"/>
      <w:lvlJc w:val="left"/>
      <w:pPr>
        <w:ind w:left="1440" w:hanging="360"/>
      </w:pPr>
    </w:lvl>
    <w:lvl w:ilvl="2">
      <w:start w:val="270"/>
      <w:numFmt w:val="decimal"/>
      <w:lvlText w:val="(%3)"/>
      <w:lvlJc w:val="left"/>
      <w:pPr>
        <w:ind w:left="2160" w:hanging="360"/>
      </w:pPr>
    </w:lvl>
    <w:lvl w:ilvl="3">
      <w:start w:val="270"/>
      <w:numFmt w:val="decimal"/>
      <w:lvlText w:val="(%4)"/>
      <w:lvlJc w:val="left"/>
      <w:pPr>
        <w:ind w:left="2880" w:hanging="360"/>
      </w:pPr>
    </w:lvl>
    <w:lvl w:ilvl="4">
      <w:start w:val="270"/>
      <w:numFmt w:val="decimal"/>
      <w:lvlText w:val="(%5)"/>
      <w:lvlJc w:val="left"/>
      <w:pPr>
        <w:ind w:left="3600" w:hanging="360"/>
      </w:pPr>
    </w:lvl>
    <w:lvl w:ilvl="5">
      <w:start w:val="270"/>
      <w:numFmt w:val="decimal"/>
      <w:lvlText w:val="(%6)"/>
      <w:lvlJc w:val="left"/>
      <w:pPr>
        <w:ind w:left="4320" w:hanging="360"/>
      </w:pPr>
    </w:lvl>
    <w:lvl w:ilvl="6">
      <w:start w:val="270"/>
      <w:numFmt w:val="decimal"/>
      <w:lvlText w:val="(%7)"/>
      <w:lvlJc w:val="left"/>
      <w:pPr>
        <w:ind w:left="5040" w:hanging="360"/>
      </w:pPr>
    </w:lvl>
    <w:lvl w:ilvl="7">
      <w:start w:val="270"/>
      <w:numFmt w:val="decimal"/>
      <w:lvlText w:val="(%8)"/>
      <w:lvlJc w:val="left"/>
      <w:pPr>
        <w:ind w:left="5760" w:hanging="360"/>
      </w:pPr>
    </w:lvl>
    <w:lvl w:ilvl="8">
      <w:start w:val="270"/>
      <w:numFmt w:val="decimal"/>
      <w:lvlText w:val="(%9)"/>
      <w:lvlJc w:val="left"/>
      <w:pPr>
        <w:ind w:left="6480" w:hanging="360"/>
      </w:pPr>
    </w:lvl>
  </w:abstractNum>
  <w:abstractNum w:abstractNumId="9943271">
    <w:nsid w:val="A9943271"/>
    <w:multiLevelType w:val="multilevel"/>
    <w:lvl w:ilvl="0">
      <w:start w:val="271"/>
      <w:numFmt w:val="decimal"/>
      <w:lvlText w:val="(%1)"/>
      <w:lvlJc w:val="left"/>
      <w:pPr>
        <w:ind w:left="720" w:hanging="360"/>
      </w:pPr>
    </w:lvl>
    <w:lvl w:ilvl="1">
      <w:start w:val="271"/>
      <w:numFmt w:val="decimal"/>
      <w:lvlText w:val="(%2)"/>
      <w:lvlJc w:val="left"/>
      <w:pPr>
        <w:ind w:left="1440" w:hanging="360"/>
      </w:pPr>
    </w:lvl>
    <w:lvl w:ilvl="2">
      <w:start w:val="271"/>
      <w:numFmt w:val="decimal"/>
      <w:lvlText w:val="(%3)"/>
      <w:lvlJc w:val="left"/>
      <w:pPr>
        <w:ind w:left="2160" w:hanging="360"/>
      </w:pPr>
    </w:lvl>
    <w:lvl w:ilvl="3">
      <w:start w:val="271"/>
      <w:numFmt w:val="decimal"/>
      <w:lvlText w:val="(%4)"/>
      <w:lvlJc w:val="left"/>
      <w:pPr>
        <w:ind w:left="2880" w:hanging="360"/>
      </w:pPr>
    </w:lvl>
    <w:lvl w:ilvl="4">
      <w:start w:val="271"/>
      <w:numFmt w:val="decimal"/>
      <w:lvlText w:val="(%5)"/>
      <w:lvlJc w:val="left"/>
      <w:pPr>
        <w:ind w:left="3600" w:hanging="360"/>
      </w:pPr>
    </w:lvl>
    <w:lvl w:ilvl="5">
      <w:start w:val="271"/>
      <w:numFmt w:val="decimal"/>
      <w:lvlText w:val="(%6)"/>
      <w:lvlJc w:val="left"/>
      <w:pPr>
        <w:ind w:left="4320" w:hanging="360"/>
      </w:pPr>
    </w:lvl>
    <w:lvl w:ilvl="6">
      <w:start w:val="271"/>
      <w:numFmt w:val="decimal"/>
      <w:lvlText w:val="(%7)"/>
      <w:lvlJc w:val="left"/>
      <w:pPr>
        <w:ind w:left="5040" w:hanging="360"/>
      </w:pPr>
    </w:lvl>
    <w:lvl w:ilvl="7">
      <w:start w:val="271"/>
      <w:numFmt w:val="decimal"/>
      <w:lvlText w:val="(%8)"/>
      <w:lvlJc w:val="left"/>
      <w:pPr>
        <w:ind w:left="5760" w:hanging="360"/>
      </w:pPr>
    </w:lvl>
    <w:lvl w:ilvl="8">
      <w:start w:val="271"/>
      <w:numFmt w:val="decimal"/>
      <w:lvlText w:val="(%9)"/>
      <w:lvlJc w:val="left"/>
      <w:pPr>
        <w:ind w:left="6480" w:hanging="360"/>
      </w:pPr>
    </w:lvl>
  </w:abstractNum>
  <w:abstractNum w:abstractNumId="9943272">
    <w:nsid w:val="A9943272"/>
    <w:multiLevelType w:val="multilevel"/>
    <w:lvl w:ilvl="0">
      <w:start w:val="272"/>
      <w:numFmt w:val="decimal"/>
      <w:lvlText w:val="(%1)"/>
      <w:lvlJc w:val="left"/>
      <w:pPr>
        <w:ind w:left="720" w:hanging="360"/>
      </w:pPr>
    </w:lvl>
    <w:lvl w:ilvl="1">
      <w:start w:val="272"/>
      <w:numFmt w:val="decimal"/>
      <w:lvlText w:val="(%2)"/>
      <w:lvlJc w:val="left"/>
      <w:pPr>
        <w:ind w:left="1440" w:hanging="360"/>
      </w:pPr>
    </w:lvl>
    <w:lvl w:ilvl="2">
      <w:start w:val="272"/>
      <w:numFmt w:val="decimal"/>
      <w:lvlText w:val="(%3)"/>
      <w:lvlJc w:val="left"/>
      <w:pPr>
        <w:ind w:left="2160" w:hanging="360"/>
      </w:pPr>
    </w:lvl>
    <w:lvl w:ilvl="3">
      <w:start w:val="272"/>
      <w:numFmt w:val="decimal"/>
      <w:lvlText w:val="(%4)"/>
      <w:lvlJc w:val="left"/>
      <w:pPr>
        <w:ind w:left="2880" w:hanging="360"/>
      </w:pPr>
    </w:lvl>
    <w:lvl w:ilvl="4">
      <w:start w:val="272"/>
      <w:numFmt w:val="decimal"/>
      <w:lvlText w:val="(%5)"/>
      <w:lvlJc w:val="left"/>
      <w:pPr>
        <w:ind w:left="3600" w:hanging="360"/>
      </w:pPr>
    </w:lvl>
    <w:lvl w:ilvl="5">
      <w:start w:val="272"/>
      <w:numFmt w:val="decimal"/>
      <w:lvlText w:val="(%6)"/>
      <w:lvlJc w:val="left"/>
      <w:pPr>
        <w:ind w:left="4320" w:hanging="360"/>
      </w:pPr>
    </w:lvl>
    <w:lvl w:ilvl="6">
      <w:start w:val="272"/>
      <w:numFmt w:val="decimal"/>
      <w:lvlText w:val="(%7)"/>
      <w:lvlJc w:val="left"/>
      <w:pPr>
        <w:ind w:left="5040" w:hanging="360"/>
      </w:pPr>
    </w:lvl>
    <w:lvl w:ilvl="7">
      <w:start w:val="272"/>
      <w:numFmt w:val="decimal"/>
      <w:lvlText w:val="(%8)"/>
      <w:lvlJc w:val="left"/>
      <w:pPr>
        <w:ind w:left="5760" w:hanging="360"/>
      </w:pPr>
    </w:lvl>
    <w:lvl w:ilvl="8">
      <w:start w:val="272"/>
      <w:numFmt w:val="decimal"/>
      <w:lvlText w:val="(%9)"/>
      <w:lvlJc w:val="left"/>
      <w:pPr>
        <w:ind w:left="6480" w:hanging="360"/>
      </w:pPr>
    </w:lvl>
  </w:abstractNum>
  <w:abstractNum w:abstractNumId="9943273">
    <w:nsid w:val="A9943273"/>
    <w:multiLevelType w:val="multilevel"/>
    <w:lvl w:ilvl="0">
      <w:start w:val="273"/>
      <w:numFmt w:val="decimal"/>
      <w:lvlText w:val="(%1)"/>
      <w:lvlJc w:val="left"/>
      <w:pPr>
        <w:ind w:left="720" w:hanging="360"/>
      </w:pPr>
    </w:lvl>
    <w:lvl w:ilvl="1">
      <w:start w:val="273"/>
      <w:numFmt w:val="decimal"/>
      <w:lvlText w:val="(%2)"/>
      <w:lvlJc w:val="left"/>
      <w:pPr>
        <w:ind w:left="1440" w:hanging="360"/>
      </w:pPr>
    </w:lvl>
    <w:lvl w:ilvl="2">
      <w:start w:val="273"/>
      <w:numFmt w:val="decimal"/>
      <w:lvlText w:val="(%3)"/>
      <w:lvlJc w:val="left"/>
      <w:pPr>
        <w:ind w:left="2160" w:hanging="360"/>
      </w:pPr>
    </w:lvl>
    <w:lvl w:ilvl="3">
      <w:start w:val="273"/>
      <w:numFmt w:val="decimal"/>
      <w:lvlText w:val="(%4)"/>
      <w:lvlJc w:val="left"/>
      <w:pPr>
        <w:ind w:left="2880" w:hanging="360"/>
      </w:pPr>
    </w:lvl>
    <w:lvl w:ilvl="4">
      <w:start w:val="273"/>
      <w:numFmt w:val="decimal"/>
      <w:lvlText w:val="(%5)"/>
      <w:lvlJc w:val="left"/>
      <w:pPr>
        <w:ind w:left="3600" w:hanging="360"/>
      </w:pPr>
    </w:lvl>
    <w:lvl w:ilvl="5">
      <w:start w:val="273"/>
      <w:numFmt w:val="decimal"/>
      <w:lvlText w:val="(%6)"/>
      <w:lvlJc w:val="left"/>
      <w:pPr>
        <w:ind w:left="4320" w:hanging="360"/>
      </w:pPr>
    </w:lvl>
    <w:lvl w:ilvl="6">
      <w:start w:val="273"/>
      <w:numFmt w:val="decimal"/>
      <w:lvlText w:val="(%7)"/>
      <w:lvlJc w:val="left"/>
      <w:pPr>
        <w:ind w:left="5040" w:hanging="360"/>
      </w:pPr>
    </w:lvl>
    <w:lvl w:ilvl="7">
      <w:start w:val="273"/>
      <w:numFmt w:val="decimal"/>
      <w:lvlText w:val="(%8)"/>
      <w:lvlJc w:val="left"/>
      <w:pPr>
        <w:ind w:left="5760" w:hanging="360"/>
      </w:pPr>
    </w:lvl>
    <w:lvl w:ilvl="8">
      <w:start w:val="273"/>
      <w:numFmt w:val="decimal"/>
      <w:lvlText w:val="(%9)"/>
      <w:lvlJc w:val="left"/>
      <w:pPr>
        <w:ind w:left="6480" w:hanging="360"/>
      </w:pPr>
    </w:lvl>
  </w:abstractNum>
  <w:abstractNum w:abstractNumId="9943274">
    <w:nsid w:val="A9943274"/>
    <w:multiLevelType w:val="multilevel"/>
    <w:lvl w:ilvl="0">
      <w:start w:val="274"/>
      <w:numFmt w:val="decimal"/>
      <w:lvlText w:val="(%1)"/>
      <w:lvlJc w:val="left"/>
      <w:pPr>
        <w:ind w:left="720" w:hanging="360"/>
      </w:pPr>
    </w:lvl>
    <w:lvl w:ilvl="1">
      <w:start w:val="274"/>
      <w:numFmt w:val="decimal"/>
      <w:lvlText w:val="(%2)"/>
      <w:lvlJc w:val="left"/>
      <w:pPr>
        <w:ind w:left="1440" w:hanging="360"/>
      </w:pPr>
    </w:lvl>
    <w:lvl w:ilvl="2">
      <w:start w:val="274"/>
      <w:numFmt w:val="decimal"/>
      <w:lvlText w:val="(%3)"/>
      <w:lvlJc w:val="left"/>
      <w:pPr>
        <w:ind w:left="2160" w:hanging="360"/>
      </w:pPr>
    </w:lvl>
    <w:lvl w:ilvl="3">
      <w:start w:val="274"/>
      <w:numFmt w:val="decimal"/>
      <w:lvlText w:val="(%4)"/>
      <w:lvlJc w:val="left"/>
      <w:pPr>
        <w:ind w:left="2880" w:hanging="360"/>
      </w:pPr>
    </w:lvl>
    <w:lvl w:ilvl="4">
      <w:start w:val="274"/>
      <w:numFmt w:val="decimal"/>
      <w:lvlText w:val="(%5)"/>
      <w:lvlJc w:val="left"/>
      <w:pPr>
        <w:ind w:left="3600" w:hanging="360"/>
      </w:pPr>
    </w:lvl>
    <w:lvl w:ilvl="5">
      <w:start w:val="274"/>
      <w:numFmt w:val="decimal"/>
      <w:lvlText w:val="(%6)"/>
      <w:lvlJc w:val="left"/>
      <w:pPr>
        <w:ind w:left="4320" w:hanging="360"/>
      </w:pPr>
    </w:lvl>
    <w:lvl w:ilvl="6">
      <w:start w:val="274"/>
      <w:numFmt w:val="decimal"/>
      <w:lvlText w:val="(%7)"/>
      <w:lvlJc w:val="left"/>
      <w:pPr>
        <w:ind w:left="5040" w:hanging="360"/>
      </w:pPr>
    </w:lvl>
    <w:lvl w:ilvl="7">
      <w:start w:val="274"/>
      <w:numFmt w:val="decimal"/>
      <w:lvlText w:val="(%8)"/>
      <w:lvlJc w:val="left"/>
      <w:pPr>
        <w:ind w:left="5760" w:hanging="360"/>
      </w:pPr>
    </w:lvl>
    <w:lvl w:ilvl="8">
      <w:start w:val="274"/>
      <w:numFmt w:val="decimal"/>
      <w:lvlText w:val="(%9)"/>
      <w:lvlJc w:val="left"/>
      <w:pPr>
        <w:ind w:left="6480" w:hanging="360"/>
      </w:pPr>
    </w:lvl>
  </w:abstractNum>
  <w:abstractNum w:abstractNumId="9943276">
    <w:nsid w:val="A9943276"/>
    <w:multiLevelType w:val="multilevel"/>
    <w:lvl w:ilvl="0">
      <w:start w:val="276"/>
      <w:numFmt w:val="decimal"/>
      <w:lvlText w:val="(%1)"/>
      <w:lvlJc w:val="left"/>
      <w:pPr>
        <w:ind w:left="720" w:hanging="360"/>
      </w:pPr>
    </w:lvl>
    <w:lvl w:ilvl="1">
      <w:start w:val="276"/>
      <w:numFmt w:val="decimal"/>
      <w:lvlText w:val="(%2)"/>
      <w:lvlJc w:val="left"/>
      <w:pPr>
        <w:ind w:left="1440" w:hanging="360"/>
      </w:pPr>
    </w:lvl>
    <w:lvl w:ilvl="2">
      <w:start w:val="276"/>
      <w:numFmt w:val="decimal"/>
      <w:lvlText w:val="(%3)"/>
      <w:lvlJc w:val="left"/>
      <w:pPr>
        <w:ind w:left="2160" w:hanging="360"/>
      </w:pPr>
    </w:lvl>
    <w:lvl w:ilvl="3">
      <w:start w:val="276"/>
      <w:numFmt w:val="decimal"/>
      <w:lvlText w:val="(%4)"/>
      <w:lvlJc w:val="left"/>
      <w:pPr>
        <w:ind w:left="2880" w:hanging="360"/>
      </w:pPr>
    </w:lvl>
    <w:lvl w:ilvl="4">
      <w:start w:val="276"/>
      <w:numFmt w:val="decimal"/>
      <w:lvlText w:val="(%5)"/>
      <w:lvlJc w:val="left"/>
      <w:pPr>
        <w:ind w:left="3600" w:hanging="360"/>
      </w:pPr>
    </w:lvl>
    <w:lvl w:ilvl="5">
      <w:start w:val="276"/>
      <w:numFmt w:val="decimal"/>
      <w:lvlText w:val="(%6)"/>
      <w:lvlJc w:val="left"/>
      <w:pPr>
        <w:ind w:left="4320" w:hanging="360"/>
      </w:pPr>
    </w:lvl>
    <w:lvl w:ilvl="6">
      <w:start w:val="276"/>
      <w:numFmt w:val="decimal"/>
      <w:lvlText w:val="(%7)"/>
      <w:lvlJc w:val="left"/>
      <w:pPr>
        <w:ind w:left="5040" w:hanging="360"/>
      </w:pPr>
    </w:lvl>
    <w:lvl w:ilvl="7">
      <w:start w:val="276"/>
      <w:numFmt w:val="decimal"/>
      <w:lvlText w:val="(%8)"/>
      <w:lvlJc w:val="left"/>
      <w:pPr>
        <w:ind w:left="5760" w:hanging="360"/>
      </w:pPr>
    </w:lvl>
    <w:lvl w:ilvl="8">
      <w:start w:val="276"/>
      <w:numFmt w:val="decimal"/>
      <w:lvlText w:val="(%9)"/>
      <w:lvlJc w:val="left"/>
      <w:pPr>
        <w:ind w:left="6480" w:hanging="360"/>
      </w:pPr>
    </w:lvl>
  </w:abstractNum>
  <w:abstractNum w:abstractNumId="9943278">
    <w:nsid w:val="A9943278"/>
    <w:multiLevelType w:val="multilevel"/>
    <w:lvl w:ilvl="0">
      <w:start w:val="278"/>
      <w:numFmt w:val="decimal"/>
      <w:lvlText w:val="(%1)"/>
      <w:lvlJc w:val="left"/>
      <w:pPr>
        <w:ind w:left="720" w:hanging="360"/>
      </w:pPr>
    </w:lvl>
    <w:lvl w:ilvl="1">
      <w:start w:val="278"/>
      <w:numFmt w:val="decimal"/>
      <w:lvlText w:val="(%2)"/>
      <w:lvlJc w:val="left"/>
      <w:pPr>
        <w:ind w:left="1440" w:hanging="360"/>
      </w:pPr>
    </w:lvl>
    <w:lvl w:ilvl="2">
      <w:start w:val="278"/>
      <w:numFmt w:val="decimal"/>
      <w:lvlText w:val="(%3)"/>
      <w:lvlJc w:val="left"/>
      <w:pPr>
        <w:ind w:left="2160" w:hanging="360"/>
      </w:pPr>
    </w:lvl>
    <w:lvl w:ilvl="3">
      <w:start w:val="278"/>
      <w:numFmt w:val="decimal"/>
      <w:lvlText w:val="(%4)"/>
      <w:lvlJc w:val="left"/>
      <w:pPr>
        <w:ind w:left="2880" w:hanging="360"/>
      </w:pPr>
    </w:lvl>
    <w:lvl w:ilvl="4">
      <w:start w:val="278"/>
      <w:numFmt w:val="decimal"/>
      <w:lvlText w:val="(%5)"/>
      <w:lvlJc w:val="left"/>
      <w:pPr>
        <w:ind w:left="3600" w:hanging="360"/>
      </w:pPr>
    </w:lvl>
    <w:lvl w:ilvl="5">
      <w:start w:val="278"/>
      <w:numFmt w:val="decimal"/>
      <w:lvlText w:val="(%6)"/>
      <w:lvlJc w:val="left"/>
      <w:pPr>
        <w:ind w:left="4320" w:hanging="360"/>
      </w:pPr>
    </w:lvl>
    <w:lvl w:ilvl="6">
      <w:start w:val="278"/>
      <w:numFmt w:val="decimal"/>
      <w:lvlText w:val="(%7)"/>
      <w:lvlJc w:val="left"/>
      <w:pPr>
        <w:ind w:left="5040" w:hanging="360"/>
      </w:pPr>
    </w:lvl>
    <w:lvl w:ilvl="7">
      <w:start w:val="278"/>
      <w:numFmt w:val="decimal"/>
      <w:lvlText w:val="(%8)"/>
      <w:lvlJc w:val="left"/>
      <w:pPr>
        <w:ind w:left="5760" w:hanging="360"/>
      </w:pPr>
    </w:lvl>
    <w:lvl w:ilvl="8">
      <w:start w:val="278"/>
      <w:numFmt w:val="decimal"/>
      <w:lvlText w:val="(%9)"/>
      <w:lvlJc w:val="left"/>
      <w:pPr>
        <w:ind w:left="6480" w:hanging="360"/>
      </w:pPr>
    </w:lvl>
  </w:abstractNum>
  <w:abstractNum w:abstractNumId="99422023">
    <w:nsid w:val="A99422023"/>
    <w:multiLevelType w:val="multilevel"/>
    <w:lvl w:ilvl="0">
      <w:start w:val="2023"/>
      <w:numFmt w:val="decimal"/>
      <w:lvlText w:val="%1)"/>
      <w:lvlJc w:val="left"/>
      <w:pPr>
        <w:ind w:left="720" w:hanging="360"/>
      </w:pPr>
    </w:lvl>
    <w:lvl w:ilvl="1">
      <w:start w:val="2023"/>
      <w:numFmt w:val="decimal"/>
      <w:lvlText w:val="%2)"/>
      <w:lvlJc w:val="left"/>
      <w:pPr>
        <w:ind w:left="1440" w:hanging="360"/>
      </w:pPr>
    </w:lvl>
    <w:lvl w:ilvl="2">
      <w:start w:val="2023"/>
      <w:numFmt w:val="decimal"/>
      <w:lvlText w:val="%3)"/>
      <w:lvlJc w:val="left"/>
      <w:pPr>
        <w:ind w:left="2160" w:hanging="360"/>
      </w:pPr>
    </w:lvl>
    <w:lvl w:ilvl="3">
      <w:start w:val="2023"/>
      <w:numFmt w:val="decimal"/>
      <w:lvlText w:val="%4)"/>
      <w:lvlJc w:val="left"/>
      <w:pPr>
        <w:ind w:left="2880" w:hanging="360"/>
      </w:pPr>
    </w:lvl>
    <w:lvl w:ilvl="4">
      <w:start w:val="2023"/>
      <w:numFmt w:val="decimal"/>
      <w:lvlText w:val="%5)"/>
      <w:lvlJc w:val="left"/>
      <w:pPr>
        <w:ind w:left="3600" w:hanging="360"/>
      </w:pPr>
    </w:lvl>
    <w:lvl w:ilvl="5">
      <w:start w:val="2023"/>
      <w:numFmt w:val="decimal"/>
      <w:lvlText w:val="%6)"/>
      <w:lvlJc w:val="left"/>
      <w:pPr>
        <w:ind w:left="4320" w:hanging="360"/>
      </w:pPr>
    </w:lvl>
    <w:lvl w:ilvl="6">
      <w:start w:val="2023"/>
      <w:numFmt w:val="decimal"/>
      <w:lvlText w:val="%7)"/>
      <w:lvlJc w:val="left"/>
      <w:pPr>
        <w:ind w:left="5040" w:hanging="360"/>
      </w:pPr>
    </w:lvl>
    <w:lvl w:ilvl="7">
      <w:start w:val="2023"/>
      <w:numFmt w:val="decimal"/>
      <w:lvlText w:val="%8)"/>
      <w:lvlJc w:val="left"/>
      <w:pPr>
        <w:ind w:left="5760" w:hanging="360"/>
      </w:pPr>
    </w:lvl>
    <w:lvl w:ilvl="8">
      <w:start w:val="2023"/>
      <w:numFmt w:val="decimal"/>
      <w:lvlText w:val="%9)"/>
      <w:lvlJc w:val="left"/>
      <w:pPr>
        <w:ind w:left="6480" w:hanging="360"/>
      </w:pPr>
    </w:lvl>
  </w:abstractNum>
  <w:abstractNum w:abstractNumId="9943279">
    <w:nsid w:val="A9943279"/>
    <w:multiLevelType w:val="multilevel"/>
    <w:lvl w:ilvl="0">
      <w:start w:val="279"/>
      <w:numFmt w:val="decimal"/>
      <w:lvlText w:val="(%1)"/>
      <w:lvlJc w:val="left"/>
      <w:pPr>
        <w:ind w:left="720" w:hanging="360"/>
      </w:pPr>
    </w:lvl>
    <w:lvl w:ilvl="1">
      <w:start w:val="279"/>
      <w:numFmt w:val="decimal"/>
      <w:lvlText w:val="(%2)"/>
      <w:lvlJc w:val="left"/>
      <w:pPr>
        <w:ind w:left="1440" w:hanging="360"/>
      </w:pPr>
    </w:lvl>
    <w:lvl w:ilvl="2">
      <w:start w:val="279"/>
      <w:numFmt w:val="decimal"/>
      <w:lvlText w:val="(%3)"/>
      <w:lvlJc w:val="left"/>
      <w:pPr>
        <w:ind w:left="2160" w:hanging="360"/>
      </w:pPr>
    </w:lvl>
    <w:lvl w:ilvl="3">
      <w:start w:val="279"/>
      <w:numFmt w:val="decimal"/>
      <w:lvlText w:val="(%4)"/>
      <w:lvlJc w:val="left"/>
      <w:pPr>
        <w:ind w:left="2880" w:hanging="360"/>
      </w:pPr>
    </w:lvl>
    <w:lvl w:ilvl="4">
      <w:start w:val="279"/>
      <w:numFmt w:val="decimal"/>
      <w:lvlText w:val="(%5)"/>
      <w:lvlJc w:val="left"/>
      <w:pPr>
        <w:ind w:left="3600" w:hanging="360"/>
      </w:pPr>
    </w:lvl>
    <w:lvl w:ilvl="5">
      <w:start w:val="279"/>
      <w:numFmt w:val="decimal"/>
      <w:lvlText w:val="(%6)"/>
      <w:lvlJc w:val="left"/>
      <w:pPr>
        <w:ind w:left="4320" w:hanging="360"/>
      </w:pPr>
    </w:lvl>
    <w:lvl w:ilvl="6">
      <w:start w:val="279"/>
      <w:numFmt w:val="decimal"/>
      <w:lvlText w:val="(%7)"/>
      <w:lvlJc w:val="left"/>
      <w:pPr>
        <w:ind w:left="5040" w:hanging="360"/>
      </w:pPr>
    </w:lvl>
    <w:lvl w:ilvl="7">
      <w:start w:val="279"/>
      <w:numFmt w:val="decimal"/>
      <w:lvlText w:val="(%8)"/>
      <w:lvlJc w:val="left"/>
      <w:pPr>
        <w:ind w:left="5760" w:hanging="360"/>
      </w:pPr>
    </w:lvl>
    <w:lvl w:ilvl="8">
      <w:start w:val="279"/>
      <w:numFmt w:val="decimal"/>
      <w:lvlText w:val="(%9)"/>
      <w:lvlJc w:val="left"/>
      <w:pPr>
        <w:ind w:left="6480" w:hanging="360"/>
      </w:pPr>
    </w:lvl>
  </w:abstractNum>
  <w:abstractNum w:abstractNumId="9943282">
    <w:nsid w:val="A9943282"/>
    <w:multiLevelType w:val="multilevel"/>
    <w:lvl w:ilvl="0">
      <w:start w:val="282"/>
      <w:numFmt w:val="decimal"/>
      <w:lvlText w:val="(%1)"/>
      <w:lvlJc w:val="left"/>
      <w:pPr>
        <w:ind w:left="720" w:hanging="360"/>
      </w:pPr>
    </w:lvl>
    <w:lvl w:ilvl="1">
      <w:start w:val="282"/>
      <w:numFmt w:val="decimal"/>
      <w:lvlText w:val="(%2)"/>
      <w:lvlJc w:val="left"/>
      <w:pPr>
        <w:ind w:left="1440" w:hanging="360"/>
      </w:pPr>
    </w:lvl>
    <w:lvl w:ilvl="2">
      <w:start w:val="282"/>
      <w:numFmt w:val="decimal"/>
      <w:lvlText w:val="(%3)"/>
      <w:lvlJc w:val="left"/>
      <w:pPr>
        <w:ind w:left="2160" w:hanging="360"/>
      </w:pPr>
    </w:lvl>
    <w:lvl w:ilvl="3">
      <w:start w:val="282"/>
      <w:numFmt w:val="decimal"/>
      <w:lvlText w:val="(%4)"/>
      <w:lvlJc w:val="left"/>
      <w:pPr>
        <w:ind w:left="2880" w:hanging="360"/>
      </w:pPr>
    </w:lvl>
    <w:lvl w:ilvl="4">
      <w:start w:val="282"/>
      <w:numFmt w:val="decimal"/>
      <w:lvlText w:val="(%5)"/>
      <w:lvlJc w:val="left"/>
      <w:pPr>
        <w:ind w:left="3600" w:hanging="360"/>
      </w:pPr>
    </w:lvl>
    <w:lvl w:ilvl="5">
      <w:start w:val="282"/>
      <w:numFmt w:val="decimal"/>
      <w:lvlText w:val="(%6)"/>
      <w:lvlJc w:val="left"/>
      <w:pPr>
        <w:ind w:left="4320" w:hanging="360"/>
      </w:pPr>
    </w:lvl>
    <w:lvl w:ilvl="6">
      <w:start w:val="282"/>
      <w:numFmt w:val="decimal"/>
      <w:lvlText w:val="(%7)"/>
      <w:lvlJc w:val="left"/>
      <w:pPr>
        <w:ind w:left="5040" w:hanging="360"/>
      </w:pPr>
    </w:lvl>
    <w:lvl w:ilvl="7">
      <w:start w:val="282"/>
      <w:numFmt w:val="decimal"/>
      <w:lvlText w:val="(%8)"/>
      <w:lvlJc w:val="left"/>
      <w:pPr>
        <w:ind w:left="5760" w:hanging="360"/>
      </w:pPr>
    </w:lvl>
    <w:lvl w:ilvl="8">
      <w:start w:val="282"/>
      <w:numFmt w:val="decimal"/>
      <w:lvlText w:val="(%9)"/>
      <w:lvlJc w:val="left"/>
      <w:pPr>
        <w:ind w:left="6480" w:hanging="360"/>
      </w:pPr>
    </w:lvl>
  </w:abstractNum>
  <w:abstractNum w:abstractNumId="9943285">
    <w:nsid w:val="A9943285"/>
    <w:multiLevelType w:val="multilevel"/>
    <w:lvl w:ilvl="0">
      <w:start w:val="285"/>
      <w:numFmt w:val="decimal"/>
      <w:lvlText w:val="(%1)"/>
      <w:lvlJc w:val="left"/>
      <w:pPr>
        <w:ind w:left="720" w:hanging="360"/>
      </w:pPr>
    </w:lvl>
    <w:lvl w:ilvl="1">
      <w:start w:val="285"/>
      <w:numFmt w:val="decimal"/>
      <w:lvlText w:val="(%2)"/>
      <w:lvlJc w:val="left"/>
      <w:pPr>
        <w:ind w:left="1440" w:hanging="360"/>
      </w:pPr>
    </w:lvl>
    <w:lvl w:ilvl="2">
      <w:start w:val="285"/>
      <w:numFmt w:val="decimal"/>
      <w:lvlText w:val="(%3)"/>
      <w:lvlJc w:val="left"/>
      <w:pPr>
        <w:ind w:left="2160" w:hanging="360"/>
      </w:pPr>
    </w:lvl>
    <w:lvl w:ilvl="3">
      <w:start w:val="285"/>
      <w:numFmt w:val="decimal"/>
      <w:lvlText w:val="(%4)"/>
      <w:lvlJc w:val="left"/>
      <w:pPr>
        <w:ind w:left="2880" w:hanging="360"/>
      </w:pPr>
    </w:lvl>
    <w:lvl w:ilvl="4">
      <w:start w:val="285"/>
      <w:numFmt w:val="decimal"/>
      <w:lvlText w:val="(%5)"/>
      <w:lvlJc w:val="left"/>
      <w:pPr>
        <w:ind w:left="3600" w:hanging="360"/>
      </w:pPr>
    </w:lvl>
    <w:lvl w:ilvl="5">
      <w:start w:val="285"/>
      <w:numFmt w:val="decimal"/>
      <w:lvlText w:val="(%6)"/>
      <w:lvlJc w:val="left"/>
      <w:pPr>
        <w:ind w:left="4320" w:hanging="360"/>
      </w:pPr>
    </w:lvl>
    <w:lvl w:ilvl="6">
      <w:start w:val="285"/>
      <w:numFmt w:val="decimal"/>
      <w:lvlText w:val="(%7)"/>
      <w:lvlJc w:val="left"/>
      <w:pPr>
        <w:ind w:left="5040" w:hanging="360"/>
      </w:pPr>
    </w:lvl>
    <w:lvl w:ilvl="7">
      <w:start w:val="285"/>
      <w:numFmt w:val="decimal"/>
      <w:lvlText w:val="(%8)"/>
      <w:lvlJc w:val="left"/>
      <w:pPr>
        <w:ind w:left="5760" w:hanging="360"/>
      </w:pPr>
    </w:lvl>
    <w:lvl w:ilvl="8">
      <w:start w:val="285"/>
      <w:numFmt w:val="decimal"/>
      <w:lvlText w:val="(%9)"/>
      <w:lvlJc w:val="left"/>
      <w:pPr>
        <w:ind w:left="6480" w:hanging="360"/>
      </w:pPr>
    </w:lvl>
  </w:abstractNum>
  <w:abstractNum w:abstractNumId="9943291">
    <w:nsid w:val="A9943291"/>
    <w:multiLevelType w:val="multilevel"/>
    <w:lvl w:ilvl="0">
      <w:start w:val="291"/>
      <w:numFmt w:val="decimal"/>
      <w:lvlText w:val="(%1)"/>
      <w:lvlJc w:val="left"/>
      <w:pPr>
        <w:ind w:left="720" w:hanging="360"/>
      </w:pPr>
    </w:lvl>
    <w:lvl w:ilvl="1">
      <w:start w:val="291"/>
      <w:numFmt w:val="decimal"/>
      <w:lvlText w:val="(%2)"/>
      <w:lvlJc w:val="left"/>
      <w:pPr>
        <w:ind w:left="1440" w:hanging="360"/>
      </w:pPr>
    </w:lvl>
    <w:lvl w:ilvl="2">
      <w:start w:val="291"/>
      <w:numFmt w:val="decimal"/>
      <w:lvlText w:val="(%3)"/>
      <w:lvlJc w:val="left"/>
      <w:pPr>
        <w:ind w:left="2160" w:hanging="360"/>
      </w:pPr>
    </w:lvl>
    <w:lvl w:ilvl="3">
      <w:start w:val="291"/>
      <w:numFmt w:val="decimal"/>
      <w:lvlText w:val="(%4)"/>
      <w:lvlJc w:val="left"/>
      <w:pPr>
        <w:ind w:left="2880" w:hanging="360"/>
      </w:pPr>
    </w:lvl>
    <w:lvl w:ilvl="4">
      <w:start w:val="291"/>
      <w:numFmt w:val="decimal"/>
      <w:lvlText w:val="(%5)"/>
      <w:lvlJc w:val="left"/>
      <w:pPr>
        <w:ind w:left="3600" w:hanging="360"/>
      </w:pPr>
    </w:lvl>
    <w:lvl w:ilvl="5">
      <w:start w:val="291"/>
      <w:numFmt w:val="decimal"/>
      <w:lvlText w:val="(%6)"/>
      <w:lvlJc w:val="left"/>
      <w:pPr>
        <w:ind w:left="4320" w:hanging="360"/>
      </w:pPr>
    </w:lvl>
    <w:lvl w:ilvl="6">
      <w:start w:val="291"/>
      <w:numFmt w:val="decimal"/>
      <w:lvlText w:val="(%7)"/>
      <w:lvlJc w:val="left"/>
      <w:pPr>
        <w:ind w:left="5040" w:hanging="360"/>
      </w:pPr>
    </w:lvl>
    <w:lvl w:ilvl="7">
      <w:start w:val="291"/>
      <w:numFmt w:val="decimal"/>
      <w:lvlText w:val="(%8)"/>
      <w:lvlJc w:val="left"/>
      <w:pPr>
        <w:ind w:left="5760" w:hanging="360"/>
      </w:pPr>
    </w:lvl>
    <w:lvl w:ilvl="8">
      <w:start w:val="291"/>
      <w:numFmt w:val="decimal"/>
      <w:lvlText w:val="(%9)"/>
      <w:lvlJc w:val="left"/>
      <w:pPr>
        <w:ind w:left="6480" w:hanging="360"/>
      </w:pPr>
    </w:lvl>
  </w:abstractNum>
  <w:abstractNum w:abstractNumId="9943292">
    <w:nsid w:val="A9943292"/>
    <w:multiLevelType w:val="multilevel"/>
    <w:lvl w:ilvl="0">
      <w:start w:val="292"/>
      <w:numFmt w:val="decimal"/>
      <w:lvlText w:val="(%1)"/>
      <w:lvlJc w:val="left"/>
      <w:pPr>
        <w:ind w:left="720" w:hanging="360"/>
      </w:pPr>
    </w:lvl>
    <w:lvl w:ilvl="1">
      <w:start w:val="292"/>
      <w:numFmt w:val="decimal"/>
      <w:lvlText w:val="(%2)"/>
      <w:lvlJc w:val="left"/>
      <w:pPr>
        <w:ind w:left="1440" w:hanging="360"/>
      </w:pPr>
    </w:lvl>
    <w:lvl w:ilvl="2">
      <w:start w:val="292"/>
      <w:numFmt w:val="decimal"/>
      <w:lvlText w:val="(%3)"/>
      <w:lvlJc w:val="left"/>
      <w:pPr>
        <w:ind w:left="2160" w:hanging="360"/>
      </w:pPr>
    </w:lvl>
    <w:lvl w:ilvl="3">
      <w:start w:val="292"/>
      <w:numFmt w:val="decimal"/>
      <w:lvlText w:val="(%4)"/>
      <w:lvlJc w:val="left"/>
      <w:pPr>
        <w:ind w:left="2880" w:hanging="360"/>
      </w:pPr>
    </w:lvl>
    <w:lvl w:ilvl="4">
      <w:start w:val="292"/>
      <w:numFmt w:val="decimal"/>
      <w:lvlText w:val="(%5)"/>
      <w:lvlJc w:val="left"/>
      <w:pPr>
        <w:ind w:left="3600" w:hanging="360"/>
      </w:pPr>
    </w:lvl>
    <w:lvl w:ilvl="5">
      <w:start w:val="292"/>
      <w:numFmt w:val="decimal"/>
      <w:lvlText w:val="(%6)"/>
      <w:lvlJc w:val="left"/>
      <w:pPr>
        <w:ind w:left="4320" w:hanging="360"/>
      </w:pPr>
    </w:lvl>
    <w:lvl w:ilvl="6">
      <w:start w:val="292"/>
      <w:numFmt w:val="decimal"/>
      <w:lvlText w:val="(%7)"/>
      <w:lvlJc w:val="left"/>
      <w:pPr>
        <w:ind w:left="5040" w:hanging="360"/>
      </w:pPr>
    </w:lvl>
    <w:lvl w:ilvl="7">
      <w:start w:val="292"/>
      <w:numFmt w:val="decimal"/>
      <w:lvlText w:val="(%8)"/>
      <w:lvlJc w:val="left"/>
      <w:pPr>
        <w:ind w:left="5760" w:hanging="360"/>
      </w:pPr>
    </w:lvl>
    <w:lvl w:ilvl="8">
      <w:start w:val="292"/>
      <w:numFmt w:val="decimal"/>
      <w:lvlText w:val="(%9)"/>
      <w:lvlJc w:val="left"/>
      <w:pPr>
        <w:ind w:left="6480" w:hanging="360"/>
      </w:pPr>
    </w:lvl>
  </w:abstractNum>
  <w:abstractNum w:abstractNumId="9943294">
    <w:nsid w:val="A9943294"/>
    <w:multiLevelType w:val="multilevel"/>
    <w:lvl w:ilvl="0">
      <w:start w:val="294"/>
      <w:numFmt w:val="decimal"/>
      <w:lvlText w:val="(%1)"/>
      <w:lvlJc w:val="left"/>
      <w:pPr>
        <w:ind w:left="720" w:hanging="360"/>
      </w:pPr>
    </w:lvl>
    <w:lvl w:ilvl="1">
      <w:start w:val="294"/>
      <w:numFmt w:val="decimal"/>
      <w:lvlText w:val="(%2)"/>
      <w:lvlJc w:val="left"/>
      <w:pPr>
        <w:ind w:left="1440" w:hanging="360"/>
      </w:pPr>
    </w:lvl>
    <w:lvl w:ilvl="2">
      <w:start w:val="294"/>
      <w:numFmt w:val="decimal"/>
      <w:lvlText w:val="(%3)"/>
      <w:lvlJc w:val="left"/>
      <w:pPr>
        <w:ind w:left="2160" w:hanging="360"/>
      </w:pPr>
    </w:lvl>
    <w:lvl w:ilvl="3">
      <w:start w:val="294"/>
      <w:numFmt w:val="decimal"/>
      <w:lvlText w:val="(%4)"/>
      <w:lvlJc w:val="left"/>
      <w:pPr>
        <w:ind w:left="2880" w:hanging="360"/>
      </w:pPr>
    </w:lvl>
    <w:lvl w:ilvl="4">
      <w:start w:val="294"/>
      <w:numFmt w:val="decimal"/>
      <w:lvlText w:val="(%5)"/>
      <w:lvlJc w:val="left"/>
      <w:pPr>
        <w:ind w:left="3600" w:hanging="360"/>
      </w:pPr>
    </w:lvl>
    <w:lvl w:ilvl="5">
      <w:start w:val="294"/>
      <w:numFmt w:val="decimal"/>
      <w:lvlText w:val="(%6)"/>
      <w:lvlJc w:val="left"/>
      <w:pPr>
        <w:ind w:left="4320" w:hanging="360"/>
      </w:pPr>
    </w:lvl>
    <w:lvl w:ilvl="6">
      <w:start w:val="294"/>
      <w:numFmt w:val="decimal"/>
      <w:lvlText w:val="(%7)"/>
      <w:lvlJc w:val="left"/>
      <w:pPr>
        <w:ind w:left="5040" w:hanging="360"/>
      </w:pPr>
    </w:lvl>
    <w:lvl w:ilvl="7">
      <w:start w:val="294"/>
      <w:numFmt w:val="decimal"/>
      <w:lvlText w:val="(%8)"/>
      <w:lvlJc w:val="left"/>
      <w:pPr>
        <w:ind w:left="5760" w:hanging="360"/>
      </w:pPr>
    </w:lvl>
    <w:lvl w:ilvl="8">
      <w:start w:val="294"/>
      <w:numFmt w:val="decimal"/>
      <w:lvlText w:val="(%9)"/>
      <w:lvlJc w:val="left"/>
      <w:pPr>
        <w:ind w:left="6480" w:hanging="360"/>
      </w:pPr>
    </w:lvl>
  </w:abstractNum>
  <w:abstractNum w:abstractNumId="9943295">
    <w:nsid w:val="A9943295"/>
    <w:multiLevelType w:val="multilevel"/>
    <w:lvl w:ilvl="0">
      <w:start w:val="295"/>
      <w:numFmt w:val="decimal"/>
      <w:lvlText w:val="(%1)"/>
      <w:lvlJc w:val="left"/>
      <w:pPr>
        <w:ind w:left="720" w:hanging="360"/>
      </w:pPr>
    </w:lvl>
    <w:lvl w:ilvl="1">
      <w:start w:val="295"/>
      <w:numFmt w:val="decimal"/>
      <w:lvlText w:val="(%2)"/>
      <w:lvlJc w:val="left"/>
      <w:pPr>
        <w:ind w:left="1440" w:hanging="360"/>
      </w:pPr>
    </w:lvl>
    <w:lvl w:ilvl="2">
      <w:start w:val="295"/>
      <w:numFmt w:val="decimal"/>
      <w:lvlText w:val="(%3)"/>
      <w:lvlJc w:val="left"/>
      <w:pPr>
        <w:ind w:left="2160" w:hanging="360"/>
      </w:pPr>
    </w:lvl>
    <w:lvl w:ilvl="3">
      <w:start w:val="295"/>
      <w:numFmt w:val="decimal"/>
      <w:lvlText w:val="(%4)"/>
      <w:lvlJc w:val="left"/>
      <w:pPr>
        <w:ind w:left="2880" w:hanging="360"/>
      </w:pPr>
    </w:lvl>
    <w:lvl w:ilvl="4">
      <w:start w:val="295"/>
      <w:numFmt w:val="decimal"/>
      <w:lvlText w:val="(%5)"/>
      <w:lvlJc w:val="left"/>
      <w:pPr>
        <w:ind w:left="3600" w:hanging="360"/>
      </w:pPr>
    </w:lvl>
    <w:lvl w:ilvl="5">
      <w:start w:val="295"/>
      <w:numFmt w:val="decimal"/>
      <w:lvlText w:val="(%6)"/>
      <w:lvlJc w:val="left"/>
      <w:pPr>
        <w:ind w:left="4320" w:hanging="360"/>
      </w:pPr>
    </w:lvl>
    <w:lvl w:ilvl="6">
      <w:start w:val="295"/>
      <w:numFmt w:val="decimal"/>
      <w:lvlText w:val="(%7)"/>
      <w:lvlJc w:val="left"/>
      <w:pPr>
        <w:ind w:left="5040" w:hanging="360"/>
      </w:pPr>
    </w:lvl>
    <w:lvl w:ilvl="7">
      <w:start w:val="295"/>
      <w:numFmt w:val="decimal"/>
      <w:lvlText w:val="(%8)"/>
      <w:lvlJc w:val="left"/>
      <w:pPr>
        <w:ind w:left="5760" w:hanging="360"/>
      </w:pPr>
    </w:lvl>
    <w:lvl w:ilvl="8">
      <w:start w:val="295"/>
      <w:numFmt w:val="decimal"/>
      <w:lvlText w:val="(%9)"/>
      <w:lvlJc w:val="left"/>
      <w:pPr>
        <w:ind w:left="6480" w:hanging="360"/>
      </w:pPr>
    </w:lvl>
  </w:abstractNum>
  <w:abstractNum w:abstractNumId="9943296">
    <w:nsid w:val="A9943296"/>
    <w:multiLevelType w:val="multilevel"/>
    <w:lvl w:ilvl="0">
      <w:start w:val="296"/>
      <w:numFmt w:val="decimal"/>
      <w:lvlText w:val="(%1)"/>
      <w:lvlJc w:val="left"/>
      <w:pPr>
        <w:ind w:left="720" w:hanging="360"/>
      </w:pPr>
    </w:lvl>
    <w:lvl w:ilvl="1">
      <w:start w:val="296"/>
      <w:numFmt w:val="decimal"/>
      <w:lvlText w:val="(%2)"/>
      <w:lvlJc w:val="left"/>
      <w:pPr>
        <w:ind w:left="1440" w:hanging="360"/>
      </w:pPr>
    </w:lvl>
    <w:lvl w:ilvl="2">
      <w:start w:val="296"/>
      <w:numFmt w:val="decimal"/>
      <w:lvlText w:val="(%3)"/>
      <w:lvlJc w:val="left"/>
      <w:pPr>
        <w:ind w:left="2160" w:hanging="360"/>
      </w:pPr>
    </w:lvl>
    <w:lvl w:ilvl="3">
      <w:start w:val="296"/>
      <w:numFmt w:val="decimal"/>
      <w:lvlText w:val="(%4)"/>
      <w:lvlJc w:val="left"/>
      <w:pPr>
        <w:ind w:left="2880" w:hanging="360"/>
      </w:pPr>
    </w:lvl>
    <w:lvl w:ilvl="4">
      <w:start w:val="296"/>
      <w:numFmt w:val="decimal"/>
      <w:lvlText w:val="(%5)"/>
      <w:lvlJc w:val="left"/>
      <w:pPr>
        <w:ind w:left="3600" w:hanging="360"/>
      </w:pPr>
    </w:lvl>
    <w:lvl w:ilvl="5">
      <w:start w:val="296"/>
      <w:numFmt w:val="decimal"/>
      <w:lvlText w:val="(%6)"/>
      <w:lvlJc w:val="left"/>
      <w:pPr>
        <w:ind w:left="4320" w:hanging="360"/>
      </w:pPr>
    </w:lvl>
    <w:lvl w:ilvl="6">
      <w:start w:val="296"/>
      <w:numFmt w:val="decimal"/>
      <w:lvlText w:val="(%7)"/>
      <w:lvlJc w:val="left"/>
      <w:pPr>
        <w:ind w:left="5040" w:hanging="360"/>
      </w:pPr>
    </w:lvl>
    <w:lvl w:ilvl="7">
      <w:start w:val="296"/>
      <w:numFmt w:val="decimal"/>
      <w:lvlText w:val="(%8)"/>
      <w:lvlJc w:val="left"/>
      <w:pPr>
        <w:ind w:left="5760" w:hanging="360"/>
      </w:pPr>
    </w:lvl>
    <w:lvl w:ilvl="8">
      <w:start w:val="296"/>
      <w:numFmt w:val="decimal"/>
      <w:lvlText w:val="(%9)"/>
      <w:lvlJc w:val="left"/>
      <w:pPr>
        <w:ind w:left="6480" w:hanging="360"/>
      </w:pPr>
    </w:lvl>
  </w:abstractNum>
  <w:abstractNum w:abstractNumId="9943299">
    <w:nsid w:val="A9943299"/>
    <w:multiLevelType w:val="multilevel"/>
    <w:lvl w:ilvl="0">
      <w:start w:val="299"/>
      <w:numFmt w:val="decimal"/>
      <w:lvlText w:val="(%1)"/>
      <w:lvlJc w:val="left"/>
      <w:pPr>
        <w:ind w:left="720" w:hanging="360"/>
      </w:pPr>
    </w:lvl>
    <w:lvl w:ilvl="1">
      <w:start w:val="299"/>
      <w:numFmt w:val="decimal"/>
      <w:lvlText w:val="(%2)"/>
      <w:lvlJc w:val="left"/>
      <w:pPr>
        <w:ind w:left="1440" w:hanging="360"/>
      </w:pPr>
    </w:lvl>
    <w:lvl w:ilvl="2">
      <w:start w:val="299"/>
      <w:numFmt w:val="decimal"/>
      <w:lvlText w:val="(%3)"/>
      <w:lvlJc w:val="left"/>
      <w:pPr>
        <w:ind w:left="2160" w:hanging="360"/>
      </w:pPr>
    </w:lvl>
    <w:lvl w:ilvl="3">
      <w:start w:val="299"/>
      <w:numFmt w:val="decimal"/>
      <w:lvlText w:val="(%4)"/>
      <w:lvlJc w:val="left"/>
      <w:pPr>
        <w:ind w:left="2880" w:hanging="360"/>
      </w:pPr>
    </w:lvl>
    <w:lvl w:ilvl="4">
      <w:start w:val="299"/>
      <w:numFmt w:val="decimal"/>
      <w:lvlText w:val="(%5)"/>
      <w:lvlJc w:val="left"/>
      <w:pPr>
        <w:ind w:left="3600" w:hanging="360"/>
      </w:pPr>
    </w:lvl>
    <w:lvl w:ilvl="5">
      <w:start w:val="299"/>
      <w:numFmt w:val="decimal"/>
      <w:lvlText w:val="(%6)"/>
      <w:lvlJc w:val="left"/>
      <w:pPr>
        <w:ind w:left="4320" w:hanging="360"/>
      </w:pPr>
    </w:lvl>
    <w:lvl w:ilvl="6">
      <w:start w:val="299"/>
      <w:numFmt w:val="decimal"/>
      <w:lvlText w:val="(%7)"/>
      <w:lvlJc w:val="left"/>
      <w:pPr>
        <w:ind w:left="5040" w:hanging="360"/>
      </w:pPr>
    </w:lvl>
    <w:lvl w:ilvl="7">
      <w:start w:val="299"/>
      <w:numFmt w:val="decimal"/>
      <w:lvlText w:val="(%8)"/>
      <w:lvlJc w:val="left"/>
      <w:pPr>
        <w:ind w:left="5760" w:hanging="360"/>
      </w:pPr>
    </w:lvl>
    <w:lvl w:ilvl="8">
      <w:start w:val="299"/>
      <w:numFmt w:val="decimal"/>
      <w:lvlText w:val="(%9)"/>
      <w:lvlJc w:val="left"/>
      <w:pPr>
        <w:ind w:left="6480" w:hanging="360"/>
      </w:pPr>
    </w:lvl>
  </w:abstractNum>
  <w:abstractNum w:abstractNumId="9943300">
    <w:nsid w:val="A9943300"/>
    <w:multiLevelType w:val="multilevel"/>
    <w:lvl w:ilvl="0">
      <w:start w:val="300"/>
      <w:numFmt w:val="decimal"/>
      <w:lvlText w:val="(%1)"/>
      <w:lvlJc w:val="left"/>
      <w:pPr>
        <w:ind w:left="720" w:hanging="360"/>
      </w:pPr>
    </w:lvl>
    <w:lvl w:ilvl="1">
      <w:start w:val="300"/>
      <w:numFmt w:val="decimal"/>
      <w:lvlText w:val="(%2)"/>
      <w:lvlJc w:val="left"/>
      <w:pPr>
        <w:ind w:left="1440" w:hanging="360"/>
      </w:pPr>
    </w:lvl>
    <w:lvl w:ilvl="2">
      <w:start w:val="300"/>
      <w:numFmt w:val="decimal"/>
      <w:lvlText w:val="(%3)"/>
      <w:lvlJc w:val="left"/>
      <w:pPr>
        <w:ind w:left="2160" w:hanging="360"/>
      </w:pPr>
    </w:lvl>
    <w:lvl w:ilvl="3">
      <w:start w:val="300"/>
      <w:numFmt w:val="decimal"/>
      <w:lvlText w:val="(%4)"/>
      <w:lvlJc w:val="left"/>
      <w:pPr>
        <w:ind w:left="2880" w:hanging="360"/>
      </w:pPr>
    </w:lvl>
    <w:lvl w:ilvl="4">
      <w:start w:val="300"/>
      <w:numFmt w:val="decimal"/>
      <w:lvlText w:val="(%5)"/>
      <w:lvlJc w:val="left"/>
      <w:pPr>
        <w:ind w:left="3600" w:hanging="360"/>
      </w:pPr>
    </w:lvl>
    <w:lvl w:ilvl="5">
      <w:start w:val="300"/>
      <w:numFmt w:val="decimal"/>
      <w:lvlText w:val="(%6)"/>
      <w:lvlJc w:val="left"/>
      <w:pPr>
        <w:ind w:left="4320" w:hanging="360"/>
      </w:pPr>
    </w:lvl>
    <w:lvl w:ilvl="6">
      <w:start w:val="300"/>
      <w:numFmt w:val="decimal"/>
      <w:lvlText w:val="(%7)"/>
      <w:lvlJc w:val="left"/>
      <w:pPr>
        <w:ind w:left="5040" w:hanging="360"/>
      </w:pPr>
    </w:lvl>
    <w:lvl w:ilvl="7">
      <w:start w:val="300"/>
      <w:numFmt w:val="decimal"/>
      <w:lvlText w:val="(%8)"/>
      <w:lvlJc w:val="left"/>
      <w:pPr>
        <w:ind w:left="5760" w:hanging="360"/>
      </w:pPr>
    </w:lvl>
    <w:lvl w:ilvl="8">
      <w:start w:val="300"/>
      <w:numFmt w:val="decimal"/>
      <w:lvlText w:val="(%9)"/>
      <w:lvlJc w:val="left"/>
      <w:pPr>
        <w:ind w:left="6480" w:hanging="360"/>
      </w:pPr>
    </w:lvl>
  </w:abstractNum>
  <w:abstractNum w:abstractNumId="9943302">
    <w:nsid w:val="A9943302"/>
    <w:multiLevelType w:val="multilevel"/>
    <w:lvl w:ilvl="0">
      <w:start w:val="302"/>
      <w:numFmt w:val="decimal"/>
      <w:lvlText w:val="(%1)"/>
      <w:lvlJc w:val="left"/>
      <w:pPr>
        <w:ind w:left="720" w:hanging="360"/>
      </w:pPr>
    </w:lvl>
    <w:lvl w:ilvl="1">
      <w:start w:val="302"/>
      <w:numFmt w:val="decimal"/>
      <w:lvlText w:val="(%2)"/>
      <w:lvlJc w:val="left"/>
      <w:pPr>
        <w:ind w:left="1440" w:hanging="360"/>
      </w:pPr>
    </w:lvl>
    <w:lvl w:ilvl="2">
      <w:start w:val="302"/>
      <w:numFmt w:val="decimal"/>
      <w:lvlText w:val="(%3)"/>
      <w:lvlJc w:val="left"/>
      <w:pPr>
        <w:ind w:left="2160" w:hanging="360"/>
      </w:pPr>
    </w:lvl>
    <w:lvl w:ilvl="3">
      <w:start w:val="302"/>
      <w:numFmt w:val="decimal"/>
      <w:lvlText w:val="(%4)"/>
      <w:lvlJc w:val="left"/>
      <w:pPr>
        <w:ind w:left="2880" w:hanging="360"/>
      </w:pPr>
    </w:lvl>
    <w:lvl w:ilvl="4">
      <w:start w:val="302"/>
      <w:numFmt w:val="decimal"/>
      <w:lvlText w:val="(%5)"/>
      <w:lvlJc w:val="left"/>
      <w:pPr>
        <w:ind w:left="3600" w:hanging="360"/>
      </w:pPr>
    </w:lvl>
    <w:lvl w:ilvl="5">
      <w:start w:val="302"/>
      <w:numFmt w:val="decimal"/>
      <w:lvlText w:val="(%6)"/>
      <w:lvlJc w:val="left"/>
      <w:pPr>
        <w:ind w:left="4320" w:hanging="360"/>
      </w:pPr>
    </w:lvl>
    <w:lvl w:ilvl="6">
      <w:start w:val="302"/>
      <w:numFmt w:val="decimal"/>
      <w:lvlText w:val="(%7)"/>
      <w:lvlJc w:val="left"/>
      <w:pPr>
        <w:ind w:left="5040" w:hanging="360"/>
      </w:pPr>
    </w:lvl>
    <w:lvl w:ilvl="7">
      <w:start w:val="302"/>
      <w:numFmt w:val="decimal"/>
      <w:lvlText w:val="(%8)"/>
      <w:lvlJc w:val="left"/>
      <w:pPr>
        <w:ind w:left="5760" w:hanging="360"/>
      </w:pPr>
    </w:lvl>
    <w:lvl w:ilvl="8">
      <w:start w:val="302"/>
      <w:numFmt w:val="decimal"/>
      <w:lvlText w:val="(%9)"/>
      <w:lvlJc w:val="left"/>
      <w:pPr>
        <w:ind w:left="6480" w:hanging="360"/>
      </w:pPr>
    </w:lvl>
  </w:abstractNum>
  <w:abstractNum w:abstractNumId="9943304">
    <w:nsid w:val="A9943304"/>
    <w:multiLevelType w:val="multilevel"/>
    <w:lvl w:ilvl="0">
      <w:start w:val="304"/>
      <w:numFmt w:val="decimal"/>
      <w:lvlText w:val="(%1)"/>
      <w:lvlJc w:val="left"/>
      <w:pPr>
        <w:ind w:left="720" w:hanging="360"/>
      </w:pPr>
    </w:lvl>
    <w:lvl w:ilvl="1">
      <w:start w:val="304"/>
      <w:numFmt w:val="decimal"/>
      <w:lvlText w:val="(%2)"/>
      <w:lvlJc w:val="left"/>
      <w:pPr>
        <w:ind w:left="1440" w:hanging="360"/>
      </w:pPr>
    </w:lvl>
    <w:lvl w:ilvl="2">
      <w:start w:val="304"/>
      <w:numFmt w:val="decimal"/>
      <w:lvlText w:val="(%3)"/>
      <w:lvlJc w:val="left"/>
      <w:pPr>
        <w:ind w:left="2160" w:hanging="360"/>
      </w:pPr>
    </w:lvl>
    <w:lvl w:ilvl="3">
      <w:start w:val="304"/>
      <w:numFmt w:val="decimal"/>
      <w:lvlText w:val="(%4)"/>
      <w:lvlJc w:val="left"/>
      <w:pPr>
        <w:ind w:left="2880" w:hanging="360"/>
      </w:pPr>
    </w:lvl>
    <w:lvl w:ilvl="4">
      <w:start w:val="304"/>
      <w:numFmt w:val="decimal"/>
      <w:lvlText w:val="(%5)"/>
      <w:lvlJc w:val="left"/>
      <w:pPr>
        <w:ind w:left="3600" w:hanging="360"/>
      </w:pPr>
    </w:lvl>
    <w:lvl w:ilvl="5">
      <w:start w:val="304"/>
      <w:numFmt w:val="decimal"/>
      <w:lvlText w:val="(%6)"/>
      <w:lvlJc w:val="left"/>
      <w:pPr>
        <w:ind w:left="4320" w:hanging="360"/>
      </w:pPr>
    </w:lvl>
    <w:lvl w:ilvl="6">
      <w:start w:val="304"/>
      <w:numFmt w:val="decimal"/>
      <w:lvlText w:val="(%7)"/>
      <w:lvlJc w:val="left"/>
      <w:pPr>
        <w:ind w:left="5040" w:hanging="360"/>
      </w:pPr>
    </w:lvl>
    <w:lvl w:ilvl="7">
      <w:start w:val="304"/>
      <w:numFmt w:val="decimal"/>
      <w:lvlText w:val="(%8)"/>
      <w:lvlJc w:val="left"/>
      <w:pPr>
        <w:ind w:left="5760" w:hanging="360"/>
      </w:pPr>
    </w:lvl>
    <w:lvl w:ilvl="8">
      <w:start w:val="304"/>
      <w:numFmt w:val="decimal"/>
      <w:lvlText w:val="(%9)"/>
      <w:lvlJc w:val="left"/>
      <w:pPr>
        <w:ind w:left="6480" w:hanging="360"/>
      </w:pPr>
    </w:lvl>
  </w:abstractNum>
  <w:abstractNum w:abstractNumId="9943305">
    <w:nsid w:val="A9943305"/>
    <w:multiLevelType w:val="multilevel"/>
    <w:lvl w:ilvl="0">
      <w:start w:val="305"/>
      <w:numFmt w:val="decimal"/>
      <w:lvlText w:val="(%1)"/>
      <w:lvlJc w:val="left"/>
      <w:pPr>
        <w:ind w:left="720" w:hanging="360"/>
      </w:pPr>
    </w:lvl>
    <w:lvl w:ilvl="1">
      <w:start w:val="305"/>
      <w:numFmt w:val="decimal"/>
      <w:lvlText w:val="(%2)"/>
      <w:lvlJc w:val="left"/>
      <w:pPr>
        <w:ind w:left="1440" w:hanging="360"/>
      </w:pPr>
    </w:lvl>
    <w:lvl w:ilvl="2">
      <w:start w:val="305"/>
      <w:numFmt w:val="decimal"/>
      <w:lvlText w:val="(%3)"/>
      <w:lvlJc w:val="left"/>
      <w:pPr>
        <w:ind w:left="2160" w:hanging="360"/>
      </w:pPr>
    </w:lvl>
    <w:lvl w:ilvl="3">
      <w:start w:val="305"/>
      <w:numFmt w:val="decimal"/>
      <w:lvlText w:val="(%4)"/>
      <w:lvlJc w:val="left"/>
      <w:pPr>
        <w:ind w:left="2880" w:hanging="360"/>
      </w:pPr>
    </w:lvl>
    <w:lvl w:ilvl="4">
      <w:start w:val="305"/>
      <w:numFmt w:val="decimal"/>
      <w:lvlText w:val="(%5)"/>
      <w:lvlJc w:val="left"/>
      <w:pPr>
        <w:ind w:left="3600" w:hanging="360"/>
      </w:pPr>
    </w:lvl>
    <w:lvl w:ilvl="5">
      <w:start w:val="305"/>
      <w:numFmt w:val="decimal"/>
      <w:lvlText w:val="(%6)"/>
      <w:lvlJc w:val="left"/>
      <w:pPr>
        <w:ind w:left="4320" w:hanging="360"/>
      </w:pPr>
    </w:lvl>
    <w:lvl w:ilvl="6">
      <w:start w:val="305"/>
      <w:numFmt w:val="decimal"/>
      <w:lvlText w:val="(%7)"/>
      <w:lvlJc w:val="left"/>
      <w:pPr>
        <w:ind w:left="5040" w:hanging="360"/>
      </w:pPr>
    </w:lvl>
    <w:lvl w:ilvl="7">
      <w:start w:val="305"/>
      <w:numFmt w:val="decimal"/>
      <w:lvlText w:val="(%8)"/>
      <w:lvlJc w:val="left"/>
      <w:pPr>
        <w:ind w:left="5760" w:hanging="360"/>
      </w:pPr>
    </w:lvl>
    <w:lvl w:ilvl="8">
      <w:start w:val="305"/>
      <w:numFmt w:val="decimal"/>
      <w:lvlText w:val="(%9)"/>
      <w:lvlJc w:val="left"/>
      <w:pPr>
        <w:ind w:left="6480" w:hanging="360"/>
      </w:pPr>
    </w:lvl>
  </w:abstractNum>
  <w:abstractNum w:abstractNumId="9943306">
    <w:nsid w:val="A9943306"/>
    <w:multiLevelType w:val="multilevel"/>
    <w:lvl w:ilvl="0">
      <w:start w:val="306"/>
      <w:numFmt w:val="decimal"/>
      <w:lvlText w:val="(%1)"/>
      <w:lvlJc w:val="left"/>
      <w:pPr>
        <w:ind w:left="720" w:hanging="360"/>
      </w:pPr>
    </w:lvl>
    <w:lvl w:ilvl="1">
      <w:start w:val="306"/>
      <w:numFmt w:val="decimal"/>
      <w:lvlText w:val="(%2)"/>
      <w:lvlJc w:val="left"/>
      <w:pPr>
        <w:ind w:left="1440" w:hanging="360"/>
      </w:pPr>
    </w:lvl>
    <w:lvl w:ilvl="2">
      <w:start w:val="306"/>
      <w:numFmt w:val="decimal"/>
      <w:lvlText w:val="(%3)"/>
      <w:lvlJc w:val="left"/>
      <w:pPr>
        <w:ind w:left="2160" w:hanging="360"/>
      </w:pPr>
    </w:lvl>
    <w:lvl w:ilvl="3">
      <w:start w:val="306"/>
      <w:numFmt w:val="decimal"/>
      <w:lvlText w:val="(%4)"/>
      <w:lvlJc w:val="left"/>
      <w:pPr>
        <w:ind w:left="2880" w:hanging="360"/>
      </w:pPr>
    </w:lvl>
    <w:lvl w:ilvl="4">
      <w:start w:val="306"/>
      <w:numFmt w:val="decimal"/>
      <w:lvlText w:val="(%5)"/>
      <w:lvlJc w:val="left"/>
      <w:pPr>
        <w:ind w:left="3600" w:hanging="360"/>
      </w:pPr>
    </w:lvl>
    <w:lvl w:ilvl="5">
      <w:start w:val="306"/>
      <w:numFmt w:val="decimal"/>
      <w:lvlText w:val="(%6)"/>
      <w:lvlJc w:val="left"/>
      <w:pPr>
        <w:ind w:left="4320" w:hanging="360"/>
      </w:pPr>
    </w:lvl>
    <w:lvl w:ilvl="6">
      <w:start w:val="306"/>
      <w:numFmt w:val="decimal"/>
      <w:lvlText w:val="(%7)"/>
      <w:lvlJc w:val="left"/>
      <w:pPr>
        <w:ind w:left="5040" w:hanging="360"/>
      </w:pPr>
    </w:lvl>
    <w:lvl w:ilvl="7">
      <w:start w:val="306"/>
      <w:numFmt w:val="decimal"/>
      <w:lvlText w:val="(%8)"/>
      <w:lvlJc w:val="left"/>
      <w:pPr>
        <w:ind w:left="5760" w:hanging="360"/>
      </w:pPr>
    </w:lvl>
    <w:lvl w:ilvl="8">
      <w:start w:val="306"/>
      <w:numFmt w:val="decimal"/>
      <w:lvlText w:val="(%9)"/>
      <w:lvlJc w:val="left"/>
      <w:pPr>
        <w:ind w:left="6480" w:hanging="360"/>
      </w:pPr>
    </w:lvl>
  </w:abstractNum>
  <w:abstractNum w:abstractNumId="9943308">
    <w:nsid w:val="A9943308"/>
    <w:multiLevelType w:val="multilevel"/>
    <w:lvl w:ilvl="0">
      <w:start w:val="308"/>
      <w:numFmt w:val="decimal"/>
      <w:lvlText w:val="(%1)"/>
      <w:lvlJc w:val="left"/>
      <w:pPr>
        <w:ind w:left="720" w:hanging="360"/>
      </w:pPr>
    </w:lvl>
    <w:lvl w:ilvl="1">
      <w:start w:val="308"/>
      <w:numFmt w:val="decimal"/>
      <w:lvlText w:val="(%2)"/>
      <w:lvlJc w:val="left"/>
      <w:pPr>
        <w:ind w:left="1440" w:hanging="360"/>
      </w:pPr>
    </w:lvl>
    <w:lvl w:ilvl="2">
      <w:start w:val="308"/>
      <w:numFmt w:val="decimal"/>
      <w:lvlText w:val="(%3)"/>
      <w:lvlJc w:val="left"/>
      <w:pPr>
        <w:ind w:left="2160" w:hanging="360"/>
      </w:pPr>
    </w:lvl>
    <w:lvl w:ilvl="3">
      <w:start w:val="308"/>
      <w:numFmt w:val="decimal"/>
      <w:lvlText w:val="(%4)"/>
      <w:lvlJc w:val="left"/>
      <w:pPr>
        <w:ind w:left="2880" w:hanging="360"/>
      </w:pPr>
    </w:lvl>
    <w:lvl w:ilvl="4">
      <w:start w:val="308"/>
      <w:numFmt w:val="decimal"/>
      <w:lvlText w:val="(%5)"/>
      <w:lvlJc w:val="left"/>
      <w:pPr>
        <w:ind w:left="3600" w:hanging="360"/>
      </w:pPr>
    </w:lvl>
    <w:lvl w:ilvl="5">
      <w:start w:val="308"/>
      <w:numFmt w:val="decimal"/>
      <w:lvlText w:val="(%6)"/>
      <w:lvlJc w:val="left"/>
      <w:pPr>
        <w:ind w:left="4320" w:hanging="360"/>
      </w:pPr>
    </w:lvl>
    <w:lvl w:ilvl="6">
      <w:start w:val="308"/>
      <w:numFmt w:val="decimal"/>
      <w:lvlText w:val="(%7)"/>
      <w:lvlJc w:val="left"/>
      <w:pPr>
        <w:ind w:left="5040" w:hanging="360"/>
      </w:pPr>
    </w:lvl>
    <w:lvl w:ilvl="7">
      <w:start w:val="308"/>
      <w:numFmt w:val="decimal"/>
      <w:lvlText w:val="(%8)"/>
      <w:lvlJc w:val="left"/>
      <w:pPr>
        <w:ind w:left="5760" w:hanging="360"/>
      </w:pPr>
    </w:lvl>
    <w:lvl w:ilvl="8">
      <w:start w:val="308"/>
      <w:numFmt w:val="decimal"/>
      <w:lvlText w:val="(%9)"/>
      <w:lvlJc w:val="left"/>
      <w:pPr>
        <w:ind w:left="6480" w:hanging="360"/>
      </w:pPr>
    </w:lvl>
  </w:abstractNum>
  <w:abstractNum w:abstractNumId="9943310">
    <w:nsid w:val="A9943310"/>
    <w:multiLevelType w:val="multilevel"/>
    <w:lvl w:ilvl="0">
      <w:start w:val="310"/>
      <w:numFmt w:val="decimal"/>
      <w:lvlText w:val="(%1)"/>
      <w:lvlJc w:val="left"/>
      <w:pPr>
        <w:ind w:left="720" w:hanging="360"/>
      </w:pPr>
    </w:lvl>
    <w:lvl w:ilvl="1">
      <w:start w:val="310"/>
      <w:numFmt w:val="decimal"/>
      <w:lvlText w:val="(%2)"/>
      <w:lvlJc w:val="left"/>
      <w:pPr>
        <w:ind w:left="1440" w:hanging="360"/>
      </w:pPr>
    </w:lvl>
    <w:lvl w:ilvl="2">
      <w:start w:val="310"/>
      <w:numFmt w:val="decimal"/>
      <w:lvlText w:val="(%3)"/>
      <w:lvlJc w:val="left"/>
      <w:pPr>
        <w:ind w:left="2160" w:hanging="360"/>
      </w:pPr>
    </w:lvl>
    <w:lvl w:ilvl="3">
      <w:start w:val="310"/>
      <w:numFmt w:val="decimal"/>
      <w:lvlText w:val="(%4)"/>
      <w:lvlJc w:val="left"/>
      <w:pPr>
        <w:ind w:left="2880" w:hanging="360"/>
      </w:pPr>
    </w:lvl>
    <w:lvl w:ilvl="4">
      <w:start w:val="310"/>
      <w:numFmt w:val="decimal"/>
      <w:lvlText w:val="(%5)"/>
      <w:lvlJc w:val="left"/>
      <w:pPr>
        <w:ind w:left="3600" w:hanging="360"/>
      </w:pPr>
    </w:lvl>
    <w:lvl w:ilvl="5">
      <w:start w:val="310"/>
      <w:numFmt w:val="decimal"/>
      <w:lvlText w:val="(%6)"/>
      <w:lvlJc w:val="left"/>
      <w:pPr>
        <w:ind w:left="4320" w:hanging="360"/>
      </w:pPr>
    </w:lvl>
    <w:lvl w:ilvl="6">
      <w:start w:val="310"/>
      <w:numFmt w:val="decimal"/>
      <w:lvlText w:val="(%7)"/>
      <w:lvlJc w:val="left"/>
      <w:pPr>
        <w:ind w:left="5040" w:hanging="360"/>
      </w:pPr>
    </w:lvl>
    <w:lvl w:ilvl="7">
      <w:start w:val="310"/>
      <w:numFmt w:val="decimal"/>
      <w:lvlText w:val="(%8)"/>
      <w:lvlJc w:val="left"/>
      <w:pPr>
        <w:ind w:left="5760" w:hanging="360"/>
      </w:pPr>
    </w:lvl>
    <w:lvl w:ilvl="8">
      <w:start w:val="310"/>
      <w:numFmt w:val="decimal"/>
      <w:lvlText w:val="(%9)"/>
      <w:lvlJc w:val="left"/>
      <w:pPr>
        <w:ind w:left="6480" w:hanging="360"/>
      </w:pPr>
    </w:lvl>
  </w:abstractNum>
  <w:abstractNum w:abstractNumId="9943314">
    <w:nsid w:val="A9943314"/>
    <w:multiLevelType w:val="multilevel"/>
    <w:lvl w:ilvl="0">
      <w:start w:val="314"/>
      <w:numFmt w:val="decimal"/>
      <w:lvlText w:val="(%1)"/>
      <w:lvlJc w:val="left"/>
      <w:pPr>
        <w:ind w:left="720" w:hanging="360"/>
      </w:pPr>
    </w:lvl>
    <w:lvl w:ilvl="1">
      <w:start w:val="314"/>
      <w:numFmt w:val="decimal"/>
      <w:lvlText w:val="(%2)"/>
      <w:lvlJc w:val="left"/>
      <w:pPr>
        <w:ind w:left="1440" w:hanging="360"/>
      </w:pPr>
    </w:lvl>
    <w:lvl w:ilvl="2">
      <w:start w:val="314"/>
      <w:numFmt w:val="decimal"/>
      <w:lvlText w:val="(%3)"/>
      <w:lvlJc w:val="left"/>
      <w:pPr>
        <w:ind w:left="2160" w:hanging="360"/>
      </w:pPr>
    </w:lvl>
    <w:lvl w:ilvl="3">
      <w:start w:val="314"/>
      <w:numFmt w:val="decimal"/>
      <w:lvlText w:val="(%4)"/>
      <w:lvlJc w:val="left"/>
      <w:pPr>
        <w:ind w:left="2880" w:hanging="360"/>
      </w:pPr>
    </w:lvl>
    <w:lvl w:ilvl="4">
      <w:start w:val="314"/>
      <w:numFmt w:val="decimal"/>
      <w:lvlText w:val="(%5)"/>
      <w:lvlJc w:val="left"/>
      <w:pPr>
        <w:ind w:left="3600" w:hanging="360"/>
      </w:pPr>
    </w:lvl>
    <w:lvl w:ilvl="5">
      <w:start w:val="314"/>
      <w:numFmt w:val="decimal"/>
      <w:lvlText w:val="(%6)"/>
      <w:lvlJc w:val="left"/>
      <w:pPr>
        <w:ind w:left="4320" w:hanging="360"/>
      </w:pPr>
    </w:lvl>
    <w:lvl w:ilvl="6">
      <w:start w:val="314"/>
      <w:numFmt w:val="decimal"/>
      <w:lvlText w:val="(%7)"/>
      <w:lvlJc w:val="left"/>
      <w:pPr>
        <w:ind w:left="5040" w:hanging="360"/>
      </w:pPr>
    </w:lvl>
    <w:lvl w:ilvl="7">
      <w:start w:val="314"/>
      <w:numFmt w:val="decimal"/>
      <w:lvlText w:val="(%8)"/>
      <w:lvlJc w:val="left"/>
      <w:pPr>
        <w:ind w:left="5760" w:hanging="360"/>
      </w:pPr>
    </w:lvl>
    <w:lvl w:ilvl="8">
      <w:start w:val="314"/>
      <w:numFmt w:val="decimal"/>
      <w:lvlText w:val="(%9)"/>
      <w:lvlJc w:val="left"/>
      <w:pPr>
        <w:ind w:left="6480" w:hanging="360"/>
      </w:pPr>
    </w:lvl>
  </w:abstractNum>
  <w:abstractNum w:abstractNumId="9943315">
    <w:nsid w:val="A9943315"/>
    <w:multiLevelType w:val="multilevel"/>
    <w:lvl w:ilvl="0">
      <w:start w:val="315"/>
      <w:numFmt w:val="decimal"/>
      <w:lvlText w:val="(%1)"/>
      <w:lvlJc w:val="left"/>
      <w:pPr>
        <w:ind w:left="720" w:hanging="360"/>
      </w:pPr>
    </w:lvl>
    <w:lvl w:ilvl="1">
      <w:start w:val="315"/>
      <w:numFmt w:val="decimal"/>
      <w:lvlText w:val="(%2)"/>
      <w:lvlJc w:val="left"/>
      <w:pPr>
        <w:ind w:left="1440" w:hanging="360"/>
      </w:pPr>
    </w:lvl>
    <w:lvl w:ilvl="2">
      <w:start w:val="315"/>
      <w:numFmt w:val="decimal"/>
      <w:lvlText w:val="(%3)"/>
      <w:lvlJc w:val="left"/>
      <w:pPr>
        <w:ind w:left="2160" w:hanging="360"/>
      </w:pPr>
    </w:lvl>
    <w:lvl w:ilvl="3">
      <w:start w:val="315"/>
      <w:numFmt w:val="decimal"/>
      <w:lvlText w:val="(%4)"/>
      <w:lvlJc w:val="left"/>
      <w:pPr>
        <w:ind w:left="2880" w:hanging="360"/>
      </w:pPr>
    </w:lvl>
    <w:lvl w:ilvl="4">
      <w:start w:val="315"/>
      <w:numFmt w:val="decimal"/>
      <w:lvlText w:val="(%5)"/>
      <w:lvlJc w:val="left"/>
      <w:pPr>
        <w:ind w:left="3600" w:hanging="360"/>
      </w:pPr>
    </w:lvl>
    <w:lvl w:ilvl="5">
      <w:start w:val="315"/>
      <w:numFmt w:val="decimal"/>
      <w:lvlText w:val="(%6)"/>
      <w:lvlJc w:val="left"/>
      <w:pPr>
        <w:ind w:left="4320" w:hanging="360"/>
      </w:pPr>
    </w:lvl>
    <w:lvl w:ilvl="6">
      <w:start w:val="315"/>
      <w:numFmt w:val="decimal"/>
      <w:lvlText w:val="(%7)"/>
      <w:lvlJc w:val="left"/>
      <w:pPr>
        <w:ind w:left="5040" w:hanging="360"/>
      </w:pPr>
    </w:lvl>
    <w:lvl w:ilvl="7">
      <w:start w:val="315"/>
      <w:numFmt w:val="decimal"/>
      <w:lvlText w:val="(%8)"/>
      <w:lvlJc w:val="left"/>
      <w:pPr>
        <w:ind w:left="5760" w:hanging="360"/>
      </w:pPr>
    </w:lvl>
    <w:lvl w:ilvl="8">
      <w:start w:val="315"/>
      <w:numFmt w:val="decimal"/>
      <w:lvlText w:val="(%9)"/>
      <w:lvlJc w:val="left"/>
      <w:pPr>
        <w:ind w:left="6480" w:hanging="360"/>
      </w:pPr>
    </w:lvl>
  </w:abstractNum>
  <w:abstractNum w:abstractNumId="9943317">
    <w:nsid w:val="A9943317"/>
    <w:multiLevelType w:val="multilevel"/>
    <w:lvl w:ilvl="0">
      <w:start w:val="317"/>
      <w:numFmt w:val="decimal"/>
      <w:lvlText w:val="(%1)"/>
      <w:lvlJc w:val="left"/>
      <w:pPr>
        <w:ind w:left="720" w:hanging="360"/>
      </w:pPr>
    </w:lvl>
    <w:lvl w:ilvl="1">
      <w:start w:val="317"/>
      <w:numFmt w:val="decimal"/>
      <w:lvlText w:val="(%2)"/>
      <w:lvlJc w:val="left"/>
      <w:pPr>
        <w:ind w:left="1440" w:hanging="360"/>
      </w:pPr>
    </w:lvl>
    <w:lvl w:ilvl="2">
      <w:start w:val="317"/>
      <w:numFmt w:val="decimal"/>
      <w:lvlText w:val="(%3)"/>
      <w:lvlJc w:val="left"/>
      <w:pPr>
        <w:ind w:left="2160" w:hanging="360"/>
      </w:pPr>
    </w:lvl>
    <w:lvl w:ilvl="3">
      <w:start w:val="317"/>
      <w:numFmt w:val="decimal"/>
      <w:lvlText w:val="(%4)"/>
      <w:lvlJc w:val="left"/>
      <w:pPr>
        <w:ind w:left="2880" w:hanging="360"/>
      </w:pPr>
    </w:lvl>
    <w:lvl w:ilvl="4">
      <w:start w:val="317"/>
      <w:numFmt w:val="decimal"/>
      <w:lvlText w:val="(%5)"/>
      <w:lvlJc w:val="left"/>
      <w:pPr>
        <w:ind w:left="3600" w:hanging="360"/>
      </w:pPr>
    </w:lvl>
    <w:lvl w:ilvl="5">
      <w:start w:val="317"/>
      <w:numFmt w:val="decimal"/>
      <w:lvlText w:val="(%6)"/>
      <w:lvlJc w:val="left"/>
      <w:pPr>
        <w:ind w:left="4320" w:hanging="360"/>
      </w:pPr>
    </w:lvl>
    <w:lvl w:ilvl="6">
      <w:start w:val="317"/>
      <w:numFmt w:val="decimal"/>
      <w:lvlText w:val="(%7)"/>
      <w:lvlJc w:val="left"/>
      <w:pPr>
        <w:ind w:left="5040" w:hanging="360"/>
      </w:pPr>
    </w:lvl>
    <w:lvl w:ilvl="7">
      <w:start w:val="317"/>
      <w:numFmt w:val="decimal"/>
      <w:lvlText w:val="(%8)"/>
      <w:lvlJc w:val="left"/>
      <w:pPr>
        <w:ind w:left="5760" w:hanging="360"/>
      </w:pPr>
    </w:lvl>
    <w:lvl w:ilvl="8">
      <w:start w:val="317"/>
      <w:numFmt w:val="decimal"/>
      <w:lvlText w:val="(%9)"/>
      <w:lvlJc w:val="left"/>
      <w:pPr>
        <w:ind w:left="6480" w:hanging="360"/>
      </w:pPr>
    </w:lvl>
  </w:abstractNum>
  <w:abstractNum w:abstractNumId="9943319">
    <w:nsid w:val="A9943319"/>
    <w:multiLevelType w:val="multilevel"/>
    <w:lvl w:ilvl="0">
      <w:start w:val="319"/>
      <w:numFmt w:val="decimal"/>
      <w:lvlText w:val="(%1)"/>
      <w:lvlJc w:val="left"/>
      <w:pPr>
        <w:ind w:left="720" w:hanging="360"/>
      </w:pPr>
    </w:lvl>
    <w:lvl w:ilvl="1">
      <w:start w:val="319"/>
      <w:numFmt w:val="decimal"/>
      <w:lvlText w:val="(%2)"/>
      <w:lvlJc w:val="left"/>
      <w:pPr>
        <w:ind w:left="1440" w:hanging="360"/>
      </w:pPr>
    </w:lvl>
    <w:lvl w:ilvl="2">
      <w:start w:val="319"/>
      <w:numFmt w:val="decimal"/>
      <w:lvlText w:val="(%3)"/>
      <w:lvlJc w:val="left"/>
      <w:pPr>
        <w:ind w:left="2160" w:hanging="360"/>
      </w:pPr>
    </w:lvl>
    <w:lvl w:ilvl="3">
      <w:start w:val="319"/>
      <w:numFmt w:val="decimal"/>
      <w:lvlText w:val="(%4)"/>
      <w:lvlJc w:val="left"/>
      <w:pPr>
        <w:ind w:left="2880" w:hanging="360"/>
      </w:pPr>
    </w:lvl>
    <w:lvl w:ilvl="4">
      <w:start w:val="319"/>
      <w:numFmt w:val="decimal"/>
      <w:lvlText w:val="(%5)"/>
      <w:lvlJc w:val="left"/>
      <w:pPr>
        <w:ind w:left="3600" w:hanging="360"/>
      </w:pPr>
    </w:lvl>
    <w:lvl w:ilvl="5">
      <w:start w:val="319"/>
      <w:numFmt w:val="decimal"/>
      <w:lvlText w:val="(%6)"/>
      <w:lvlJc w:val="left"/>
      <w:pPr>
        <w:ind w:left="4320" w:hanging="360"/>
      </w:pPr>
    </w:lvl>
    <w:lvl w:ilvl="6">
      <w:start w:val="319"/>
      <w:numFmt w:val="decimal"/>
      <w:lvlText w:val="(%7)"/>
      <w:lvlJc w:val="left"/>
      <w:pPr>
        <w:ind w:left="5040" w:hanging="360"/>
      </w:pPr>
    </w:lvl>
    <w:lvl w:ilvl="7">
      <w:start w:val="319"/>
      <w:numFmt w:val="decimal"/>
      <w:lvlText w:val="(%8)"/>
      <w:lvlJc w:val="left"/>
      <w:pPr>
        <w:ind w:left="5760" w:hanging="360"/>
      </w:pPr>
    </w:lvl>
    <w:lvl w:ilvl="8">
      <w:start w:val="319"/>
      <w:numFmt w:val="decimal"/>
      <w:lvlText w:val="(%9)"/>
      <w:lvlJc w:val="left"/>
      <w:pPr>
        <w:ind w:left="6480" w:hanging="360"/>
      </w:pPr>
    </w:lvl>
  </w:abstractNum>
  <w:abstractNum w:abstractNumId="9943320">
    <w:nsid w:val="A9943320"/>
    <w:multiLevelType w:val="multilevel"/>
    <w:lvl w:ilvl="0">
      <w:start w:val="320"/>
      <w:numFmt w:val="decimal"/>
      <w:lvlText w:val="(%1)"/>
      <w:lvlJc w:val="left"/>
      <w:pPr>
        <w:ind w:left="720" w:hanging="360"/>
      </w:pPr>
    </w:lvl>
    <w:lvl w:ilvl="1">
      <w:start w:val="320"/>
      <w:numFmt w:val="decimal"/>
      <w:lvlText w:val="(%2)"/>
      <w:lvlJc w:val="left"/>
      <w:pPr>
        <w:ind w:left="1440" w:hanging="360"/>
      </w:pPr>
    </w:lvl>
    <w:lvl w:ilvl="2">
      <w:start w:val="320"/>
      <w:numFmt w:val="decimal"/>
      <w:lvlText w:val="(%3)"/>
      <w:lvlJc w:val="left"/>
      <w:pPr>
        <w:ind w:left="2160" w:hanging="360"/>
      </w:pPr>
    </w:lvl>
    <w:lvl w:ilvl="3">
      <w:start w:val="320"/>
      <w:numFmt w:val="decimal"/>
      <w:lvlText w:val="(%4)"/>
      <w:lvlJc w:val="left"/>
      <w:pPr>
        <w:ind w:left="2880" w:hanging="360"/>
      </w:pPr>
    </w:lvl>
    <w:lvl w:ilvl="4">
      <w:start w:val="320"/>
      <w:numFmt w:val="decimal"/>
      <w:lvlText w:val="(%5)"/>
      <w:lvlJc w:val="left"/>
      <w:pPr>
        <w:ind w:left="3600" w:hanging="360"/>
      </w:pPr>
    </w:lvl>
    <w:lvl w:ilvl="5">
      <w:start w:val="320"/>
      <w:numFmt w:val="decimal"/>
      <w:lvlText w:val="(%6)"/>
      <w:lvlJc w:val="left"/>
      <w:pPr>
        <w:ind w:left="4320" w:hanging="360"/>
      </w:pPr>
    </w:lvl>
    <w:lvl w:ilvl="6">
      <w:start w:val="320"/>
      <w:numFmt w:val="decimal"/>
      <w:lvlText w:val="(%7)"/>
      <w:lvlJc w:val="left"/>
      <w:pPr>
        <w:ind w:left="5040" w:hanging="360"/>
      </w:pPr>
    </w:lvl>
    <w:lvl w:ilvl="7">
      <w:start w:val="320"/>
      <w:numFmt w:val="decimal"/>
      <w:lvlText w:val="(%8)"/>
      <w:lvlJc w:val="left"/>
      <w:pPr>
        <w:ind w:left="5760" w:hanging="360"/>
      </w:pPr>
    </w:lvl>
    <w:lvl w:ilvl="8">
      <w:start w:val="320"/>
      <w:numFmt w:val="decimal"/>
      <w:lvlText w:val="(%9)"/>
      <w:lvlJc w:val="left"/>
      <w:pPr>
        <w:ind w:left="6480" w:hanging="360"/>
      </w:pPr>
    </w:lvl>
  </w:abstractNum>
  <w:abstractNum w:abstractNumId="9943321">
    <w:nsid w:val="A9943321"/>
    <w:multiLevelType w:val="multilevel"/>
    <w:lvl w:ilvl="0">
      <w:start w:val="321"/>
      <w:numFmt w:val="decimal"/>
      <w:lvlText w:val="(%1)"/>
      <w:lvlJc w:val="left"/>
      <w:pPr>
        <w:ind w:left="720" w:hanging="360"/>
      </w:pPr>
    </w:lvl>
    <w:lvl w:ilvl="1">
      <w:start w:val="321"/>
      <w:numFmt w:val="decimal"/>
      <w:lvlText w:val="(%2)"/>
      <w:lvlJc w:val="left"/>
      <w:pPr>
        <w:ind w:left="1440" w:hanging="360"/>
      </w:pPr>
    </w:lvl>
    <w:lvl w:ilvl="2">
      <w:start w:val="321"/>
      <w:numFmt w:val="decimal"/>
      <w:lvlText w:val="(%3)"/>
      <w:lvlJc w:val="left"/>
      <w:pPr>
        <w:ind w:left="2160" w:hanging="360"/>
      </w:pPr>
    </w:lvl>
    <w:lvl w:ilvl="3">
      <w:start w:val="321"/>
      <w:numFmt w:val="decimal"/>
      <w:lvlText w:val="(%4)"/>
      <w:lvlJc w:val="left"/>
      <w:pPr>
        <w:ind w:left="2880" w:hanging="360"/>
      </w:pPr>
    </w:lvl>
    <w:lvl w:ilvl="4">
      <w:start w:val="321"/>
      <w:numFmt w:val="decimal"/>
      <w:lvlText w:val="(%5)"/>
      <w:lvlJc w:val="left"/>
      <w:pPr>
        <w:ind w:left="3600" w:hanging="360"/>
      </w:pPr>
    </w:lvl>
    <w:lvl w:ilvl="5">
      <w:start w:val="321"/>
      <w:numFmt w:val="decimal"/>
      <w:lvlText w:val="(%6)"/>
      <w:lvlJc w:val="left"/>
      <w:pPr>
        <w:ind w:left="4320" w:hanging="360"/>
      </w:pPr>
    </w:lvl>
    <w:lvl w:ilvl="6">
      <w:start w:val="321"/>
      <w:numFmt w:val="decimal"/>
      <w:lvlText w:val="(%7)"/>
      <w:lvlJc w:val="left"/>
      <w:pPr>
        <w:ind w:left="5040" w:hanging="360"/>
      </w:pPr>
    </w:lvl>
    <w:lvl w:ilvl="7">
      <w:start w:val="321"/>
      <w:numFmt w:val="decimal"/>
      <w:lvlText w:val="(%8)"/>
      <w:lvlJc w:val="left"/>
      <w:pPr>
        <w:ind w:left="5760" w:hanging="360"/>
      </w:pPr>
    </w:lvl>
    <w:lvl w:ilvl="8">
      <w:start w:val="32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3322">
    <w:nsid w:val="A9943322"/>
    <w:multiLevelType w:val="multilevel"/>
    <w:lvl w:ilvl="0">
      <w:start w:val="322"/>
      <w:numFmt w:val="decimal"/>
      <w:lvlText w:val="(%1)"/>
      <w:lvlJc w:val="left"/>
      <w:pPr>
        <w:ind w:left="720" w:hanging="360"/>
      </w:pPr>
    </w:lvl>
    <w:lvl w:ilvl="1">
      <w:start w:val="322"/>
      <w:numFmt w:val="decimal"/>
      <w:lvlText w:val="(%2)"/>
      <w:lvlJc w:val="left"/>
      <w:pPr>
        <w:ind w:left="1440" w:hanging="360"/>
      </w:pPr>
    </w:lvl>
    <w:lvl w:ilvl="2">
      <w:start w:val="322"/>
      <w:numFmt w:val="decimal"/>
      <w:lvlText w:val="(%3)"/>
      <w:lvlJc w:val="left"/>
      <w:pPr>
        <w:ind w:left="2160" w:hanging="360"/>
      </w:pPr>
    </w:lvl>
    <w:lvl w:ilvl="3">
      <w:start w:val="322"/>
      <w:numFmt w:val="decimal"/>
      <w:lvlText w:val="(%4)"/>
      <w:lvlJc w:val="left"/>
      <w:pPr>
        <w:ind w:left="2880" w:hanging="360"/>
      </w:pPr>
    </w:lvl>
    <w:lvl w:ilvl="4">
      <w:start w:val="322"/>
      <w:numFmt w:val="decimal"/>
      <w:lvlText w:val="(%5)"/>
      <w:lvlJc w:val="left"/>
      <w:pPr>
        <w:ind w:left="3600" w:hanging="360"/>
      </w:pPr>
    </w:lvl>
    <w:lvl w:ilvl="5">
      <w:start w:val="322"/>
      <w:numFmt w:val="decimal"/>
      <w:lvlText w:val="(%6)"/>
      <w:lvlJc w:val="left"/>
      <w:pPr>
        <w:ind w:left="4320" w:hanging="360"/>
      </w:pPr>
    </w:lvl>
    <w:lvl w:ilvl="6">
      <w:start w:val="322"/>
      <w:numFmt w:val="decimal"/>
      <w:lvlText w:val="(%7)"/>
      <w:lvlJc w:val="left"/>
      <w:pPr>
        <w:ind w:left="5040" w:hanging="360"/>
      </w:pPr>
    </w:lvl>
    <w:lvl w:ilvl="7">
      <w:start w:val="322"/>
      <w:numFmt w:val="decimal"/>
      <w:lvlText w:val="(%8)"/>
      <w:lvlJc w:val="left"/>
      <w:pPr>
        <w:ind w:left="5760" w:hanging="360"/>
      </w:pPr>
    </w:lvl>
    <w:lvl w:ilvl="8">
      <w:start w:val="322"/>
      <w:numFmt w:val="decimal"/>
      <w:lvlText w:val="(%9)"/>
      <w:lvlJc w:val="left"/>
      <w:pPr>
        <w:ind w:left="6480" w:hanging="360"/>
      </w:pPr>
    </w:lvl>
  </w:abstractNum>
  <w:abstractNum w:abstractNumId="9943323">
    <w:nsid w:val="A9943323"/>
    <w:multiLevelType w:val="multilevel"/>
    <w:lvl w:ilvl="0">
      <w:start w:val="323"/>
      <w:numFmt w:val="decimal"/>
      <w:lvlText w:val="(%1)"/>
      <w:lvlJc w:val="left"/>
      <w:pPr>
        <w:ind w:left="720" w:hanging="360"/>
      </w:pPr>
    </w:lvl>
    <w:lvl w:ilvl="1">
      <w:start w:val="323"/>
      <w:numFmt w:val="decimal"/>
      <w:lvlText w:val="(%2)"/>
      <w:lvlJc w:val="left"/>
      <w:pPr>
        <w:ind w:left="1440" w:hanging="360"/>
      </w:pPr>
    </w:lvl>
    <w:lvl w:ilvl="2">
      <w:start w:val="323"/>
      <w:numFmt w:val="decimal"/>
      <w:lvlText w:val="(%3)"/>
      <w:lvlJc w:val="left"/>
      <w:pPr>
        <w:ind w:left="2160" w:hanging="360"/>
      </w:pPr>
    </w:lvl>
    <w:lvl w:ilvl="3">
      <w:start w:val="323"/>
      <w:numFmt w:val="decimal"/>
      <w:lvlText w:val="(%4)"/>
      <w:lvlJc w:val="left"/>
      <w:pPr>
        <w:ind w:left="2880" w:hanging="360"/>
      </w:pPr>
    </w:lvl>
    <w:lvl w:ilvl="4">
      <w:start w:val="323"/>
      <w:numFmt w:val="decimal"/>
      <w:lvlText w:val="(%5)"/>
      <w:lvlJc w:val="left"/>
      <w:pPr>
        <w:ind w:left="3600" w:hanging="360"/>
      </w:pPr>
    </w:lvl>
    <w:lvl w:ilvl="5">
      <w:start w:val="323"/>
      <w:numFmt w:val="decimal"/>
      <w:lvlText w:val="(%6)"/>
      <w:lvlJc w:val="left"/>
      <w:pPr>
        <w:ind w:left="4320" w:hanging="360"/>
      </w:pPr>
    </w:lvl>
    <w:lvl w:ilvl="6">
      <w:start w:val="323"/>
      <w:numFmt w:val="decimal"/>
      <w:lvlText w:val="(%7)"/>
      <w:lvlJc w:val="left"/>
      <w:pPr>
        <w:ind w:left="5040" w:hanging="360"/>
      </w:pPr>
    </w:lvl>
    <w:lvl w:ilvl="7">
      <w:start w:val="323"/>
      <w:numFmt w:val="decimal"/>
      <w:lvlText w:val="(%8)"/>
      <w:lvlJc w:val="left"/>
      <w:pPr>
        <w:ind w:left="5760" w:hanging="360"/>
      </w:pPr>
    </w:lvl>
    <w:lvl w:ilvl="8">
      <w:start w:val="323"/>
      <w:numFmt w:val="decimal"/>
      <w:lvlText w:val="(%9)"/>
      <w:lvlJc w:val="left"/>
      <w:pPr>
        <w:ind w:left="6480" w:hanging="360"/>
      </w:pPr>
    </w:lvl>
  </w:abstractNum>
  <w:abstractNum w:abstractNumId="9943326">
    <w:nsid w:val="A9943326"/>
    <w:multiLevelType w:val="multilevel"/>
    <w:lvl w:ilvl="0">
      <w:start w:val="326"/>
      <w:numFmt w:val="decimal"/>
      <w:lvlText w:val="(%1)"/>
      <w:lvlJc w:val="left"/>
      <w:pPr>
        <w:ind w:left="720" w:hanging="360"/>
      </w:pPr>
    </w:lvl>
    <w:lvl w:ilvl="1">
      <w:start w:val="326"/>
      <w:numFmt w:val="decimal"/>
      <w:lvlText w:val="(%2)"/>
      <w:lvlJc w:val="left"/>
      <w:pPr>
        <w:ind w:left="1440" w:hanging="360"/>
      </w:pPr>
    </w:lvl>
    <w:lvl w:ilvl="2">
      <w:start w:val="326"/>
      <w:numFmt w:val="decimal"/>
      <w:lvlText w:val="(%3)"/>
      <w:lvlJc w:val="left"/>
      <w:pPr>
        <w:ind w:left="2160" w:hanging="360"/>
      </w:pPr>
    </w:lvl>
    <w:lvl w:ilvl="3">
      <w:start w:val="326"/>
      <w:numFmt w:val="decimal"/>
      <w:lvlText w:val="(%4)"/>
      <w:lvlJc w:val="left"/>
      <w:pPr>
        <w:ind w:left="2880" w:hanging="360"/>
      </w:pPr>
    </w:lvl>
    <w:lvl w:ilvl="4">
      <w:start w:val="326"/>
      <w:numFmt w:val="decimal"/>
      <w:lvlText w:val="(%5)"/>
      <w:lvlJc w:val="left"/>
      <w:pPr>
        <w:ind w:left="3600" w:hanging="360"/>
      </w:pPr>
    </w:lvl>
    <w:lvl w:ilvl="5">
      <w:start w:val="326"/>
      <w:numFmt w:val="decimal"/>
      <w:lvlText w:val="(%6)"/>
      <w:lvlJc w:val="left"/>
      <w:pPr>
        <w:ind w:left="4320" w:hanging="360"/>
      </w:pPr>
    </w:lvl>
    <w:lvl w:ilvl="6">
      <w:start w:val="326"/>
      <w:numFmt w:val="decimal"/>
      <w:lvlText w:val="(%7)"/>
      <w:lvlJc w:val="left"/>
      <w:pPr>
        <w:ind w:left="5040" w:hanging="360"/>
      </w:pPr>
    </w:lvl>
    <w:lvl w:ilvl="7">
      <w:start w:val="326"/>
      <w:numFmt w:val="decimal"/>
      <w:lvlText w:val="(%8)"/>
      <w:lvlJc w:val="left"/>
      <w:pPr>
        <w:ind w:left="5760" w:hanging="360"/>
      </w:pPr>
    </w:lvl>
    <w:lvl w:ilvl="8">
      <w:start w:val="326"/>
      <w:numFmt w:val="decimal"/>
      <w:lvlText w:val="(%9)"/>
      <w:lvlJc w:val="left"/>
      <w:pPr>
        <w:ind w:left="6480" w:hanging="360"/>
      </w:pPr>
    </w:lvl>
  </w:abstractNum>
  <w:abstractNum w:abstractNumId="9943328">
    <w:nsid w:val="A9943328"/>
    <w:multiLevelType w:val="multilevel"/>
    <w:lvl w:ilvl="0">
      <w:start w:val="328"/>
      <w:numFmt w:val="decimal"/>
      <w:lvlText w:val="(%1)"/>
      <w:lvlJc w:val="left"/>
      <w:pPr>
        <w:ind w:left="720" w:hanging="360"/>
      </w:pPr>
    </w:lvl>
    <w:lvl w:ilvl="1">
      <w:start w:val="328"/>
      <w:numFmt w:val="decimal"/>
      <w:lvlText w:val="(%2)"/>
      <w:lvlJc w:val="left"/>
      <w:pPr>
        <w:ind w:left="1440" w:hanging="360"/>
      </w:pPr>
    </w:lvl>
    <w:lvl w:ilvl="2">
      <w:start w:val="328"/>
      <w:numFmt w:val="decimal"/>
      <w:lvlText w:val="(%3)"/>
      <w:lvlJc w:val="left"/>
      <w:pPr>
        <w:ind w:left="2160" w:hanging="360"/>
      </w:pPr>
    </w:lvl>
    <w:lvl w:ilvl="3">
      <w:start w:val="328"/>
      <w:numFmt w:val="decimal"/>
      <w:lvlText w:val="(%4)"/>
      <w:lvlJc w:val="left"/>
      <w:pPr>
        <w:ind w:left="2880" w:hanging="360"/>
      </w:pPr>
    </w:lvl>
    <w:lvl w:ilvl="4">
      <w:start w:val="328"/>
      <w:numFmt w:val="decimal"/>
      <w:lvlText w:val="(%5)"/>
      <w:lvlJc w:val="left"/>
      <w:pPr>
        <w:ind w:left="3600" w:hanging="360"/>
      </w:pPr>
    </w:lvl>
    <w:lvl w:ilvl="5">
      <w:start w:val="328"/>
      <w:numFmt w:val="decimal"/>
      <w:lvlText w:val="(%6)"/>
      <w:lvlJc w:val="left"/>
      <w:pPr>
        <w:ind w:left="4320" w:hanging="360"/>
      </w:pPr>
    </w:lvl>
    <w:lvl w:ilvl="6">
      <w:start w:val="328"/>
      <w:numFmt w:val="decimal"/>
      <w:lvlText w:val="(%7)"/>
      <w:lvlJc w:val="left"/>
      <w:pPr>
        <w:ind w:left="5040" w:hanging="360"/>
      </w:pPr>
    </w:lvl>
    <w:lvl w:ilvl="7">
      <w:start w:val="328"/>
      <w:numFmt w:val="decimal"/>
      <w:lvlText w:val="(%8)"/>
      <w:lvlJc w:val="left"/>
      <w:pPr>
        <w:ind w:left="5760" w:hanging="360"/>
      </w:pPr>
    </w:lvl>
    <w:lvl w:ilvl="8">
      <w:start w:val="328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3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5">
    <w:abstractNumId w:val="9941121485"/>
    <w:lvlOverride w:ilvl="0">
      <w:startOverride w:val="121485"/>
    </w:lvlOverride>
    <w:lvlOverride w:ilvl="1">
      <w:startOverride w:val="121485"/>
    </w:lvlOverride>
    <w:lvlOverride w:ilvl="2">
      <w:startOverride w:val="121485"/>
    </w:lvlOverride>
    <w:lvlOverride w:ilvl="3">
      <w:startOverride w:val="121485"/>
    </w:lvlOverride>
    <w:lvlOverride w:ilvl="4">
      <w:startOverride w:val="121485"/>
    </w:lvlOverride>
    <w:lvlOverride w:ilvl="5">
      <w:startOverride w:val="121485"/>
    </w:lvlOverride>
    <w:lvlOverride w:ilvl="6">
      <w:startOverride w:val="121485"/>
    </w:lvlOverride>
    <w:lvlOverride w:ilvl="7">
      <w:startOverride w:val="121485"/>
    </w:lvlOverride>
    <w:lvlOverride w:ilvl="8">
      <w:startOverride w:val="121485"/>
    </w:lvlOverride>
  </w:num>
  <w:num w:numId="1006">
    <w:abstractNumId w:val="9943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7">
    <w:abstractNumId w:val="994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8">
    <w:abstractNumId w:val="9943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09">
    <w:abstractNumId w:val="9943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0">
    <w:abstractNumId w:val="9943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1">
    <w:abstractNumId w:val="9943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2">
    <w:abstractNumId w:val="9943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13">
    <w:abstractNumId w:val="991"/>
  </w:num>
  <w:num w:numId="1014">
    <w:abstractNumId w:val="9943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15">
    <w:abstractNumId w:val="9943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16">
    <w:abstractNumId w:val="9943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17">
    <w:abstractNumId w:val="9943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8">
    <w:abstractNumId w:val="9943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9">
    <w:abstractNumId w:val="9943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20">
    <w:abstractNumId w:val="9943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21">
    <w:abstractNumId w:val="9943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22">
    <w:abstractNumId w:val="9943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23">
    <w:abstractNumId w:val="9943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24">
    <w:abstractNumId w:val="9943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25">
    <w:abstractNumId w:val="9943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026">
    <w:abstractNumId w:val="9943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27">
    <w:abstractNumId w:val="9943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028">
    <w:abstractNumId w:val="9943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029">
    <w:abstractNumId w:val="9943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30">
    <w:abstractNumId w:val="9943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031">
    <w:abstractNumId w:val="9943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32">
    <w:abstractNumId w:val="994378"/>
    <w:lvlOverride w:ilvl="0">
      <w:startOverride w:val="78"/>
    </w:lvlOverride>
    <w:lvlOverride w:ilvl="1">
      <w:startOverride w:val="78"/>
    </w:lvlOverride>
    <w:lvlOverride w:ilvl="2">
      <w:startOverride w:val="78"/>
    </w:lvlOverride>
    <w:lvlOverride w:ilvl="3">
      <w:startOverride w:val="78"/>
    </w:lvlOverride>
    <w:lvlOverride w:ilvl="4">
      <w:startOverride w:val="78"/>
    </w:lvlOverride>
    <w:lvlOverride w:ilvl="5">
      <w:startOverride w:val="78"/>
    </w:lvlOverride>
    <w:lvlOverride w:ilvl="6">
      <w:startOverride w:val="78"/>
    </w:lvlOverride>
    <w:lvlOverride w:ilvl="7">
      <w:startOverride w:val="78"/>
    </w:lvlOverride>
    <w:lvlOverride w:ilvl="8">
      <w:startOverride w:val="78"/>
    </w:lvlOverride>
  </w:num>
  <w:num w:numId="1033">
    <w:abstractNumId w:val="994383"/>
    <w:lvlOverride w:ilvl="0">
      <w:startOverride w:val="83"/>
    </w:lvlOverride>
    <w:lvlOverride w:ilvl="1">
      <w:startOverride w:val="83"/>
    </w:lvlOverride>
    <w:lvlOverride w:ilvl="2">
      <w:startOverride w:val="83"/>
    </w:lvlOverride>
    <w:lvlOverride w:ilvl="3">
      <w:startOverride w:val="83"/>
    </w:lvlOverride>
    <w:lvlOverride w:ilvl="4">
      <w:startOverride w:val="83"/>
    </w:lvlOverride>
    <w:lvlOverride w:ilvl="5">
      <w:startOverride w:val="83"/>
    </w:lvlOverride>
    <w:lvlOverride w:ilvl="6">
      <w:startOverride w:val="83"/>
    </w:lvlOverride>
    <w:lvlOverride w:ilvl="7">
      <w:startOverride w:val="83"/>
    </w:lvlOverride>
    <w:lvlOverride w:ilvl="8">
      <w:startOverride w:val="83"/>
    </w:lvlOverride>
  </w:num>
  <w:num w:numId="1034">
    <w:abstractNumId w:val="994384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1035">
    <w:abstractNumId w:val="994387"/>
    <w:lvlOverride w:ilvl="0">
      <w:startOverride w:val="87"/>
    </w:lvlOverride>
    <w:lvlOverride w:ilvl="1">
      <w:startOverride w:val="87"/>
    </w:lvlOverride>
    <w:lvlOverride w:ilvl="2">
      <w:startOverride w:val="87"/>
    </w:lvlOverride>
    <w:lvlOverride w:ilvl="3">
      <w:startOverride w:val="87"/>
    </w:lvlOverride>
    <w:lvlOverride w:ilvl="4">
      <w:startOverride w:val="87"/>
    </w:lvlOverride>
    <w:lvlOverride w:ilvl="5">
      <w:startOverride w:val="87"/>
    </w:lvlOverride>
    <w:lvlOverride w:ilvl="6">
      <w:startOverride w:val="87"/>
    </w:lvlOverride>
    <w:lvlOverride w:ilvl="7">
      <w:startOverride w:val="87"/>
    </w:lvlOverride>
    <w:lvlOverride w:ilvl="8">
      <w:startOverride w:val="87"/>
    </w:lvlOverride>
  </w:num>
  <w:num w:numId="1036">
    <w:abstractNumId w:val="9943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37">
    <w:abstractNumId w:val="994390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1038">
    <w:abstractNumId w:val="994395"/>
    <w:lvlOverride w:ilvl="0">
      <w:startOverride w:val="95"/>
    </w:lvlOverride>
    <w:lvlOverride w:ilvl="1">
      <w:startOverride w:val="95"/>
    </w:lvlOverride>
    <w:lvlOverride w:ilvl="2">
      <w:startOverride w:val="95"/>
    </w:lvlOverride>
    <w:lvlOverride w:ilvl="3">
      <w:startOverride w:val="95"/>
    </w:lvlOverride>
    <w:lvlOverride w:ilvl="4">
      <w:startOverride w:val="95"/>
    </w:lvlOverride>
    <w:lvlOverride w:ilvl="5">
      <w:startOverride w:val="95"/>
    </w:lvlOverride>
    <w:lvlOverride w:ilvl="6">
      <w:startOverride w:val="95"/>
    </w:lvlOverride>
    <w:lvlOverride w:ilvl="7">
      <w:startOverride w:val="95"/>
    </w:lvlOverride>
    <w:lvlOverride w:ilvl="8">
      <w:startOverride w:val="95"/>
    </w:lvlOverride>
  </w:num>
  <w:num w:numId="1039">
    <w:abstractNumId w:val="994299"/>
    <w:lvlOverride w:ilvl="0">
      <w:startOverride w:val="99"/>
    </w:lvlOverride>
    <w:lvlOverride w:ilvl="1">
      <w:startOverride w:val="99"/>
    </w:lvlOverride>
    <w:lvlOverride w:ilvl="2">
      <w:startOverride w:val="99"/>
    </w:lvlOverride>
    <w:lvlOverride w:ilvl="3">
      <w:startOverride w:val="99"/>
    </w:lvlOverride>
    <w:lvlOverride w:ilvl="4">
      <w:startOverride w:val="99"/>
    </w:lvlOverride>
    <w:lvlOverride w:ilvl="5">
      <w:startOverride w:val="99"/>
    </w:lvlOverride>
    <w:lvlOverride w:ilvl="6">
      <w:startOverride w:val="99"/>
    </w:lvlOverride>
    <w:lvlOverride w:ilvl="7">
      <w:startOverride w:val="99"/>
    </w:lvlOverride>
    <w:lvlOverride w:ilvl="8">
      <w:startOverride w:val="99"/>
    </w:lvlOverride>
  </w:num>
  <w:num w:numId="1040">
    <w:abstractNumId w:val="9943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041">
    <w:abstractNumId w:val="9943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42">
    <w:abstractNumId w:val="9943105"/>
    <w:lvlOverride w:ilvl="0">
      <w:startOverride w:val="105"/>
    </w:lvlOverride>
    <w:lvlOverride w:ilvl="1">
      <w:startOverride w:val="105"/>
    </w:lvlOverride>
    <w:lvlOverride w:ilvl="2">
      <w:startOverride w:val="105"/>
    </w:lvlOverride>
    <w:lvlOverride w:ilvl="3">
      <w:startOverride w:val="105"/>
    </w:lvlOverride>
    <w:lvlOverride w:ilvl="4">
      <w:startOverride w:val="105"/>
    </w:lvlOverride>
    <w:lvlOverride w:ilvl="5">
      <w:startOverride w:val="105"/>
    </w:lvlOverride>
    <w:lvlOverride w:ilvl="6">
      <w:startOverride w:val="105"/>
    </w:lvlOverride>
    <w:lvlOverride w:ilvl="7">
      <w:startOverride w:val="105"/>
    </w:lvlOverride>
    <w:lvlOverride w:ilvl="8">
      <w:startOverride w:val="105"/>
    </w:lvlOverride>
  </w:num>
  <w:num w:numId="1043">
    <w:abstractNumId w:val="9943107"/>
    <w:lvlOverride w:ilvl="0">
      <w:startOverride w:val="107"/>
    </w:lvlOverride>
    <w:lvlOverride w:ilvl="1">
      <w:startOverride w:val="107"/>
    </w:lvlOverride>
    <w:lvlOverride w:ilvl="2">
      <w:startOverride w:val="107"/>
    </w:lvlOverride>
    <w:lvlOverride w:ilvl="3">
      <w:startOverride w:val="107"/>
    </w:lvlOverride>
    <w:lvlOverride w:ilvl="4">
      <w:startOverride w:val="107"/>
    </w:lvlOverride>
    <w:lvlOverride w:ilvl="5">
      <w:startOverride w:val="107"/>
    </w:lvlOverride>
    <w:lvlOverride w:ilvl="6">
      <w:startOverride w:val="107"/>
    </w:lvlOverride>
    <w:lvlOverride w:ilvl="7">
      <w:startOverride w:val="107"/>
    </w:lvlOverride>
    <w:lvlOverride w:ilvl="8">
      <w:startOverride w:val="107"/>
    </w:lvlOverride>
  </w:num>
  <w:num w:numId="1044">
    <w:abstractNumId w:val="9943108"/>
    <w:lvlOverride w:ilvl="0">
      <w:startOverride w:val="108"/>
    </w:lvlOverride>
    <w:lvlOverride w:ilvl="1">
      <w:startOverride w:val="108"/>
    </w:lvlOverride>
    <w:lvlOverride w:ilvl="2">
      <w:startOverride w:val="108"/>
    </w:lvlOverride>
    <w:lvlOverride w:ilvl="3">
      <w:startOverride w:val="108"/>
    </w:lvlOverride>
    <w:lvlOverride w:ilvl="4">
      <w:startOverride w:val="108"/>
    </w:lvlOverride>
    <w:lvlOverride w:ilvl="5">
      <w:startOverride w:val="108"/>
    </w:lvlOverride>
    <w:lvlOverride w:ilvl="6">
      <w:startOverride w:val="108"/>
    </w:lvlOverride>
    <w:lvlOverride w:ilvl="7">
      <w:startOverride w:val="108"/>
    </w:lvlOverride>
    <w:lvlOverride w:ilvl="8">
      <w:startOverride w:val="108"/>
    </w:lvlOverride>
  </w:num>
  <w:num w:numId="1045">
    <w:abstractNumId w:val="99412019"/>
    <w:lvlOverride w:ilvl="0">
      <w:startOverride w:val="2019"/>
    </w:lvlOverride>
    <w:lvlOverride w:ilvl="1">
      <w:startOverride w:val="2019"/>
    </w:lvlOverride>
    <w:lvlOverride w:ilvl="2">
      <w:startOverride w:val="2019"/>
    </w:lvlOverride>
    <w:lvlOverride w:ilvl="3">
      <w:startOverride w:val="2019"/>
    </w:lvlOverride>
    <w:lvlOverride w:ilvl="4">
      <w:startOverride w:val="2019"/>
    </w:lvlOverride>
    <w:lvlOverride w:ilvl="5">
      <w:startOverride w:val="2019"/>
    </w:lvlOverride>
    <w:lvlOverride w:ilvl="6">
      <w:startOverride w:val="2019"/>
    </w:lvlOverride>
    <w:lvlOverride w:ilvl="7">
      <w:startOverride w:val="2019"/>
    </w:lvlOverride>
    <w:lvlOverride w:ilvl="8">
      <w:startOverride w:val="2019"/>
    </w:lvlOverride>
  </w:num>
  <w:num w:numId="1046">
    <w:abstractNumId w:val="9943109"/>
    <w:lvlOverride w:ilvl="0">
      <w:startOverride w:val="109"/>
    </w:lvlOverride>
    <w:lvlOverride w:ilvl="1">
      <w:startOverride w:val="109"/>
    </w:lvlOverride>
    <w:lvlOverride w:ilvl="2">
      <w:startOverride w:val="109"/>
    </w:lvlOverride>
    <w:lvlOverride w:ilvl="3">
      <w:startOverride w:val="109"/>
    </w:lvlOverride>
    <w:lvlOverride w:ilvl="4">
      <w:startOverride w:val="109"/>
    </w:lvlOverride>
    <w:lvlOverride w:ilvl="5">
      <w:startOverride w:val="109"/>
    </w:lvlOverride>
    <w:lvlOverride w:ilvl="6">
      <w:startOverride w:val="109"/>
    </w:lvlOverride>
    <w:lvlOverride w:ilvl="7">
      <w:startOverride w:val="109"/>
    </w:lvlOverride>
    <w:lvlOverride w:ilvl="8">
      <w:startOverride w:val="109"/>
    </w:lvlOverride>
  </w:num>
  <w:num w:numId="1047">
    <w:abstractNumId w:val="9943110"/>
    <w:lvlOverride w:ilvl="0">
      <w:startOverride w:val="110"/>
    </w:lvlOverride>
    <w:lvlOverride w:ilvl="1">
      <w:startOverride w:val="110"/>
    </w:lvlOverride>
    <w:lvlOverride w:ilvl="2">
      <w:startOverride w:val="110"/>
    </w:lvlOverride>
    <w:lvlOverride w:ilvl="3">
      <w:startOverride w:val="110"/>
    </w:lvlOverride>
    <w:lvlOverride w:ilvl="4">
      <w:startOverride w:val="110"/>
    </w:lvlOverride>
    <w:lvlOverride w:ilvl="5">
      <w:startOverride w:val="110"/>
    </w:lvlOverride>
    <w:lvlOverride w:ilvl="6">
      <w:startOverride w:val="110"/>
    </w:lvlOverride>
    <w:lvlOverride w:ilvl="7">
      <w:startOverride w:val="110"/>
    </w:lvlOverride>
    <w:lvlOverride w:ilvl="8">
      <w:startOverride w:val="110"/>
    </w:lvlOverride>
  </w:num>
  <w:num w:numId="1048">
    <w:abstractNumId w:val="9943112"/>
    <w:lvlOverride w:ilvl="0">
      <w:startOverride w:val="112"/>
    </w:lvlOverride>
    <w:lvlOverride w:ilvl="1">
      <w:startOverride w:val="112"/>
    </w:lvlOverride>
    <w:lvlOverride w:ilvl="2">
      <w:startOverride w:val="112"/>
    </w:lvlOverride>
    <w:lvlOverride w:ilvl="3">
      <w:startOverride w:val="112"/>
    </w:lvlOverride>
    <w:lvlOverride w:ilvl="4">
      <w:startOverride w:val="112"/>
    </w:lvlOverride>
    <w:lvlOverride w:ilvl="5">
      <w:startOverride w:val="112"/>
    </w:lvlOverride>
    <w:lvlOverride w:ilvl="6">
      <w:startOverride w:val="112"/>
    </w:lvlOverride>
    <w:lvlOverride w:ilvl="7">
      <w:startOverride w:val="112"/>
    </w:lvlOverride>
    <w:lvlOverride w:ilvl="8">
      <w:startOverride w:val="112"/>
    </w:lvlOverride>
  </w:num>
  <w:num w:numId="1049">
    <w:abstractNumId w:val="9943113"/>
    <w:lvlOverride w:ilvl="0">
      <w:startOverride w:val="113"/>
    </w:lvlOverride>
    <w:lvlOverride w:ilvl="1">
      <w:startOverride w:val="113"/>
    </w:lvlOverride>
    <w:lvlOverride w:ilvl="2">
      <w:startOverride w:val="113"/>
    </w:lvlOverride>
    <w:lvlOverride w:ilvl="3">
      <w:startOverride w:val="113"/>
    </w:lvlOverride>
    <w:lvlOverride w:ilvl="4">
      <w:startOverride w:val="113"/>
    </w:lvlOverride>
    <w:lvlOverride w:ilvl="5">
      <w:startOverride w:val="113"/>
    </w:lvlOverride>
    <w:lvlOverride w:ilvl="6">
      <w:startOverride w:val="113"/>
    </w:lvlOverride>
    <w:lvlOverride w:ilvl="7">
      <w:startOverride w:val="113"/>
    </w:lvlOverride>
    <w:lvlOverride w:ilvl="8">
      <w:startOverride w:val="113"/>
    </w:lvlOverride>
  </w:num>
  <w:num w:numId="1050">
    <w:abstractNumId w:val="9943114"/>
    <w:lvlOverride w:ilvl="0">
      <w:startOverride w:val="114"/>
    </w:lvlOverride>
    <w:lvlOverride w:ilvl="1">
      <w:startOverride w:val="114"/>
    </w:lvlOverride>
    <w:lvlOverride w:ilvl="2">
      <w:startOverride w:val="114"/>
    </w:lvlOverride>
    <w:lvlOverride w:ilvl="3">
      <w:startOverride w:val="114"/>
    </w:lvlOverride>
    <w:lvlOverride w:ilvl="4">
      <w:startOverride w:val="114"/>
    </w:lvlOverride>
    <w:lvlOverride w:ilvl="5">
      <w:startOverride w:val="114"/>
    </w:lvlOverride>
    <w:lvlOverride w:ilvl="6">
      <w:startOverride w:val="114"/>
    </w:lvlOverride>
    <w:lvlOverride w:ilvl="7">
      <w:startOverride w:val="114"/>
    </w:lvlOverride>
    <w:lvlOverride w:ilvl="8">
      <w:startOverride w:val="114"/>
    </w:lvlOverride>
  </w:num>
  <w:num w:numId="1051">
    <w:abstractNumId w:val="9943115"/>
    <w:lvlOverride w:ilvl="0">
      <w:startOverride w:val="115"/>
    </w:lvlOverride>
    <w:lvlOverride w:ilvl="1">
      <w:startOverride w:val="115"/>
    </w:lvlOverride>
    <w:lvlOverride w:ilvl="2">
      <w:startOverride w:val="115"/>
    </w:lvlOverride>
    <w:lvlOverride w:ilvl="3">
      <w:startOverride w:val="115"/>
    </w:lvlOverride>
    <w:lvlOverride w:ilvl="4">
      <w:startOverride w:val="115"/>
    </w:lvlOverride>
    <w:lvlOverride w:ilvl="5">
      <w:startOverride w:val="115"/>
    </w:lvlOverride>
    <w:lvlOverride w:ilvl="6">
      <w:startOverride w:val="115"/>
    </w:lvlOverride>
    <w:lvlOverride w:ilvl="7">
      <w:startOverride w:val="115"/>
    </w:lvlOverride>
    <w:lvlOverride w:ilvl="8">
      <w:startOverride w:val="115"/>
    </w:lvlOverride>
  </w:num>
  <w:num w:numId="1052">
    <w:abstractNumId w:val="9943118"/>
    <w:lvlOverride w:ilvl="0">
      <w:startOverride w:val="118"/>
    </w:lvlOverride>
    <w:lvlOverride w:ilvl="1">
      <w:startOverride w:val="118"/>
    </w:lvlOverride>
    <w:lvlOverride w:ilvl="2">
      <w:startOverride w:val="118"/>
    </w:lvlOverride>
    <w:lvlOverride w:ilvl="3">
      <w:startOverride w:val="118"/>
    </w:lvlOverride>
    <w:lvlOverride w:ilvl="4">
      <w:startOverride w:val="118"/>
    </w:lvlOverride>
    <w:lvlOverride w:ilvl="5">
      <w:startOverride w:val="118"/>
    </w:lvlOverride>
    <w:lvlOverride w:ilvl="6">
      <w:startOverride w:val="118"/>
    </w:lvlOverride>
    <w:lvlOverride w:ilvl="7">
      <w:startOverride w:val="118"/>
    </w:lvlOverride>
    <w:lvlOverride w:ilvl="8">
      <w:startOverride w:val="118"/>
    </w:lvlOverride>
  </w:num>
  <w:num w:numId="1053">
    <w:abstractNumId w:val="99412019"/>
    <w:lvlOverride w:ilvl="0">
      <w:startOverride w:val="2019"/>
    </w:lvlOverride>
    <w:lvlOverride w:ilvl="1">
      <w:startOverride w:val="2019"/>
    </w:lvlOverride>
    <w:lvlOverride w:ilvl="2">
      <w:startOverride w:val="2019"/>
    </w:lvlOverride>
    <w:lvlOverride w:ilvl="3">
      <w:startOverride w:val="2019"/>
    </w:lvlOverride>
    <w:lvlOverride w:ilvl="4">
      <w:startOverride w:val="2019"/>
    </w:lvlOverride>
    <w:lvlOverride w:ilvl="5">
      <w:startOverride w:val="2019"/>
    </w:lvlOverride>
    <w:lvlOverride w:ilvl="6">
      <w:startOverride w:val="2019"/>
    </w:lvlOverride>
    <w:lvlOverride w:ilvl="7">
      <w:startOverride w:val="2019"/>
    </w:lvlOverride>
    <w:lvlOverride w:ilvl="8">
      <w:startOverride w:val="2019"/>
    </w:lvlOverride>
  </w:num>
  <w:num w:numId="1054">
    <w:abstractNumId w:val="9943119"/>
    <w:lvlOverride w:ilvl="0">
      <w:startOverride w:val="119"/>
    </w:lvlOverride>
    <w:lvlOverride w:ilvl="1">
      <w:startOverride w:val="119"/>
    </w:lvlOverride>
    <w:lvlOverride w:ilvl="2">
      <w:startOverride w:val="119"/>
    </w:lvlOverride>
    <w:lvlOverride w:ilvl="3">
      <w:startOverride w:val="119"/>
    </w:lvlOverride>
    <w:lvlOverride w:ilvl="4">
      <w:startOverride w:val="119"/>
    </w:lvlOverride>
    <w:lvlOverride w:ilvl="5">
      <w:startOverride w:val="119"/>
    </w:lvlOverride>
    <w:lvlOverride w:ilvl="6">
      <w:startOverride w:val="119"/>
    </w:lvlOverride>
    <w:lvlOverride w:ilvl="7">
      <w:startOverride w:val="119"/>
    </w:lvlOverride>
    <w:lvlOverride w:ilvl="8">
      <w:startOverride w:val="119"/>
    </w:lvlOverride>
  </w:num>
  <w:num w:numId="1055">
    <w:abstractNumId w:val="9943120"/>
    <w:lvlOverride w:ilvl="0">
      <w:startOverride w:val="120"/>
    </w:lvlOverride>
    <w:lvlOverride w:ilvl="1">
      <w:startOverride w:val="120"/>
    </w:lvlOverride>
    <w:lvlOverride w:ilvl="2">
      <w:startOverride w:val="120"/>
    </w:lvlOverride>
    <w:lvlOverride w:ilvl="3">
      <w:startOverride w:val="120"/>
    </w:lvlOverride>
    <w:lvlOverride w:ilvl="4">
      <w:startOverride w:val="120"/>
    </w:lvlOverride>
    <w:lvlOverride w:ilvl="5">
      <w:startOverride w:val="120"/>
    </w:lvlOverride>
    <w:lvlOverride w:ilvl="6">
      <w:startOverride w:val="120"/>
    </w:lvlOverride>
    <w:lvlOverride w:ilvl="7">
      <w:startOverride w:val="120"/>
    </w:lvlOverride>
    <w:lvlOverride w:ilvl="8">
      <w:startOverride w:val="120"/>
    </w:lvlOverride>
  </w:num>
  <w:num w:numId="1056">
    <w:abstractNumId w:val="9943123"/>
    <w:lvlOverride w:ilvl="0">
      <w:startOverride w:val="123"/>
    </w:lvlOverride>
    <w:lvlOverride w:ilvl="1">
      <w:startOverride w:val="123"/>
    </w:lvlOverride>
    <w:lvlOverride w:ilvl="2">
      <w:startOverride w:val="123"/>
    </w:lvlOverride>
    <w:lvlOverride w:ilvl="3">
      <w:startOverride w:val="123"/>
    </w:lvlOverride>
    <w:lvlOverride w:ilvl="4">
      <w:startOverride w:val="123"/>
    </w:lvlOverride>
    <w:lvlOverride w:ilvl="5">
      <w:startOverride w:val="123"/>
    </w:lvlOverride>
    <w:lvlOverride w:ilvl="6">
      <w:startOverride w:val="123"/>
    </w:lvlOverride>
    <w:lvlOverride w:ilvl="7">
      <w:startOverride w:val="123"/>
    </w:lvlOverride>
    <w:lvlOverride w:ilvl="8">
      <w:startOverride w:val="123"/>
    </w:lvlOverride>
  </w:num>
  <w:num w:numId="1057">
    <w:abstractNumId w:val="9943127"/>
    <w:lvlOverride w:ilvl="0">
      <w:startOverride w:val="127"/>
    </w:lvlOverride>
    <w:lvlOverride w:ilvl="1">
      <w:startOverride w:val="127"/>
    </w:lvlOverride>
    <w:lvlOverride w:ilvl="2">
      <w:startOverride w:val="127"/>
    </w:lvlOverride>
    <w:lvlOverride w:ilvl="3">
      <w:startOverride w:val="127"/>
    </w:lvlOverride>
    <w:lvlOverride w:ilvl="4">
      <w:startOverride w:val="127"/>
    </w:lvlOverride>
    <w:lvlOverride w:ilvl="5">
      <w:startOverride w:val="127"/>
    </w:lvlOverride>
    <w:lvlOverride w:ilvl="6">
      <w:startOverride w:val="127"/>
    </w:lvlOverride>
    <w:lvlOverride w:ilvl="7">
      <w:startOverride w:val="127"/>
    </w:lvlOverride>
    <w:lvlOverride w:ilvl="8">
      <w:startOverride w:val="127"/>
    </w:lvlOverride>
  </w:num>
  <w:num w:numId="1058">
    <w:abstractNumId w:val="9943128"/>
    <w:lvlOverride w:ilvl="0">
      <w:startOverride w:val="128"/>
    </w:lvlOverride>
    <w:lvlOverride w:ilvl="1">
      <w:startOverride w:val="128"/>
    </w:lvlOverride>
    <w:lvlOverride w:ilvl="2">
      <w:startOverride w:val="128"/>
    </w:lvlOverride>
    <w:lvlOverride w:ilvl="3">
      <w:startOverride w:val="128"/>
    </w:lvlOverride>
    <w:lvlOverride w:ilvl="4">
      <w:startOverride w:val="128"/>
    </w:lvlOverride>
    <w:lvlOverride w:ilvl="5">
      <w:startOverride w:val="128"/>
    </w:lvlOverride>
    <w:lvlOverride w:ilvl="6">
      <w:startOverride w:val="128"/>
    </w:lvlOverride>
    <w:lvlOverride w:ilvl="7">
      <w:startOverride w:val="128"/>
    </w:lvlOverride>
    <w:lvlOverride w:ilvl="8">
      <w:startOverride w:val="128"/>
    </w:lvlOverride>
  </w:num>
  <w:num w:numId="1059">
    <w:abstractNumId w:val="9943129"/>
    <w:lvlOverride w:ilvl="0">
      <w:startOverride w:val="129"/>
    </w:lvlOverride>
    <w:lvlOverride w:ilvl="1">
      <w:startOverride w:val="129"/>
    </w:lvlOverride>
    <w:lvlOverride w:ilvl="2">
      <w:startOverride w:val="129"/>
    </w:lvlOverride>
    <w:lvlOverride w:ilvl="3">
      <w:startOverride w:val="129"/>
    </w:lvlOverride>
    <w:lvlOverride w:ilvl="4">
      <w:startOverride w:val="129"/>
    </w:lvlOverride>
    <w:lvlOverride w:ilvl="5">
      <w:startOverride w:val="129"/>
    </w:lvlOverride>
    <w:lvlOverride w:ilvl="6">
      <w:startOverride w:val="129"/>
    </w:lvlOverride>
    <w:lvlOverride w:ilvl="7">
      <w:startOverride w:val="129"/>
    </w:lvlOverride>
    <w:lvlOverride w:ilvl="8">
      <w:startOverride w:val="129"/>
    </w:lvlOverride>
  </w:num>
  <w:num w:numId="1060">
    <w:abstractNumId w:val="9943130"/>
    <w:lvlOverride w:ilvl="0">
      <w:startOverride w:val="130"/>
    </w:lvlOverride>
    <w:lvlOverride w:ilvl="1">
      <w:startOverride w:val="130"/>
    </w:lvlOverride>
    <w:lvlOverride w:ilvl="2">
      <w:startOverride w:val="130"/>
    </w:lvlOverride>
    <w:lvlOverride w:ilvl="3">
      <w:startOverride w:val="130"/>
    </w:lvlOverride>
    <w:lvlOverride w:ilvl="4">
      <w:startOverride w:val="130"/>
    </w:lvlOverride>
    <w:lvlOverride w:ilvl="5">
      <w:startOverride w:val="130"/>
    </w:lvlOverride>
    <w:lvlOverride w:ilvl="6">
      <w:startOverride w:val="130"/>
    </w:lvlOverride>
    <w:lvlOverride w:ilvl="7">
      <w:startOverride w:val="130"/>
    </w:lvlOverride>
    <w:lvlOverride w:ilvl="8">
      <w:startOverride w:val="130"/>
    </w:lvlOverride>
  </w:num>
  <w:num w:numId="1061">
    <w:abstractNumId w:val="9943131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1062">
    <w:abstractNumId w:val="9943132"/>
    <w:lvlOverride w:ilvl="0">
      <w:startOverride w:val="132"/>
    </w:lvlOverride>
    <w:lvlOverride w:ilvl="1">
      <w:startOverride w:val="132"/>
    </w:lvlOverride>
    <w:lvlOverride w:ilvl="2">
      <w:startOverride w:val="132"/>
    </w:lvlOverride>
    <w:lvlOverride w:ilvl="3">
      <w:startOverride w:val="132"/>
    </w:lvlOverride>
    <w:lvlOverride w:ilvl="4">
      <w:startOverride w:val="132"/>
    </w:lvlOverride>
    <w:lvlOverride w:ilvl="5">
      <w:startOverride w:val="132"/>
    </w:lvlOverride>
    <w:lvlOverride w:ilvl="6">
      <w:startOverride w:val="132"/>
    </w:lvlOverride>
    <w:lvlOverride w:ilvl="7">
      <w:startOverride w:val="132"/>
    </w:lvlOverride>
    <w:lvlOverride w:ilvl="8">
      <w:startOverride w:val="132"/>
    </w:lvlOverride>
  </w:num>
  <w:num w:numId="1063">
    <w:abstractNumId w:val="9943133"/>
    <w:lvlOverride w:ilvl="0">
      <w:startOverride w:val="133"/>
    </w:lvlOverride>
    <w:lvlOverride w:ilvl="1">
      <w:startOverride w:val="133"/>
    </w:lvlOverride>
    <w:lvlOverride w:ilvl="2">
      <w:startOverride w:val="133"/>
    </w:lvlOverride>
    <w:lvlOverride w:ilvl="3">
      <w:startOverride w:val="133"/>
    </w:lvlOverride>
    <w:lvlOverride w:ilvl="4">
      <w:startOverride w:val="133"/>
    </w:lvlOverride>
    <w:lvlOverride w:ilvl="5">
      <w:startOverride w:val="133"/>
    </w:lvlOverride>
    <w:lvlOverride w:ilvl="6">
      <w:startOverride w:val="133"/>
    </w:lvlOverride>
    <w:lvlOverride w:ilvl="7">
      <w:startOverride w:val="133"/>
    </w:lvlOverride>
    <w:lvlOverride w:ilvl="8">
      <w:startOverride w:val="133"/>
    </w:lvlOverride>
  </w:num>
  <w:num w:numId="1064">
    <w:abstractNumId w:val="9943138"/>
    <w:lvlOverride w:ilvl="0">
      <w:startOverride w:val="138"/>
    </w:lvlOverride>
    <w:lvlOverride w:ilvl="1">
      <w:startOverride w:val="138"/>
    </w:lvlOverride>
    <w:lvlOverride w:ilvl="2">
      <w:startOverride w:val="138"/>
    </w:lvlOverride>
    <w:lvlOverride w:ilvl="3">
      <w:startOverride w:val="138"/>
    </w:lvlOverride>
    <w:lvlOverride w:ilvl="4">
      <w:startOverride w:val="138"/>
    </w:lvlOverride>
    <w:lvlOverride w:ilvl="5">
      <w:startOverride w:val="138"/>
    </w:lvlOverride>
    <w:lvlOverride w:ilvl="6">
      <w:startOverride w:val="138"/>
    </w:lvlOverride>
    <w:lvlOverride w:ilvl="7">
      <w:startOverride w:val="138"/>
    </w:lvlOverride>
    <w:lvlOverride w:ilvl="8">
      <w:startOverride w:val="138"/>
    </w:lvlOverride>
  </w:num>
  <w:num w:numId="1065">
    <w:abstractNumId w:val="9943139"/>
    <w:lvlOverride w:ilvl="0">
      <w:startOverride w:val="139"/>
    </w:lvlOverride>
    <w:lvlOverride w:ilvl="1">
      <w:startOverride w:val="139"/>
    </w:lvlOverride>
    <w:lvlOverride w:ilvl="2">
      <w:startOverride w:val="139"/>
    </w:lvlOverride>
    <w:lvlOverride w:ilvl="3">
      <w:startOverride w:val="139"/>
    </w:lvlOverride>
    <w:lvlOverride w:ilvl="4">
      <w:startOverride w:val="139"/>
    </w:lvlOverride>
    <w:lvlOverride w:ilvl="5">
      <w:startOverride w:val="139"/>
    </w:lvlOverride>
    <w:lvlOverride w:ilvl="6">
      <w:startOverride w:val="139"/>
    </w:lvlOverride>
    <w:lvlOverride w:ilvl="7">
      <w:startOverride w:val="139"/>
    </w:lvlOverride>
    <w:lvlOverride w:ilvl="8">
      <w:startOverride w:val="139"/>
    </w:lvlOverride>
  </w:num>
  <w:num w:numId="1066">
    <w:abstractNumId w:val="9943142"/>
    <w:lvlOverride w:ilvl="0">
      <w:startOverride w:val="142"/>
    </w:lvlOverride>
    <w:lvlOverride w:ilvl="1">
      <w:startOverride w:val="142"/>
    </w:lvlOverride>
    <w:lvlOverride w:ilvl="2">
      <w:startOverride w:val="142"/>
    </w:lvlOverride>
    <w:lvlOverride w:ilvl="3">
      <w:startOverride w:val="142"/>
    </w:lvlOverride>
    <w:lvlOverride w:ilvl="4">
      <w:startOverride w:val="142"/>
    </w:lvlOverride>
    <w:lvlOverride w:ilvl="5">
      <w:startOverride w:val="142"/>
    </w:lvlOverride>
    <w:lvlOverride w:ilvl="6">
      <w:startOverride w:val="142"/>
    </w:lvlOverride>
    <w:lvlOverride w:ilvl="7">
      <w:startOverride w:val="142"/>
    </w:lvlOverride>
    <w:lvlOverride w:ilvl="8">
      <w:startOverride w:val="142"/>
    </w:lvlOverride>
  </w:num>
  <w:num w:numId="1067">
    <w:abstractNumId w:val="9943147"/>
    <w:lvlOverride w:ilvl="0">
      <w:startOverride w:val="147"/>
    </w:lvlOverride>
    <w:lvlOverride w:ilvl="1">
      <w:startOverride w:val="147"/>
    </w:lvlOverride>
    <w:lvlOverride w:ilvl="2">
      <w:startOverride w:val="147"/>
    </w:lvlOverride>
    <w:lvlOverride w:ilvl="3">
      <w:startOverride w:val="147"/>
    </w:lvlOverride>
    <w:lvlOverride w:ilvl="4">
      <w:startOverride w:val="147"/>
    </w:lvlOverride>
    <w:lvlOverride w:ilvl="5">
      <w:startOverride w:val="147"/>
    </w:lvlOverride>
    <w:lvlOverride w:ilvl="6">
      <w:startOverride w:val="147"/>
    </w:lvlOverride>
    <w:lvlOverride w:ilvl="7">
      <w:startOverride w:val="147"/>
    </w:lvlOverride>
    <w:lvlOverride w:ilvl="8">
      <w:startOverride w:val="147"/>
    </w:lvlOverride>
  </w:num>
  <w:num w:numId="1068">
    <w:abstractNumId w:val="9943150"/>
    <w:lvlOverride w:ilvl="0">
      <w:startOverride w:val="150"/>
    </w:lvlOverride>
    <w:lvlOverride w:ilvl="1">
      <w:startOverride w:val="150"/>
    </w:lvlOverride>
    <w:lvlOverride w:ilvl="2">
      <w:startOverride w:val="150"/>
    </w:lvlOverride>
    <w:lvlOverride w:ilvl="3">
      <w:startOverride w:val="150"/>
    </w:lvlOverride>
    <w:lvlOverride w:ilvl="4">
      <w:startOverride w:val="150"/>
    </w:lvlOverride>
    <w:lvlOverride w:ilvl="5">
      <w:startOverride w:val="150"/>
    </w:lvlOverride>
    <w:lvlOverride w:ilvl="6">
      <w:startOverride w:val="150"/>
    </w:lvlOverride>
    <w:lvlOverride w:ilvl="7">
      <w:startOverride w:val="150"/>
    </w:lvlOverride>
    <w:lvlOverride w:ilvl="8">
      <w:startOverride w:val="150"/>
    </w:lvlOverride>
  </w:num>
  <w:num w:numId="1069">
    <w:abstractNumId w:val="9943152"/>
    <w:lvlOverride w:ilvl="0">
      <w:startOverride w:val="152"/>
    </w:lvlOverride>
    <w:lvlOverride w:ilvl="1">
      <w:startOverride w:val="152"/>
    </w:lvlOverride>
    <w:lvlOverride w:ilvl="2">
      <w:startOverride w:val="152"/>
    </w:lvlOverride>
    <w:lvlOverride w:ilvl="3">
      <w:startOverride w:val="152"/>
    </w:lvlOverride>
    <w:lvlOverride w:ilvl="4">
      <w:startOverride w:val="152"/>
    </w:lvlOverride>
    <w:lvlOverride w:ilvl="5">
      <w:startOverride w:val="152"/>
    </w:lvlOverride>
    <w:lvlOverride w:ilvl="6">
      <w:startOverride w:val="152"/>
    </w:lvlOverride>
    <w:lvlOverride w:ilvl="7">
      <w:startOverride w:val="152"/>
    </w:lvlOverride>
    <w:lvlOverride w:ilvl="8">
      <w:startOverride w:val="152"/>
    </w:lvlOverride>
  </w:num>
  <w:num w:numId="1070">
    <w:abstractNumId w:val="9943153"/>
    <w:lvlOverride w:ilvl="0">
      <w:startOverride w:val="153"/>
    </w:lvlOverride>
    <w:lvlOverride w:ilvl="1">
      <w:startOverride w:val="153"/>
    </w:lvlOverride>
    <w:lvlOverride w:ilvl="2">
      <w:startOverride w:val="153"/>
    </w:lvlOverride>
    <w:lvlOverride w:ilvl="3">
      <w:startOverride w:val="153"/>
    </w:lvlOverride>
    <w:lvlOverride w:ilvl="4">
      <w:startOverride w:val="153"/>
    </w:lvlOverride>
    <w:lvlOverride w:ilvl="5">
      <w:startOverride w:val="153"/>
    </w:lvlOverride>
    <w:lvlOverride w:ilvl="6">
      <w:startOverride w:val="153"/>
    </w:lvlOverride>
    <w:lvlOverride w:ilvl="7">
      <w:startOverride w:val="153"/>
    </w:lvlOverride>
    <w:lvlOverride w:ilvl="8">
      <w:startOverride w:val="153"/>
    </w:lvlOverride>
  </w:num>
  <w:num w:numId="1071">
    <w:abstractNumId w:val="9943155"/>
    <w:lvlOverride w:ilvl="0">
      <w:startOverride w:val="155"/>
    </w:lvlOverride>
    <w:lvlOverride w:ilvl="1">
      <w:startOverride w:val="155"/>
    </w:lvlOverride>
    <w:lvlOverride w:ilvl="2">
      <w:startOverride w:val="155"/>
    </w:lvlOverride>
    <w:lvlOverride w:ilvl="3">
      <w:startOverride w:val="155"/>
    </w:lvlOverride>
    <w:lvlOverride w:ilvl="4">
      <w:startOverride w:val="155"/>
    </w:lvlOverride>
    <w:lvlOverride w:ilvl="5">
      <w:startOverride w:val="155"/>
    </w:lvlOverride>
    <w:lvlOverride w:ilvl="6">
      <w:startOverride w:val="155"/>
    </w:lvlOverride>
    <w:lvlOverride w:ilvl="7">
      <w:startOverride w:val="155"/>
    </w:lvlOverride>
    <w:lvlOverride w:ilvl="8">
      <w:startOverride w:val="155"/>
    </w:lvlOverride>
  </w:num>
  <w:num w:numId="1072">
    <w:abstractNumId w:val="991"/>
  </w:num>
  <w:num w:numId="1073">
    <w:abstractNumId w:val="9943158"/>
    <w:lvlOverride w:ilvl="0">
      <w:startOverride w:val="158"/>
    </w:lvlOverride>
    <w:lvlOverride w:ilvl="1">
      <w:startOverride w:val="158"/>
    </w:lvlOverride>
    <w:lvlOverride w:ilvl="2">
      <w:startOverride w:val="158"/>
    </w:lvlOverride>
    <w:lvlOverride w:ilvl="3">
      <w:startOverride w:val="158"/>
    </w:lvlOverride>
    <w:lvlOverride w:ilvl="4">
      <w:startOverride w:val="158"/>
    </w:lvlOverride>
    <w:lvlOverride w:ilvl="5">
      <w:startOverride w:val="158"/>
    </w:lvlOverride>
    <w:lvlOverride w:ilvl="6">
      <w:startOverride w:val="158"/>
    </w:lvlOverride>
    <w:lvlOverride w:ilvl="7">
      <w:startOverride w:val="158"/>
    </w:lvlOverride>
    <w:lvlOverride w:ilvl="8">
      <w:startOverride w:val="158"/>
    </w:lvlOverride>
  </w:num>
  <w:num w:numId="1074">
    <w:abstractNumId w:val="9943161"/>
    <w:lvlOverride w:ilvl="0">
      <w:startOverride w:val="161"/>
    </w:lvlOverride>
    <w:lvlOverride w:ilvl="1">
      <w:startOverride w:val="161"/>
    </w:lvlOverride>
    <w:lvlOverride w:ilvl="2">
      <w:startOverride w:val="161"/>
    </w:lvlOverride>
    <w:lvlOverride w:ilvl="3">
      <w:startOverride w:val="161"/>
    </w:lvlOverride>
    <w:lvlOverride w:ilvl="4">
      <w:startOverride w:val="161"/>
    </w:lvlOverride>
    <w:lvlOverride w:ilvl="5">
      <w:startOverride w:val="161"/>
    </w:lvlOverride>
    <w:lvlOverride w:ilvl="6">
      <w:startOverride w:val="161"/>
    </w:lvlOverride>
    <w:lvlOverride w:ilvl="7">
      <w:startOverride w:val="161"/>
    </w:lvlOverride>
    <w:lvlOverride w:ilvl="8">
      <w:startOverride w:val="161"/>
    </w:lvlOverride>
  </w:num>
  <w:num w:numId="1075">
    <w:abstractNumId w:val="9943163"/>
    <w:lvlOverride w:ilvl="0">
      <w:startOverride w:val="163"/>
    </w:lvlOverride>
    <w:lvlOverride w:ilvl="1">
      <w:startOverride w:val="163"/>
    </w:lvlOverride>
    <w:lvlOverride w:ilvl="2">
      <w:startOverride w:val="163"/>
    </w:lvlOverride>
    <w:lvlOverride w:ilvl="3">
      <w:startOverride w:val="163"/>
    </w:lvlOverride>
    <w:lvlOverride w:ilvl="4">
      <w:startOverride w:val="163"/>
    </w:lvlOverride>
    <w:lvlOverride w:ilvl="5">
      <w:startOverride w:val="163"/>
    </w:lvlOverride>
    <w:lvlOverride w:ilvl="6">
      <w:startOverride w:val="163"/>
    </w:lvlOverride>
    <w:lvlOverride w:ilvl="7">
      <w:startOverride w:val="163"/>
    </w:lvlOverride>
    <w:lvlOverride w:ilvl="8">
      <w:startOverride w:val="163"/>
    </w:lvlOverride>
  </w:num>
  <w:num w:numId="1076">
    <w:abstractNumId w:val="9943164"/>
    <w:lvlOverride w:ilvl="0">
      <w:startOverride w:val="164"/>
    </w:lvlOverride>
    <w:lvlOverride w:ilvl="1">
      <w:startOverride w:val="164"/>
    </w:lvlOverride>
    <w:lvlOverride w:ilvl="2">
      <w:startOverride w:val="164"/>
    </w:lvlOverride>
    <w:lvlOverride w:ilvl="3">
      <w:startOverride w:val="164"/>
    </w:lvlOverride>
    <w:lvlOverride w:ilvl="4">
      <w:startOverride w:val="164"/>
    </w:lvlOverride>
    <w:lvlOverride w:ilvl="5">
      <w:startOverride w:val="164"/>
    </w:lvlOverride>
    <w:lvlOverride w:ilvl="6">
      <w:startOverride w:val="164"/>
    </w:lvlOverride>
    <w:lvlOverride w:ilvl="7">
      <w:startOverride w:val="164"/>
    </w:lvlOverride>
    <w:lvlOverride w:ilvl="8">
      <w:startOverride w:val="164"/>
    </w:lvlOverride>
  </w:num>
  <w:num w:numId="1077">
    <w:abstractNumId w:val="9943166"/>
    <w:lvlOverride w:ilvl="0">
      <w:startOverride w:val="166"/>
    </w:lvlOverride>
    <w:lvlOverride w:ilvl="1">
      <w:startOverride w:val="166"/>
    </w:lvlOverride>
    <w:lvlOverride w:ilvl="2">
      <w:startOverride w:val="166"/>
    </w:lvlOverride>
    <w:lvlOverride w:ilvl="3">
      <w:startOverride w:val="166"/>
    </w:lvlOverride>
    <w:lvlOverride w:ilvl="4">
      <w:startOverride w:val="166"/>
    </w:lvlOverride>
    <w:lvlOverride w:ilvl="5">
      <w:startOverride w:val="166"/>
    </w:lvlOverride>
    <w:lvlOverride w:ilvl="6">
      <w:startOverride w:val="166"/>
    </w:lvlOverride>
    <w:lvlOverride w:ilvl="7">
      <w:startOverride w:val="166"/>
    </w:lvlOverride>
    <w:lvlOverride w:ilvl="8">
      <w:startOverride w:val="166"/>
    </w:lvlOverride>
  </w:num>
  <w:num w:numId="1078">
    <w:abstractNumId w:val="9943167"/>
    <w:lvlOverride w:ilvl="0">
      <w:startOverride w:val="167"/>
    </w:lvlOverride>
    <w:lvlOverride w:ilvl="1">
      <w:startOverride w:val="167"/>
    </w:lvlOverride>
    <w:lvlOverride w:ilvl="2">
      <w:startOverride w:val="167"/>
    </w:lvlOverride>
    <w:lvlOverride w:ilvl="3">
      <w:startOverride w:val="167"/>
    </w:lvlOverride>
    <w:lvlOverride w:ilvl="4">
      <w:startOverride w:val="167"/>
    </w:lvlOverride>
    <w:lvlOverride w:ilvl="5">
      <w:startOverride w:val="167"/>
    </w:lvlOverride>
    <w:lvlOverride w:ilvl="6">
      <w:startOverride w:val="167"/>
    </w:lvlOverride>
    <w:lvlOverride w:ilvl="7">
      <w:startOverride w:val="167"/>
    </w:lvlOverride>
    <w:lvlOverride w:ilvl="8">
      <w:startOverride w:val="167"/>
    </w:lvlOverride>
  </w:num>
  <w:num w:numId="1079">
    <w:abstractNumId w:val="9943172"/>
    <w:lvlOverride w:ilvl="0">
      <w:startOverride w:val="172"/>
    </w:lvlOverride>
    <w:lvlOverride w:ilvl="1">
      <w:startOverride w:val="172"/>
    </w:lvlOverride>
    <w:lvlOverride w:ilvl="2">
      <w:startOverride w:val="172"/>
    </w:lvlOverride>
    <w:lvlOverride w:ilvl="3">
      <w:startOverride w:val="172"/>
    </w:lvlOverride>
    <w:lvlOverride w:ilvl="4">
      <w:startOverride w:val="172"/>
    </w:lvlOverride>
    <w:lvlOverride w:ilvl="5">
      <w:startOverride w:val="172"/>
    </w:lvlOverride>
    <w:lvlOverride w:ilvl="6">
      <w:startOverride w:val="172"/>
    </w:lvlOverride>
    <w:lvlOverride w:ilvl="7">
      <w:startOverride w:val="172"/>
    </w:lvlOverride>
    <w:lvlOverride w:ilvl="8">
      <w:startOverride w:val="172"/>
    </w:lvlOverride>
  </w:num>
  <w:num w:numId="1080">
    <w:abstractNumId w:val="9943175"/>
    <w:lvlOverride w:ilvl="0">
      <w:startOverride w:val="175"/>
    </w:lvlOverride>
    <w:lvlOverride w:ilvl="1">
      <w:startOverride w:val="175"/>
    </w:lvlOverride>
    <w:lvlOverride w:ilvl="2">
      <w:startOverride w:val="175"/>
    </w:lvlOverride>
    <w:lvlOverride w:ilvl="3">
      <w:startOverride w:val="175"/>
    </w:lvlOverride>
    <w:lvlOverride w:ilvl="4">
      <w:startOverride w:val="175"/>
    </w:lvlOverride>
    <w:lvlOverride w:ilvl="5">
      <w:startOverride w:val="175"/>
    </w:lvlOverride>
    <w:lvlOverride w:ilvl="6">
      <w:startOverride w:val="175"/>
    </w:lvlOverride>
    <w:lvlOverride w:ilvl="7">
      <w:startOverride w:val="175"/>
    </w:lvlOverride>
    <w:lvlOverride w:ilvl="8">
      <w:startOverride w:val="175"/>
    </w:lvlOverride>
  </w:num>
  <w:num w:numId="1081">
    <w:abstractNumId w:val="9943179"/>
    <w:lvlOverride w:ilvl="0">
      <w:startOverride w:val="179"/>
    </w:lvlOverride>
    <w:lvlOverride w:ilvl="1">
      <w:startOverride w:val="179"/>
    </w:lvlOverride>
    <w:lvlOverride w:ilvl="2">
      <w:startOverride w:val="179"/>
    </w:lvlOverride>
    <w:lvlOverride w:ilvl="3">
      <w:startOverride w:val="179"/>
    </w:lvlOverride>
    <w:lvlOverride w:ilvl="4">
      <w:startOverride w:val="179"/>
    </w:lvlOverride>
    <w:lvlOverride w:ilvl="5">
      <w:startOverride w:val="179"/>
    </w:lvlOverride>
    <w:lvlOverride w:ilvl="6">
      <w:startOverride w:val="179"/>
    </w:lvlOverride>
    <w:lvlOverride w:ilvl="7">
      <w:startOverride w:val="179"/>
    </w:lvlOverride>
    <w:lvlOverride w:ilvl="8">
      <w:startOverride w:val="179"/>
    </w:lvlOverride>
  </w:num>
  <w:num w:numId="1082">
    <w:abstractNumId w:val="991"/>
  </w:num>
  <w:num w:numId="1083">
    <w:abstractNumId w:val="9943183"/>
    <w:lvlOverride w:ilvl="0">
      <w:startOverride w:val="183"/>
    </w:lvlOverride>
    <w:lvlOverride w:ilvl="1">
      <w:startOverride w:val="183"/>
    </w:lvlOverride>
    <w:lvlOverride w:ilvl="2">
      <w:startOverride w:val="183"/>
    </w:lvlOverride>
    <w:lvlOverride w:ilvl="3">
      <w:startOverride w:val="183"/>
    </w:lvlOverride>
    <w:lvlOverride w:ilvl="4">
      <w:startOverride w:val="183"/>
    </w:lvlOverride>
    <w:lvlOverride w:ilvl="5">
      <w:startOverride w:val="183"/>
    </w:lvlOverride>
    <w:lvlOverride w:ilvl="6">
      <w:startOverride w:val="183"/>
    </w:lvlOverride>
    <w:lvlOverride w:ilvl="7">
      <w:startOverride w:val="183"/>
    </w:lvlOverride>
    <w:lvlOverride w:ilvl="8">
      <w:startOverride w:val="183"/>
    </w:lvlOverride>
  </w:num>
  <w:num w:numId="1084">
    <w:abstractNumId w:val="9943184"/>
    <w:lvlOverride w:ilvl="0">
      <w:startOverride w:val="184"/>
    </w:lvlOverride>
    <w:lvlOverride w:ilvl="1">
      <w:startOverride w:val="184"/>
    </w:lvlOverride>
    <w:lvlOverride w:ilvl="2">
      <w:startOverride w:val="184"/>
    </w:lvlOverride>
    <w:lvlOverride w:ilvl="3">
      <w:startOverride w:val="184"/>
    </w:lvlOverride>
    <w:lvlOverride w:ilvl="4">
      <w:startOverride w:val="184"/>
    </w:lvlOverride>
    <w:lvlOverride w:ilvl="5">
      <w:startOverride w:val="184"/>
    </w:lvlOverride>
    <w:lvlOverride w:ilvl="6">
      <w:startOverride w:val="184"/>
    </w:lvlOverride>
    <w:lvlOverride w:ilvl="7">
      <w:startOverride w:val="184"/>
    </w:lvlOverride>
    <w:lvlOverride w:ilvl="8">
      <w:startOverride w:val="184"/>
    </w:lvlOverride>
  </w:num>
  <w:num w:numId="1085">
    <w:abstractNumId w:val="9943186"/>
    <w:lvlOverride w:ilvl="0">
      <w:startOverride w:val="186"/>
    </w:lvlOverride>
    <w:lvlOverride w:ilvl="1">
      <w:startOverride w:val="186"/>
    </w:lvlOverride>
    <w:lvlOverride w:ilvl="2">
      <w:startOverride w:val="186"/>
    </w:lvlOverride>
    <w:lvlOverride w:ilvl="3">
      <w:startOverride w:val="186"/>
    </w:lvlOverride>
    <w:lvlOverride w:ilvl="4">
      <w:startOverride w:val="186"/>
    </w:lvlOverride>
    <w:lvlOverride w:ilvl="5">
      <w:startOverride w:val="186"/>
    </w:lvlOverride>
    <w:lvlOverride w:ilvl="6">
      <w:startOverride w:val="186"/>
    </w:lvlOverride>
    <w:lvlOverride w:ilvl="7">
      <w:startOverride w:val="186"/>
    </w:lvlOverride>
    <w:lvlOverride w:ilvl="8">
      <w:startOverride w:val="186"/>
    </w:lvlOverride>
  </w:num>
  <w:num w:numId="1086">
    <w:abstractNumId w:val="9943192"/>
    <w:lvlOverride w:ilvl="0">
      <w:startOverride w:val="192"/>
    </w:lvlOverride>
    <w:lvlOverride w:ilvl="1">
      <w:startOverride w:val="192"/>
    </w:lvlOverride>
    <w:lvlOverride w:ilvl="2">
      <w:startOverride w:val="192"/>
    </w:lvlOverride>
    <w:lvlOverride w:ilvl="3">
      <w:startOverride w:val="192"/>
    </w:lvlOverride>
    <w:lvlOverride w:ilvl="4">
      <w:startOverride w:val="192"/>
    </w:lvlOverride>
    <w:lvlOverride w:ilvl="5">
      <w:startOverride w:val="192"/>
    </w:lvlOverride>
    <w:lvlOverride w:ilvl="6">
      <w:startOverride w:val="192"/>
    </w:lvlOverride>
    <w:lvlOverride w:ilvl="7">
      <w:startOverride w:val="192"/>
    </w:lvlOverride>
    <w:lvlOverride w:ilvl="8">
      <w:startOverride w:val="192"/>
    </w:lvlOverride>
  </w:num>
  <w:num w:numId="1087">
    <w:abstractNumId w:val="9943198"/>
    <w:lvlOverride w:ilvl="0">
      <w:startOverride w:val="198"/>
    </w:lvlOverride>
    <w:lvlOverride w:ilvl="1">
      <w:startOverride w:val="198"/>
    </w:lvlOverride>
    <w:lvlOverride w:ilvl="2">
      <w:startOverride w:val="198"/>
    </w:lvlOverride>
    <w:lvlOverride w:ilvl="3">
      <w:startOverride w:val="198"/>
    </w:lvlOverride>
    <w:lvlOverride w:ilvl="4">
      <w:startOverride w:val="198"/>
    </w:lvlOverride>
    <w:lvlOverride w:ilvl="5">
      <w:startOverride w:val="198"/>
    </w:lvlOverride>
    <w:lvlOverride w:ilvl="6">
      <w:startOverride w:val="198"/>
    </w:lvlOverride>
    <w:lvlOverride w:ilvl="7">
      <w:startOverride w:val="198"/>
    </w:lvlOverride>
    <w:lvlOverride w:ilvl="8">
      <w:startOverride w:val="198"/>
    </w:lvlOverride>
  </w:num>
  <w:num w:numId="1088">
    <w:abstractNumId w:val="9943200"/>
    <w:lvlOverride w:ilvl="0">
      <w:startOverride w:val="200"/>
    </w:lvlOverride>
    <w:lvlOverride w:ilvl="1">
      <w:startOverride w:val="200"/>
    </w:lvlOverride>
    <w:lvlOverride w:ilvl="2">
      <w:startOverride w:val="200"/>
    </w:lvlOverride>
    <w:lvlOverride w:ilvl="3">
      <w:startOverride w:val="200"/>
    </w:lvlOverride>
    <w:lvlOverride w:ilvl="4">
      <w:startOverride w:val="200"/>
    </w:lvlOverride>
    <w:lvlOverride w:ilvl="5">
      <w:startOverride w:val="200"/>
    </w:lvlOverride>
    <w:lvlOverride w:ilvl="6">
      <w:startOverride w:val="200"/>
    </w:lvlOverride>
    <w:lvlOverride w:ilvl="7">
      <w:startOverride w:val="200"/>
    </w:lvlOverride>
    <w:lvlOverride w:ilvl="8">
      <w:startOverride w:val="200"/>
    </w:lvlOverride>
  </w:num>
  <w:num w:numId="1089">
    <w:abstractNumId w:val="9943204"/>
    <w:lvlOverride w:ilvl="0">
      <w:startOverride w:val="204"/>
    </w:lvlOverride>
    <w:lvlOverride w:ilvl="1">
      <w:startOverride w:val="204"/>
    </w:lvlOverride>
    <w:lvlOverride w:ilvl="2">
      <w:startOverride w:val="204"/>
    </w:lvlOverride>
    <w:lvlOverride w:ilvl="3">
      <w:startOverride w:val="204"/>
    </w:lvlOverride>
    <w:lvlOverride w:ilvl="4">
      <w:startOverride w:val="204"/>
    </w:lvlOverride>
    <w:lvlOverride w:ilvl="5">
      <w:startOverride w:val="204"/>
    </w:lvlOverride>
    <w:lvlOverride w:ilvl="6">
      <w:startOverride w:val="204"/>
    </w:lvlOverride>
    <w:lvlOverride w:ilvl="7">
      <w:startOverride w:val="204"/>
    </w:lvlOverride>
    <w:lvlOverride w:ilvl="8">
      <w:startOverride w:val="204"/>
    </w:lvlOverride>
  </w:num>
  <w:num w:numId="1090">
    <w:abstractNumId w:val="9943207"/>
    <w:lvlOverride w:ilvl="0">
      <w:startOverride w:val="207"/>
    </w:lvlOverride>
    <w:lvlOverride w:ilvl="1">
      <w:startOverride w:val="207"/>
    </w:lvlOverride>
    <w:lvlOverride w:ilvl="2">
      <w:startOverride w:val="207"/>
    </w:lvlOverride>
    <w:lvlOverride w:ilvl="3">
      <w:startOverride w:val="207"/>
    </w:lvlOverride>
    <w:lvlOverride w:ilvl="4">
      <w:startOverride w:val="207"/>
    </w:lvlOverride>
    <w:lvlOverride w:ilvl="5">
      <w:startOverride w:val="207"/>
    </w:lvlOverride>
    <w:lvlOverride w:ilvl="6">
      <w:startOverride w:val="207"/>
    </w:lvlOverride>
    <w:lvlOverride w:ilvl="7">
      <w:startOverride w:val="207"/>
    </w:lvlOverride>
    <w:lvlOverride w:ilvl="8">
      <w:startOverride w:val="207"/>
    </w:lvlOverride>
  </w:num>
  <w:num w:numId="1091">
    <w:abstractNumId w:val="9943208"/>
    <w:lvlOverride w:ilvl="0">
      <w:startOverride w:val="208"/>
    </w:lvlOverride>
    <w:lvlOverride w:ilvl="1">
      <w:startOverride w:val="208"/>
    </w:lvlOverride>
    <w:lvlOverride w:ilvl="2">
      <w:startOverride w:val="208"/>
    </w:lvlOverride>
    <w:lvlOverride w:ilvl="3">
      <w:startOverride w:val="208"/>
    </w:lvlOverride>
    <w:lvlOverride w:ilvl="4">
      <w:startOverride w:val="208"/>
    </w:lvlOverride>
    <w:lvlOverride w:ilvl="5">
      <w:startOverride w:val="208"/>
    </w:lvlOverride>
    <w:lvlOverride w:ilvl="6">
      <w:startOverride w:val="208"/>
    </w:lvlOverride>
    <w:lvlOverride w:ilvl="7">
      <w:startOverride w:val="208"/>
    </w:lvlOverride>
    <w:lvlOverride w:ilvl="8">
      <w:startOverride w:val="208"/>
    </w:lvlOverride>
  </w:num>
  <w:num w:numId="1092">
    <w:abstractNumId w:val="9943212"/>
    <w:lvlOverride w:ilvl="0">
      <w:startOverride w:val="212"/>
    </w:lvlOverride>
    <w:lvlOverride w:ilvl="1">
      <w:startOverride w:val="212"/>
    </w:lvlOverride>
    <w:lvlOverride w:ilvl="2">
      <w:startOverride w:val="212"/>
    </w:lvlOverride>
    <w:lvlOverride w:ilvl="3">
      <w:startOverride w:val="212"/>
    </w:lvlOverride>
    <w:lvlOverride w:ilvl="4">
      <w:startOverride w:val="212"/>
    </w:lvlOverride>
    <w:lvlOverride w:ilvl="5">
      <w:startOverride w:val="212"/>
    </w:lvlOverride>
    <w:lvlOverride w:ilvl="6">
      <w:startOverride w:val="212"/>
    </w:lvlOverride>
    <w:lvlOverride w:ilvl="7">
      <w:startOverride w:val="212"/>
    </w:lvlOverride>
    <w:lvlOverride w:ilvl="8">
      <w:startOverride w:val="212"/>
    </w:lvlOverride>
  </w:num>
  <w:num w:numId="1093">
    <w:abstractNumId w:val="9941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094">
    <w:abstractNumId w:val="9943214"/>
    <w:lvlOverride w:ilvl="0">
      <w:startOverride w:val="214"/>
    </w:lvlOverride>
    <w:lvlOverride w:ilvl="1">
      <w:startOverride w:val="214"/>
    </w:lvlOverride>
    <w:lvlOverride w:ilvl="2">
      <w:startOverride w:val="214"/>
    </w:lvlOverride>
    <w:lvlOverride w:ilvl="3">
      <w:startOverride w:val="214"/>
    </w:lvlOverride>
    <w:lvlOverride w:ilvl="4">
      <w:startOverride w:val="214"/>
    </w:lvlOverride>
    <w:lvlOverride w:ilvl="5">
      <w:startOverride w:val="214"/>
    </w:lvlOverride>
    <w:lvlOverride w:ilvl="6">
      <w:startOverride w:val="214"/>
    </w:lvlOverride>
    <w:lvlOverride w:ilvl="7">
      <w:startOverride w:val="214"/>
    </w:lvlOverride>
    <w:lvlOverride w:ilvl="8">
      <w:startOverride w:val="214"/>
    </w:lvlOverride>
  </w:num>
  <w:num w:numId="1095">
    <w:abstractNumId w:val="9943217"/>
    <w:lvlOverride w:ilvl="0">
      <w:startOverride w:val="217"/>
    </w:lvlOverride>
    <w:lvlOverride w:ilvl="1">
      <w:startOverride w:val="217"/>
    </w:lvlOverride>
    <w:lvlOverride w:ilvl="2">
      <w:startOverride w:val="217"/>
    </w:lvlOverride>
    <w:lvlOverride w:ilvl="3">
      <w:startOverride w:val="217"/>
    </w:lvlOverride>
    <w:lvlOverride w:ilvl="4">
      <w:startOverride w:val="217"/>
    </w:lvlOverride>
    <w:lvlOverride w:ilvl="5">
      <w:startOverride w:val="217"/>
    </w:lvlOverride>
    <w:lvlOverride w:ilvl="6">
      <w:startOverride w:val="217"/>
    </w:lvlOverride>
    <w:lvlOverride w:ilvl="7">
      <w:startOverride w:val="217"/>
    </w:lvlOverride>
    <w:lvlOverride w:ilvl="8">
      <w:startOverride w:val="217"/>
    </w:lvlOverride>
  </w:num>
  <w:num w:numId="1096">
    <w:abstractNumId w:val="9943221"/>
    <w:lvlOverride w:ilvl="0">
      <w:startOverride w:val="221"/>
    </w:lvlOverride>
    <w:lvlOverride w:ilvl="1">
      <w:startOverride w:val="221"/>
    </w:lvlOverride>
    <w:lvlOverride w:ilvl="2">
      <w:startOverride w:val="221"/>
    </w:lvlOverride>
    <w:lvlOverride w:ilvl="3">
      <w:startOverride w:val="221"/>
    </w:lvlOverride>
    <w:lvlOverride w:ilvl="4">
      <w:startOverride w:val="221"/>
    </w:lvlOverride>
    <w:lvlOverride w:ilvl="5">
      <w:startOverride w:val="221"/>
    </w:lvlOverride>
    <w:lvlOverride w:ilvl="6">
      <w:startOverride w:val="221"/>
    </w:lvlOverride>
    <w:lvlOverride w:ilvl="7">
      <w:startOverride w:val="221"/>
    </w:lvlOverride>
    <w:lvlOverride w:ilvl="8">
      <w:startOverride w:val="221"/>
    </w:lvlOverride>
  </w:num>
  <w:num w:numId="1097">
    <w:abstractNumId w:val="9943224"/>
    <w:lvlOverride w:ilvl="0">
      <w:startOverride w:val="224"/>
    </w:lvlOverride>
    <w:lvlOverride w:ilvl="1">
      <w:startOverride w:val="224"/>
    </w:lvlOverride>
    <w:lvlOverride w:ilvl="2">
      <w:startOverride w:val="224"/>
    </w:lvlOverride>
    <w:lvlOverride w:ilvl="3">
      <w:startOverride w:val="224"/>
    </w:lvlOverride>
    <w:lvlOverride w:ilvl="4">
      <w:startOverride w:val="224"/>
    </w:lvlOverride>
    <w:lvlOverride w:ilvl="5">
      <w:startOverride w:val="224"/>
    </w:lvlOverride>
    <w:lvlOverride w:ilvl="6">
      <w:startOverride w:val="224"/>
    </w:lvlOverride>
    <w:lvlOverride w:ilvl="7">
      <w:startOverride w:val="224"/>
    </w:lvlOverride>
    <w:lvlOverride w:ilvl="8">
      <w:startOverride w:val="224"/>
    </w:lvlOverride>
  </w:num>
  <w:num w:numId="1098">
    <w:abstractNumId w:val="9943230"/>
    <w:lvlOverride w:ilvl="0">
      <w:startOverride w:val="230"/>
    </w:lvlOverride>
    <w:lvlOverride w:ilvl="1">
      <w:startOverride w:val="230"/>
    </w:lvlOverride>
    <w:lvlOverride w:ilvl="2">
      <w:startOverride w:val="230"/>
    </w:lvlOverride>
    <w:lvlOverride w:ilvl="3">
      <w:startOverride w:val="230"/>
    </w:lvlOverride>
    <w:lvlOverride w:ilvl="4">
      <w:startOverride w:val="230"/>
    </w:lvlOverride>
    <w:lvlOverride w:ilvl="5">
      <w:startOverride w:val="230"/>
    </w:lvlOverride>
    <w:lvlOverride w:ilvl="6">
      <w:startOverride w:val="230"/>
    </w:lvlOverride>
    <w:lvlOverride w:ilvl="7">
      <w:startOverride w:val="230"/>
    </w:lvlOverride>
    <w:lvlOverride w:ilvl="8">
      <w:startOverride w:val="230"/>
    </w:lvlOverride>
  </w:num>
  <w:num w:numId="1099">
    <w:abstractNumId w:val="9943231"/>
    <w:lvlOverride w:ilvl="0">
      <w:startOverride w:val="231"/>
    </w:lvlOverride>
    <w:lvlOverride w:ilvl="1">
      <w:startOverride w:val="231"/>
    </w:lvlOverride>
    <w:lvlOverride w:ilvl="2">
      <w:startOverride w:val="231"/>
    </w:lvlOverride>
    <w:lvlOverride w:ilvl="3">
      <w:startOverride w:val="231"/>
    </w:lvlOverride>
    <w:lvlOverride w:ilvl="4">
      <w:startOverride w:val="231"/>
    </w:lvlOverride>
    <w:lvlOverride w:ilvl="5">
      <w:startOverride w:val="231"/>
    </w:lvlOverride>
    <w:lvlOverride w:ilvl="6">
      <w:startOverride w:val="231"/>
    </w:lvlOverride>
    <w:lvlOverride w:ilvl="7">
      <w:startOverride w:val="231"/>
    </w:lvlOverride>
    <w:lvlOverride w:ilvl="8">
      <w:startOverride w:val="231"/>
    </w:lvlOverride>
  </w:num>
  <w:num w:numId="1100">
    <w:abstractNumId w:val="9943233"/>
    <w:lvlOverride w:ilvl="0">
      <w:startOverride w:val="233"/>
    </w:lvlOverride>
    <w:lvlOverride w:ilvl="1">
      <w:startOverride w:val="233"/>
    </w:lvlOverride>
    <w:lvlOverride w:ilvl="2">
      <w:startOverride w:val="233"/>
    </w:lvlOverride>
    <w:lvlOverride w:ilvl="3">
      <w:startOverride w:val="233"/>
    </w:lvlOverride>
    <w:lvlOverride w:ilvl="4">
      <w:startOverride w:val="233"/>
    </w:lvlOverride>
    <w:lvlOverride w:ilvl="5">
      <w:startOverride w:val="233"/>
    </w:lvlOverride>
    <w:lvlOverride w:ilvl="6">
      <w:startOverride w:val="233"/>
    </w:lvlOverride>
    <w:lvlOverride w:ilvl="7">
      <w:startOverride w:val="233"/>
    </w:lvlOverride>
    <w:lvlOverride w:ilvl="8">
      <w:startOverride w:val="233"/>
    </w:lvlOverride>
  </w:num>
  <w:num w:numId="1101">
    <w:abstractNumId w:val="9943236"/>
    <w:lvlOverride w:ilvl="0">
      <w:startOverride w:val="236"/>
    </w:lvlOverride>
    <w:lvlOverride w:ilvl="1">
      <w:startOverride w:val="236"/>
    </w:lvlOverride>
    <w:lvlOverride w:ilvl="2">
      <w:startOverride w:val="236"/>
    </w:lvlOverride>
    <w:lvlOverride w:ilvl="3">
      <w:startOverride w:val="236"/>
    </w:lvlOverride>
    <w:lvlOverride w:ilvl="4">
      <w:startOverride w:val="236"/>
    </w:lvlOverride>
    <w:lvlOverride w:ilvl="5">
      <w:startOverride w:val="236"/>
    </w:lvlOverride>
    <w:lvlOverride w:ilvl="6">
      <w:startOverride w:val="236"/>
    </w:lvlOverride>
    <w:lvlOverride w:ilvl="7">
      <w:startOverride w:val="236"/>
    </w:lvlOverride>
    <w:lvlOverride w:ilvl="8">
      <w:startOverride w:val="236"/>
    </w:lvlOverride>
  </w:num>
  <w:num w:numId="1102">
    <w:abstractNumId w:val="9943240"/>
    <w:lvlOverride w:ilvl="0">
      <w:startOverride w:val="240"/>
    </w:lvlOverride>
    <w:lvlOverride w:ilvl="1">
      <w:startOverride w:val="240"/>
    </w:lvlOverride>
    <w:lvlOverride w:ilvl="2">
      <w:startOverride w:val="240"/>
    </w:lvlOverride>
    <w:lvlOverride w:ilvl="3">
      <w:startOverride w:val="240"/>
    </w:lvlOverride>
    <w:lvlOverride w:ilvl="4">
      <w:startOverride w:val="240"/>
    </w:lvlOverride>
    <w:lvlOverride w:ilvl="5">
      <w:startOverride w:val="240"/>
    </w:lvlOverride>
    <w:lvlOverride w:ilvl="6">
      <w:startOverride w:val="240"/>
    </w:lvlOverride>
    <w:lvlOverride w:ilvl="7">
      <w:startOverride w:val="240"/>
    </w:lvlOverride>
    <w:lvlOverride w:ilvl="8">
      <w:startOverride w:val="240"/>
    </w:lvlOverride>
  </w:num>
  <w:num w:numId="1103">
    <w:abstractNumId w:val="9943249"/>
    <w:lvlOverride w:ilvl="0">
      <w:startOverride w:val="249"/>
    </w:lvlOverride>
    <w:lvlOverride w:ilvl="1">
      <w:startOverride w:val="249"/>
    </w:lvlOverride>
    <w:lvlOverride w:ilvl="2">
      <w:startOverride w:val="249"/>
    </w:lvlOverride>
    <w:lvlOverride w:ilvl="3">
      <w:startOverride w:val="249"/>
    </w:lvlOverride>
    <w:lvlOverride w:ilvl="4">
      <w:startOverride w:val="249"/>
    </w:lvlOverride>
    <w:lvlOverride w:ilvl="5">
      <w:startOverride w:val="249"/>
    </w:lvlOverride>
    <w:lvlOverride w:ilvl="6">
      <w:startOverride w:val="249"/>
    </w:lvlOverride>
    <w:lvlOverride w:ilvl="7">
      <w:startOverride w:val="249"/>
    </w:lvlOverride>
    <w:lvlOverride w:ilvl="8">
      <w:startOverride w:val="249"/>
    </w:lvlOverride>
  </w:num>
  <w:num w:numId="1104">
    <w:abstractNumId w:val="9943260"/>
    <w:lvlOverride w:ilvl="0">
      <w:startOverride w:val="260"/>
    </w:lvlOverride>
    <w:lvlOverride w:ilvl="1">
      <w:startOverride w:val="260"/>
    </w:lvlOverride>
    <w:lvlOverride w:ilvl="2">
      <w:startOverride w:val="260"/>
    </w:lvlOverride>
    <w:lvlOverride w:ilvl="3">
      <w:startOverride w:val="260"/>
    </w:lvlOverride>
    <w:lvlOverride w:ilvl="4">
      <w:startOverride w:val="260"/>
    </w:lvlOverride>
    <w:lvlOverride w:ilvl="5">
      <w:startOverride w:val="260"/>
    </w:lvlOverride>
    <w:lvlOverride w:ilvl="6">
      <w:startOverride w:val="260"/>
    </w:lvlOverride>
    <w:lvlOverride w:ilvl="7">
      <w:startOverride w:val="260"/>
    </w:lvlOverride>
    <w:lvlOverride w:ilvl="8">
      <w:startOverride w:val="260"/>
    </w:lvlOverride>
  </w:num>
  <w:num w:numId="1105">
    <w:abstractNumId w:val="9943261"/>
    <w:lvlOverride w:ilvl="0">
      <w:startOverride w:val="261"/>
    </w:lvlOverride>
    <w:lvlOverride w:ilvl="1">
      <w:startOverride w:val="261"/>
    </w:lvlOverride>
    <w:lvlOverride w:ilvl="2">
      <w:startOverride w:val="261"/>
    </w:lvlOverride>
    <w:lvlOverride w:ilvl="3">
      <w:startOverride w:val="261"/>
    </w:lvlOverride>
    <w:lvlOverride w:ilvl="4">
      <w:startOverride w:val="261"/>
    </w:lvlOverride>
    <w:lvlOverride w:ilvl="5">
      <w:startOverride w:val="261"/>
    </w:lvlOverride>
    <w:lvlOverride w:ilvl="6">
      <w:startOverride w:val="261"/>
    </w:lvlOverride>
    <w:lvlOverride w:ilvl="7">
      <w:startOverride w:val="261"/>
    </w:lvlOverride>
    <w:lvlOverride w:ilvl="8">
      <w:startOverride w:val="261"/>
    </w:lvlOverride>
  </w:num>
  <w:num w:numId="1106">
    <w:abstractNumId w:val="9943262"/>
    <w:lvlOverride w:ilvl="0">
      <w:startOverride w:val="262"/>
    </w:lvlOverride>
    <w:lvlOverride w:ilvl="1">
      <w:startOverride w:val="262"/>
    </w:lvlOverride>
    <w:lvlOverride w:ilvl="2">
      <w:startOverride w:val="262"/>
    </w:lvlOverride>
    <w:lvlOverride w:ilvl="3">
      <w:startOverride w:val="262"/>
    </w:lvlOverride>
    <w:lvlOverride w:ilvl="4">
      <w:startOverride w:val="262"/>
    </w:lvlOverride>
    <w:lvlOverride w:ilvl="5">
      <w:startOverride w:val="262"/>
    </w:lvlOverride>
    <w:lvlOverride w:ilvl="6">
      <w:startOverride w:val="262"/>
    </w:lvlOverride>
    <w:lvlOverride w:ilvl="7">
      <w:startOverride w:val="262"/>
    </w:lvlOverride>
    <w:lvlOverride w:ilvl="8">
      <w:startOverride w:val="262"/>
    </w:lvlOverride>
  </w:num>
  <w:num w:numId="1107">
    <w:abstractNumId w:val="9943263"/>
    <w:lvlOverride w:ilvl="0">
      <w:startOverride w:val="263"/>
    </w:lvlOverride>
    <w:lvlOverride w:ilvl="1">
      <w:startOverride w:val="263"/>
    </w:lvlOverride>
    <w:lvlOverride w:ilvl="2">
      <w:startOverride w:val="263"/>
    </w:lvlOverride>
    <w:lvlOverride w:ilvl="3">
      <w:startOverride w:val="263"/>
    </w:lvlOverride>
    <w:lvlOverride w:ilvl="4">
      <w:startOverride w:val="263"/>
    </w:lvlOverride>
    <w:lvlOverride w:ilvl="5">
      <w:startOverride w:val="263"/>
    </w:lvlOverride>
    <w:lvlOverride w:ilvl="6">
      <w:startOverride w:val="263"/>
    </w:lvlOverride>
    <w:lvlOverride w:ilvl="7">
      <w:startOverride w:val="263"/>
    </w:lvlOverride>
    <w:lvlOverride w:ilvl="8">
      <w:startOverride w:val="263"/>
    </w:lvlOverride>
  </w:num>
  <w:num w:numId="1108">
    <w:abstractNumId w:val="9943265"/>
    <w:lvlOverride w:ilvl="0">
      <w:startOverride w:val="265"/>
    </w:lvlOverride>
    <w:lvlOverride w:ilvl="1">
      <w:startOverride w:val="265"/>
    </w:lvlOverride>
    <w:lvlOverride w:ilvl="2">
      <w:startOverride w:val="265"/>
    </w:lvlOverride>
    <w:lvlOverride w:ilvl="3">
      <w:startOverride w:val="265"/>
    </w:lvlOverride>
    <w:lvlOverride w:ilvl="4">
      <w:startOverride w:val="265"/>
    </w:lvlOverride>
    <w:lvlOverride w:ilvl="5">
      <w:startOverride w:val="265"/>
    </w:lvlOverride>
    <w:lvlOverride w:ilvl="6">
      <w:startOverride w:val="265"/>
    </w:lvlOverride>
    <w:lvlOverride w:ilvl="7">
      <w:startOverride w:val="265"/>
    </w:lvlOverride>
    <w:lvlOverride w:ilvl="8">
      <w:startOverride w:val="265"/>
    </w:lvlOverride>
  </w:num>
  <w:num w:numId="1109">
    <w:abstractNumId w:val="9943269"/>
    <w:lvlOverride w:ilvl="0">
      <w:startOverride w:val="269"/>
    </w:lvlOverride>
    <w:lvlOverride w:ilvl="1">
      <w:startOverride w:val="269"/>
    </w:lvlOverride>
    <w:lvlOverride w:ilvl="2">
      <w:startOverride w:val="269"/>
    </w:lvlOverride>
    <w:lvlOverride w:ilvl="3">
      <w:startOverride w:val="269"/>
    </w:lvlOverride>
    <w:lvlOverride w:ilvl="4">
      <w:startOverride w:val="269"/>
    </w:lvlOverride>
    <w:lvlOverride w:ilvl="5">
      <w:startOverride w:val="269"/>
    </w:lvlOverride>
    <w:lvlOverride w:ilvl="6">
      <w:startOverride w:val="269"/>
    </w:lvlOverride>
    <w:lvlOverride w:ilvl="7">
      <w:startOverride w:val="269"/>
    </w:lvlOverride>
    <w:lvlOverride w:ilvl="8">
      <w:startOverride w:val="269"/>
    </w:lvlOverride>
  </w:num>
  <w:num w:numId="1110">
    <w:abstractNumId w:val="9943270"/>
    <w:lvlOverride w:ilvl="0">
      <w:startOverride w:val="270"/>
    </w:lvlOverride>
    <w:lvlOverride w:ilvl="1">
      <w:startOverride w:val="270"/>
    </w:lvlOverride>
    <w:lvlOverride w:ilvl="2">
      <w:startOverride w:val="270"/>
    </w:lvlOverride>
    <w:lvlOverride w:ilvl="3">
      <w:startOverride w:val="270"/>
    </w:lvlOverride>
    <w:lvlOverride w:ilvl="4">
      <w:startOverride w:val="270"/>
    </w:lvlOverride>
    <w:lvlOverride w:ilvl="5">
      <w:startOverride w:val="270"/>
    </w:lvlOverride>
    <w:lvlOverride w:ilvl="6">
      <w:startOverride w:val="270"/>
    </w:lvlOverride>
    <w:lvlOverride w:ilvl="7">
      <w:startOverride w:val="270"/>
    </w:lvlOverride>
    <w:lvlOverride w:ilvl="8">
      <w:startOverride w:val="270"/>
    </w:lvlOverride>
  </w:num>
  <w:num w:numId="1111">
    <w:abstractNumId w:val="9943271"/>
    <w:lvlOverride w:ilvl="0">
      <w:startOverride w:val="271"/>
    </w:lvlOverride>
    <w:lvlOverride w:ilvl="1">
      <w:startOverride w:val="271"/>
    </w:lvlOverride>
    <w:lvlOverride w:ilvl="2">
      <w:startOverride w:val="271"/>
    </w:lvlOverride>
    <w:lvlOverride w:ilvl="3">
      <w:startOverride w:val="271"/>
    </w:lvlOverride>
    <w:lvlOverride w:ilvl="4">
      <w:startOverride w:val="271"/>
    </w:lvlOverride>
    <w:lvlOverride w:ilvl="5">
      <w:startOverride w:val="271"/>
    </w:lvlOverride>
    <w:lvlOverride w:ilvl="6">
      <w:startOverride w:val="271"/>
    </w:lvlOverride>
    <w:lvlOverride w:ilvl="7">
      <w:startOverride w:val="271"/>
    </w:lvlOverride>
    <w:lvlOverride w:ilvl="8">
      <w:startOverride w:val="271"/>
    </w:lvlOverride>
  </w:num>
  <w:num w:numId="1112">
    <w:abstractNumId w:val="9943272"/>
    <w:lvlOverride w:ilvl="0">
      <w:startOverride w:val="272"/>
    </w:lvlOverride>
    <w:lvlOverride w:ilvl="1">
      <w:startOverride w:val="272"/>
    </w:lvlOverride>
    <w:lvlOverride w:ilvl="2">
      <w:startOverride w:val="272"/>
    </w:lvlOverride>
    <w:lvlOverride w:ilvl="3">
      <w:startOverride w:val="272"/>
    </w:lvlOverride>
    <w:lvlOverride w:ilvl="4">
      <w:startOverride w:val="272"/>
    </w:lvlOverride>
    <w:lvlOverride w:ilvl="5">
      <w:startOverride w:val="272"/>
    </w:lvlOverride>
    <w:lvlOverride w:ilvl="6">
      <w:startOverride w:val="272"/>
    </w:lvlOverride>
    <w:lvlOverride w:ilvl="7">
      <w:startOverride w:val="272"/>
    </w:lvlOverride>
    <w:lvlOverride w:ilvl="8">
      <w:startOverride w:val="272"/>
    </w:lvlOverride>
  </w:num>
  <w:num w:numId="1113">
    <w:abstractNumId w:val="9943273"/>
    <w:lvlOverride w:ilvl="0">
      <w:startOverride w:val="273"/>
    </w:lvlOverride>
    <w:lvlOverride w:ilvl="1">
      <w:startOverride w:val="273"/>
    </w:lvlOverride>
    <w:lvlOverride w:ilvl="2">
      <w:startOverride w:val="273"/>
    </w:lvlOverride>
    <w:lvlOverride w:ilvl="3">
      <w:startOverride w:val="273"/>
    </w:lvlOverride>
    <w:lvlOverride w:ilvl="4">
      <w:startOverride w:val="273"/>
    </w:lvlOverride>
    <w:lvlOverride w:ilvl="5">
      <w:startOverride w:val="273"/>
    </w:lvlOverride>
    <w:lvlOverride w:ilvl="6">
      <w:startOverride w:val="273"/>
    </w:lvlOverride>
    <w:lvlOverride w:ilvl="7">
      <w:startOverride w:val="273"/>
    </w:lvlOverride>
    <w:lvlOverride w:ilvl="8">
      <w:startOverride w:val="273"/>
    </w:lvlOverride>
  </w:num>
  <w:num w:numId="1114">
    <w:abstractNumId w:val="9943274"/>
    <w:lvlOverride w:ilvl="0">
      <w:startOverride w:val="274"/>
    </w:lvlOverride>
    <w:lvlOverride w:ilvl="1">
      <w:startOverride w:val="274"/>
    </w:lvlOverride>
    <w:lvlOverride w:ilvl="2">
      <w:startOverride w:val="274"/>
    </w:lvlOverride>
    <w:lvlOverride w:ilvl="3">
      <w:startOverride w:val="274"/>
    </w:lvlOverride>
    <w:lvlOverride w:ilvl="4">
      <w:startOverride w:val="274"/>
    </w:lvlOverride>
    <w:lvlOverride w:ilvl="5">
      <w:startOverride w:val="274"/>
    </w:lvlOverride>
    <w:lvlOverride w:ilvl="6">
      <w:startOverride w:val="274"/>
    </w:lvlOverride>
    <w:lvlOverride w:ilvl="7">
      <w:startOverride w:val="274"/>
    </w:lvlOverride>
    <w:lvlOverride w:ilvl="8">
      <w:startOverride w:val="274"/>
    </w:lvlOverride>
  </w:num>
  <w:num w:numId="1115">
    <w:abstractNumId w:val="9943276"/>
    <w:lvlOverride w:ilvl="0">
      <w:startOverride w:val="276"/>
    </w:lvlOverride>
    <w:lvlOverride w:ilvl="1">
      <w:startOverride w:val="276"/>
    </w:lvlOverride>
    <w:lvlOverride w:ilvl="2">
      <w:startOverride w:val="276"/>
    </w:lvlOverride>
    <w:lvlOverride w:ilvl="3">
      <w:startOverride w:val="276"/>
    </w:lvlOverride>
    <w:lvlOverride w:ilvl="4">
      <w:startOverride w:val="276"/>
    </w:lvlOverride>
    <w:lvlOverride w:ilvl="5">
      <w:startOverride w:val="276"/>
    </w:lvlOverride>
    <w:lvlOverride w:ilvl="6">
      <w:startOverride w:val="276"/>
    </w:lvlOverride>
    <w:lvlOverride w:ilvl="7">
      <w:startOverride w:val="276"/>
    </w:lvlOverride>
    <w:lvlOverride w:ilvl="8">
      <w:startOverride w:val="276"/>
    </w:lvlOverride>
  </w:num>
  <w:num w:numId="1116">
    <w:abstractNumId w:val="9943278"/>
    <w:lvlOverride w:ilvl="0">
      <w:startOverride w:val="278"/>
    </w:lvlOverride>
    <w:lvlOverride w:ilvl="1">
      <w:startOverride w:val="278"/>
    </w:lvlOverride>
    <w:lvlOverride w:ilvl="2">
      <w:startOverride w:val="278"/>
    </w:lvlOverride>
    <w:lvlOverride w:ilvl="3">
      <w:startOverride w:val="278"/>
    </w:lvlOverride>
    <w:lvlOverride w:ilvl="4">
      <w:startOverride w:val="278"/>
    </w:lvlOverride>
    <w:lvlOverride w:ilvl="5">
      <w:startOverride w:val="278"/>
    </w:lvlOverride>
    <w:lvlOverride w:ilvl="6">
      <w:startOverride w:val="278"/>
    </w:lvlOverride>
    <w:lvlOverride w:ilvl="7">
      <w:startOverride w:val="278"/>
    </w:lvlOverride>
    <w:lvlOverride w:ilvl="8">
      <w:startOverride w:val="278"/>
    </w:lvlOverride>
  </w:num>
  <w:num w:numId="1117">
    <w:abstractNumId w:val="9942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118">
    <w:abstractNumId w:val="9943279"/>
    <w:lvlOverride w:ilvl="0">
      <w:startOverride w:val="279"/>
    </w:lvlOverride>
    <w:lvlOverride w:ilvl="1">
      <w:startOverride w:val="279"/>
    </w:lvlOverride>
    <w:lvlOverride w:ilvl="2">
      <w:startOverride w:val="279"/>
    </w:lvlOverride>
    <w:lvlOverride w:ilvl="3">
      <w:startOverride w:val="279"/>
    </w:lvlOverride>
    <w:lvlOverride w:ilvl="4">
      <w:startOverride w:val="279"/>
    </w:lvlOverride>
    <w:lvlOverride w:ilvl="5">
      <w:startOverride w:val="279"/>
    </w:lvlOverride>
    <w:lvlOverride w:ilvl="6">
      <w:startOverride w:val="279"/>
    </w:lvlOverride>
    <w:lvlOverride w:ilvl="7">
      <w:startOverride w:val="279"/>
    </w:lvlOverride>
    <w:lvlOverride w:ilvl="8">
      <w:startOverride w:val="279"/>
    </w:lvlOverride>
  </w:num>
  <w:num w:numId="1119">
    <w:abstractNumId w:val="9943282"/>
    <w:lvlOverride w:ilvl="0">
      <w:startOverride w:val="282"/>
    </w:lvlOverride>
    <w:lvlOverride w:ilvl="1">
      <w:startOverride w:val="282"/>
    </w:lvlOverride>
    <w:lvlOverride w:ilvl="2">
      <w:startOverride w:val="282"/>
    </w:lvlOverride>
    <w:lvlOverride w:ilvl="3">
      <w:startOverride w:val="282"/>
    </w:lvlOverride>
    <w:lvlOverride w:ilvl="4">
      <w:startOverride w:val="282"/>
    </w:lvlOverride>
    <w:lvlOverride w:ilvl="5">
      <w:startOverride w:val="282"/>
    </w:lvlOverride>
    <w:lvlOverride w:ilvl="6">
      <w:startOverride w:val="282"/>
    </w:lvlOverride>
    <w:lvlOverride w:ilvl="7">
      <w:startOverride w:val="282"/>
    </w:lvlOverride>
    <w:lvlOverride w:ilvl="8">
      <w:startOverride w:val="282"/>
    </w:lvlOverride>
  </w:num>
  <w:num w:numId="1120">
    <w:abstractNumId w:val="9943285"/>
    <w:lvlOverride w:ilvl="0">
      <w:startOverride w:val="285"/>
    </w:lvlOverride>
    <w:lvlOverride w:ilvl="1">
      <w:startOverride w:val="285"/>
    </w:lvlOverride>
    <w:lvlOverride w:ilvl="2">
      <w:startOverride w:val="285"/>
    </w:lvlOverride>
    <w:lvlOverride w:ilvl="3">
      <w:startOverride w:val="285"/>
    </w:lvlOverride>
    <w:lvlOverride w:ilvl="4">
      <w:startOverride w:val="285"/>
    </w:lvlOverride>
    <w:lvlOverride w:ilvl="5">
      <w:startOverride w:val="285"/>
    </w:lvlOverride>
    <w:lvlOverride w:ilvl="6">
      <w:startOverride w:val="285"/>
    </w:lvlOverride>
    <w:lvlOverride w:ilvl="7">
      <w:startOverride w:val="285"/>
    </w:lvlOverride>
    <w:lvlOverride w:ilvl="8">
      <w:startOverride w:val="285"/>
    </w:lvlOverride>
  </w:num>
  <w:num w:numId="1121">
    <w:abstractNumId w:val="9943291"/>
    <w:lvlOverride w:ilvl="0">
      <w:startOverride w:val="291"/>
    </w:lvlOverride>
    <w:lvlOverride w:ilvl="1">
      <w:startOverride w:val="291"/>
    </w:lvlOverride>
    <w:lvlOverride w:ilvl="2">
      <w:startOverride w:val="291"/>
    </w:lvlOverride>
    <w:lvlOverride w:ilvl="3">
      <w:startOverride w:val="291"/>
    </w:lvlOverride>
    <w:lvlOverride w:ilvl="4">
      <w:startOverride w:val="291"/>
    </w:lvlOverride>
    <w:lvlOverride w:ilvl="5">
      <w:startOverride w:val="291"/>
    </w:lvlOverride>
    <w:lvlOverride w:ilvl="6">
      <w:startOverride w:val="291"/>
    </w:lvlOverride>
    <w:lvlOverride w:ilvl="7">
      <w:startOverride w:val="291"/>
    </w:lvlOverride>
    <w:lvlOverride w:ilvl="8">
      <w:startOverride w:val="291"/>
    </w:lvlOverride>
  </w:num>
  <w:num w:numId="1122">
    <w:abstractNumId w:val="9943292"/>
    <w:lvlOverride w:ilvl="0">
      <w:startOverride w:val="292"/>
    </w:lvlOverride>
    <w:lvlOverride w:ilvl="1">
      <w:startOverride w:val="292"/>
    </w:lvlOverride>
    <w:lvlOverride w:ilvl="2">
      <w:startOverride w:val="292"/>
    </w:lvlOverride>
    <w:lvlOverride w:ilvl="3">
      <w:startOverride w:val="292"/>
    </w:lvlOverride>
    <w:lvlOverride w:ilvl="4">
      <w:startOverride w:val="292"/>
    </w:lvlOverride>
    <w:lvlOverride w:ilvl="5">
      <w:startOverride w:val="292"/>
    </w:lvlOverride>
    <w:lvlOverride w:ilvl="6">
      <w:startOverride w:val="292"/>
    </w:lvlOverride>
    <w:lvlOverride w:ilvl="7">
      <w:startOverride w:val="292"/>
    </w:lvlOverride>
    <w:lvlOverride w:ilvl="8">
      <w:startOverride w:val="292"/>
    </w:lvlOverride>
  </w:num>
  <w:num w:numId="1123">
    <w:abstractNumId w:val="9943294"/>
    <w:lvlOverride w:ilvl="0">
      <w:startOverride w:val="294"/>
    </w:lvlOverride>
    <w:lvlOverride w:ilvl="1">
      <w:startOverride w:val="294"/>
    </w:lvlOverride>
    <w:lvlOverride w:ilvl="2">
      <w:startOverride w:val="294"/>
    </w:lvlOverride>
    <w:lvlOverride w:ilvl="3">
      <w:startOverride w:val="294"/>
    </w:lvlOverride>
    <w:lvlOverride w:ilvl="4">
      <w:startOverride w:val="294"/>
    </w:lvlOverride>
    <w:lvlOverride w:ilvl="5">
      <w:startOverride w:val="294"/>
    </w:lvlOverride>
    <w:lvlOverride w:ilvl="6">
      <w:startOverride w:val="294"/>
    </w:lvlOverride>
    <w:lvlOverride w:ilvl="7">
      <w:startOverride w:val="294"/>
    </w:lvlOverride>
    <w:lvlOverride w:ilvl="8">
      <w:startOverride w:val="294"/>
    </w:lvlOverride>
  </w:num>
  <w:num w:numId="1124">
    <w:abstractNumId w:val="9943295"/>
    <w:lvlOverride w:ilvl="0">
      <w:startOverride w:val="295"/>
    </w:lvlOverride>
    <w:lvlOverride w:ilvl="1">
      <w:startOverride w:val="295"/>
    </w:lvlOverride>
    <w:lvlOverride w:ilvl="2">
      <w:startOverride w:val="295"/>
    </w:lvlOverride>
    <w:lvlOverride w:ilvl="3">
      <w:startOverride w:val="295"/>
    </w:lvlOverride>
    <w:lvlOverride w:ilvl="4">
      <w:startOverride w:val="295"/>
    </w:lvlOverride>
    <w:lvlOverride w:ilvl="5">
      <w:startOverride w:val="295"/>
    </w:lvlOverride>
    <w:lvlOverride w:ilvl="6">
      <w:startOverride w:val="295"/>
    </w:lvlOverride>
    <w:lvlOverride w:ilvl="7">
      <w:startOverride w:val="295"/>
    </w:lvlOverride>
    <w:lvlOverride w:ilvl="8">
      <w:startOverride w:val="295"/>
    </w:lvlOverride>
  </w:num>
  <w:num w:numId="1125">
    <w:abstractNumId w:val="9943296"/>
    <w:lvlOverride w:ilvl="0">
      <w:startOverride w:val="296"/>
    </w:lvlOverride>
    <w:lvlOverride w:ilvl="1">
      <w:startOverride w:val="296"/>
    </w:lvlOverride>
    <w:lvlOverride w:ilvl="2">
      <w:startOverride w:val="296"/>
    </w:lvlOverride>
    <w:lvlOverride w:ilvl="3">
      <w:startOverride w:val="296"/>
    </w:lvlOverride>
    <w:lvlOverride w:ilvl="4">
      <w:startOverride w:val="296"/>
    </w:lvlOverride>
    <w:lvlOverride w:ilvl="5">
      <w:startOverride w:val="296"/>
    </w:lvlOverride>
    <w:lvlOverride w:ilvl="6">
      <w:startOverride w:val="296"/>
    </w:lvlOverride>
    <w:lvlOverride w:ilvl="7">
      <w:startOverride w:val="296"/>
    </w:lvlOverride>
    <w:lvlOverride w:ilvl="8">
      <w:startOverride w:val="296"/>
    </w:lvlOverride>
  </w:num>
  <w:num w:numId="1126">
    <w:abstractNumId w:val="9943299"/>
    <w:lvlOverride w:ilvl="0">
      <w:startOverride w:val="299"/>
    </w:lvlOverride>
    <w:lvlOverride w:ilvl="1">
      <w:startOverride w:val="299"/>
    </w:lvlOverride>
    <w:lvlOverride w:ilvl="2">
      <w:startOverride w:val="299"/>
    </w:lvlOverride>
    <w:lvlOverride w:ilvl="3">
      <w:startOverride w:val="299"/>
    </w:lvlOverride>
    <w:lvlOverride w:ilvl="4">
      <w:startOverride w:val="299"/>
    </w:lvlOverride>
    <w:lvlOverride w:ilvl="5">
      <w:startOverride w:val="299"/>
    </w:lvlOverride>
    <w:lvlOverride w:ilvl="6">
      <w:startOverride w:val="299"/>
    </w:lvlOverride>
    <w:lvlOverride w:ilvl="7">
      <w:startOverride w:val="299"/>
    </w:lvlOverride>
    <w:lvlOverride w:ilvl="8">
      <w:startOverride w:val="299"/>
    </w:lvlOverride>
  </w:num>
  <w:num w:numId="1127">
    <w:abstractNumId w:val="9943300"/>
    <w:lvlOverride w:ilvl="0">
      <w:startOverride w:val="300"/>
    </w:lvlOverride>
    <w:lvlOverride w:ilvl="1">
      <w:startOverride w:val="300"/>
    </w:lvlOverride>
    <w:lvlOverride w:ilvl="2">
      <w:startOverride w:val="300"/>
    </w:lvlOverride>
    <w:lvlOverride w:ilvl="3">
      <w:startOverride w:val="300"/>
    </w:lvlOverride>
    <w:lvlOverride w:ilvl="4">
      <w:startOverride w:val="300"/>
    </w:lvlOverride>
    <w:lvlOverride w:ilvl="5">
      <w:startOverride w:val="300"/>
    </w:lvlOverride>
    <w:lvlOverride w:ilvl="6">
      <w:startOverride w:val="300"/>
    </w:lvlOverride>
    <w:lvlOverride w:ilvl="7">
      <w:startOverride w:val="300"/>
    </w:lvlOverride>
    <w:lvlOverride w:ilvl="8">
      <w:startOverride w:val="300"/>
    </w:lvlOverride>
  </w:num>
  <w:num w:numId="1128">
    <w:abstractNumId w:val="9943302"/>
    <w:lvlOverride w:ilvl="0">
      <w:startOverride w:val="302"/>
    </w:lvlOverride>
    <w:lvlOverride w:ilvl="1">
      <w:startOverride w:val="302"/>
    </w:lvlOverride>
    <w:lvlOverride w:ilvl="2">
      <w:startOverride w:val="302"/>
    </w:lvlOverride>
    <w:lvlOverride w:ilvl="3">
      <w:startOverride w:val="302"/>
    </w:lvlOverride>
    <w:lvlOverride w:ilvl="4">
      <w:startOverride w:val="302"/>
    </w:lvlOverride>
    <w:lvlOverride w:ilvl="5">
      <w:startOverride w:val="302"/>
    </w:lvlOverride>
    <w:lvlOverride w:ilvl="6">
      <w:startOverride w:val="302"/>
    </w:lvlOverride>
    <w:lvlOverride w:ilvl="7">
      <w:startOverride w:val="302"/>
    </w:lvlOverride>
    <w:lvlOverride w:ilvl="8">
      <w:startOverride w:val="302"/>
    </w:lvlOverride>
  </w:num>
  <w:num w:numId="1129">
    <w:abstractNumId w:val="9943304"/>
    <w:lvlOverride w:ilvl="0">
      <w:startOverride w:val="304"/>
    </w:lvlOverride>
    <w:lvlOverride w:ilvl="1">
      <w:startOverride w:val="304"/>
    </w:lvlOverride>
    <w:lvlOverride w:ilvl="2">
      <w:startOverride w:val="304"/>
    </w:lvlOverride>
    <w:lvlOverride w:ilvl="3">
      <w:startOverride w:val="304"/>
    </w:lvlOverride>
    <w:lvlOverride w:ilvl="4">
      <w:startOverride w:val="304"/>
    </w:lvlOverride>
    <w:lvlOverride w:ilvl="5">
      <w:startOverride w:val="304"/>
    </w:lvlOverride>
    <w:lvlOverride w:ilvl="6">
      <w:startOverride w:val="304"/>
    </w:lvlOverride>
    <w:lvlOverride w:ilvl="7">
      <w:startOverride w:val="304"/>
    </w:lvlOverride>
    <w:lvlOverride w:ilvl="8">
      <w:startOverride w:val="304"/>
    </w:lvlOverride>
  </w:num>
  <w:num w:numId="1130">
    <w:abstractNumId w:val="9943305"/>
    <w:lvlOverride w:ilvl="0">
      <w:startOverride w:val="305"/>
    </w:lvlOverride>
    <w:lvlOverride w:ilvl="1">
      <w:startOverride w:val="305"/>
    </w:lvlOverride>
    <w:lvlOverride w:ilvl="2">
      <w:startOverride w:val="305"/>
    </w:lvlOverride>
    <w:lvlOverride w:ilvl="3">
      <w:startOverride w:val="305"/>
    </w:lvlOverride>
    <w:lvlOverride w:ilvl="4">
      <w:startOverride w:val="305"/>
    </w:lvlOverride>
    <w:lvlOverride w:ilvl="5">
      <w:startOverride w:val="305"/>
    </w:lvlOverride>
    <w:lvlOverride w:ilvl="6">
      <w:startOverride w:val="305"/>
    </w:lvlOverride>
    <w:lvlOverride w:ilvl="7">
      <w:startOverride w:val="305"/>
    </w:lvlOverride>
    <w:lvlOverride w:ilvl="8">
      <w:startOverride w:val="305"/>
    </w:lvlOverride>
  </w:num>
  <w:num w:numId="1131">
    <w:abstractNumId w:val="9943306"/>
    <w:lvlOverride w:ilvl="0">
      <w:startOverride w:val="306"/>
    </w:lvlOverride>
    <w:lvlOverride w:ilvl="1">
      <w:startOverride w:val="306"/>
    </w:lvlOverride>
    <w:lvlOverride w:ilvl="2">
      <w:startOverride w:val="306"/>
    </w:lvlOverride>
    <w:lvlOverride w:ilvl="3">
      <w:startOverride w:val="306"/>
    </w:lvlOverride>
    <w:lvlOverride w:ilvl="4">
      <w:startOverride w:val="306"/>
    </w:lvlOverride>
    <w:lvlOverride w:ilvl="5">
      <w:startOverride w:val="306"/>
    </w:lvlOverride>
    <w:lvlOverride w:ilvl="6">
      <w:startOverride w:val="306"/>
    </w:lvlOverride>
    <w:lvlOverride w:ilvl="7">
      <w:startOverride w:val="306"/>
    </w:lvlOverride>
    <w:lvlOverride w:ilvl="8">
      <w:startOverride w:val="306"/>
    </w:lvlOverride>
  </w:num>
  <w:num w:numId="1132">
    <w:abstractNumId w:val="9943308"/>
    <w:lvlOverride w:ilvl="0">
      <w:startOverride w:val="308"/>
    </w:lvlOverride>
    <w:lvlOverride w:ilvl="1">
      <w:startOverride w:val="308"/>
    </w:lvlOverride>
    <w:lvlOverride w:ilvl="2">
      <w:startOverride w:val="308"/>
    </w:lvlOverride>
    <w:lvlOverride w:ilvl="3">
      <w:startOverride w:val="308"/>
    </w:lvlOverride>
    <w:lvlOverride w:ilvl="4">
      <w:startOverride w:val="308"/>
    </w:lvlOverride>
    <w:lvlOverride w:ilvl="5">
      <w:startOverride w:val="308"/>
    </w:lvlOverride>
    <w:lvlOverride w:ilvl="6">
      <w:startOverride w:val="308"/>
    </w:lvlOverride>
    <w:lvlOverride w:ilvl="7">
      <w:startOverride w:val="308"/>
    </w:lvlOverride>
    <w:lvlOverride w:ilvl="8">
      <w:startOverride w:val="308"/>
    </w:lvlOverride>
  </w:num>
  <w:num w:numId="1133">
    <w:abstractNumId w:val="9943310"/>
    <w:lvlOverride w:ilvl="0">
      <w:startOverride w:val="310"/>
    </w:lvlOverride>
    <w:lvlOverride w:ilvl="1">
      <w:startOverride w:val="310"/>
    </w:lvlOverride>
    <w:lvlOverride w:ilvl="2">
      <w:startOverride w:val="310"/>
    </w:lvlOverride>
    <w:lvlOverride w:ilvl="3">
      <w:startOverride w:val="310"/>
    </w:lvlOverride>
    <w:lvlOverride w:ilvl="4">
      <w:startOverride w:val="310"/>
    </w:lvlOverride>
    <w:lvlOverride w:ilvl="5">
      <w:startOverride w:val="310"/>
    </w:lvlOverride>
    <w:lvlOverride w:ilvl="6">
      <w:startOverride w:val="310"/>
    </w:lvlOverride>
    <w:lvlOverride w:ilvl="7">
      <w:startOverride w:val="310"/>
    </w:lvlOverride>
    <w:lvlOverride w:ilvl="8">
      <w:startOverride w:val="310"/>
    </w:lvlOverride>
  </w:num>
  <w:num w:numId="1134">
    <w:abstractNumId w:val="9943314"/>
    <w:lvlOverride w:ilvl="0">
      <w:startOverride w:val="314"/>
    </w:lvlOverride>
    <w:lvlOverride w:ilvl="1">
      <w:startOverride w:val="314"/>
    </w:lvlOverride>
    <w:lvlOverride w:ilvl="2">
      <w:startOverride w:val="314"/>
    </w:lvlOverride>
    <w:lvlOverride w:ilvl="3">
      <w:startOverride w:val="314"/>
    </w:lvlOverride>
    <w:lvlOverride w:ilvl="4">
      <w:startOverride w:val="314"/>
    </w:lvlOverride>
    <w:lvlOverride w:ilvl="5">
      <w:startOverride w:val="314"/>
    </w:lvlOverride>
    <w:lvlOverride w:ilvl="6">
      <w:startOverride w:val="314"/>
    </w:lvlOverride>
    <w:lvlOverride w:ilvl="7">
      <w:startOverride w:val="314"/>
    </w:lvlOverride>
    <w:lvlOverride w:ilvl="8">
      <w:startOverride w:val="314"/>
    </w:lvlOverride>
  </w:num>
  <w:num w:numId="1135">
    <w:abstractNumId w:val="9943315"/>
    <w:lvlOverride w:ilvl="0">
      <w:startOverride w:val="315"/>
    </w:lvlOverride>
    <w:lvlOverride w:ilvl="1">
      <w:startOverride w:val="315"/>
    </w:lvlOverride>
    <w:lvlOverride w:ilvl="2">
      <w:startOverride w:val="315"/>
    </w:lvlOverride>
    <w:lvlOverride w:ilvl="3">
      <w:startOverride w:val="315"/>
    </w:lvlOverride>
    <w:lvlOverride w:ilvl="4">
      <w:startOverride w:val="315"/>
    </w:lvlOverride>
    <w:lvlOverride w:ilvl="5">
      <w:startOverride w:val="315"/>
    </w:lvlOverride>
    <w:lvlOverride w:ilvl="6">
      <w:startOverride w:val="315"/>
    </w:lvlOverride>
    <w:lvlOverride w:ilvl="7">
      <w:startOverride w:val="315"/>
    </w:lvlOverride>
    <w:lvlOverride w:ilvl="8">
      <w:startOverride w:val="315"/>
    </w:lvlOverride>
  </w:num>
  <w:num w:numId="1136">
    <w:abstractNumId w:val="9943317"/>
    <w:lvlOverride w:ilvl="0">
      <w:startOverride w:val="317"/>
    </w:lvlOverride>
    <w:lvlOverride w:ilvl="1">
      <w:startOverride w:val="317"/>
    </w:lvlOverride>
    <w:lvlOverride w:ilvl="2">
      <w:startOverride w:val="317"/>
    </w:lvlOverride>
    <w:lvlOverride w:ilvl="3">
      <w:startOverride w:val="317"/>
    </w:lvlOverride>
    <w:lvlOverride w:ilvl="4">
      <w:startOverride w:val="317"/>
    </w:lvlOverride>
    <w:lvlOverride w:ilvl="5">
      <w:startOverride w:val="317"/>
    </w:lvlOverride>
    <w:lvlOverride w:ilvl="6">
      <w:startOverride w:val="317"/>
    </w:lvlOverride>
    <w:lvlOverride w:ilvl="7">
      <w:startOverride w:val="317"/>
    </w:lvlOverride>
    <w:lvlOverride w:ilvl="8">
      <w:startOverride w:val="317"/>
    </w:lvlOverride>
  </w:num>
  <w:num w:numId="1137">
    <w:abstractNumId w:val="9943319"/>
    <w:lvlOverride w:ilvl="0">
      <w:startOverride w:val="319"/>
    </w:lvlOverride>
    <w:lvlOverride w:ilvl="1">
      <w:startOverride w:val="319"/>
    </w:lvlOverride>
    <w:lvlOverride w:ilvl="2">
      <w:startOverride w:val="319"/>
    </w:lvlOverride>
    <w:lvlOverride w:ilvl="3">
      <w:startOverride w:val="319"/>
    </w:lvlOverride>
    <w:lvlOverride w:ilvl="4">
      <w:startOverride w:val="319"/>
    </w:lvlOverride>
    <w:lvlOverride w:ilvl="5">
      <w:startOverride w:val="319"/>
    </w:lvlOverride>
    <w:lvlOverride w:ilvl="6">
      <w:startOverride w:val="319"/>
    </w:lvlOverride>
    <w:lvlOverride w:ilvl="7">
      <w:startOverride w:val="319"/>
    </w:lvlOverride>
    <w:lvlOverride w:ilvl="8">
      <w:startOverride w:val="319"/>
    </w:lvlOverride>
  </w:num>
  <w:num w:numId="1138">
    <w:abstractNumId w:val="9943320"/>
    <w:lvlOverride w:ilvl="0">
      <w:startOverride w:val="320"/>
    </w:lvlOverride>
    <w:lvlOverride w:ilvl="1">
      <w:startOverride w:val="320"/>
    </w:lvlOverride>
    <w:lvlOverride w:ilvl="2">
      <w:startOverride w:val="320"/>
    </w:lvlOverride>
    <w:lvlOverride w:ilvl="3">
      <w:startOverride w:val="320"/>
    </w:lvlOverride>
    <w:lvlOverride w:ilvl="4">
      <w:startOverride w:val="320"/>
    </w:lvlOverride>
    <w:lvlOverride w:ilvl="5">
      <w:startOverride w:val="320"/>
    </w:lvlOverride>
    <w:lvlOverride w:ilvl="6">
      <w:startOverride w:val="320"/>
    </w:lvlOverride>
    <w:lvlOverride w:ilvl="7">
      <w:startOverride w:val="320"/>
    </w:lvlOverride>
    <w:lvlOverride w:ilvl="8">
      <w:startOverride w:val="320"/>
    </w:lvlOverride>
  </w:num>
  <w:num w:numId="1139">
    <w:abstractNumId w:val="9943321"/>
    <w:lvlOverride w:ilvl="0">
      <w:startOverride w:val="321"/>
    </w:lvlOverride>
    <w:lvlOverride w:ilvl="1">
      <w:startOverride w:val="321"/>
    </w:lvlOverride>
    <w:lvlOverride w:ilvl="2">
      <w:startOverride w:val="321"/>
    </w:lvlOverride>
    <w:lvlOverride w:ilvl="3">
      <w:startOverride w:val="321"/>
    </w:lvlOverride>
    <w:lvlOverride w:ilvl="4">
      <w:startOverride w:val="321"/>
    </w:lvlOverride>
    <w:lvlOverride w:ilvl="5">
      <w:startOverride w:val="321"/>
    </w:lvlOverride>
    <w:lvlOverride w:ilvl="6">
      <w:startOverride w:val="321"/>
    </w:lvlOverride>
    <w:lvlOverride w:ilvl="7">
      <w:startOverride w:val="321"/>
    </w:lvlOverride>
    <w:lvlOverride w:ilvl="8">
      <w:startOverride w:val="321"/>
    </w:lvlOverride>
  </w:num>
  <w:num w:numId="114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2">
    <w:abstractNumId w:val="9943322"/>
    <w:lvlOverride w:ilvl="0">
      <w:startOverride w:val="322"/>
    </w:lvlOverride>
    <w:lvlOverride w:ilvl="1">
      <w:startOverride w:val="322"/>
    </w:lvlOverride>
    <w:lvlOverride w:ilvl="2">
      <w:startOverride w:val="322"/>
    </w:lvlOverride>
    <w:lvlOverride w:ilvl="3">
      <w:startOverride w:val="322"/>
    </w:lvlOverride>
    <w:lvlOverride w:ilvl="4">
      <w:startOverride w:val="322"/>
    </w:lvlOverride>
    <w:lvlOverride w:ilvl="5">
      <w:startOverride w:val="322"/>
    </w:lvlOverride>
    <w:lvlOverride w:ilvl="6">
      <w:startOverride w:val="322"/>
    </w:lvlOverride>
    <w:lvlOverride w:ilvl="7">
      <w:startOverride w:val="322"/>
    </w:lvlOverride>
    <w:lvlOverride w:ilvl="8">
      <w:startOverride w:val="322"/>
    </w:lvlOverride>
  </w:num>
  <w:num w:numId="1143">
    <w:abstractNumId w:val="9943323"/>
    <w:lvlOverride w:ilvl="0">
      <w:startOverride w:val="323"/>
    </w:lvlOverride>
    <w:lvlOverride w:ilvl="1">
      <w:startOverride w:val="323"/>
    </w:lvlOverride>
    <w:lvlOverride w:ilvl="2">
      <w:startOverride w:val="323"/>
    </w:lvlOverride>
    <w:lvlOverride w:ilvl="3">
      <w:startOverride w:val="323"/>
    </w:lvlOverride>
    <w:lvlOverride w:ilvl="4">
      <w:startOverride w:val="323"/>
    </w:lvlOverride>
    <w:lvlOverride w:ilvl="5">
      <w:startOverride w:val="323"/>
    </w:lvlOverride>
    <w:lvlOverride w:ilvl="6">
      <w:startOverride w:val="323"/>
    </w:lvlOverride>
    <w:lvlOverride w:ilvl="7">
      <w:startOverride w:val="323"/>
    </w:lvlOverride>
    <w:lvlOverride w:ilvl="8">
      <w:startOverride w:val="323"/>
    </w:lvlOverride>
  </w:num>
  <w:num w:numId="1144">
    <w:abstractNumId w:val="9943326"/>
    <w:lvlOverride w:ilvl="0">
      <w:startOverride w:val="326"/>
    </w:lvlOverride>
    <w:lvlOverride w:ilvl="1">
      <w:startOverride w:val="326"/>
    </w:lvlOverride>
    <w:lvlOverride w:ilvl="2">
      <w:startOverride w:val="326"/>
    </w:lvlOverride>
    <w:lvlOverride w:ilvl="3">
      <w:startOverride w:val="326"/>
    </w:lvlOverride>
    <w:lvlOverride w:ilvl="4">
      <w:startOverride w:val="326"/>
    </w:lvlOverride>
    <w:lvlOverride w:ilvl="5">
      <w:startOverride w:val="326"/>
    </w:lvlOverride>
    <w:lvlOverride w:ilvl="6">
      <w:startOverride w:val="326"/>
    </w:lvlOverride>
    <w:lvlOverride w:ilvl="7">
      <w:startOverride w:val="326"/>
    </w:lvlOverride>
    <w:lvlOverride w:ilvl="8">
      <w:startOverride w:val="326"/>
    </w:lvlOverride>
  </w:num>
  <w:num w:numId="1145">
    <w:abstractNumId w:val="9943328"/>
    <w:lvlOverride w:ilvl="0">
      <w:startOverride w:val="328"/>
    </w:lvlOverride>
    <w:lvlOverride w:ilvl="1">
      <w:startOverride w:val="328"/>
    </w:lvlOverride>
    <w:lvlOverride w:ilvl="2">
      <w:startOverride w:val="328"/>
    </w:lvlOverride>
    <w:lvlOverride w:ilvl="3">
      <w:startOverride w:val="328"/>
    </w:lvlOverride>
    <w:lvlOverride w:ilvl="4">
      <w:startOverride w:val="328"/>
    </w:lvlOverride>
    <w:lvlOverride w:ilvl="5">
      <w:startOverride w:val="328"/>
    </w:lvlOverride>
    <w:lvlOverride w:ilvl="6">
      <w:startOverride w:val="328"/>
    </w:lvlOverride>
    <w:lvlOverride w:ilvl="7">
      <w:startOverride w:val="328"/>
    </w:lvlOverride>
    <w:lvlOverride w:ilvl="8">
      <w:startOverride w:val="32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2026-07-31T16:48:28Z</dcterms:created>
  <dcterms:modified xsi:type="dcterms:W3CDTF">2026-07-31T16:48:28Z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