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6.2.2024</w:t>
      </w:r>
      <w:r>
        <w:br/>
      </w:r>
      <w:r>
        <w:t xml:space="preserve">SWD(2024) 63 final</w:t>
      </w:r>
      <w:r>
        <w:t xml:space="preserve"> </w:t>
      </w:r>
      <w:r>
        <w:t xml:space="preserve">PART 4/5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Part 4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COMMUNICATION FROM THE COMMISSION TO THE EUROPEAN</w:t>
      </w:r>
      <w:r>
        <w:t xml:space="preserve"> </w:t>
      </w:r>
      <w:r>
        <w:t xml:space="preserve">PARLIAMENT, THE COUNCIL, THE EUROPEAN ECONOMIC AND SOCIAL</w:t>
      </w:r>
      <w:r>
        <w:t xml:space="preserve"> </w:t>
      </w:r>
      <w:r>
        <w:t xml:space="preserve">COMMITTEE AND THE COMMITTEE OF THE REGIONS</w:t>
      </w:r>
    </w:p>
    <w:p>
      <w:pPr>
        <w:pStyle w:val="BodyText"/>
      </w:pPr>
      <w:r>
        <w:t xml:space="preserve">Securing our future</w:t>
      </w:r>
      <w:r>
        <w:br/>
      </w:r>
      <w:r>
        <w:t xml:space="preserve">Europe’s 2040 climate target and path to climate neutrality by 2050 building a</w:t>
      </w:r>
      <w:r>
        <w:t xml:space="preserve"> </w:t>
      </w:r>
      <w:r>
        <w:t xml:space="preserve">sustainable, just and prosperous society</w:t>
      </w:r>
      <w:r>
        <w:t xml:space="preserve"> </w:t>
      </w:r>
      <w:r>
        <w:t xml:space="preserve">{COM(2024) 63 final} - {SEC(2024) 64 final} - {SWD(2024) 64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9: ENABLING FRAMEWORK …………………………………………………………………………………………………… 3</w:t>
      </w:r>
      <w:r>
        <w:t xml:space="preserve"> </w:t>
      </w:r>
      <w:r>
        <w:t xml:space="preserve">1</w:t>
      </w:r>
      <w:r>
        <w:t xml:space="preserve"> </w:t>
      </w:r>
      <w:r>
        <w:t xml:space="preserve">THE INTERNATIONAL DIMENSION …………………………………………………………………………………………….. 3</w:t>
      </w:r>
      <w:r>
        <w:t xml:space="preserve"> </w:t>
      </w:r>
      <w:r>
        <w:t xml:space="preserve">1.1</w:t>
      </w:r>
      <w:r>
        <w:t xml:space="preserve"> </w:t>
      </w:r>
      <w:r>
        <w:t xml:space="preserve">CLIMATE AND ENERGY DIPLOMACY RAISON D’ÊTRE ………………………………………………………………………………….. 3</w:t>
      </w:r>
      <w:r>
        <w:t xml:space="preserve"> </w:t>
      </w:r>
      <w:r>
        <w:t xml:space="preserve">1.2</w:t>
      </w:r>
      <w:r>
        <w:t xml:space="preserve"> </w:t>
      </w:r>
      <w:r>
        <w:t xml:space="preserve">CLIMATE DIPLOMACY INSTRUMENTS …………………………………………………………………………………………………… 5</w:t>
      </w:r>
      <w:r>
        <w:t xml:space="preserve"> </w:t>
      </w:r>
      <w:r>
        <w:t xml:space="preserve">1.3</w:t>
      </w:r>
      <w:r>
        <w:t xml:space="preserve"> </w:t>
      </w:r>
      <w:r>
        <w:t xml:space="preserve">ENGAGEMENT OF THE EU IN MULTILATERAL FORA …………………………………………………………………………………… 5</w:t>
      </w:r>
      <w:r>
        <w:t xml:space="preserve"> </w:t>
      </w:r>
      <w:r>
        <w:t xml:space="preserve">1.4</w:t>
      </w:r>
      <w:r>
        <w:t xml:space="preserve"> </w:t>
      </w:r>
      <w:r>
        <w:t xml:space="preserve">CLIMATE CHANGE AND INTERNATIONAL SECURITY ……………………………………………………………………………………. 7</w:t>
      </w:r>
      <w:r>
        <w:t xml:space="preserve"> </w:t>
      </w:r>
      <w:r>
        <w:t xml:space="preserve">1.5</w:t>
      </w:r>
      <w:r>
        <w:t xml:space="preserve"> </w:t>
      </w:r>
      <w:r>
        <w:t xml:space="preserve">CLIMATE CHANGE AND TRADE…………………………………………………………………………………………………………… 7</w:t>
      </w:r>
      <w:r>
        <w:t xml:space="preserve"> </w:t>
      </w:r>
      <w:r>
        <w:t xml:space="preserve">1.5.1</w:t>
      </w:r>
      <w:r>
        <w:t xml:space="preserve"> </w:t>
      </w:r>
      <w:r>
        <w:t xml:space="preserve">Trade policy ……………………………………………………………………………………………………………………. 7</w:t>
      </w:r>
      <w:r>
        <w:t xml:space="preserve"> </w:t>
      </w:r>
      <w:r>
        <w:t xml:space="preserve">1.5.2</w:t>
      </w:r>
      <w:r>
        <w:t xml:space="preserve"> </w:t>
      </w:r>
      <w:r>
        <w:t xml:space="preserve">Emissions accounting ………………………………………………………………………………………………………. 8</w:t>
      </w:r>
      <w:r>
        <w:t xml:space="preserve"> </w:t>
      </w:r>
      <w:r>
        <w:t xml:space="preserve">1.6</w:t>
      </w:r>
      <w:r>
        <w:t xml:space="preserve"> </w:t>
      </w:r>
      <w:r>
        <w:t xml:space="preserve">GLOBAL COMPETITION FOR RAW MATERIALS ……………………………………………………………………………………….. 10</w:t>
      </w:r>
      <w:r>
        <w:t xml:space="preserve"> </w:t>
      </w:r>
      <w:r>
        <w:t xml:space="preserve">2</w:t>
      </w:r>
      <w:r>
        <w:t xml:space="preserve"> </w:t>
      </w:r>
      <w:r>
        <w:t xml:space="preserve">AN INDUSTRIAL STRATEGY …………………………………………………………………………………………………….. 13</w:t>
      </w:r>
      <w:r>
        <w:t xml:space="preserve"> </w:t>
      </w:r>
      <w:r>
        <w:t xml:space="preserve">2.1</w:t>
      </w:r>
      <w:r>
        <w:t xml:space="preserve"> </w:t>
      </w:r>
      <w:r>
        <w:t xml:space="preserve">THE GREEN DEAL INDUSTRIAL PLAN …………………………………………………………………………………………………. 13</w:t>
      </w:r>
      <w:r>
        <w:t xml:space="preserve"> </w:t>
      </w:r>
      <w:r>
        <w:t xml:space="preserve">2.2</w:t>
      </w:r>
      <w:r>
        <w:t xml:space="preserve"> </w:t>
      </w:r>
      <w:r>
        <w:t xml:space="preserve">ENERGY MEASURES SUPPORTING INDUSTRY …………………………………………………………………………………………. 16</w:t>
      </w:r>
      <w:r>
        <w:t xml:space="preserve"> </w:t>
      </w:r>
      <w:r>
        <w:t xml:space="preserve">2.3</w:t>
      </w:r>
      <w:r>
        <w:t xml:space="preserve"> </w:t>
      </w:r>
      <w:r>
        <w:t xml:space="preserve">CIRCULAR ECONOMY AND SUSTAINABLE PRODUCTS ………………………………………………………………………………… 18</w:t>
      </w:r>
      <w:r>
        <w:t xml:space="preserve"> </w:t>
      </w:r>
      <w:r>
        <w:t xml:space="preserve">2.4</w:t>
      </w:r>
      <w:r>
        <w:t xml:space="preserve"> </w:t>
      </w:r>
      <w:r>
        <w:t xml:space="preserve">INDUSTRIAL CARBON MANAGEMENT STRATEGY …………………………………………………………………………………….. 20</w:t>
      </w:r>
      <w:r>
        <w:t xml:space="preserve"> </w:t>
      </w:r>
      <w:r>
        <w:t xml:space="preserve">2.5</w:t>
      </w:r>
      <w:r>
        <w:t xml:space="preserve"> </w:t>
      </w:r>
      <w:r>
        <w:t xml:space="preserve">ALIGNING INVESTMENTS WITH CLIMATE NEUTRALITY ………………………………………………………………………………. 21</w:t>
      </w:r>
      <w:r>
        <w:t xml:space="preserve"> </w:t>
      </w:r>
      <w:r>
        <w:t xml:space="preserve">2.6</w:t>
      </w:r>
      <w:r>
        <w:t xml:space="preserve"> </w:t>
      </w:r>
      <w:r>
        <w:t xml:space="preserve">RESEARCH, DEVELOPMENT, AND INNOVATION ……………………………………………………………………………………… 24</w:t>
      </w:r>
      <w:r>
        <w:t xml:space="preserve"> </w:t>
      </w:r>
      <w:r>
        <w:t xml:space="preserve">2.6.1</w:t>
      </w:r>
      <w:r>
        <w:t xml:space="preserve"> </w:t>
      </w:r>
      <w:r>
        <w:t xml:space="preserve">Role of research and innovation ………………………………………………………………………………………. 24</w:t>
      </w:r>
      <w:r>
        <w:t xml:space="preserve"> </w:t>
      </w:r>
      <w:r>
        <w:t xml:space="preserve">2.6.2</w:t>
      </w:r>
      <w:r>
        <w:t xml:space="preserve"> </w:t>
      </w:r>
      <w:r>
        <w:t xml:space="preserve">Research, development, and innovation for the Green Transition ………………………………………… 25</w:t>
      </w:r>
      <w:r>
        <w:t xml:space="preserve"> </w:t>
      </w:r>
      <w:r>
        <w:t xml:space="preserve">2.6.3</w:t>
      </w:r>
      <w:r>
        <w:t xml:space="preserve"> </w:t>
      </w:r>
      <w:r>
        <w:t xml:space="preserve">Advancing the European RDI system ………………………………………………………………………………… 30</w:t>
      </w:r>
      <w:r>
        <w:t xml:space="preserve"> </w:t>
      </w:r>
      <w:r>
        <w:t xml:space="preserve">2.7</w:t>
      </w:r>
      <w:r>
        <w:t xml:space="preserve"> </w:t>
      </w:r>
      <w:r>
        <w:t xml:space="preserve">SMES…………………………………………………………………………………………………………………………………….. 35</w:t>
      </w:r>
      <w:r>
        <w:t xml:space="preserve"> </w:t>
      </w:r>
      <w:r>
        <w:t xml:space="preserve">3</w:t>
      </w:r>
      <w:r>
        <w:t xml:space="preserve"> </w:t>
      </w:r>
      <w:r>
        <w:t xml:space="preserve">AN INCLUSIVE AGENDA …………………………………………………………………………………………………………. 36</w:t>
      </w:r>
      <w:r>
        <w:t xml:space="preserve"> </w:t>
      </w:r>
      <w:r>
        <w:t xml:space="preserve">3.1</w:t>
      </w:r>
      <w:r>
        <w:t xml:space="preserve"> </w:t>
      </w:r>
      <w:r>
        <w:t xml:space="preserve">JUST TRANSITION AND SOCIAL POLICY ………………………………………………………………………………………………… 36</w:t>
      </w:r>
      <w:r>
        <w:t xml:space="preserve"> </w:t>
      </w:r>
      <w:r>
        <w:t xml:space="preserve">3.1.1</w:t>
      </w:r>
      <w:r>
        <w:t xml:space="preserve"> </w:t>
      </w:r>
      <w:r>
        <w:t xml:space="preserve">How to accompany the transition? ………………………………………………………………………………….. 37</w:t>
      </w:r>
      <w:r>
        <w:t xml:space="preserve"> </w:t>
      </w:r>
      <w:r>
        <w:t xml:space="preserve">3.1.2</w:t>
      </w:r>
      <w:r>
        <w:t xml:space="preserve"> </w:t>
      </w:r>
      <w:r>
        <w:t xml:space="preserve">Energy and transport poverty aspects………………………………………………………………………………. 37</w:t>
      </w:r>
      <w:r>
        <w:t xml:space="preserve"> </w:t>
      </w:r>
      <w:r>
        <w:t xml:space="preserve">3.1.3</w:t>
      </w:r>
      <w:r>
        <w:t xml:space="preserve"> </w:t>
      </w:r>
      <w:r>
        <w:t xml:space="preserve">Employment and skills related aspects……………………………………………………………………………… 38</w:t>
      </w:r>
      <w:r>
        <w:t xml:space="preserve"> </w:t>
      </w:r>
      <w:r>
        <w:t xml:space="preserve">3.1.4</w:t>
      </w:r>
      <w:r>
        <w:t xml:space="preserve"> </w:t>
      </w:r>
      <w:r>
        <w:t xml:space="preserve">Strategic cooperation and communication ……………………………………………………………………….. 39</w:t>
      </w:r>
      <w:r>
        <w:t xml:space="preserve"> </w:t>
      </w:r>
      <w:r>
        <w:t xml:space="preserve">3.1.5</w:t>
      </w:r>
      <w:r>
        <w:t xml:space="preserve"> </w:t>
      </w:r>
      <w:r>
        <w:t xml:space="preserve">Examples of fair and inclusive transitions …………………………………………………………………………. 40</w:t>
      </w:r>
      <w:r>
        <w:t xml:space="preserve"> </w:t>
      </w:r>
      <w:r>
        <w:t xml:space="preserve">3.2</w:t>
      </w:r>
      <w:r>
        <w:t xml:space="preserve"> </w:t>
      </w:r>
      <w:r>
        <w:t xml:space="preserve">REGIONAL POLICY AND LOCAL ACTION ……………………………………………………………………………………………….. 41</w:t>
      </w:r>
      <w:r>
        <w:t xml:space="preserve"> </w:t>
      </w:r>
      <w:r>
        <w:t xml:space="preserve">3.2.1</w:t>
      </w:r>
      <w:r>
        <w:t xml:space="preserve"> </w:t>
      </w:r>
      <w:r>
        <w:t xml:space="preserve">Available EU funding, objectives, and strategies ……………………………………………………………….. 41</w:t>
      </w:r>
      <w:r>
        <w:t xml:space="preserve"> </w:t>
      </w:r>
      <w:r>
        <w:t xml:space="preserve">3.2.2</w:t>
      </w:r>
      <w:r>
        <w:t xml:space="preserve"> </w:t>
      </w:r>
      <w:r>
        <w:t xml:space="preserve">The EU’s cohesion policy …………………………………………………………………………………………………. 42</w:t>
      </w:r>
      <w:r>
        <w:t xml:space="preserve"> </w:t>
      </w:r>
      <w:r>
        <w:t xml:space="preserve">3.2.3</w:t>
      </w:r>
      <w:r>
        <w:t xml:space="preserve"> </w:t>
      </w:r>
      <w:r>
        <w:t xml:space="preserve">The Recovery and Resilience Facility ………………………………………………………………………………… 46</w:t>
      </w:r>
      <w:r>
        <w:t xml:space="preserve"> </w:t>
      </w:r>
      <w:r>
        <w:t xml:space="preserve">3.2.4</w:t>
      </w:r>
      <w:r>
        <w:t xml:space="preserve"> </w:t>
      </w:r>
      <w:r>
        <w:t xml:space="preserve">Other EU initiatives………………………………………………………………………………………………………… 47</w:t>
      </w:r>
      <w:r>
        <w:t xml:space="preserve"> </w:t>
      </w:r>
      <w:r>
        <w:t xml:space="preserve">3.2.5</w:t>
      </w:r>
      <w:r>
        <w:t xml:space="preserve"> </w:t>
      </w:r>
      <w:r>
        <w:t xml:space="preserve">Example of a region that has received support: the Ruhr region ………………………………………….. 49</w:t>
      </w:r>
      <w:r>
        <w:t xml:space="preserve"> </w:t>
      </w:r>
      <w:r>
        <w:t xml:space="preserve">3.3</w:t>
      </w:r>
      <w:r>
        <w:t xml:space="preserve"> </w:t>
      </w:r>
      <w:r>
        <w:t xml:space="preserve">LIFESTYLE AND INDIVIDUAL ACTION …………………………………………………………………………………………………… 50</w:t>
      </w:r>
      <w:r>
        <w:t xml:space="preserve"> </w:t>
      </w:r>
      <w:r>
        <w:t xml:space="preserve">3.3.1</w:t>
      </w:r>
      <w:r>
        <w:t xml:space="preserve"> </w:t>
      </w:r>
      <w:r>
        <w:t xml:space="preserve">Sustainable lifestyle choices ……………………………………………………………………………………………. 50</w:t>
      </w:r>
      <w:r>
        <w:t xml:space="preserve"> </w:t>
      </w:r>
      <w:r>
        <w:t xml:space="preserve">3.3.2</w:t>
      </w:r>
      <w:r>
        <w:t xml:space="preserve"> </w:t>
      </w:r>
      <w:r>
        <w:t xml:space="preserve">Sustainable food consumption ………………………………………………………………………………………… 52</w:t>
      </w:r>
      <w:r>
        <w:t xml:space="preserve"> </w:t>
      </w:r>
      <w:r>
        <w:t xml:space="preserve">4</w:t>
      </w:r>
      <w:r>
        <w:t xml:space="preserve"> </w:t>
      </w:r>
      <w:r>
        <w:t xml:space="preserve">HEALTHY NATURE AND SUSTAINABLE CIRCULAR BIOECONOMY ………………………………………………….. 53</w:t>
      </w:r>
      <w:r>
        <w:t xml:space="preserve"> </w:t>
      </w:r>
      <w:r>
        <w:t xml:space="preserve">4.1</w:t>
      </w:r>
      <w:r>
        <w:t xml:space="preserve"> </w:t>
      </w:r>
      <w:r>
        <w:t xml:space="preserve">CURRENT POLICY FRAMEWORK ON CARBON REMOVALS AND AGRICULTURE GHGS ……………………………………………. 53</w:t>
      </w:r>
      <w:r>
        <w:t xml:space="preserve"> </w:t>
      </w:r>
      <w:r>
        <w:t xml:space="preserve">4.2</w:t>
      </w:r>
      <w:r>
        <w:t xml:space="preserve"> </w:t>
      </w:r>
      <w:r>
        <w:t xml:space="preserve">REDUCING GHG EMISSIONS FROM THE LAND SECTOR …………………………………………………………………………….. 55</w:t>
      </w:r>
      <w:r>
        <w:t xml:space="preserve"> </w:t>
      </w:r>
      <w:r>
        <w:t xml:space="preserve">4.2.1</w:t>
      </w:r>
      <w:r>
        <w:t xml:space="preserve"> </w:t>
      </w:r>
      <w:r>
        <w:t xml:space="preserve">Agricultural emissions ……………………………………………………………………………………………………. 55</w:t>
      </w:r>
      <w:r>
        <w:t xml:space="preserve"> </w:t>
      </w:r>
      <w:r>
        <w:t xml:space="preserve">4.2.2</w:t>
      </w:r>
      <w:r>
        <w:t xml:space="preserve"> </w:t>
      </w:r>
      <w:r>
        <w:t xml:space="preserve">Halt and reverse the loss of soil carbon …………………………………………………………………………….. 55</w:t>
      </w:r>
      <w:r>
        <w:t xml:space="preserve"> </w:t>
      </w:r>
      <w:r>
        <w:t xml:space="preserve">4.2.3</w:t>
      </w:r>
      <w:r>
        <w:t xml:space="preserve"> </w:t>
      </w:r>
      <w:r>
        <w:t xml:space="preserve">Increase forest carbon sinks ……………………………………………………………………………………………. 56</w:t>
      </w:r>
      <w:r>
        <w:t xml:space="preserve"> </w:t>
      </w:r>
      <w:r>
        <w:t xml:space="preserve">4.3</w:t>
      </w:r>
      <w:r>
        <w:t xml:space="preserve"> </w:t>
      </w:r>
      <w:r>
        <w:t xml:space="preserve">PRESERVE AND RESTORE BIODIVERSE ECOSYSTEMS …………………………………………………………………………………. 56</w:t>
      </w:r>
      <w:r>
        <w:t xml:space="preserve"> </w:t>
      </w:r>
      <w:r>
        <w:t xml:space="preserve">4.4</w:t>
      </w:r>
      <w:r>
        <w:t xml:space="preserve"> </w:t>
      </w:r>
      <w:r>
        <w:t xml:space="preserve">INVESTMENT NEEDS FOR BIODIVERSITY AND A SUSTAINABLE AND CIRCULAR BIOECONOMY …………………………………… 58</w:t>
      </w:r>
      <w:r>
        <w:t xml:space="preserve"> </w:t>
      </w:r>
      <w:r>
        <w:t xml:space="preserve">4.4.1</w:t>
      </w:r>
      <w:r>
        <w:t xml:space="preserve"> </w:t>
      </w:r>
      <w:r>
        <w:t xml:space="preserve">Towards biodiversity credits and payment for ecosystem services (PES) ……………………………….. 58</w:t>
      </w:r>
      <w:r>
        <w:t xml:space="preserve"> </w:t>
      </w:r>
      <w:r>
        <w:t xml:space="preserve">ANNEX 10: STATE OF PLAY OF GHG EMISSIONS AND THE ENERGY SYSTEM ……………………………………………. 61</w:t>
      </w:r>
      <w:r>
        <w:t xml:space="preserve"> </w:t>
      </w:r>
      <w:r>
        <w:t xml:space="preserve">1</w:t>
      </w:r>
      <w:r>
        <w:t xml:space="preserve"> </w:t>
      </w:r>
      <w:r>
        <w:t xml:space="preserve">TOTAL GHG EMISSIONS IN THE EU ………………………………………………………………………………………….. 61</w:t>
      </w:r>
      <w:r>
        <w:t xml:space="preserve"> </w:t>
      </w:r>
      <w:r>
        <w:t xml:space="preserve">2</w:t>
      </w:r>
      <w:r>
        <w:t xml:space="preserve"> </w:t>
      </w:r>
      <w:r>
        <w:t xml:space="preserve">EMISSIONS UNDER THE EMISSION TRADING SYSTEM ………………………………………………………………… 62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EMISSIONS UNDER THE EFFORT SHARING LEGISLATION …………………………………………………………….. 63</w:t>
      </w:r>
      <w:r>
        <w:t xml:space="preserve"> </w:t>
      </w:r>
      <w:r>
        <w:t xml:space="preserve">4</w:t>
      </w:r>
      <w:r>
        <w:t xml:space="preserve"> </w:t>
      </w:r>
      <w:r>
        <w:t xml:space="preserve">EMISSIONS UNDER THE LULUCF REGULATION…………………………………………………………………………… 64</w:t>
      </w:r>
      <w:r>
        <w:t xml:space="preserve"> </w:t>
      </w:r>
      <w:r>
        <w:t xml:space="preserve">5</w:t>
      </w:r>
      <w:r>
        <w:t xml:space="preserve"> </w:t>
      </w:r>
      <w:r>
        <w:t xml:space="preserve">RENEWABLES DEPLOYMENT UNDER THE RENEWABLE ENERGY DIRECTIVE ……………………………………. 65</w:t>
      </w:r>
      <w:r>
        <w:t xml:space="preserve"> </w:t>
      </w:r>
      <w:r>
        <w:t xml:space="preserve">6</w:t>
      </w:r>
      <w:r>
        <w:t xml:space="preserve"> </w:t>
      </w:r>
      <w:r>
        <w:t xml:space="preserve">ENERGY EFFICIENCY DIRECTIVE ………………………………………………………………………………………………. 66</w:t>
      </w:r>
      <w:r>
        <w:t xml:space="preserve"> </w:t>
      </w:r>
      <w:r>
        <w:t xml:space="preserve">ANNEX 11: THE CLIMATE POLICY FRAMEWORK CONSIDERED FOR THE ANALYSIS …………………………………… 69</w:t>
      </w:r>
      <w:r>
        <w:t xml:space="preserve"> </w:t>
      </w:r>
      <w:r>
        <w:t xml:space="preserve">1</w:t>
      </w:r>
      <w:r>
        <w:t xml:space="preserve"> </w:t>
      </w:r>
      <w:r>
        <w:t xml:space="preserve">ENERGY EFFICIENCY POLICIES …………………………………………………………………………………………………. 69</w:t>
      </w:r>
      <w:r>
        <w:t xml:space="preserve"> </w:t>
      </w:r>
      <w:r>
        <w:t xml:space="preserve">2</w:t>
      </w:r>
      <w:r>
        <w:t xml:space="preserve"> </w:t>
      </w:r>
      <w:r>
        <w:t xml:space="preserve">POWER GENERATION AND ENERGY MARKETS ………………………………………………………………………….. 70</w:t>
      </w:r>
      <w:r>
        <w:t xml:space="preserve"> </w:t>
      </w:r>
      <w:r>
        <w:t xml:space="preserve">3</w:t>
      </w:r>
      <w:r>
        <w:t xml:space="preserve"> </w:t>
      </w:r>
      <w:r>
        <w:t xml:space="preserve">CLIMATE POLICIES ………………………………………………………………………………………………………………… 71</w:t>
      </w:r>
      <w:r>
        <w:t xml:space="preserve"> </w:t>
      </w:r>
      <w:r>
        <w:t xml:space="preserve">4</w:t>
      </w:r>
      <w:r>
        <w:t xml:space="preserve"> </w:t>
      </w:r>
      <w:r>
        <w:t xml:space="preserve">TRANSPORT-RELATED POLICIES ………………………………………………………………………………………………. 72</w:t>
      </w:r>
      <w:r>
        <w:t xml:space="preserve"> </w:t>
      </w:r>
      <w:r>
        <w:t xml:space="preserve">5</w:t>
      </w:r>
      <w:r>
        <w:t xml:space="preserve"> </w:t>
      </w:r>
      <w:r>
        <w:t xml:space="preserve">INFRASTRUCTURE, INNOVATION AND RTD FUNDING ………………………………………………………………… 74</w:t>
      </w:r>
      <w:r>
        <w:t xml:space="preserve"> </w:t>
      </w:r>
      <w:r>
        <w:t xml:space="preserve">6</w:t>
      </w:r>
      <w:r>
        <w:t xml:space="preserve"> </w:t>
      </w:r>
      <w:r>
        <w:t xml:space="preserve">ENVIRONMENTAL POLICIES ……………………………………………………………………………………………………. 75</w:t>
      </w:r>
      <w:r>
        <w:t xml:space="preserve"> </w:t>
      </w:r>
      <w:r>
        <w:t xml:space="preserve">7</w:t>
      </w:r>
      <w:r>
        <w:t xml:space="preserve"> </w:t>
      </w:r>
      <w:r>
        <w:t xml:space="preserve">INTERNATIONAL POLICIES ……………………………………………………………………………………………………… 75</w:t>
      </w:r>
      <w:r>
        <w:t xml:space="preserve"> </w:t>
      </w:r>
      <w:r>
        <w:t xml:space="preserve">8</w:t>
      </w:r>
      <w:r>
        <w:t xml:space="preserve"> </w:t>
      </w:r>
      <w:r>
        <w:t xml:space="preserve">IMPLEMENTATION OF POLICIES TO REDUCE NON-CO2 GHG EMISSIONS ……………………………………….. 77</w:t>
      </w:r>
      <w:r>
        <w:t xml:space="preserve"> </w:t>
      </w:r>
      <w:r>
        <w:t xml:space="preserve">ANNEX 12: NON-CO2 CLIMATE IMPACTS OF THE NAVIGATION AND AVIATION SECTORS…………………………. 79</w:t>
      </w:r>
      <w:r>
        <w:t xml:space="preserve"> </w:t>
      </w:r>
      <w:r>
        <w:t xml:space="preserve">1</w:t>
      </w:r>
      <w:r>
        <w:t xml:space="preserve"> </w:t>
      </w:r>
      <w:r>
        <w:t xml:space="preserve">AVIATION ……………………………………………………………………………………………………………………………. 79</w:t>
      </w:r>
      <w:r>
        <w:t xml:space="preserve"> </w:t>
      </w:r>
      <w:r>
        <w:t xml:space="preserve">1.1</w:t>
      </w:r>
      <w:r>
        <w:t xml:space="preserve"> </w:t>
      </w:r>
      <w:r>
        <w:t xml:space="preserve">SCIENTIFIC EVIDENCE …………………………………………………………………………………………………………………… 79</w:t>
      </w:r>
      <w:r>
        <w:t xml:space="preserve"> </w:t>
      </w:r>
      <w:r>
        <w:t xml:space="preserve">1.2</w:t>
      </w:r>
      <w:r>
        <w:t xml:space="preserve"> </w:t>
      </w:r>
      <w:r>
        <w:t xml:space="preserve">POLICY CONTEXT AT GLOBAL AND EU LEVEL…………………………………………………………………………………………. 82</w:t>
      </w:r>
      <w:r>
        <w:t xml:space="preserve"> </w:t>
      </w:r>
      <w:r>
        <w:t xml:space="preserve">1.3</w:t>
      </w:r>
      <w:r>
        <w:t xml:space="preserve"> </w:t>
      </w:r>
      <w:r>
        <w:t xml:space="preserve">MITIGATION TECHNOLOGIES ………………………………………………………………………………………………………….. 84</w:t>
      </w:r>
      <w:r>
        <w:t xml:space="preserve"> </w:t>
      </w:r>
      <w:r>
        <w:t xml:space="preserve">1.4</w:t>
      </w:r>
      <w:r>
        <w:t xml:space="preserve"> </w:t>
      </w:r>
      <w:r>
        <w:t xml:space="preserve">NON-CO2 EFFECTS IN THE CONTEXT OF THE 2040 CLIMATE TARGET ……………………………………………………………. 84</w:t>
      </w:r>
      <w:r>
        <w:t xml:space="preserve"> </w:t>
      </w:r>
      <w:r>
        <w:t xml:space="preserve">2</w:t>
      </w:r>
      <w:r>
        <w:t xml:space="preserve"> </w:t>
      </w:r>
      <w:r>
        <w:t xml:space="preserve">NAVIGATION ……………………………………………………………………………………………………………………….. 85</w:t>
      </w:r>
      <w:r>
        <w:t xml:space="preserve"> </w:t>
      </w:r>
      <w:r>
        <w:t xml:space="preserve">2.1</w:t>
      </w:r>
      <w:r>
        <w:t xml:space="preserve"> </w:t>
      </w:r>
      <w:r>
        <w:t xml:space="preserve">SCIENTIFIC EVIDENCE …………………………………………………………………………………………………………………… 85</w:t>
      </w:r>
      <w:r>
        <w:t xml:space="preserve"> </w:t>
      </w:r>
      <w:r>
        <w:t xml:space="preserve">2.2</w:t>
      </w:r>
      <w:r>
        <w:t xml:space="preserve"> </w:t>
      </w:r>
      <w:r>
        <w:t xml:space="preserve">POLICY CONTEXT AT EU AND GLOBAL LEVEL …………………………………………………………………………………………. 87</w:t>
      </w:r>
      <w:r>
        <w:t xml:space="preserve"> </w:t>
      </w:r>
      <w:r>
        <w:t xml:space="preserve">2.3</w:t>
      </w:r>
      <w:r>
        <w:t xml:space="preserve"> </w:t>
      </w:r>
      <w:r>
        <w:t xml:space="preserve">MITIGATION OPTIONS AND TECHNOLOGIES …………………………………………………………………………………………. 88</w:t>
      </w:r>
      <w:r>
        <w:t xml:space="preserve"> </w:t>
      </w:r>
      <w:r>
        <w:t xml:space="preserve">2.4</w:t>
      </w:r>
      <w:r>
        <w:t xml:space="preserve"> </w:t>
      </w:r>
      <w:r>
        <w:t xml:space="preserve">NON-CO2 EFFECTS IN THE CONTEXT OF THE 2040 CLIMATE TARGET ……………………………………………………………. 89</w:t>
      </w:r>
      <w:r>
        <w:t xml:space="preserve"> </w:t>
      </w:r>
      <w:r>
        <w:t xml:space="preserve">ANNEX 13: LITERATURE REVIEW OF 2040 NET GHG REDUCTIONS ………………………………………………………… 91</w:t>
      </w:r>
      <w:r>
        <w:t xml:space="preserve"> </w:t>
      </w:r>
      <w:r>
        <w:t xml:space="preserve">TABLE OF FIGURES………………………………………………………………………………………………………………………… 95</w:t>
      </w:r>
      <w:r>
        <w:t xml:space="preserve"> </w:t>
      </w:r>
      <w:r>
        <w:t xml:space="preserve">TABLE OF TABLES …………………………………………………………………………………………………………………………. 95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9: Enabling framework</w:t>
      </w:r>
      <w:r>
        <w:t xml:space="preserve"> </w:t>
      </w:r>
      <w:r>
        <w:t xml:space="preserve">1</w:t>
      </w:r>
      <w:r>
        <w:t xml:space="preserve"> </w:t>
      </w:r>
      <w:r>
        <w:t xml:space="preserve">THE INTERNATIONAL DIMENSION</w:t>
      </w:r>
      <w:r>
        <w:t xml:space="preserve"> </w:t>
      </w:r>
      <w:r>
        <w:t xml:space="preserve">The consequences of the triple planetary crisis of climate change, biodiversity loss and</w:t>
      </w:r>
      <w:r>
        <w:t xml:space="preserve"> </w:t>
      </w:r>
      <w:r>
        <w:t xml:space="preserve">pollution pose an existential threat, particularly to the most vulnerable. All regions and</w:t>
      </w:r>
      <w:r>
        <w:t xml:space="preserve"> </w:t>
      </w:r>
      <w:r>
        <w:t xml:space="preserve">citizens are directly affected by climate change, for example through job losses in climate-</w:t>
      </w:r>
      <w:r>
        <w:t xml:space="preserve"> </w:t>
      </w:r>
      <w:r>
        <w:t xml:space="preserve">affected sectors such as agriculture, fisheries, and tourism. Unequal exposure and</w:t>
      </w:r>
      <w:r>
        <w:t xml:space="preserve"> </w:t>
      </w:r>
      <w:r>
        <w:t xml:space="preserve">vulnerability to climate and environmental impacts of different regions and socio-economic</w:t>
      </w:r>
      <w:r>
        <w:t xml:space="preserve"> </w:t>
      </w:r>
      <w:r>
        <w:t xml:space="preserve">groups worsens pre-existing inequalities and vulnerabilities. Yet, the impacts of climate</w:t>
      </w:r>
      <w:r>
        <w:t xml:space="preserve"> </w:t>
      </w:r>
      <w:r>
        <w:t xml:space="preserve">change are not neutral, as for instance older people, persons with disabilities, displaced</w:t>
      </w:r>
      <w:r>
        <w:t xml:space="preserve"> </w:t>
      </w:r>
      <w:r>
        <w:t xml:space="preserve">persons, or socially marginalised have different or less adaptive capabilities. The planet is</w:t>
      </w:r>
      <w:r>
        <w:t xml:space="preserve"> </w:t>
      </w:r>
      <w:r>
        <w:t xml:space="preserve">warming at a higher speed than expected and all countries are affected by the impacts of</w:t>
      </w:r>
      <w:r>
        <w:t xml:space="preserve"> </w:t>
      </w:r>
      <w:r>
        <w:t xml:space="preserve">climate change. Russia’s war of aggression against Ukraine has caused human suffering and</w:t>
      </w:r>
      <w:r>
        <w:t xml:space="preserve"> </w:t>
      </w:r>
      <w:r>
        <w:t xml:space="preserve">massive environmental damage, increased risks to nuclear safety in Ukraine and precipitated</w:t>
      </w:r>
      <w:r>
        <w:t xml:space="preserve"> </w:t>
      </w:r>
      <w:r>
        <w:t xml:space="preserve">an energy and food crisis with global impacts.</w:t>
      </w:r>
      <w:r>
        <w:br/>
      </w:r>
      <w:r>
        <w:t xml:space="preserve">As a consequence of the international commitments under the Paris Agreement, and to</w:t>
      </w:r>
      <w:r>
        <w:t xml:space="preserve"> </w:t>
      </w:r>
      <w:r>
        <w:t xml:space="preserve">address the above-mentioned problems, a technological revolution is taking place, with</w:t>
      </w:r>
      <w:r>
        <w:t xml:space="preserve"> </w:t>
      </w:r>
      <w:r>
        <w:t xml:space="preserve">massive investments in renewable energies in developed countries and in China, and in</w:t>
      </w:r>
      <w:r>
        <w:t xml:space="preserve"> </w:t>
      </w:r>
      <w:r>
        <w:t xml:space="preserve">decarbonisation in most of the industrialised economies. With more ambitious environmental</w:t>
      </w:r>
      <w:r>
        <w:t xml:space="preserve"> </w:t>
      </w:r>
      <w:r>
        <w:t xml:space="preserve">and climate policies in developed countries, the markets and investments are evolving, which</w:t>
      </w:r>
      <w:r>
        <w:t xml:space="preserve"> </w:t>
      </w:r>
      <w:r>
        <w:t xml:space="preserve">requires an adaptation of production processes across value chains, thereby creating new gaps</w:t>
      </w:r>
      <w:r>
        <w:t xml:space="preserve"> </w:t>
      </w:r>
      <w:r>
        <w:t xml:space="preserve">between frontrunners and the others and possible new dependencies. This is mobilising</w:t>
      </w:r>
      <w:r>
        <w:t xml:space="preserve"> </w:t>
      </w:r>
      <w:r>
        <w:t xml:space="preserve">governments in different regions of the world, looking for reference models, expertise, and</w:t>
      </w:r>
      <w:r>
        <w:t xml:space="preserve"> </w:t>
      </w:r>
      <w:r>
        <w:t xml:space="preserve">finance for developing greener production processes, diversifying their supply chains, and</w:t>
      </w:r>
      <w:r>
        <w:t xml:space="preserve"> </w:t>
      </w:r>
      <w:r>
        <w:t xml:space="preserve">maintaining their access to markets, while reducing pollution and providing better access to</w:t>
      </w:r>
      <w:r>
        <w:t xml:space="preserve"> </w:t>
      </w:r>
      <w:r>
        <w:t xml:space="preserve">energy in their territory.</w:t>
      </w:r>
      <w:r>
        <w:br/>
      </w:r>
      <w:r>
        <w:t xml:space="preserve">At the same time, investments in fossil fuel energy continue at a high pace, and the EU</w:t>
      </w:r>
      <w:r>
        <w:t xml:space="preserve"> </w:t>
      </w:r>
      <w:r>
        <w:t xml:space="preserve">REPowerEU plan and Fit-for-55 policies aim at smoothening the transition between fossil</w:t>
      </w:r>
      <w:r>
        <w:t xml:space="preserve"> </w:t>
      </w:r>
      <w:r>
        <w:t xml:space="preserve">fuels and low-carbon energy sources, to become climate-neutral in 2050. By agreeing and</w:t>
      </w:r>
      <w:r>
        <w:t xml:space="preserve"> </w:t>
      </w:r>
      <w:r>
        <w:t xml:space="preserve">delivering on the ambitious social and economic transformation, the EU and its Member</w:t>
      </w:r>
      <w:r>
        <w:t xml:space="preserve"> </w:t>
      </w:r>
      <w:r>
        <w:t xml:space="preserve">States aim to inspire global climate action and demonstrate that moving towards climate</w:t>
      </w:r>
      <w:r>
        <w:t xml:space="preserve"> </w:t>
      </w:r>
      <w:r>
        <w:t xml:space="preserve">neutrality is not only imperative, but also feasible and desirable. Supporting this global</w:t>
      </w:r>
      <w:r>
        <w:t xml:space="preserve"> </w:t>
      </w:r>
      <w:r>
        <w:t xml:space="preserve">transformation, the EU and its Member States stand ready to engage with all Parties of the</w:t>
      </w:r>
      <w:r>
        <w:t xml:space="preserve"> </w:t>
      </w:r>
      <w:r>
        <w:t xml:space="preserve">Paris Agreement to ensure the timely delivery of robust and ambitious long-term low</w:t>
      </w:r>
      <w:r>
        <w:t xml:space="preserve"> </w:t>
      </w:r>
      <w:r>
        <w:t xml:space="preserve">greenhouse emission development strategies in line with the objectives of the Paris</w:t>
      </w:r>
      <w:r>
        <w:t xml:space="preserve"> </w:t>
      </w:r>
      <w:r>
        <w:t xml:space="preserve">Agreement.</w:t>
      </w:r>
      <w:r>
        <w:br/>
      </w:r>
      <w:r>
        <w:t xml:space="preserve">1.1</w:t>
      </w:r>
      <w:r>
        <w:t xml:space="preserve"> </w:t>
      </w:r>
      <w:r>
        <w:t xml:space="preserve">Climate and energy diplomacy raison d’être</w:t>
      </w:r>
      <w:r>
        <w:br/>
      </w:r>
      <w:r>
        <w:t xml:space="preserve">In this context, the climate and energy diplomacy of the EU aims inter alia at engaging with</w:t>
      </w:r>
      <w:r>
        <w:t xml:space="preserve"> </w:t>
      </w:r>
      <w:r>
        <w:t xml:space="preserve">partners worldwide to implement the Paris Agreement, to limit the global temperature</w:t>
      </w:r>
      <w:r>
        <w:t xml:space="preserve"> </w:t>
      </w:r>
      <w:r>
        <w:t xml:space="preserve">increase to 1.5°C compared to pre-industrial levels, to support the most vulnerable, such as</w:t>
      </w:r>
      <w:r>
        <w:t xml:space="preserve"> </w:t>
      </w:r>
      <w:r>
        <w:t xml:space="preserve">Least Developed Countries and Small Island Developing States in adapting to climate change</w:t>
      </w:r>
      <w:r>
        <w:t xml:space="preserve"> </w:t>
      </w:r>
      <w:r>
        <w:t xml:space="preserve">effects, and to increase international climate finance for mitigation and adaptation. EU action</w:t>
      </w:r>
      <w:r>
        <w:t xml:space="preserve"> </w:t>
      </w:r>
      <w:r>
        <w:t xml:space="preserve">also aims at supporting just transitions towards climate neutral and resilient economies and</w:t>
      </w:r>
      <w:r>
        <w:t xml:space="preserve"> </w:t>
      </w:r>
      <w:r>
        <w:t xml:space="preserve">societies, by encouraging the deployment of renewable energies and increasing energy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efficiency with a view to phasing out fossil fuels. EU cooperation should encourage partners</w:t>
      </w:r>
      <w:r>
        <w:t xml:space="preserve"> </w:t>
      </w:r>
      <w:r>
        <w:t xml:space="preserve">to embrace the opportunities of the green transition, including a safe and affordable access to</w:t>
      </w:r>
      <w:r>
        <w:t xml:space="preserve"> </w:t>
      </w:r>
      <w:r>
        <w:t xml:space="preserve">green energy.</w:t>
      </w:r>
      <w:r>
        <w:br/>
      </w:r>
      <w:r>
        <w:t xml:space="preserve">Climate diplomacy is also deployed to support energy security and the green transition in the</w:t>
      </w:r>
      <w:r>
        <w:t xml:space="preserve"> </w:t>
      </w:r>
      <w:r>
        <w:t xml:space="preserve">Western Balkans and the Eastern Neighbourhood and will promote the green reconstruction</w:t>
      </w:r>
      <w:r>
        <w:t xml:space="preserve"> </w:t>
      </w:r>
      <w:r>
        <w:t xml:space="preserve">of Ukraine. It further operates both at multilateral level, in all relevant international fora such</w:t>
      </w:r>
      <w:r>
        <w:t xml:space="preserve"> </w:t>
      </w:r>
      <w:r>
        <w:t xml:space="preserve">as the UN, G20 and G7, OECD or regional organisations, and in bilateral contexts.</w:t>
      </w:r>
      <w:r>
        <w:br/>
      </w:r>
      <w:r>
        <w:t xml:space="preserve">Bilateral climate diplomacy has been expanding in the recent years, as an external pillar of the</w:t>
      </w:r>
      <w:r>
        <w:t xml:space="preserve"> </w:t>
      </w:r>
      <w:r>
        <w:t xml:space="preserve">European Green Deal. Climate diplomacy instruments support the multilateral climate</w:t>
      </w:r>
      <w:r>
        <w:t xml:space="preserve"> </w:t>
      </w:r>
      <w:r>
        <w:t xml:space="preserve">negotiations as well as regulatory convergence by deepening mutual understanding about the</w:t>
      </w:r>
      <w:r>
        <w:t xml:space="preserve"> </w:t>
      </w:r>
      <w:r>
        <w:t xml:space="preserve">EU and other countries’ climate policies and objectives. They also allow for a strengthening</w:t>
      </w:r>
      <w:r>
        <w:t xml:space="preserve"> </w:t>
      </w:r>
      <w:r>
        <w:t xml:space="preserve">of international cooperation.</w:t>
      </w:r>
      <w:r>
        <w:br/>
      </w:r>
      <w:r>
        <w:t xml:space="preserve">While some third countries express concerns about the impact of elements of the European</w:t>
      </w:r>
      <w:r>
        <w:t xml:space="preserve"> </w:t>
      </w:r>
      <w:r>
        <w:t xml:space="preserve">Green Deal measures, for example on their trade relations with the EU, other countries have</w:t>
      </w:r>
      <w:r>
        <w:t xml:space="preserve"> </w:t>
      </w:r>
      <w:r>
        <w:t xml:space="preserve">also showed interest in better understanding the EU climate and energy policies, and learn</w:t>
      </w:r>
      <w:r>
        <w:t xml:space="preserve"> </w:t>
      </w:r>
      <w:r>
        <w:t xml:space="preserve">from the EU’s experience in developing a well-functioning carbon market, in modelling, in</w:t>
      </w:r>
      <w:r>
        <w:t xml:space="preserve"> </w:t>
      </w:r>
      <w:r>
        <w:t xml:space="preserve">adaptation strategies, etc. Bilateral climate diplomacy thus allows to project and explain all</w:t>
      </w:r>
      <w:r>
        <w:t xml:space="preserve"> </w:t>
      </w:r>
      <w:r>
        <w:t xml:space="preserve">the policy aspects of the European Green Deal, to create opportunities for cooperation and</w:t>
      </w:r>
      <w:r>
        <w:t xml:space="preserve"> </w:t>
      </w:r>
      <w:r>
        <w:t xml:space="preserve">investments, for developing joint approaches and solutions, and for technical assistance,</w:t>
      </w:r>
      <w:r>
        <w:t xml:space="preserve"> </w:t>
      </w:r>
      <w:r>
        <w:t xml:space="preserve">amongst other types of cooperation. Climate diplomacy instruments facilitate mutual</w:t>
      </w:r>
      <w:r>
        <w:t xml:space="preserve"> </w:t>
      </w:r>
      <w:r>
        <w:t xml:space="preserve">understanding, keeping the channels open for exchanges, including of knowledge and trade.</w:t>
      </w:r>
      <w:r>
        <w:t xml:space="preserve"> </w:t>
      </w:r>
      <w:r>
        <w:t xml:space="preserve">Climate diplomacy allows to avoid creating, or to overcome, new barriers emerging from</w:t>
      </w:r>
      <w:r>
        <w:t xml:space="preserve"> </w:t>
      </w:r>
      <w:r>
        <w:t xml:space="preserve">different policy approaches.</w:t>
      </w:r>
      <w:r>
        <w:br/>
      </w:r>
      <w:r>
        <w:t xml:space="preserve">Other international EU actions, such as on biodiversity loss, natural resource management and</w:t>
      </w:r>
      <w:r>
        <w:t xml:space="preserve"> </w:t>
      </w:r>
      <w:r>
        <w:t xml:space="preserve">circular economy, are complementary of climate diplomacy, strictly speaking, as key parts of</w:t>
      </w:r>
      <w:r>
        <w:t xml:space="preserve"> </w:t>
      </w:r>
      <w:r>
        <w:t xml:space="preserve">a holistic approach towards the achievement of the 2030 Agenda and the SDGs. The EU</w:t>
      </w:r>
      <w:r>
        <w:t xml:space="preserve"> </w:t>
      </w:r>
      <w:r>
        <w:t xml:space="preserve">diplomacy in all relevant international fora, including the G7, G20, UNEA, WTO etc,</w:t>
      </w:r>
      <w:r>
        <w:t xml:space="preserve"> </w:t>
      </w:r>
      <w:r>
        <w:t xml:space="preserve">advances an agenda in line with and in support of the implementation of the goals and targets</w:t>
      </w:r>
      <w:r>
        <w:t xml:space="preserve"> </w:t>
      </w:r>
      <w:r>
        <w:t xml:space="preserve">of the Kunming Montreal Global Biodiversity Framework to halt and reverse biodiversity</w:t>
      </w:r>
      <w:r>
        <w:t xml:space="preserve"> </w:t>
      </w:r>
      <w:r>
        <w:t xml:space="preserve">loss, and to promote the uptake of the circular economy and more in general the sustainable</w:t>
      </w:r>
      <w:r>
        <w:t xml:space="preserve"> </w:t>
      </w:r>
      <w:r>
        <w:t xml:space="preserve">use and management of natural resources. An example is the key role played by the EU in the</w:t>
      </w:r>
      <w:r>
        <w:t xml:space="preserve"> </w:t>
      </w:r>
      <w:r>
        <w:t xml:space="preserve">context of the UN Environment Assembly to achieve ambitious language on circular</w:t>
      </w:r>
      <w:r>
        <w:t xml:space="preserve"> </w:t>
      </w:r>
      <w:r>
        <w:t xml:space="preserve">economy, suistainable consumption and production, nature-based solutions, and sustainable</w:t>
      </w:r>
      <w:r>
        <w:t xml:space="preserve"> </w:t>
      </w:r>
      <w:r>
        <w:t xml:space="preserve">management of mineral resources in the Resolutions 4/1, 4/19, 5/5, 5/11 or 5/12.</w:t>
      </w:r>
      <w:r>
        <w:t xml:space="preserve"> </w:t>
      </w:r>
      <w:r>
        <w:t xml:space="preserve">Bilateral engagement between countries and regions in general will further expand with the</w:t>
      </w:r>
      <w:r>
        <w:t xml:space="preserve"> </w:t>
      </w:r>
      <w:r>
        <w:t xml:space="preserve">uptake of the green transition in more countries, as mutual understanding, learning from each</w:t>
      </w:r>
      <w:r>
        <w:t xml:space="preserve"> </w:t>
      </w:r>
      <w:r>
        <w:t xml:space="preserve">other and developing joint approaches are key for success and for leaving no-one behind.</w:t>
      </w:r>
      <w:r>
        <w:t xml:space="preserve"> </w:t>
      </w:r>
      <w:r>
        <w:t xml:space="preserve">There is also demand from stakeholders, including businesses, for clear policy orientations</w:t>
      </w:r>
      <w:r>
        <w:t xml:space="preserve"> </w:t>
      </w:r>
      <w:r>
        <w:t xml:space="preserve">and legal certainty. The EU is part of this active global diplomatic efforts (see e.g., Council</w:t>
      </w:r>
      <w:r>
        <w:t xml:space="preserve"> </w:t>
      </w:r>
      <w:r>
        <w:t xml:space="preserve">Conclusions on Climate and Energy Diplomacy of 9 March 2023) and is willing to step up its</w:t>
      </w:r>
      <w:r>
        <w:t xml:space="preserve"> </w:t>
      </w:r>
      <w:r>
        <w:t xml:space="preserve">engagement in areas such as cooperation on Emissions Trading Systems, energy transition,</w:t>
      </w:r>
      <w:r>
        <w:t xml:space="preserve"> </w:t>
      </w:r>
      <w:r>
        <w:t xml:space="preserve">modelling, and adaptation. The Commission and Member States are active in different</w:t>
      </w:r>
      <w:r>
        <w:t xml:space="preserve"> </w:t>
      </w:r>
      <w:r>
        <w:t xml:space="preserve">contexts, and ways of cooperating together to achieve common operational objectives should</w:t>
      </w:r>
      <w:r>
        <w:t xml:space="preserve"> </w:t>
      </w:r>
      <w:r>
        <w:t xml:space="preserve">be further explored.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Climate diplomacy instruments</w:t>
      </w:r>
      <w:r>
        <w:br/>
      </w:r>
      <w:r>
        <w:t xml:space="preserve">The European Commission is engaging in a broad range of High-Level Dialogues on topics</w:t>
      </w:r>
      <w:r>
        <w:t xml:space="preserve"> </w:t>
      </w:r>
      <w:r>
        <w:t xml:space="preserve">related to climate and energy, amongst others, with third countries, such as Canada, Australia,</w:t>
      </w:r>
      <w:r>
        <w:t xml:space="preserve"> </w:t>
      </w:r>
      <w:r>
        <w:t xml:space="preserve">Japan, New Zealand, China, India, Indonesia, Colombia, or Mexico. This allows for</w:t>
      </w:r>
      <w:r>
        <w:t xml:space="preserve"> </w:t>
      </w:r>
      <w:r>
        <w:t xml:space="preserve">exchanging on respective climate policies and identifying areas for further cooperation. New</w:t>
      </w:r>
      <w:r>
        <w:t xml:space="preserve"> </w:t>
      </w:r>
      <w:r>
        <w:t xml:space="preserve">High Level Climate Dialogues are being launched with Chile and Brazil.</w:t>
      </w:r>
      <w:r>
        <w:br/>
      </w:r>
      <w:r>
        <w:t xml:space="preserve">The Green Alliances with Japan and Norway, as well as the Green Partnerships with Morocco</w:t>
      </w:r>
      <w:r>
        <w:t xml:space="preserve"> </w:t>
      </w:r>
      <w:r>
        <w:t xml:space="preserve">and the Republic of Korea are recently designed instruments that allow the EU to strengthen</w:t>
      </w:r>
      <w:r>
        <w:t xml:space="preserve"> </w:t>
      </w:r>
      <w:r>
        <w:t xml:space="preserve">cooperation with like-minded countries that either committed to climate neutrality by mid-</w:t>
      </w:r>
      <w:r>
        <w:t xml:space="preserve"> </w:t>
      </w:r>
      <w:r>
        <w:t xml:space="preserve">century or are putting in place ambitious climate policies by 2030. Such alliances and</w:t>
      </w:r>
      <w:r>
        <w:t xml:space="preserve"> </w:t>
      </w:r>
      <w:r>
        <w:t xml:space="preserve">partnerships provide for a reinforced platform of policy dialogue on reforms linked to the</w:t>
      </w:r>
      <w:r>
        <w:t xml:space="preserve"> </w:t>
      </w:r>
      <w:r>
        <w:t xml:space="preserve">green transition, ad-hoc technical, financial assistance, and investments. They encompass</w:t>
      </w:r>
      <w:r>
        <w:t xml:space="preserve"> </w:t>
      </w:r>
      <w:r>
        <w:t xml:space="preserve">climate but also energy and environmental policies in a whole-of-government approach,</w:t>
      </w:r>
      <w:r>
        <w:t xml:space="preserve"> </w:t>
      </w:r>
      <w:r>
        <w:t xml:space="preserve">where all concerned ministries must participate. Green Alliances and partnerships put climate</w:t>
      </w:r>
      <w:r>
        <w:t xml:space="preserve"> </w:t>
      </w:r>
      <w:r>
        <w:t xml:space="preserve">on the political agenda of the respective countries and provide a clear direction of travel.</w:t>
      </w:r>
      <w:r>
        <w:br/>
      </w:r>
      <w:r>
        <w:t xml:space="preserve">The G7-led Just Energy Transition Partnerships (JETPs) with South Africa, Indonesia, Viet</w:t>
      </w:r>
      <w:r>
        <w:t xml:space="preserve"> </w:t>
      </w:r>
      <w:r>
        <w:t xml:space="preserve">Nam, and Senegal are another powerful instrument to prompt sectoral reforms guided by</w:t>
      </w:r>
      <w:r>
        <w:t xml:space="preserve"> </w:t>
      </w:r>
      <w:r>
        <w:t xml:space="preserve">climate ambition. Under shared responsibility between the G7 members, JETPs provide a</w:t>
      </w:r>
      <w:r>
        <w:t xml:space="preserve"> </w:t>
      </w:r>
      <w:r>
        <w:t xml:space="preserve">platform by which partner countries can work with climate finance donor support, private</w:t>
      </w:r>
      <w:r>
        <w:t xml:space="preserve"> </w:t>
      </w:r>
      <w:r>
        <w:t xml:space="preserve">sector investors, multilateral development banks (MDBs) and relevant actors to achieve a just</w:t>
      </w:r>
      <w:r>
        <w:t xml:space="preserve"> </w:t>
      </w:r>
      <w:r>
        <w:t xml:space="preserve">energy transition. The EU Commission and EEAS are co-leading together with the UK on the</w:t>
      </w:r>
      <w:r>
        <w:t xml:space="preserve"> </w:t>
      </w:r>
      <w:r>
        <w:t xml:space="preserve">JETP with Viet Nam.</w:t>
      </w:r>
      <w:r>
        <w:br/>
      </w:r>
      <w:r>
        <w:t xml:space="preserve">The integration of the EU climate acquis into the European Economic Area and the EU</w:t>
      </w:r>
      <w:r>
        <w:t xml:space="preserve"> </w:t>
      </w:r>
      <w:r>
        <w:t xml:space="preserve">accession negotiations are also two channels for extending the EU climate legislation to the</w:t>
      </w:r>
      <w:r>
        <w:t xml:space="preserve"> </w:t>
      </w:r>
      <w:r>
        <w:t xml:space="preserve">neighbouring partner countries, including via the Energy Community.</w:t>
      </w:r>
      <w:r>
        <w:br/>
      </w:r>
      <w:r>
        <w:t xml:space="preserve">Plurilateral initiatives have achieved significant success in advancing with the commitments</w:t>
      </w:r>
      <w:r>
        <w:t xml:space="preserve"> </w:t>
      </w:r>
      <w:r>
        <w:t xml:space="preserve">set out under the Paris Agreement and the Convention on Biological Diversity. The EU has</w:t>
      </w:r>
      <w:r>
        <w:t xml:space="preserve"> </w:t>
      </w:r>
      <w:r>
        <w:t xml:space="preserve">worked with partner countries to put forward the Global Methane Pledge, which now has over</w:t>
      </w:r>
      <w:r>
        <w:t xml:space="preserve"> </w:t>
      </w:r>
      <w:r>
        <w:t xml:space="preserve">150 participants and a dedicated secretariat. Likewise, the EU committed to put forward a</w:t>
      </w:r>
      <w:r>
        <w:t xml:space="preserve"> </w:t>
      </w:r>
      <w:r>
        <w:t xml:space="preserve">pledge on Renewable Energy and Energy Efficiency at the upcoming COP 28 in the United</w:t>
      </w:r>
      <w:r>
        <w:t xml:space="preserve"> </w:t>
      </w:r>
      <w:r>
        <w:t xml:space="preserve">Arab Emirates.</w:t>
      </w:r>
      <w:r>
        <w:t xml:space="preserve"> </w:t>
      </w:r>
      <w:r>
        <w:t xml:space="preserve">The EU is leading the international support for climate change action and works together both</w:t>
      </w:r>
      <w:r>
        <w:t xml:space="preserve"> </w:t>
      </w:r>
      <w:r>
        <w:t xml:space="preserve">on a multilateral and bilateral level with global partners. The EU, its Member States, and its</w:t>
      </w:r>
      <w:r>
        <w:t xml:space="preserve"> </w:t>
      </w:r>
      <w:r>
        <w:t xml:space="preserve">financial institutions, collectively known as Team Europe, is the leading contributor of</w:t>
      </w:r>
      <w:r>
        <w:t xml:space="preserve"> </w:t>
      </w:r>
      <w:r>
        <w:t xml:space="preserve">development assistance and the world’s biggest contributor of climate finance, with over EUR</w:t>
      </w:r>
      <w:r>
        <w:t xml:space="preserve"> </w:t>
      </w:r>
      <w:r>
        <w:t xml:space="preserve">23 billion public finance committed in 2021.</w:t>
      </w:r>
      <w:r>
        <w:br/>
      </w:r>
      <w:r>
        <w:t xml:space="preserve">1.3</w:t>
      </w:r>
      <w:r>
        <w:t xml:space="preserve"> </w:t>
      </w:r>
      <w:r>
        <w:t xml:space="preserve">Engagement of the EU in multilateral fora</w:t>
      </w:r>
      <w:r>
        <w:t xml:space="preserve"> </w:t>
      </w:r>
      <w:r>
        <w:t xml:space="preserve">The European Commission and the High Representative will continue to work with Member</w:t>
      </w:r>
      <w:r>
        <w:t xml:space="preserve"> </w:t>
      </w:r>
      <w:r>
        <w:t xml:space="preserve">States to mobilise all diplomatic channels – including within the United Nations, the G7, G20,</w:t>
      </w:r>
      <w:r>
        <w:t xml:space="preserve"> </w:t>
      </w:r>
      <w:r>
        <w:t xml:space="preserve">the OECD and other international fora to achieve the ambitions set out in the Paris</w:t>
      </w:r>
      <w:r>
        <w:t xml:space="preserve"> </w:t>
      </w:r>
      <w:r>
        <w:t xml:space="preserve">Agreement. The EU has been able to act as a bridge builder between different Parties and</w:t>
      </w:r>
      <w:r>
        <w:t xml:space="preserve"> </w:t>
      </w:r>
      <w:r>
        <w:t xml:space="preserve">continues to ensure that the principles embodied in the Paris Agreement can be entrusted.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United Nations Framework Convention on Climate Change (UNFCCC) process has</w:t>
      </w:r>
      <w:r>
        <w:t xml:space="preserve"> </w:t>
      </w:r>
      <w:r>
        <w:t xml:space="preserve">achieved a lot in the recent decades. The Paris Agreement and Katowice rulebook provide a</w:t>
      </w:r>
      <w:r>
        <w:t xml:space="preserve"> </w:t>
      </w:r>
      <w:r>
        <w:t xml:space="preserve">robust framework for climate action. The process is a unique framework within which we</w:t>
      </w:r>
      <w:r>
        <w:t xml:space="preserve"> </w:t>
      </w:r>
      <w:r>
        <w:t xml:space="preserve">should continue to enhance international cooperation, catalyse increased Party and non-Party</w:t>
      </w:r>
      <w:r>
        <w:t xml:space="preserve"> </w:t>
      </w:r>
      <w:r>
        <w:t xml:space="preserve">stakeholder ambition, transparency, and action, while providing a space to exchange</w:t>
      </w:r>
      <w:r>
        <w:t xml:space="preserve"> </w:t>
      </w:r>
      <w:r>
        <w:t xml:space="preserve">experiences in transitioning to low greenhouse gas emission and climate resilient economies</w:t>
      </w:r>
      <w:r>
        <w:t xml:space="preserve"> </w:t>
      </w:r>
      <w:r>
        <w:t xml:space="preserve">and societies.</w:t>
      </w:r>
      <w:r>
        <w:br/>
      </w:r>
      <w:r>
        <w:t xml:space="preserve">The ambition cycle built upon the Global Stocktake under the Paris Agreement and the</w:t>
      </w:r>
      <w:r>
        <w:t xml:space="preserve"> </w:t>
      </w:r>
      <w:r>
        <w:t xml:space="preserve">regular submission of NDCs and adaptation communications, as well as information on</w:t>
      </w:r>
      <w:r>
        <w:t xml:space="preserve"> </w:t>
      </w:r>
      <w:r>
        <w:t xml:space="preserve">finance flows and the enhanced transparency framework will be the central feature in driving</w:t>
      </w:r>
      <w:r>
        <w:t xml:space="preserve"> </w:t>
      </w:r>
      <w:r>
        <w:t xml:space="preserve">enhanced climate action and support to achieve the long-term goals of the Paris Agreement.</w:t>
      </w:r>
      <w:r>
        <w:t xml:space="preserve"> </w:t>
      </w:r>
      <w:r>
        <w:t xml:space="preserve">The following work strands are playing a key role in engaging all Parties to the Paris</w:t>
      </w:r>
      <w:r>
        <w:t xml:space="preserve"> </w:t>
      </w:r>
      <w:r>
        <w:t xml:space="preserve">Agreement in achieving the agreed upon objectives:</w:t>
      </w:r>
      <w:r>
        <w:t xml:space="preserve"> </w:t>
      </w:r>
      <w:r>
        <w:t xml:space="preserve">On Mitigation, the European Union is strongly advocating for an ambitious Mitigation Work</w:t>
      </w:r>
      <w:r>
        <w:t xml:space="preserve"> </w:t>
      </w:r>
      <w:r>
        <w:t xml:space="preserve">Programme within the UNFCCC, focusing on delivering concrete solutions to close the</w:t>
      </w:r>
      <w:r>
        <w:t xml:space="preserve"> </w:t>
      </w:r>
      <w:r>
        <w:t xml:space="preserve">ambition and implementation gap in this critical decade towards 2030 and incentivizing high</w:t>
      </w:r>
      <w:r>
        <w:t xml:space="preserve"> </w:t>
      </w:r>
      <w:r>
        <w:t xml:space="preserve">ambitions.</w:t>
      </w:r>
      <w:r>
        <w:br/>
      </w:r>
      <w:r>
        <w:t xml:space="preserve">On Loss and Damage at COP27 in Sharm el-Sheikh, the European Union played a leading,</w:t>
      </w:r>
      <w:r>
        <w:t xml:space="preserve"> </w:t>
      </w:r>
      <w:r>
        <w:t xml:space="preserve">constructive role by presenting a bridge-building proposal and showing openness to what</w:t>
      </w:r>
      <w:r>
        <w:t xml:space="preserve"> </w:t>
      </w:r>
      <w:r>
        <w:t xml:space="preserve">resulted in the establishment of the new funding arrangements, including a fund for assisting</w:t>
      </w:r>
      <w:r>
        <w:t xml:space="preserve"> </w:t>
      </w:r>
      <w:r>
        <w:t xml:space="preserve">developing countries that are particularly vulnerable to the adverse effects of climate change,</w:t>
      </w:r>
      <w:r>
        <w:t xml:space="preserve"> </w:t>
      </w:r>
      <w:r>
        <w:t xml:space="preserve">in responding to loss and damage. Following that decision, the European Union engages</w:t>
      </w:r>
      <w:r>
        <w:t xml:space="preserve"> </w:t>
      </w:r>
      <w:r>
        <w:t xml:space="preserve">constructively in the Transitional Committee work to deliver on all elements of its mandate in</w:t>
      </w:r>
      <w:r>
        <w:t xml:space="preserve"> </w:t>
      </w:r>
      <w:r>
        <w:t xml:space="preserve">line with our consistent commitment to scale up and strengthen support for the sources, funds,</w:t>
      </w:r>
      <w:r>
        <w:t xml:space="preserve"> </w:t>
      </w:r>
      <w:r>
        <w:t xml:space="preserve">processes, and initiatives under and outside the climate regime that are at the core of funding</w:t>
      </w:r>
      <w:r>
        <w:t xml:space="preserve"> </w:t>
      </w:r>
      <w:r>
        <w:t xml:space="preserve">arrangements for loss and damage.</w:t>
      </w:r>
      <w:r>
        <w:t xml:space="preserve"> </w:t>
      </w:r>
      <w:r>
        <w:t xml:space="preserve">On Adaptation, a steady progress has been made towards the Global Goal on Adaptation</w:t>
      </w:r>
      <w:r>
        <w:t xml:space="preserve"> </w:t>
      </w:r>
      <w:r>
        <w:t xml:space="preserve">(GGA) by implementing the two-year Work Programme launched at COP26, the global</w:t>
      </w:r>
      <w:r>
        <w:t xml:space="preserve"> </w:t>
      </w:r>
      <w:r>
        <w:t xml:space="preserve">commitment to double adaptation finance, the adoption of the 2021 EU Adaptation Strategy,</w:t>
      </w:r>
      <w:r>
        <w:t xml:space="preserve"> </w:t>
      </w:r>
      <w:r>
        <w:t xml:space="preserve">and the continued adoption and revision of EU Member States’ National Adaptation Plans and</w:t>
      </w:r>
      <w:r>
        <w:t xml:space="preserve"> </w:t>
      </w:r>
      <w:r>
        <w:t xml:space="preserve">Strategies (1). At COP27, and in the follow up intersessional Conference 58 in Bonn, Parties</w:t>
      </w:r>
      <w:r>
        <w:t xml:space="preserve"> </w:t>
      </w:r>
      <w:r>
        <w:t xml:space="preserve">agreed on the possible structural elements of a GGA Framework for consideration and</w:t>
      </w:r>
      <w:r>
        <w:t xml:space="preserve"> </w:t>
      </w:r>
      <w:r>
        <w:t xml:space="preserve">adoption at COP28. The Global Stocktake should enable Parties to analyse past efforts to</w:t>
      </w:r>
      <w:r>
        <w:t xml:space="preserve"> </w:t>
      </w:r>
      <w:r>
        <w:t xml:space="preserve">increase resilience and implement adaptation actions while, at the same time, looking forward</w:t>
      </w:r>
      <w:r>
        <w:t xml:space="preserve"> </w:t>
      </w:r>
      <w:r>
        <w:t xml:space="preserve">with increased ambition at all stages of the adaptation policy cycle (risk assessments,</w:t>
      </w:r>
      <w:r>
        <w:t xml:space="preserve"> </w:t>
      </w:r>
      <w:r>
        <w:t xml:space="preserve">planning, monitoring and evaluation).</w:t>
      </w:r>
      <w:r>
        <w:br/>
      </w:r>
      <w:r>
        <w:t xml:space="preserve">The FAC Council Conclusions on Climate and Energy Diplomacy approved in March 2023</w:t>
      </w:r>
      <w:r>
        <w:t xml:space="preserve"> </w:t>
      </w:r>
      <w:r>
        <w:t xml:space="preserve">were another strong political signal and set the course, together with the Environment Council</w:t>
      </w:r>
      <w:r>
        <w:t xml:space="preserve"> </w:t>
      </w:r>
      <w:r>
        <w:t xml:space="preserve">Conclusions, for the EU to support the achievement of an ambitious outcome of COP28.</w:t>
      </w:r>
    </w:p>
    <w:p>
      <w:pPr>
        <w:pStyle w:val="Compact"/>
        <w:numPr>
          <w:ilvl w:val="0"/>
          <w:numId w:val="1001"/>
        </w:numPr>
      </w:pPr>
      <w:r>
        <w:t xml:space="preserve">See https://climate-adapt.eea.europa.eu/en/countries-regions/countries.</w:t>
      </w:r>
    </w:p>
    <w:p>
      <w:pPr>
        <w:pStyle w:val="FirstParagraph"/>
      </w:pPr>
      <w:r>
        <w:t xml:space="preserve">7</w:t>
      </w:r>
    </w:p>
    <w:p>
      <w:pPr>
        <w:pStyle w:val="BodyText"/>
      </w:pPr>
      <w:r>
        <w:t xml:space="preserve">1.4</w:t>
      </w:r>
      <w:r>
        <w:t xml:space="preserve"> </w:t>
      </w:r>
      <w:r>
        <w:t xml:space="preserve">Climate change and international security</w:t>
      </w:r>
      <w:r>
        <w:t xml:space="preserve"> </w:t>
      </w:r>
      <w:r>
        <w:t xml:space="preserve">Current climate extremes, rising temperatures and sea levels, desertification, water scarcity,</w:t>
      </w:r>
      <w:r>
        <w:t xml:space="preserve"> </w:t>
      </w:r>
      <w:r>
        <w:t xml:space="preserve">threats to biodiversity, environmental pollution and contamination are threatening the health</w:t>
      </w:r>
      <w:r>
        <w:t xml:space="preserve"> </w:t>
      </w:r>
      <w:r>
        <w:t xml:space="preserve">and well-being of humanity, and can create greater displacement, migratory movements,</w:t>
      </w:r>
      <w:r>
        <w:t xml:space="preserve"> </w:t>
      </w:r>
      <w:r>
        <w:t xml:space="preserve">pandemics, social unrest, instability, and conflicts. Europe’s armed forces are also confronted</w:t>
      </w:r>
      <w:r>
        <w:t xml:space="preserve"> </w:t>
      </w:r>
      <w:r>
        <w:t xml:space="preserve">with the changing and challenging operational conditions due to climate change. These new</w:t>
      </w:r>
      <w:r>
        <w:t xml:space="preserve"> </w:t>
      </w:r>
      <w:r>
        <w:t xml:space="preserve">threats have already prompted allies and partners to update their policies too.</w:t>
      </w:r>
      <w:r>
        <w:br/>
      </w:r>
      <w:r>
        <w:t xml:space="preserve">The EU sets out four priorities on Climate Change and Security, namely strengthening</w:t>
      </w:r>
      <w:r>
        <w:t xml:space="preserve"> </w:t>
      </w:r>
      <w:r>
        <w:t xml:space="preserve">planning, decision-making and implementation; operationalising the response to climate and</w:t>
      </w:r>
      <w:r>
        <w:t xml:space="preserve"> </w:t>
      </w:r>
      <w:r>
        <w:t xml:space="preserve">security challenges; enhancing the climate adaptation and mitigation measures of Member</w:t>
      </w:r>
      <w:r>
        <w:t xml:space="preserve"> </w:t>
      </w:r>
      <w:r>
        <w:t xml:space="preserve">States’ civilian and military operations and infrastructure; and reinforcing international</w:t>
      </w:r>
      <w:r>
        <w:t xml:space="preserve"> </w:t>
      </w:r>
      <w:r>
        <w:t xml:space="preserve">partnerships. This is done through around thirty actions, including: establishing a data and</w:t>
      </w:r>
      <w:r>
        <w:t xml:space="preserve"> </w:t>
      </w:r>
      <w:r>
        <w:t xml:space="preserve">analysis hub on climate and environment security within the EU Satellite Centre; deploying</w:t>
      </w:r>
      <w:r>
        <w:t xml:space="preserve"> </w:t>
      </w:r>
      <w:r>
        <w:t xml:space="preserve">environmental advisors in the EU Common Security and Defence Policy (CSDP) missions</w:t>
      </w:r>
      <w:r>
        <w:t xml:space="preserve"> </w:t>
      </w:r>
      <w:r>
        <w:t xml:space="preserve">and operations; setting up training platforms at national and EU level such as an EU Climate,</w:t>
      </w:r>
      <w:r>
        <w:t xml:space="preserve"> </w:t>
      </w:r>
      <w:r>
        <w:t xml:space="preserve">Security and Defence Training Platform; developing thorough analysis and studies of related</w:t>
      </w:r>
      <w:r>
        <w:t xml:space="preserve"> </w:t>
      </w:r>
      <w:r>
        <w:t xml:space="preserve">policies and actions, especially in vulnerable geographical areas such as the Sahel or the</w:t>
      </w:r>
      <w:r>
        <w:t xml:space="preserve"> </w:t>
      </w:r>
      <w:r>
        <w:t xml:space="preserve">Arctic.</w:t>
      </w:r>
      <w:r>
        <w:t xml:space="preserve"> </w:t>
      </w:r>
      <w:r>
        <w:t xml:space="preserve">1.5</w:t>
      </w:r>
      <w:r>
        <w:t xml:space="preserve"> </w:t>
      </w:r>
      <w:r>
        <w:t xml:space="preserve">Climate change and trade</w:t>
      </w:r>
      <w:r>
        <w:br/>
      </w:r>
      <w:r>
        <w:t xml:space="preserve">1.5.1 Trade policy</w:t>
      </w:r>
      <w:r>
        <w:t xml:space="preserve"> </w:t>
      </w:r>
      <w:r>
        <w:t xml:space="preserve">As the world aims to achieve the goals of the Paris Agreement, trade policy has a role to play</w:t>
      </w:r>
      <w:r>
        <w:t xml:space="preserve"> </w:t>
      </w:r>
      <w:r>
        <w:t xml:space="preserve">in supporting an ecological and green transition not only within the EU but globally. This</w:t>
      </w:r>
      <w:r>
        <w:t xml:space="preserve"> </w:t>
      </w:r>
      <w:r>
        <w:t xml:space="preserve">includes, for instance, accelerating investment in clean energy or the promotion of value</w:t>
      </w:r>
      <w:r>
        <w:t xml:space="preserve"> </w:t>
      </w:r>
      <w:r>
        <w:t xml:space="preserve">chains that are circular, responsible, and sustainable. It also means creating opportunities for</w:t>
      </w:r>
      <w:r>
        <w:t xml:space="preserve"> </w:t>
      </w:r>
      <w:r>
        <w:t xml:space="preserve">sustainable products and services to be traded more extensively.</w:t>
      </w:r>
      <w:r>
        <w:t xml:space="preserve"> </w:t>
      </w:r>
      <w:r>
        <w:t xml:space="preserve">As the EU continues to be a front runner with the Green Deal and its associated policy</w:t>
      </w:r>
      <w:r>
        <w:t xml:space="preserve"> </w:t>
      </w:r>
      <w:r>
        <w:t xml:space="preserve">implementation, it places significant importance in supporting partner countries in building</w:t>
      </w:r>
      <w:r>
        <w:t xml:space="preserve"> </w:t>
      </w:r>
      <w:r>
        <w:t xml:space="preserve">the necessary mechanisms, capacity and systems via technical exchanges, financial support,</w:t>
      </w:r>
      <w:r>
        <w:t xml:space="preserve"> </w:t>
      </w:r>
      <w:r>
        <w:t xml:space="preserve">and diplomatic efforts.</w:t>
      </w:r>
      <w:r>
        <w:br/>
      </w:r>
      <w:r>
        <w:t xml:space="preserve">Trade policy can serve as a platform to engage with trading partners on climate and</w:t>
      </w:r>
      <w:r>
        <w:t xml:space="preserve"> </w:t>
      </w:r>
      <w:r>
        <w:t xml:space="preserve">environmental action, multilaterally e.g., in the World Trade Organization or bilaterally</w:t>
      </w:r>
      <w:r>
        <w:t xml:space="preserve"> </w:t>
      </w:r>
      <w:r>
        <w:t xml:space="preserve">through our Free Trade Agreements. Commitments to sustainability have been continuously</w:t>
      </w:r>
      <w:r>
        <w:t xml:space="preserve"> </w:t>
      </w:r>
      <w:r>
        <w:t xml:space="preserve">strengthened in EU trade agreements, in particular with regard to enhancing climate action</w:t>
      </w:r>
      <w:r>
        <w:t xml:space="preserve"> </w:t>
      </w:r>
      <w:r>
        <w:t xml:space="preserve">through the recent Communication on Trade and Sustainable Development chapters in free</w:t>
      </w:r>
      <w:r>
        <w:t xml:space="preserve"> </w:t>
      </w:r>
      <w:r>
        <w:t xml:space="preserve">trade agreements (2). The Commission has also stepped-up efforts to implement and enforce</w:t>
      </w:r>
      <w:r>
        <w:t xml:space="preserve"> </w:t>
      </w:r>
      <w:r>
        <w:t xml:space="preserve">the sustainable development commitments of EU trade agreements. On climate change more</w:t>
      </w:r>
      <w:r>
        <w:t xml:space="preserve"> </w:t>
      </w:r>
      <w:r>
        <w:t xml:space="preserve">specifically, the EU’s most recent agreements all include a binding commitment of the Parties</w:t>
      </w:r>
      <w:r>
        <w:t xml:space="preserve"> </w:t>
      </w:r>
      <w:r>
        <w:t xml:space="preserve">to ratify and effectively implement the Paris Agreement. For countries with which the EU has</w:t>
      </w:r>
      <w:r>
        <w:t xml:space="preserve"> </w:t>
      </w:r>
      <w:r>
        <w:t xml:space="preserve">or is negotiating free trade agreements, climate policy dialogues are also pursued within the</w:t>
      </w:r>
    </w:p>
    <w:p>
      <w:pPr>
        <w:pStyle w:val="Compact"/>
        <w:numPr>
          <w:ilvl w:val="0"/>
          <w:numId w:val="1002"/>
        </w:numPr>
      </w:pPr>
      <w:r>
        <w:t xml:space="preserve">COM(2022) 409 final</w:t>
      </w:r>
    </w:p>
    <w:p>
      <w:pPr>
        <w:pStyle w:val="FirstParagraph"/>
      </w:pPr>
      <w:r>
        <w:t xml:space="preserve">8</w:t>
      </w:r>
    </w:p>
    <w:p>
      <w:pPr>
        <w:pStyle w:val="BodyText"/>
      </w:pPr>
      <w:r>
        <w:t xml:space="preserve">Trade and Sustainable Development sub-committees, complemented by institutional advisory</w:t>
      </w:r>
      <w:r>
        <w:t xml:space="preserve"> </w:t>
      </w:r>
      <w:r>
        <w:t xml:space="preserve">and monitoring mechanisms. Joint Committees under the EU Strategic Partnership</w:t>
      </w:r>
      <w:r>
        <w:t xml:space="preserve"> </w:t>
      </w:r>
      <w:r>
        <w:t xml:space="preserve">Agreements also provide a forum to review the respective climate, energy, and environmental</w:t>
      </w:r>
      <w:r>
        <w:t xml:space="preserve"> </w:t>
      </w:r>
      <w:r>
        <w:t xml:space="preserve">policies. In addition to or in the absence of such existing frameworks, bilateral summits and</w:t>
      </w:r>
      <w:r>
        <w:t xml:space="preserve"> </w:t>
      </w:r>
      <w:r>
        <w:t xml:space="preserve">other official visits create opportunities to exchange on climate policy issues.</w:t>
      </w:r>
      <w:r>
        <w:t xml:space="preserve"> </w:t>
      </w:r>
      <w:r>
        <w:t xml:space="preserve">Plurilaterally as well as multilaterally, the EU is involved in the trade and climate nexus.</w:t>
      </w:r>
      <w:r>
        <w:t xml:space="preserve"> </w:t>
      </w:r>
      <w:r>
        <w:t xml:space="preserve">Within the WTO, the EU is working towards making the body a more relevant forum to tackle</w:t>
      </w:r>
      <w:r>
        <w:t xml:space="preserve"> </w:t>
      </w:r>
      <w:r>
        <w:t xml:space="preserve">climate change. In the plurilateral context in the WTO, the EU is involved in discussion on</w:t>
      </w:r>
      <w:r>
        <w:t xml:space="preserve"> </w:t>
      </w:r>
      <w:r>
        <w:t xml:space="preserve">environmental sustainability, ending plastics pollution and fossil fuel subsidy reform. Outside</w:t>
      </w:r>
      <w:r>
        <w:t xml:space="preserve"> </w:t>
      </w:r>
      <w:r>
        <w:t xml:space="preserve">the WTO, the EU together with Ecuador, Kenya and New Zealand forged the Coalition of</w:t>
      </w:r>
      <w:r>
        <w:t xml:space="preserve"> </w:t>
      </w:r>
      <w:r>
        <w:t xml:space="preserve">Trade Ministers on Climate (3). The Coalition will provide political steer and guidance to</w:t>
      </w:r>
      <w:r>
        <w:t xml:space="preserve"> </w:t>
      </w:r>
      <w:r>
        <w:t xml:space="preserve">boost inclusive cooperation on climate, trade, and sustainable development.</w:t>
      </w:r>
      <w:r>
        <w:t xml:space="preserve"> </w:t>
      </w:r>
      <w:r>
        <w:t xml:space="preserve">In trade related discussions in other plurilateral fora, the High Representative and the</w:t>
      </w:r>
      <w:r>
        <w:t xml:space="preserve"> </w:t>
      </w:r>
      <w:r>
        <w:t xml:space="preserve">Commission have been additionally intensifying work and international outreach on ending</w:t>
      </w:r>
      <w:r>
        <w:t xml:space="preserve"> </w:t>
      </w:r>
      <w:r>
        <w:t xml:space="preserve">environmentally harmful fossil fuel subsidies along a clear timeline, with the aim of setting</w:t>
      </w:r>
      <w:r>
        <w:t xml:space="preserve"> </w:t>
      </w:r>
      <w:r>
        <w:t xml:space="preserve">milestones for their phase-out, including through the G7 and the G20, and in the context of</w:t>
      </w:r>
      <w:r>
        <w:t xml:space="preserve"> </w:t>
      </w:r>
      <w:r>
        <w:t xml:space="preserve">the fossil fuel subsidies reform dialogue in the OECD. The EU also supports the</w:t>
      </w:r>
      <w:r>
        <w:t xml:space="preserve"> </w:t>
      </w:r>
      <w:r>
        <w:t xml:space="preserve">modernisation of the OECD arrangements on officially supported export credits(4).</w:t>
      </w:r>
      <w:r>
        <w:t xml:space="preserve"> </w:t>
      </w:r>
      <w:r>
        <w:t xml:space="preserve">Furhermore, the EU is an active participant in the OECD’s Joint Working Party on Trade and</w:t>
      </w:r>
      <w:r>
        <w:t xml:space="preserve"> </w:t>
      </w:r>
      <w:r>
        <w:t xml:space="preserve">Environment that provides analytical work on the trade and environment nexus, including</w:t>
      </w:r>
      <w:r>
        <w:t xml:space="preserve"> </w:t>
      </w:r>
      <w:r>
        <w:t xml:space="preserve">climate change.</w:t>
      </w:r>
      <w:r>
        <w:br/>
      </w:r>
      <w:r>
        <w:t xml:space="preserve">1.5.2 Emissions accounting</w:t>
      </w:r>
      <w:r>
        <w:t xml:space="preserve"> </w:t>
      </w:r>
      <w:r>
        <w:t xml:space="preserve">Discussing the linkages between climate policy and trade also links to the differences between</w:t>
      </w:r>
      <w:r>
        <w:t xml:space="preserve"> </w:t>
      </w:r>
      <w:r>
        <w:t xml:space="preserve">and complexities of accounting for production based vs. consumption-based emissions.</w:t>
      </w:r>
      <w:r>
        <w:t xml:space="preserve"> </w:t>
      </w:r>
      <w:r>
        <w:t xml:space="preserve">Combining and comparing different types of emission accounting methods considering trade</w:t>
      </w:r>
      <w:r>
        <w:t xml:space="preserve"> </w:t>
      </w:r>
      <w:r>
        <w:t xml:space="preserve">is valuable to consider the role of exporting industries and related value chains and their</w:t>
      </w:r>
      <w:r>
        <w:t xml:space="preserve"> </w:t>
      </w:r>
      <w:r>
        <w:t xml:space="preserve">respective emissions (5). The most common emission accounting method is production-based</w:t>
      </w:r>
      <w:r>
        <w:t xml:space="preserve"> </w:t>
      </w:r>
      <w:r>
        <w:t xml:space="preserve">accounting (PBA). PBA accounts for territorial, production-based emissions and is used for</w:t>
      </w:r>
      <w:r>
        <w:t xml:space="preserve"> </w:t>
      </w:r>
      <w:r>
        <w:t xml:space="preserve">official accounting and reporting (including the EU and international targets, e.g., under the</w:t>
      </w:r>
      <w:r>
        <w:t xml:space="preserve"> </w:t>
      </w:r>
      <w:r>
        <w:t xml:space="preserve">UNFCCC). This is mainly due to sovereignty (the emissions for which a country can be held</w:t>
      </w:r>
      <w:r>
        <w:t xml:space="preserve"> </w:t>
      </w:r>
      <w:r>
        <w:t xml:space="preserve">responsible) and measurement issues (allocating part of another country’s emissions to a third</w:t>
      </w:r>
      <w:r>
        <w:t xml:space="preserve"> </w:t>
      </w:r>
      <w:r>
        <w:t xml:space="preserve">country is technically complex).</w:t>
      </w:r>
      <w:r>
        <w:br/>
      </w:r>
      <w:r>
        <w:t xml:space="preserve">Besides that, there are two ways of taking trade into account when estimating emission shares.</w:t>
      </w:r>
      <w:r>
        <w:t xml:space="preserve"> </w:t>
      </w:r>
      <w:r>
        <w:t xml:space="preserve">Consumption-based accounting (CBA) assigns emissions where the final product is</w:t>
      </w:r>
      <w:r>
        <w:t xml:space="preserve"> </w:t>
      </w:r>
      <w:r>
        <w:t xml:space="preserve">consumed, considering emissions along the entire value chain. It might penalise countries that</w:t>
      </w:r>
      <w:r>
        <w:t xml:space="preserve"> </w:t>
      </w:r>
      <w:r>
        <w:t xml:space="preserve">are active in reducing emissions in sectors involved in international trade. This is because a</w:t>
      </w:r>
      <w:r>
        <w:t xml:space="preserve"> </w:t>
      </w:r>
      <w:r>
        <w:t xml:space="preserve">country would see a part of its mitigation effort allocated to its export partners, while it would</w:t>
      </w:r>
    </w:p>
    <w:p>
      <w:pPr>
        <w:pStyle w:val="Compact"/>
        <w:numPr>
          <w:ilvl w:val="0"/>
          <w:numId w:val="1003"/>
        </w:numPr>
      </w:pPr>
      <w:r>
        <w:t xml:space="preserve">See https://www.tradeministersonclimate.org/.</w:t>
      </w:r>
    </w:p>
    <w:p>
      <w:pPr>
        <w:pStyle w:val="Compact"/>
        <w:numPr>
          <w:ilvl w:val="0"/>
          <w:numId w:val="1003"/>
        </w:numPr>
      </w:pPr>
      <w:r>
        <w:t xml:space="preserve">See the Council Decisions of July 2023 in support of modernised export credits (10117/23 and 10121/23).</w:t>
      </w:r>
    </w:p>
    <w:p>
      <w:pPr>
        <w:pStyle w:val="Compact"/>
        <w:numPr>
          <w:ilvl w:val="0"/>
          <w:numId w:val="1003"/>
        </w:numPr>
      </w:pPr>
      <w:r>
        <w:t xml:space="preserve">See, for example, Jakob et al., 2021, Sharing responsibility for trade-related emissions based on economic</w:t>
      </w:r>
      <w:r>
        <w:t xml:space="preserve"> </w:t>
      </w:r>
      <w:r>
        <w:t xml:space="preserve">benefits, Global Environmental Change 66: 102207, https://doi.org/10.1016/j.gloenvcha.2020.102207.</w:t>
      </w:r>
    </w:p>
    <w:p>
      <w:pPr>
        <w:pStyle w:val="FirstParagraph"/>
      </w:pPr>
      <w:r>
        <w:t xml:space="preserve">9</w:t>
      </w:r>
    </w:p>
    <w:p>
      <w:pPr>
        <w:pStyle w:val="BodyText"/>
      </w:pPr>
      <w:r>
        <w:t xml:space="preserve">be penalised for a lack of similar effort from its import partners. To correct for this effect,</w:t>
      </w:r>
      <w:r>
        <w:t xml:space="preserve"> </w:t>
      </w:r>
      <w:r>
        <w:t xml:space="preserve">technology adjusted consumption-based accounting (TCBA) accounts for differences in</w:t>
      </w:r>
      <w:r>
        <w:t xml:space="preserve"> </w:t>
      </w:r>
      <w:r>
        <w:t xml:space="preserve">technology of export sectors to adjust the CBA metric. Under TCBA, export-related</w:t>
      </w:r>
      <w:r>
        <w:t xml:space="preserve"> </w:t>
      </w:r>
      <w:r>
        <w:t xml:space="preserve">emissions are subtracted based on the average carbon intensity for the relevant sector on the</w:t>
      </w:r>
      <w:r>
        <w:t xml:space="preserve"> </w:t>
      </w:r>
      <w:r>
        <w:t xml:space="preserve">world market, rather than the domestic average, under the assumption that a similar good</w:t>
      </w:r>
      <w:r>
        <w:t xml:space="preserve"> </w:t>
      </w:r>
      <w:r>
        <w:t xml:space="preserve">would have been produced at the average emissions intensity on the world market for that</w:t>
      </w:r>
      <w:r>
        <w:t xml:space="preserve"> </w:t>
      </w:r>
      <w:r>
        <w:t xml:space="preserve">sector (6). This metric thus assigns lower emissions to a country than under CBA when its</w:t>
      </w:r>
      <w:r>
        <w:t xml:space="preserve"> </w:t>
      </w:r>
      <w:r>
        <w:t xml:space="preserve">exports are cleaner than the world average, after accounting for sectoral differences in the</w:t>
      </w:r>
      <w:r>
        <w:t xml:space="preserve"> </w:t>
      </w:r>
      <w:r>
        <w:t xml:space="preserve">composition of exports. The EU has reduced both its production-based and consumption-</w:t>
      </w:r>
      <w:r>
        <w:t xml:space="preserve"> </w:t>
      </w:r>
      <w:r>
        <w:t xml:space="preserve">based emissions over the last decades (7). Including the TCBA method shows a strong</w:t>
      </w:r>
      <w:r>
        <w:t xml:space="preserve"> </w:t>
      </w:r>
      <w:r>
        <w:t xml:space="preserve">reduction of the gap between EU GHG emissions comparing the PBA and CBA method.</w:t>
      </w:r>
      <w:r>
        <w:t xml:space="preserve"> </w:t>
      </w:r>
      <w:r>
        <w:t xml:space="preserve">Figure 1 shows the GHG emission trajectories for the EU, the US, India, and China under the</w:t>
      </w:r>
      <w:r>
        <w:t xml:space="preserve"> </w:t>
      </w:r>
      <w:r>
        <w:t xml:space="preserve">three methods for emission accounting (projections post-2020 are based on the JRC GECO</w:t>
      </w:r>
      <w:r>
        <w:t xml:space="preserve"> </w:t>
      </w:r>
      <w:r>
        <w:t xml:space="preserve">2022 1.5 scenario).</w:t>
      </w:r>
      <w:r>
        <w:br/>
      </w:r>
      <w:r>
        <w:t xml:space="preserve">Figure 1: GHG emissions under different GHG emission accounting methods</w:t>
      </w:r>
    </w:p>
    <w:p>
      <w:pPr>
        <w:pStyle w:val="BodyText"/>
      </w:pPr>
      <w:r>
        <w:t xml:space="preserve">Source: JRC-GEM-E3 model</w:t>
      </w:r>
      <w:r>
        <w:t xml:space="preserve"> </w:t>
      </w:r>
      <w:r>
        <w:t xml:space="preserve">Overall, assessing the interlinkages between climate policies and trade balances depends on</w:t>
      </w:r>
      <w:r>
        <w:t xml:space="preserve"> </w:t>
      </w:r>
      <w:r>
        <w:t xml:space="preserve">various parameter and approximations, making long term outlooks on trade balances</w:t>
      </w:r>
      <w:r>
        <w:t xml:space="preserve"> </w:t>
      </w:r>
      <w:r>
        <w:t xml:space="preserve">challenging. However, it is clear that with a transformation towards net-zero, fossil fuel-based</w:t>
      </w:r>
      <w:r>
        <w:t xml:space="preserve"> </w:t>
      </w:r>
      <w:r>
        <w:t xml:space="preserve">sectors and products will naturally see a decline in demand, whereas sectors and products</w:t>
      </w:r>
      <w:r>
        <w:t xml:space="preserve"> </w:t>
      </w:r>
      <w:r>
        <w:t xml:space="preserve">already in line with net-zero targets are expected to experience higher demand.</w:t>
      </w:r>
      <w:r>
        <w:br/>
      </w:r>
      <w:r>
        <w:t xml:space="preserve">Lastly, EU’s net-zero technology industry can contribute to global emission reductions</w:t>
      </w:r>
      <w:r>
        <w:t xml:space="preserve"> </w:t>
      </w:r>
      <w:r>
        <w:t xml:space="preserve">outside EU when products and technologies are exported or when manufacturing in EU</w:t>
      </w:r>
    </w:p>
    <w:p>
      <w:pPr>
        <w:pStyle w:val="Compact"/>
        <w:numPr>
          <w:ilvl w:val="0"/>
          <w:numId w:val="1004"/>
        </w:numPr>
      </w:pPr>
      <w:r>
        <w:t xml:space="preserve">Kander, A., Jiborn, M., Moran, D.D., Wiedmann T.O. (2015), National greenhouse-gas accounting for</w:t>
      </w:r>
      <w:r>
        <w:t xml:space="preserve"> </w:t>
      </w:r>
      <w:r>
        <w:t xml:space="preserve">effective</w:t>
      </w:r>
      <w:r>
        <w:t xml:space="preserve"> </w:t>
      </w:r>
      <w:r>
        <w:t xml:space="preserve">climate</w:t>
      </w:r>
      <w:r>
        <w:t xml:space="preserve"> </w:t>
      </w:r>
      <w:r>
        <w:t xml:space="preserve">policy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trade.</w:t>
      </w:r>
      <w:r>
        <w:t xml:space="preserve"> </w:t>
      </w:r>
      <w:r>
        <w:t xml:space="preserve">Nature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5:</w:t>
      </w:r>
      <w:r>
        <w:t xml:space="preserve"> </w:t>
      </w:r>
      <w:r>
        <w:t xml:space="preserve">431–435.</w:t>
      </w:r>
      <w:r>
        <w:t xml:space="preserve"> </w:t>
      </w:r>
      <w:r>
        <w:t xml:space="preserve">https://doi.org/10.1038/nclimate2555.</w:t>
      </w:r>
    </w:p>
    <w:p>
      <w:pPr>
        <w:pStyle w:val="Compact"/>
        <w:numPr>
          <w:ilvl w:val="0"/>
          <w:numId w:val="1004"/>
        </w:numPr>
      </w:pPr>
      <w:r>
        <w:t xml:space="preserve">See, for example, the estimates of CO2 emissions embodied in international trade by the OECD, see</w:t>
      </w:r>
      <w:r>
        <w:t xml:space="preserve"> </w:t>
      </w:r>
      <w:r>
        <w:t xml:space="preserve">https://www.oecd.org/sti/ind/carbondioxideemissionsembodiedininternationaltrade.htm .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replaces more polluting manufacturing outside EU. Such contribution to global emission</w:t>
      </w:r>
      <w:r>
        <w:t xml:space="preserve"> </w:t>
      </w:r>
      <w:r>
        <w:t xml:space="preserve">reduction would be additional to the scenarios analysed in this impact assessment and further</w:t>
      </w:r>
      <w:r>
        <w:t xml:space="preserve"> </w:t>
      </w:r>
      <w:r>
        <w:t xml:space="preserve">points at the significance of building on the capacity of the EU in raw materials and industrial</w:t>
      </w:r>
      <w:r>
        <w:t xml:space="preserve"> </w:t>
      </w:r>
      <w:r>
        <w:t xml:space="preserve">clean manufacturing.</w:t>
      </w:r>
      <w:r>
        <w:br/>
      </w:r>
      <w:r>
        <w:t xml:space="preserve">1.6</w:t>
      </w:r>
      <w:r>
        <w:t xml:space="preserve"> </w:t>
      </w:r>
      <w:r>
        <w:t xml:space="preserve">Global competition for raw materials</w:t>
      </w:r>
      <w:r>
        <w:t xml:space="preserve"> </w:t>
      </w:r>
      <w:r>
        <w:t xml:space="preserve">Demand for non-energy raw materials, such as metals and minerals, increases rapidly with</w:t>
      </w:r>
      <w:r>
        <w:t xml:space="preserve"> </w:t>
      </w:r>
      <w:r>
        <w:t xml:space="preserve">climate ambition (8). Unlike fossil-powered technologies, the key technologies to decarbonise</w:t>
      </w:r>
      <w:r>
        <w:t xml:space="preserve"> </w:t>
      </w:r>
      <w:r>
        <w:t xml:space="preserve">the power generation, industry, and transport sectors (namely wind, solar PV, batteries, and</w:t>
      </w:r>
      <w:r>
        <w:t xml:space="preserve"> </w:t>
      </w:r>
      <w:r>
        <w:t xml:space="preserve">hydrogen) require large quantities of metals and minerals (9).</w:t>
      </w:r>
      <w:r>
        <w:br/>
      </w:r>
      <w:r>
        <w:t xml:space="preserve">In view of the 2050 climate neutrality, the demand for renewable energy generation and</w:t>
      </w:r>
      <w:r>
        <w:t xml:space="preserve"> </w:t>
      </w:r>
      <w:r>
        <w:t xml:space="preserve">decarbonised transport in the EU is expected to increase, and so too the demand of raw</w:t>
      </w:r>
      <w:r>
        <w:t xml:space="preserve"> </w:t>
      </w:r>
      <w:r>
        <w:t xml:space="preserve">materials. Substituting materials and increasing material efficiency and circularity can</w:t>
      </w:r>
      <w:r>
        <w:t xml:space="preserve"> </w:t>
      </w:r>
      <w:r>
        <w:t xml:space="preserve">mitigate the projected rise in demand to a certain extent, but these steps are not expected to</w:t>
      </w:r>
      <w:r>
        <w:t xml:space="preserve"> </w:t>
      </w:r>
      <w:r>
        <w:t xml:space="preserve">reverse the trend (see Annex 6).</w:t>
      </w:r>
      <w:r>
        <w:br/>
      </w:r>
      <w:r>
        <w:t xml:space="preserve">Markets are reacting to the current and forecasted increases in demand for critical materials,</w:t>
      </w:r>
      <w:r>
        <w:t xml:space="preserve"> </w:t>
      </w:r>
      <w:r>
        <w:t xml:space="preserve">with significant increases in supply forecast. The market size of key energy transition</w:t>
      </w:r>
      <w:r>
        <w:t xml:space="preserve"> </w:t>
      </w:r>
      <w:r>
        <w:t xml:space="preserve">minerals doubled over the past five years, reaching USD 320 billion in 2022. The IEA says</w:t>
      </w:r>
      <w:r>
        <w:t xml:space="preserve"> </w:t>
      </w:r>
      <w:r>
        <w:t xml:space="preserve">supply of minerals critical to the energy transition could move close to levels needed to</w:t>
      </w:r>
      <w:r>
        <w:t xml:space="preserve"> </w:t>
      </w:r>
      <w:r>
        <w:t xml:space="preserve">support climate pledges by 2030 after investment in critical minerals production jumped 30%</w:t>
      </w:r>
      <w:r>
        <w:t xml:space="preserve"> </w:t>
      </w:r>
      <w:r>
        <w:t xml:space="preserve">last year to $41 billion, having gained 20% in 2021. Exploration spending also rose by 20% in</w:t>
      </w:r>
      <w:r>
        <w:t xml:space="preserve"> </w:t>
      </w:r>
      <w:r>
        <w:t xml:space="preserve">2022, driven by record growth in lithium exploration. For lithium, the IEA forecasts supply by</w:t>
      </w:r>
      <w:r>
        <w:t xml:space="preserve"> </w:t>
      </w:r>
      <w:r>
        <w:t xml:space="preserve">2030 will reach 420,000 metric tons - only a touch short of demand estimated at 443,000 to</w:t>
      </w:r>
      <w:r>
        <w:t xml:space="preserve"> </w:t>
      </w:r>
      <w:r>
        <w:t xml:space="preserve">meet government pledges (10).</w:t>
      </w:r>
      <w:r>
        <w:br/>
      </w:r>
      <w:r>
        <w:t xml:space="preserve">As large uncertainty exists in future amounts of both the demand and supply of metals and</w:t>
      </w:r>
      <w:r>
        <w:t xml:space="preserve"> </w:t>
      </w:r>
      <w:r>
        <w:t xml:space="preserve">materials for decarbonisation, this is reflected in the uncertain outlook for prices of these</w:t>
      </w:r>
      <w:r>
        <w:t xml:space="preserve"> </w:t>
      </w:r>
      <w:r>
        <w:t xml:space="preserve">materials. Large short-term swings have been witnessed in the past due to unbalanced supply</w:t>
      </w:r>
      <w:r>
        <w:t xml:space="preserve"> </w:t>
      </w:r>
      <w:r>
        <w:t xml:space="preserve">and demand market factors, e.g., lithium prices were at record highs at the start of 2023, but</w:t>
      </w:r>
      <w:r>
        <w:t xml:space="preserve"> </w:t>
      </w:r>
      <w:r>
        <w:t xml:space="preserve">by April 2023 had approximately halved (11). Likewise, silicon prices spiked four-fold in mid-</w:t>
      </w:r>
      <w:r>
        <w:t xml:space="preserve"> </w:t>
      </w:r>
      <w:r>
        <w:t xml:space="preserve">2021, but by mid-2022 had returned to pre-spike prices (12).</w:t>
      </w:r>
      <w:r>
        <w:t xml:space="preserve"> </w:t>
      </w:r>
      <w:r>
        <w:t xml:space="preserve">A net-zero economy in the EU will need a secure supply chain able to meet increased product</w:t>
      </w:r>
      <w:r>
        <w:t xml:space="preserve"> </w:t>
      </w:r>
      <w:r>
        <w:t xml:space="preserve">and material demand. Certain products and intermediate material – such as cement and steel –</w:t>
      </w:r>
      <w:r>
        <w:t xml:space="preserve"> </w:t>
      </w:r>
      <w:r>
        <w:t xml:space="preserve">do not represent a supply concern since their manufacturing relies on raw materials that are</w:t>
      </w:r>
      <w:r>
        <w:t xml:space="preserve"> </w:t>
      </w:r>
      <w:r>
        <w:t xml:space="preserve">relatively abundant on earth and whose manufacturing chain is geographically spread across</w:t>
      </w:r>
      <w:r>
        <w:t xml:space="preserve"> </w:t>
      </w:r>
      <w:r>
        <w:t xml:space="preserve">world regions, including the EU. Other products and intermediate materials requiring raw</w:t>
      </w:r>
    </w:p>
    <w:p>
      <w:pPr>
        <w:pStyle w:val="Compact"/>
        <w:numPr>
          <w:ilvl w:val="0"/>
          <w:numId w:val="1005"/>
        </w:numPr>
      </w:pPr>
      <w:r>
        <w:t xml:space="preserve">World Bank (2017). The Growing Role of Minerals and Metals for a Low Carbon Future.</w:t>
      </w:r>
    </w:p>
    <w:p>
      <w:pPr>
        <w:pStyle w:val="Compact"/>
        <w:numPr>
          <w:ilvl w:val="0"/>
          <w:numId w:val="1005"/>
        </w:numPr>
      </w:pPr>
      <w:r>
        <w:t xml:space="preserve">JRC (2020). Critical Raw Materials for Strategic Technologies and Sectors in the EU.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IEA (2023). Critical Minerals Market Review 2023.</w:t>
      </w:r>
    </w:p>
    <w:p>
      <w:pPr>
        <w:pStyle w:val="Compact"/>
        <w:numPr>
          <w:ilvl w:val="0"/>
          <w:numId w:val="1005"/>
        </w:numPr>
      </w:pPr>
      <w:r>
        <w:t xml:space="preserve">BNEF (2023a). Battery Metals Monthly: Lithium Price Recovery Begins.</w:t>
      </w:r>
    </w:p>
    <w:p>
      <w:pPr>
        <w:pStyle w:val="Compact"/>
        <w:numPr>
          <w:ilvl w:val="0"/>
          <w:numId w:val="1005"/>
        </w:numPr>
      </w:pPr>
      <w:r>
        <w:t xml:space="preserve">BNEF (2023b). Transition Metals Outlook 2023.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materials that are not available or manufactured in the EU in large quantities (critical raw</w:t>
      </w:r>
      <w:r>
        <w:t xml:space="preserve"> </w:t>
      </w:r>
      <w:r>
        <w:t xml:space="preserve">materials or CRM) are at high supply risk. Supply risk factors can be country-level</w:t>
      </w:r>
      <w:r>
        <w:t xml:space="preserve"> </w:t>
      </w:r>
      <w:r>
        <w:t xml:space="preserve">concentration of global production of primary raw materials and sourcing to the EU,</w:t>
      </w:r>
      <w:r>
        <w:t xml:space="preserve"> </w:t>
      </w:r>
      <w:r>
        <w:t xml:space="preserve">governance of supplier countries (13) (including environmental aspects), contribution to</w:t>
      </w:r>
      <w:r>
        <w:t xml:space="preserve"> </w:t>
      </w:r>
      <w:r>
        <w:t xml:space="preserve">recycling, substitution, EU import reliance and trade restrictions in third countries.</w:t>
      </w:r>
      <w:r>
        <w:br/>
      </w:r>
      <w:r>
        <w:t xml:space="preserve">The EU currently relies almost exclusively on imports for many CRM. In fact, for 31 out of</w:t>
      </w:r>
      <w:r>
        <w:t xml:space="preserve"> </w:t>
      </w:r>
      <w:r>
        <w:t xml:space="preserve">82 individual materials or groups assessed, the import reliance is 100% at the extraction or</w:t>
      </w:r>
      <w:r>
        <w:t xml:space="preserve"> </w:t>
      </w:r>
      <w:r>
        <w:t xml:space="preserve">processing stage, and above 80% for another 6 materials (14).</w:t>
      </w:r>
      <w:r>
        <w:t xml:space="preserve"> </w:t>
      </w:r>
      <w:r>
        <w:t xml:space="preserve">More importantly, within these imports, suppliers are highly concentrated (15), and the main</w:t>
      </w:r>
      <w:r>
        <w:t xml:space="preserve"> </w:t>
      </w:r>
      <w:r>
        <w:t xml:space="preserve">suppliers are in many cases exposed to significant environmental, social and governance</w:t>
      </w:r>
      <w:r>
        <w:t xml:space="preserve"> </w:t>
      </w:r>
      <w:r>
        <w:t xml:space="preserve">risks (16). In three cases, namely light REE, heavy REE and magnesium, the supply share of</w:t>
      </w:r>
      <w:r>
        <w:t xml:space="preserve"> </w:t>
      </w:r>
      <w:r>
        <w:t xml:space="preserve">one country, China, is above 90%. This concentration expands along the value chain, with the</w:t>
      </w:r>
      <w:r>
        <w:t xml:space="preserve"> </w:t>
      </w:r>
      <w:r>
        <w:t xml:space="preserve">processing stage being even more concentrated than the extraction stage for some materials,</w:t>
      </w:r>
      <w:r>
        <w:t xml:space="preserve"> </w:t>
      </w:r>
      <w:r>
        <w:t xml:space="preserve">such as lithium. China controls 69% of the global capacity for refined lithium, 60% for</w:t>
      </w:r>
      <w:r>
        <w:t xml:space="preserve"> </w:t>
      </w:r>
      <w:r>
        <w:t xml:space="preserve">refined cobalt, 79% for refined manganese (17). In addition to the concentration of supply in</w:t>
      </w:r>
      <w:r>
        <w:t xml:space="preserve"> </w:t>
      </w:r>
      <w:r>
        <w:t xml:space="preserve">single countries, some actors have expanded their dominance of the global value chain by</w:t>
      </w:r>
      <w:r>
        <w:t xml:space="preserve"> </w:t>
      </w:r>
      <w:r>
        <w:t xml:space="preserve">taking control of economic activities and assets in third countries, such as China controlling</w:t>
      </w:r>
      <w:r>
        <w:t xml:space="preserve"> </w:t>
      </w:r>
      <w:r>
        <w:t xml:space="preserve">cobalt mines in Congo (18). As witnessed during the COVID-19 crisis and the energy crisis</w:t>
      </w:r>
      <w:r>
        <w:t xml:space="preserve"> </w:t>
      </w:r>
      <w:r>
        <w:t xml:space="preserve">following Russian’s military aggression against Ukraine, the consequences of excessive</w:t>
      </w:r>
      <w:r>
        <w:t xml:space="preserve"> </w:t>
      </w:r>
      <w:r>
        <w:t xml:space="preserve">dependence on single suppliers can jeopardise the functioning on the single market and harm</w:t>
      </w:r>
      <w:r>
        <w:t xml:space="preserve"> </w:t>
      </w:r>
      <w:r>
        <w:t xml:space="preserve">the EU’s competitiveness.</w:t>
      </w:r>
    </w:p>
    <w:p>
      <w:pPr>
        <w:pStyle w:val="Compact"/>
        <w:numPr>
          <w:ilvl w:val="0"/>
          <w:numId w:val="1006"/>
        </w:numPr>
      </w:pPr>
      <w:r>
        <w:t xml:space="preserve">Worldwide Governance Indicators (WGI): http://info.worldbank.org/governance/wgi/. Accessed on 18-04-</w:t>
      </w:r>
    </w:p>
    <w:p>
      <w:pPr>
        <w:pStyle w:val="Compact"/>
        <w:numPr>
          <w:ilvl w:val="0"/>
          <w:numId w:val="1008"/>
        </w:numPr>
      </w:pPr>
      <w:r>
        <w:t xml:space="preserve">European Commission (2020). Study on the EU’s list of Critical Raw Materials – Final Report.</w:t>
      </w:r>
    </w:p>
    <w:p>
      <w:pPr>
        <w:pStyle w:val="Compact"/>
        <w:numPr>
          <w:ilvl w:val="0"/>
          <w:numId w:val="1008"/>
        </w:numPr>
      </w:pPr>
      <w:r>
        <w:t xml:space="preserve">The share of the biggest supplier to the EU is 99% for the group of light rare earth elements (China), 98%</w:t>
      </w:r>
      <w:r>
        <w:t xml:space="preserve"> </w:t>
      </w:r>
      <w:r>
        <w:t xml:space="preserve">for the group of heavy rare earth elements (China), 98% for borates (Turkey), 93% for magnesium (China),</w:t>
      </w:r>
      <w:r>
        <w:t xml:space="preserve"> </w:t>
      </w:r>
      <w:r>
        <w:t xml:space="preserve">85% for niobium (Brazil), 78% for lithium (Chile) and 68% for Cobalt (DR Congo), source: Study on the</w:t>
      </w:r>
      <w:r>
        <w:t xml:space="preserve"> </w:t>
      </w:r>
      <w:r>
        <w:t xml:space="preserve">EU’s list of Critical Raw Materials (2020): Final Report, European Commission 2020.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See IEA (2021) report on Clean Energy Minerals, page 126-131.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JRC (2023). Supply chains and materials demand forecast in strategic technologies and sectors in the EU. A</w:t>
      </w:r>
      <w:r>
        <w:t xml:space="preserve"> </w:t>
      </w:r>
      <w:r>
        <w:t xml:space="preserve">foresight study.</w:t>
      </w:r>
    </w:p>
    <w:p>
      <w:pPr>
        <w:pStyle w:val="Compact"/>
        <w:numPr>
          <w:ilvl w:val="0"/>
          <w:numId w:val="1008"/>
        </w:numPr>
      </w:pPr>
      <w:r>
        <w:t xml:space="preserve">Luc Leruth and Adnan Mazarei (2022). “Who controls the world’s minerals needed for green energy?”</w:t>
      </w:r>
      <w:r>
        <w:t xml:space="preserve"> </w:t>
      </w:r>
      <w:r>
        <w:t xml:space="preserve">https://www.piie.com/blogs/realtime-economic-issues-watch/who-controls-worlds-minerals-needed-green-</w:t>
      </w:r>
      <w:r>
        <w:t xml:space="preserve"> </w:t>
      </w:r>
      <w:r>
        <w:t xml:space="preserve">energy. Accessed on 10-10-2023.</w:t>
      </w:r>
    </w:p>
    <w:p>
      <w:pPr>
        <w:pStyle w:val="FirstParagraph"/>
      </w:pPr>
      <w:r>
        <w:t xml:space="preserve">12</w:t>
      </w:r>
    </w:p>
    <w:p>
      <w:pPr>
        <w:pStyle w:val="BodyText"/>
      </w:pPr>
      <w:r>
        <w:t xml:space="preserve">Figure 2: Major countries in extraction and processing of selected minerals and fossil fuels</w:t>
      </w:r>
    </w:p>
    <w:p>
      <w:pPr>
        <w:pStyle w:val="BodyText"/>
      </w:pPr>
      <w:r>
        <w:t xml:space="preserve">Notes: LNG= liquefied natural gas. The values for copper processing are for refining operations. Data from: IEA</w:t>
      </w:r>
      <w:r>
        <w:t xml:space="preserve"> </w:t>
      </w:r>
      <w:r>
        <w:t xml:space="preserve">(2020a), USGS (2021), World Bureau of Metal Statistics (2020), Adamas Intelligence (2020).</w:t>
      </w:r>
      <w:r>
        <w:t xml:space="preserve"> </w:t>
      </w:r>
      <w:r>
        <w:t xml:space="preserve">Source: Leruth and Mazarei (2022) (19).</w:t>
      </w:r>
      <w:r>
        <w:br/>
      </w:r>
      <w:r>
        <w:t xml:space="preserve">EU reliance on CRM imports is also due to a lack of efficient use of domestic resources, both</w:t>
      </w:r>
      <w:r>
        <w:t xml:space="preserve"> </w:t>
      </w:r>
      <w:r>
        <w:t xml:space="preserve">primary and secondary. The EU is currently a minor player in terms of extraction and</w:t>
      </w:r>
      <w:r>
        <w:t xml:space="preserve"> </w:t>
      </w:r>
      <w:r>
        <w:t xml:space="preserve">processing of primary CRMs. Despite being highly recyclable, the share of recycled CRM is</w:t>
      </w:r>
      <w:r>
        <w:t xml:space="preserve"> </w:t>
      </w:r>
      <w:r>
        <w:t xml:space="preserve">very low: this is because usually CRMs are used in low concentration as part of alloys, which</w:t>
      </w:r>
      <w:r>
        <w:t xml:space="preserve"> </w:t>
      </w:r>
      <w:r>
        <w:t xml:space="preserve">make the recovery process complex, and, until recently, their limited demand did not justify</w:t>
      </w:r>
      <w:r>
        <w:t xml:space="preserve"> </w:t>
      </w:r>
      <w:r>
        <w:t xml:space="preserve">investment in recycling infrastructure. Consequently, the share of CRM secondary production</w:t>
      </w:r>
      <w:r>
        <w:t xml:space="preserve"> </w:t>
      </w:r>
      <w:r>
        <w:t xml:space="preserve">is minimal, and significant CRM resources leave Europe in the form of wastes and scrap.</w:t>
      </w:r>
      <w:r>
        <w:br/>
      </w:r>
      <w:r>
        <w:t xml:space="preserve">The EU strategy to overcome the challenges related to the supply of critical raw material is</w:t>
      </w:r>
      <w:r>
        <w:t xml:space="preserve"> </w:t>
      </w:r>
      <w:r>
        <w:t xml:space="preserve">described in the Critical Raw Material Act (20), which aims to strengthen the different stages</w:t>
      </w:r>
      <w:r>
        <w:t xml:space="preserve"> </w:t>
      </w:r>
      <w:r>
        <w:t xml:space="preserve">of the European critical raw materials value chain and diversifying the EU’s imports of critical</w:t>
      </w:r>
      <w:r>
        <w:t xml:space="preserve"> </w:t>
      </w:r>
      <w:r>
        <w:t xml:space="preserve">raw materials to reduce strategic dependencies by developing win-win partnerships on</w:t>
      </w:r>
      <w:r>
        <w:t xml:space="preserve"> </w:t>
      </w:r>
      <w:r>
        <w:t xml:space="preserve">sustainable raw materials value chains with resource rich countries and negotiate trade</w:t>
      </w:r>
      <w:r>
        <w:t xml:space="preserve"> </w:t>
      </w:r>
      <w:r>
        <w:t xml:space="preserve">agreements to facilitate trade and investment in CRM in third countries (21). For more details,</w:t>
      </w:r>
      <w:r>
        <w:t xml:space="preserve"> </w:t>
      </w:r>
      <w:r>
        <w:t xml:space="preserve">see section 2.1. Circular economy measures, including product policies, can also help optmise</w:t>
      </w:r>
      <w:r>
        <w:t xml:space="preserve"> </w:t>
      </w:r>
      <w:r>
        <w:t xml:space="preserve">the supply of critical raw materials, as they can lower primary CRM consumption and</w:t>
      </w:r>
      <w:r>
        <w:t xml:space="preserve"> </w:t>
      </w:r>
      <w:r>
        <w:t xml:space="preserve">demand, and provide additional co-benefit in reducing biodiversity and pollution impacts</w:t>
      </w:r>
      <w:r>
        <w:t xml:space="preserve"> </w:t>
      </w:r>
      <w:r>
        <w:t xml:space="preserve">stemming from CRM extraction and processing.</w:t>
      </w:r>
    </w:p>
    <w:p>
      <w:pPr>
        <w:pStyle w:val="Compact"/>
        <w:numPr>
          <w:ilvl w:val="0"/>
          <w:numId w:val="1009"/>
        </w:numPr>
      </w:pPr>
      <w:r>
        <w:t xml:space="preserve">Luc Leruth and Adnan Mazarei (2022). “Who controls the world’s minerals needed for green energy?”</w:t>
      </w:r>
      <w:r>
        <w:t xml:space="preserve"> </w:t>
      </w:r>
      <w:r>
        <w:t xml:space="preserve">https://www.piie.com/blogs/realtime-economic-issues-watch/who-controls-worlds-minerals-needed-green-</w:t>
      </w:r>
      <w:r>
        <w:t xml:space="preserve"> </w:t>
      </w:r>
      <w:r>
        <w:t xml:space="preserve">energy. Accessed on 10-10-2023.</w:t>
      </w:r>
    </w:p>
    <w:p>
      <w:pPr>
        <w:pStyle w:val="Compact"/>
        <w:numPr>
          <w:ilvl w:val="0"/>
          <w:numId w:val="1009"/>
        </w:numPr>
      </w:pPr>
      <w:r>
        <w:t xml:space="preserve">COM(2023) 165 final</w:t>
      </w:r>
    </w:p>
    <w:p>
      <w:pPr>
        <w:pStyle w:val="Compact"/>
        <w:numPr>
          <w:ilvl w:val="0"/>
          <w:numId w:val="1009"/>
        </w:numPr>
      </w:pPr>
      <w:r>
        <w:t xml:space="preserve">COM(2020) 474 final</w:t>
      </w:r>
    </w:p>
    <w:p>
      <w:pPr>
        <w:pStyle w:val="FirstParagraph"/>
      </w:pPr>
      <w:r>
        <w:t xml:space="preserve">13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 INDUSTRIAL STRATEGY</w:t>
      </w:r>
      <w:r>
        <w:br/>
      </w:r>
      <w:r>
        <w:t xml:space="preserve">Industry is one of the backbones of EU economy, and reducing its emissions is a key step</w:t>
      </w:r>
      <w:r>
        <w:t xml:space="preserve"> </w:t>
      </w:r>
      <w:r>
        <w:t xml:space="preserve">toward the 2050 climate neutrality.</w:t>
      </w:r>
      <w:r>
        <w:br/>
      </w:r>
      <w:r>
        <w:t xml:space="preserve">Decarbonisation of the industry is complex. While it includes the production of some</w:t>
      </w:r>
      <w:r>
        <w:t xml:space="preserve"> </w:t>
      </w:r>
      <w:r>
        <w:t xml:space="preserve">commodities like metals and cement, the remainder of the sector’s output is extremely</w:t>
      </w:r>
      <w:r>
        <w:t xml:space="preserve"> </w:t>
      </w:r>
      <w:r>
        <w:t xml:space="preserve">heterogenous, producing very different materials and end products. It covers a highly diverse</w:t>
      </w:r>
      <w:r>
        <w:t xml:space="preserve"> </w:t>
      </w:r>
      <w:r>
        <w:t xml:space="preserve">set of input-output relationships that are highly integrated with the energy sector and the</w:t>
      </w:r>
      <w:r>
        <w:t xml:space="preserve"> </w:t>
      </w:r>
      <w:r>
        <w:t xml:space="preserve">overall economy. Decarbonising industry also enables to reduce the embodied emissions in</w:t>
      </w:r>
      <w:r>
        <w:t xml:space="preserve"> </w:t>
      </w:r>
      <w:r>
        <w:t xml:space="preserve">the products and equipment used in transport sector and the built environment. Given the</w:t>
      </w:r>
      <w:r>
        <w:t xml:space="preserve"> </w:t>
      </w:r>
      <w:r>
        <w:t xml:space="preserve">heterogeneity of the industrial sector, it stands to reason that a wide variety of decarbonisation</w:t>
      </w:r>
      <w:r>
        <w:t xml:space="preserve"> </w:t>
      </w:r>
      <w:r>
        <w:t xml:space="preserve">levers will be required, there is no silver bullet for complete industrial decarbonisation and</w:t>
      </w:r>
      <w:r>
        <w:t xml:space="preserve"> </w:t>
      </w:r>
      <w:r>
        <w:t xml:space="preserve">more ad-hoc solutions that consider the specific characteristics of the sub-sectors needs to be</w:t>
      </w:r>
      <w:r>
        <w:t xml:space="preserve"> </w:t>
      </w:r>
      <w:r>
        <w:t xml:space="preserve">implemented. An increasing number of technological solutions that result from net-zero</w:t>
      </w:r>
      <w:r>
        <w:t xml:space="preserve"> </w:t>
      </w:r>
      <w:r>
        <w:t xml:space="preserve">technology compatible investments and innovation could provide mainstream solutions in</w:t>
      </w:r>
      <w:r>
        <w:t xml:space="preserve"> </w:t>
      </w:r>
      <w:r>
        <w:t xml:space="preserve">many industrial sub-sectors by 2040, such as new manufacturing technologies, innovation in</w:t>
      </w:r>
      <w:r>
        <w:t xml:space="preserve"> </w:t>
      </w:r>
      <w:r>
        <w:t xml:space="preserve">processes, use of alternative materials or sources and cleaner supply chain.</w:t>
      </w:r>
      <w:r>
        <w:t xml:space="preserve"> </w:t>
      </w:r>
      <w:r>
        <w:t xml:space="preserve">The climate transition represents a great opportunity for creating jobs and growth. The net-</w:t>
      </w:r>
      <w:r>
        <w:t xml:space="preserve"> </w:t>
      </w:r>
      <w:r>
        <w:t xml:space="preserve">zero technology manufacturing industries, and its related ecosystem, are expected to undergo</w:t>
      </w:r>
      <w:r>
        <w:t xml:space="preserve"> </w:t>
      </w:r>
      <w:r>
        <w:t xml:space="preserve">rapid growth in the coming decades. Innovative business models, such as circular practices</w:t>
      </w:r>
      <w:r>
        <w:t xml:space="preserve"> </w:t>
      </w:r>
      <w:r>
        <w:t xml:space="preserve">and sharing economy, together with more responsible and sustainable consumer choices will</w:t>
      </w:r>
      <w:r>
        <w:t xml:space="preserve"> </w:t>
      </w:r>
      <w:r>
        <w:t xml:space="preserve">steer industry toward more resource-efficient and less climate-intensive value chains.</w:t>
      </w:r>
      <w:r>
        <w:br/>
      </w:r>
      <w:r>
        <w:t xml:space="preserve">Today, the EU is already a global leader in certain clean sectors and is well positioned to</w:t>
      </w:r>
      <w:r>
        <w:t xml:space="preserve"> </w:t>
      </w:r>
      <w:r>
        <w:t xml:space="preserve">maintain its central role in the coming years. Embracing the industrial transition and</w:t>
      </w:r>
      <w:r>
        <w:t xml:space="preserve"> </w:t>
      </w:r>
      <w:r>
        <w:t xml:space="preserve">encouraging the development of domestic green and circular industry will provide a</w:t>
      </w:r>
      <w:r>
        <w:t xml:space="preserve"> </w:t>
      </w:r>
      <w:r>
        <w:t xml:space="preserve">competitive advantage to the EU. It will decrease resource dependency and spur innovation,</w:t>
      </w:r>
      <w:r>
        <w:t xml:space="preserve"> </w:t>
      </w:r>
      <w:r>
        <w:t xml:space="preserve">making the EU stronger at global level. However, especially the US and China are investing</w:t>
      </w:r>
      <w:r>
        <w:t xml:space="preserve"> </w:t>
      </w:r>
      <w:r>
        <w:t xml:space="preserve">heavily to compete on industrial decarbonisation solutions.</w:t>
      </w:r>
      <w:r>
        <w:t xml:space="preserve"> </w:t>
      </w:r>
      <w:r>
        <w:t xml:space="preserve">In response, between January and March 2023, the Commission tabled a number of proposals</w:t>
      </w:r>
      <w:r>
        <w:t xml:space="preserve"> </w:t>
      </w:r>
      <w:r>
        <w:t xml:space="preserve">to strengthen the growth and innovative strategy from the European Green Deal. The Green</w:t>
      </w:r>
      <w:r>
        <w:t xml:space="preserve"> </w:t>
      </w:r>
      <w:r>
        <w:t xml:space="preserve">Deal Industrial plan, adopted by the Commission on 1 February 2023 provides the</w:t>
      </w:r>
      <w:r>
        <w:t xml:space="preserve"> </w:t>
      </w:r>
      <w:r>
        <w:t xml:space="preserve">overarching principles of this reinforced industrial strategy to make Europe the home of clean</w:t>
      </w:r>
      <w:r>
        <w:t xml:space="preserve"> </w:t>
      </w:r>
      <w:r>
        <w:t xml:space="preserve">tech and industrial innovation. Additionally, provisions relevant for the EU industrial strategy</w:t>
      </w:r>
      <w:r>
        <w:t xml:space="preserve"> </w:t>
      </w:r>
      <w:r>
        <w:t xml:space="preserve">are also included in the provisional agreement on the proposal for a revision of the Renewable</w:t>
      </w:r>
      <w:r>
        <w:t xml:space="preserve"> </w:t>
      </w:r>
      <w:r>
        <w:t xml:space="preserve">Energy Directive (RED) proposed as part of the Fit-For-55 package as well as the revision</w:t>
      </w:r>
      <w:r>
        <w:t xml:space="preserve"> </w:t>
      </w:r>
      <w:r>
        <w:t xml:space="preserve">proposed as part of the REPowerEU package, and for the revision of the F-gases regulations.</w:t>
      </w:r>
      <w:r>
        <w:br/>
      </w:r>
      <w:r>
        <w:t xml:space="preserve">2.1</w:t>
      </w:r>
      <w:r>
        <w:t xml:space="preserve"> </w:t>
      </w:r>
      <w:r>
        <w:t xml:space="preserve">The Green Deal Industrial Plan</w:t>
      </w:r>
      <w:r>
        <w:br/>
      </w:r>
      <w:r>
        <w:t xml:space="preserve">The Green Deal Industrial plan contains four pillars. The first one is to improve the</w:t>
      </w:r>
      <w:r>
        <w:t xml:space="preserve"> </w:t>
      </w:r>
      <w:r>
        <w:t xml:space="preserve">regulatory environment to focus investment on strategic sectors and projects as well as</w:t>
      </w:r>
      <w:r>
        <w:t xml:space="preserve"> </w:t>
      </w:r>
      <w:r>
        <w:t xml:space="preserve">accelerate permitting. The second pillar aims at speeding up investment and financing for</w:t>
      </w:r>
      <w:r>
        <w:t xml:space="preserve"> </w:t>
      </w:r>
      <w:r>
        <w:t xml:space="preserve">clean tech production in Europe. To that end, the temporarily adapted state aid rules</w:t>
      </w:r>
      <w:r>
        <w:t xml:space="preserve"> </w:t>
      </w:r>
      <w:r>
        <w:t xml:space="preserve">(Temporary Crisis and Transition Framework) and in the medium term an EU Sovereignty</w:t>
      </w:r>
      <w:r>
        <w:t xml:space="preserve"> </w:t>
      </w:r>
      <w:r>
        <w:t xml:space="preserve">Fund (now announced on June 19, 2023, under the name the Strategic Technologies for</w:t>
      </w:r>
      <w:r>
        <w:t xml:space="preserve"> </w:t>
      </w:r>
      <w:r>
        <w:t xml:space="preserve">Europe Platform or STEP) allow for financing with short term flexibility. The third pillar is</w:t>
      </w:r>
      <w:r>
        <w:t xml:space="preserve"> </w:t>
      </w:r>
      <w:r>
        <w:t xml:space="preserve">skills with the establishment of Net-Zero Industry Academies to roll out re-skilling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programmes and facilitated access to EU labour markets for third country nationals. The</w:t>
      </w:r>
      <w:r>
        <w:t xml:space="preserve"> </w:t>
      </w:r>
      <w:r>
        <w:t xml:space="preserve">fourth pillar is trade with the aim to maximise existing trade agreements, combat unfair trade</w:t>
      </w:r>
      <w:r>
        <w:t xml:space="preserve"> </w:t>
      </w:r>
      <w:r>
        <w:t xml:space="preserve">practices and an emphasis on clean tech and net-zero industrial partnerships.</w:t>
      </w:r>
      <w:r>
        <w:br/>
      </w:r>
      <w:r>
        <w:t xml:space="preserve">The Net Zero Industry and Critical Raw Materials Acts published together on March 16,</w:t>
      </w:r>
      <w:r>
        <w:t xml:space="preserve"> </w:t>
      </w:r>
      <w:r>
        <w:t xml:space="preserve">2023, were proposals announced under the first pillar on Regulatory Environment of the</w:t>
      </w:r>
      <w:r>
        <w:t xml:space="preserve"> </w:t>
      </w:r>
      <w:r>
        <w:t xml:space="preserve">Green Deal Industrial Plan.</w:t>
      </w:r>
      <w:r>
        <w:br/>
      </w:r>
      <w:r>
        <w:t xml:space="preserve">The Net Zero Industry Act proposal offers a predictable legal framework for net-zero</w:t>
      </w:r>
      <w:r>
        <w:t xml:space="preserve"> </w:t>
      </w:r>
      <w:r>
        <w:t xml:space="preserve">industries in the EU. It focusses on ‘net zero technologies’ that will make significant</w:t>
      </w:r>
      <w:r>
        <w:t xml:space="preserve"> </w:t>
      </w:r>
      <w:r>
        <w:t xml:space="preserve">contribution to decarbonisation and defines a list of ‘Strategic Net Zero technologies’ (solar</w:t>
      </w:r>
      <w:r>
        <w:t xml:space="preserve"> </w:t>
      </w:r>
      <w:r>
        <w:t xml:space="preserve">photovoltaic and solar thermal; hydrogen electrolysers and fuel cells; sustainable</w:t>
      </w:r>
      <w:r>
        <w:t xml:space="preserve"> </w:t>
      </w:r>
      <w:r>
        <w:t xml:space="preserve">biogas/biomethane technologies; battery/storage technologies; heat pumps and geothermal</w:t>
      </w:r>
      <w:r>
        <w:t xml:space="preserve"> </w:t>
      </w:r>
      <w:r>
        <w:t xml:space="preserve">energy technologies; grid technologies; onshore wind and offshore renewable, CO2 capture</w:t>
      </w:r>
      <w:r>
        <w:t xml:space="preserve"> </w:t>
      </w:r>
      <w:r>
        <w:t xml:space="preserve">and storage) which can receive particular support and are subject to a target to provide at least</w:t>
      </w:r>
      <w:r>
        <w:t xml:space="preserve"> </w:t>
      </w:r>
      <w:r>
        <w:t xml:space="preserve">40% of the EU’s annual deployment needs for strategic net-zero technologies by 2030. The</w:t>
      </w:r>
      <w:r>
        <w:t xml:space="preserve"> </w:t>
      </w:r>
      <w:r>
        <w:t xml:space="preserve">Act also sets an EU objective to reach an annual 50Mt of CO2 injection capacity in strategic</w:t>
      </w:r>
      <w:r>
        <w:t xml:space="preserve"> </w:t>
      </w:r>
      <w:r>
        <w:t xml:space="preserve">storage sites in the EU by 2030, to be funded based on proportional contributions from EU oil</w:t>
      </w:r>
      <w:r>
        <w:t xml:space="preserve"> </w:t>
      </w:r>
      <w:r>
        <w:t xml:space="preserve">and gas producers.</w:t>
      </w:r>
      <w:r>
        <w:t xml:space="preserve"> </w:t>
      </w:r>
      <w:r>
        <w:t xml:space="preserve">The main pillars of the Act are the setting of enabling conditions by improving the conditions</w:t>
      </w:r>
      <w:r>
        <w:t xml:space="preserve"> </w:t>
      </w:r>
      <w:r>
        <w:t xml:space="preserve">for investment in net-zero technologies by enhancing information, reducing the administrative</w:t>
      </w:r>
      <w:r>
        <w:t xml:space="preserve"> </w:t>
      </w:r>
      <w:r>
        <w:t xml:space="preserve">burden to set up projects and simplifying permit-granting processes. In addition, the Act</w:t>
      </w:r>
      <w:r>
        <w:t xml:space="preserve"> </w:t>
      </w:r>
      <w:r>
        <w:t xml:space="preserve">proposes to give priority to Net-Zero Strategic Projects. Besides the CO2 capture target, it</w:t>
      </w:r>
      <w:r>
        <w:t xml:space="preserve"> </w:t>
      </w:r>
      <w:r>
        <w:t xml:space="preserve">also aims to diversify the supply for net-zero technologies and requires public authorities to</w:t>
      </w:r>
      <w:r>
        <w:t xml:space="preserve"> </w:t>
      </w:r>
      <w:r>
        <w:t xml:space="preserve">consider sustainability and resilience criteria for net-zero technologies in public procurement</w:t>
      </w:r>
      <w:r>
        <w:t xml:space="preserve"> </w:t>
      </w:r>
      <w:r>
        <w:t xml:space="preserve">or auctions.</w:t>
      </w:r>
      <w:r>
        <w:br/>
      </w:r>
      <w:r>
        <w:t xml:space="preserve">It also enhances skills with new measures to ensure there is a skilled workforce supporting the</w:t>
      </w:r>
      <w:r>
        <w:t xml:space="preserve"> </w:t>
      </w:r>
      <w:r>
        <w:t xml:space="preserve">production of net-zero technologies in the EU, including setting up Net-Zero Industry</w:t>
      </w:r>
      <w:r>
        <w:t xml:space="preserve"> </w:t>
      </w:r>
      <w:r>
        <w:t xml:space="preserve">Academies, with the support and oversight by the Net-Zero Europe Platform. It also has</w:t>
      </w:r>
      <w:r>
        <w:t xml:space="preserve"> </w:t>
      </w:r>
      <w:r>
        <w:t xml:space="preserve">specific measures to foster innovation by making it possible for Member States to set up</w:t>
      </w:r>
      <w:r>
        <w:t xml:space="preserve"> </w:t>
      </w:r>
      <w:r>
        <w:t xml:space="preserve">regulatory sandboxes to test innovative net-zero technologies under flexible regulatory</w:t>
      </w:r>
      <w:r>
        <w:t xml:space="preserve"> </w:t>
      </w:r>
      <w:r>
        <w:t xml:space="preserve">conditions. Finally, it sets up a Net-Zero Europe Platform to assist the Commission and</w:t>
      </w:r>
      <w:r>
        <w:t xml:space="preserve"> </w:t>
      </w:r>
      <w:r>
        <w:t xml:space="preserve">Member States to coordinate action and exchange information, including around Net-Zero</w:t>
      </w:r>
      <w:r>
        <w:t xml:space="preserve"> </w:t>
      </w:r>
      <w:r>
        <w:t xml:space="preserve">Industrial Partnerships. The Net-Zero Europe Platform will support investment by identifying</w:t>
      </w:r>
      <w:r>
        <w:t xml:space="preserve"> </w:t>
      </w:r>
      <w:r>
        <w:t xml:space="preserve">financial needs, bottlenecks, and best practices for projects across the EU. It will also foster</w:t>
      </w:r>
      <w:r>
        <w:t xml:space="preserve"> </w:t>
      </w:r>
      <w:r>
        <w:t xml:space="preserve">contacts across Europe’s net-zero sectors, making particular use of existing industrial</w:t>
      </w:r>
      <w:r>
        <w:t xml:space="preserve"> </w:t>
      </w:r>
      <w:r>
        <w:t xml:space="preserve">alliances.</w:t>
      </w:r>
      <w:r>
        <w:br/>
      </w:r>
      <w:r>
        <w:t xml:space="preserve">Most of the net-zero technologies needed for the green transition use a number of critical raw</w:t>
      </w:r>
      <w:r>
        <w:t xml:space="preserve"> </w:t>
      </w:r>
      <w:r>
        <w:t xml:space="preserve">materials in their manufacturing processes that are sources outside the EU. Ensuring adequate</w:t>
      </w:r>
      <w:r>
        <w:t xml:space="preserve"> </w:t>
      </w:r>
      <w:r>
        <w:t xml:space="preserve">future supply of critical raw materials is necessary to achieve the 2050 climate neutrality</w:t>
      </w:r>
      <w:r>
        <w:t xml:space="preserve"> </w:t>
      </w:r>
      <w:r>
        <w:t xml:space="preserve">target.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The Commission regularly publishes the list of critical raw materials for the EU, the last one</w:t>
      </w:r>
      <w:r>
        <w:t xml:space="preserve"> </w:t>
      </w:r>
      <w:r>
        <w:t xml:space="preserve">dating from 2020 (22), and recently forecasted future critical raw material trends (23). These</w:t>
      </w:r>
      <w:r>
        <w:t xml:space="preserve"> </w:t>
      </w:r>
      <w:r>
        <w:t xml:space="preserve">are factual tools to define challenges and identify opportunities to support EU policy</w:t>
      </w:r>
      <w:r>
        <w:t xml:space="preserve"> </w:t>
      </w:r>
      <w:r>
        <w:t xml:space="preserve">development for critical raw materials in different domains (trade, research and innovation,</w:t>
      </w:r>
      <w:r>
        <w:t xml:space="preserve"> </w:t>
      </w:r>
      <w:r>
        <w:t xml:space="preserve">industry, and sustainability).</w:t>
      </w:r>
      <w:r>
        <w:br/>
      </w:r>
      <w:r>
        <w:t xml:space="preserve">The Critical Raw Material Act (24) illustrates the EU strategy to develop win-win partnerships</w:t>
      </w:r>
      <w:r>
        <w:t xml:space="preserve"> </w:t>
      </w:r>
      <w:r>
        <w:t xml:space="preserve">on sustainable raw materials value chains with resource rich countries and negotiate trade</w:t>
      </w:r>
      <w:r>
        <w:t xml:space="preserve"> </w:t>
      </w:r>
      <w:r>
        <w:t xml:space="preserve">agreements to facilitate trade and investment in CRM in third countries (25). These</w:t>
      </w:r>
      <w:r>
        <w:t xml:space="preserve"> </w:t>
      </w:r>
      <w:r>
        <w:t xml:space="preserve">partnerships aim to contribute to the diversification of the EU’s raw materials supply chain</w:t>
      </w:r>
      <w:r>
        <w:t xml:space="preserve"> </w:t>
      </w:r>
      <w:r>
        <w:t xml:space="preserve">and enhance the sustainability of CRM production.</w:t>
      </w:r>
      <w:r>
        <w:br/>
      </w:r>
      <w:r>
        <w:t xml:space="preserve">The Critical Raw Materials Act sets clear benchmarks for domestic capacities along the</w:t>
      </w:r>
      <w:r>
        <w:t xml:space="preserve"> </w:t>
      </w:r>
      <w:r>
        <w:t xml:space="preserve">strategic raw material supply chain and to diversify EU supply by 2030:</w:t>
      </w:r>
      <w:r>
        <w:t xml:space="preserve"> </w:t>
      </w:r>
      <w:r>
        <w:t xml:space="preserve">• At least 10% of the EU’s annual consumption for extraction,</w:t>
      </w:r>
      <w:r>
        <w:br/>
      </w:r>
      <w:r>
        <w:t xml:space="preserve">• At least 40% of the EU’s annual consumption for processing,</w:t>
      </w:r>
      <w:r>
        <w:br/>
      </w:r>
      <w:r>
        <w:t xml:space="preserve">• At least 15% of the EU’s annual consumption for recycling,</w:t>
      </w:r>
      <w:r>
        <w:t xml:space="preserve"> </w:t>
      </w:r>
      <w:r>
        <w:t xml:space="preserve">• Not more than 65% of the Union’s annual consumption of each strategic raw</w:t>
      </w:r>
      <w:r>
        <w:t xml:space="preserve"> </w:t>
      </w:r>
      <w:r>
        <w:t xml:space="preserve">material at any relevant stage of processing from a single third country.</w:t>
      </w:r>
      <w:r>
        <w:t xml:space="preserve"> </w:t>
      </w:r>
      <w:r>
        <w:t xml:space="preserve">In the same approach as with the Net-Zero industry act, it proposes to give priority to selected</w:t>
      </w:r>
      <w:r>
        <w:t xml:space="preserve"> </w:t>
      </w:r>
      <w:r>
        <w:t xml:space="preserve">Strategic projects with support for access to finance and shorter permitting timeframes.</w:t>
      </w:r>
      <w:r>
        <w:t xml:space="preserve"> </w:t>
      </w:r>
      <w:r>
        <w:t xml:space="preserve">Member States will also have to develop national programmes for exploring geological</w:t>
      </w:r>
      <w:r>
        <w:t xml:space="preserve"> </w:t>
      </w:r>
      <w:r>
        <w:t xml:space="preserve">resources. It also aims to ensure that the EU can mitigate supply risks with the monitoring of</w:t>
      </w:r>
      <w:r>
        <w:t xml:space="preserve"> </w:t>
      </w:r>
      <w:r>
        <w:t xml:space="preserve">critical raw materials supply chains and coordination of strategic raw materials stock among</w:t>
      </w:r>
      <w:r>
        <w:t xml:space="preserve"> </w:t>
      </w:r>
      <w:r>
        <w:t xml:space="preserve">Member States. It emphasises the need for investing in research, innovation, and skills with</w:t>
      </w:r>
      <w:r>
        <w:t xml:space="preserve"> </w:t>
      </w:r>
      <w:r>
        <w:t xml:space="preserve">the establishment of a large-scale skills partnership on critical raw materials and a Raw</w:t>
      </w:r>
      <w:r>
        <w:t xml:space="preserve"> </w:t>
      </w:r>
      <w:r>
        <w:t xml:space="preserve">Materials Academy. Finally, it also has several measures to protect the environment and</w:t>
      </w:r>
      <w:r>
        <w:t xml:space="preserve"> </w:t>
      </w:r>
      <w:r>
        <w:t xml:space="preserve">improve the circularity and sustainability of critical raw materials, in the EU and abroad.</w:t>
      </w:r>
      <w:r>
        <w:t xml:space="preserve"> </w:t>
      </w:r>
      <w:r>
        <w:t xml:space="preserve">Member States will need to adopt and implement national measures to improve the collection</w:t>
      </w:r>
      <w:r>
        <w:t xml:space="preserve"> </w:t>
      </w:r>
      <w:r>
        <w:t xml:space="preserve">of critical raw materials rich waste and ensure its recycling into secondary critical raw</w:t>
      </w:r>
      <w:r>
        <w:t xml:space="preserve"> </w:t>
      </w:r>
      <w:r>
        <w:t xml:space="preserve">materials. Special provisions on permanent magnets ensure that products that contain them</w:t>
      </w:r>
      <w:r>
        <w:t xml:space="preserve"> </w:t>
      </w:r>
      <w:r>
        <w:t xml:space="preserve">meet circularity requirements and provide information on the recyclability and recycled</w:t>
      </w:r>
      <w:r>
        <w:t xml:space="preserve"> </w:t>
      </w:r>
      <w:r>
        <w:t xml:space="preserve">content.</w:t>
      </w:r>
      <w:r>
        <w:t xml:space="preserve"> </w:t>
      </w:r>
      <w:r>
        <w:t xml:space="preserve">The Regulation was accompanied by a Communication which actions by the Commission to</w:t>
      </w:r>
      <w:r>
        <w:t xml:space="preserve"> </w:t>
      </w:r>
      <w:r>
        <w:t xml:space="preserve">improve international engagement to diversify the EU import of critical raw materials and to</w:t>
      </w:r>
      <w:r>
        <w:t xml:space="preserve"> </w:t>
      </w:r>
      <w:r>
        <w:t xml:space="preserve">further develop strategic partnerships. It also lists a number of actions by the Commission to</w:t>
      </w:r>
    </w:p>
    <w:p>
      <w:pPr>
        <w:pStyle w:val="Compact"/>
        <w:numPr>
          <w:ilvl w:val="0"/>
          <w:numId w:val="1010"/>
        </w:numPr>
      </w:pPr>
      <w:r>
        <w:t xml:space="preserve">COM(2020) 474 final</w:t>
      </w:r>
    </w:p>
    <w:p>
      <w:pPr>
        <w:pStyle w:val="Compact"/>
        <w:numPr>
          <w:ilvl w:val="0"/>
          <w:numId w:val="1010"/>
        </w:numPr>
      </w:pPr>
      <w:r>
        <w:t xml:space="preserve">JRC (2023). Supply chains and materials demand forecast in strategic technologies and sectors in the EU. A</w:t>
      </w:r>
      <w:r>
        <w:t xml:space="preserve"> </w:t>
      </w:r>
      <w:r>
        <w:t xml:space="preserve">foresight study.</w:t>
      </w:r>
    </w:p>
    <w:p>
      <w:pPr>
        <w:pStyle w:val="Compact"/>
        <w:numPr>
          <w:ilvl w:val="0"/>
          <w:numId w:val="1010"/>
        </w:numPr>
      </w:pPr>
      <w:r>
        <w:t xml:space="preserve">COM(2023) 165 final</w:t>
      </w:r>
    </w:p>
    <w:p>
      <w:pPr>
        <w:pStyle w:val="Compact"/>
        <w:numPr>
          <w:ilvl w:val="0"/>
          <w:numId w:val="1010"/>
        </w:numPr>
      </w:pPr>
      <w:r>
        <w:t xml:space="preserve">COM(2020) 474 final</w:t>
      </w:r>
    </w:p>
    <w:p>
      <w:pPr>
        <w:pStyle w:val="FirstParagraph"/>
      </w:pPr>
      <w:r>
        <w:t xml:space="preserve">16</w:t>
      </w:r>
    </w:p>
    <w:p>
      <w:pPr>
        <w:pStyle w:val="BodyText"/>
      </w:pPr>
      <w:r>
        <w:t xml:space="preserve">improve the circularity of critical raw material, including a number of revisions of waste</w:t>
      </w:r>
      <w:r>
        <w:t xml:space="preserve"> </w:t>
      </w:r>
      <w:r>
        <w:t xml:space="preserve">legislations.</w:t>
      </w:r>
      <w:r>
        <w:t xml:space="preserve"> </w:t>
      </w:r>
      <w:r>
        <w:t xml:space="preserve">The Critical Raw Materials Act helps the EU to move from a linear to a circular economic</w:t>
      </w:r>
      <w:r>
        <w:t xml:space="preserve"> </w:t>
      </w:r>
      <w:r>
        <w:t xml:space="preserve">model of production and consumption. At its core, the circular economy seeks to reduce</w:t>
      </w:r>
      <w:r>
        <w:t xml:space="preserve"> </w:t>
      </w:r>
      <w:r>
        <w:t xml:space="preserve">waste to a minimum, converting into valuable resources. Instead of take-make-dispose, it</w:t>
      </w:r>
      <w:r>
        <w:t xml:space="preserve"> </w:t>
      </w:r>
      <w:r>
        <w:t xml:space="preserve">involves prolonging lifetime of products, reusing, repairing, refurbishing as well as sharing</w:t>
      </w:r>
      <w:r>
        <w:t xml:space="preserve"> </w:t>
      </w:r>
      <w:r>
        <w:t xml:space="preserve">and leasing. Ecodesing is key to exploit the benefits of the circular economy at maximum. If</w:t>
      </w:r>
      <w:r>
        <w:t xml:space="preserve"> </w:t>
      </w:r>
      <w:r>
        <w:t xml:space="preserve">this is no longer possible and a product reaches its end of life, recycling allows maintaining its</w:t>
      </w:r>
      <w:r>
        <w:t xml:space="preserve"> </w:t>
      </w:r>
      <w:r>
        <w:t xml:space="preserve">materials within the economy. The circular economy will thereby create business</w:t>
      </w:r>
      <w:r>
        <w:t xml:space="preserve"> </w:t>
      </w:r>
      <w:r>
        <w:t xml:space="preserve">opportunities and jobs while requiring fewer virgin materials and less energy. This can reduce</w:t>
      </w:r>
      <w:r>
        <w:t xml:space="preserve"> </w:t>
      </w:r>
      <w:r>
        <w:t xml:space="preserve">greenhouse gas emissions, mitigate risks associated with the supply of materials, and protect</w:t>
      </w:r>
      <w:r>
        <w:t xml:space="preserve"> </w:t>
      </w:r>
      <w:r>
        <w:t xml:space="preserve">the environment.</w:t>
      </w:r>
      <w:r>
        <w:t xml:space="preserve"> </w:t>
      </w:r>
      <w:r>
        <w:t xml:space="preserve">2.2</w:t>
      </w:r>
      <w:r>
        <w:t xml:space="preserve"> </w:t>
      </w:r>
      <w:r>
        <w:t xml:space="preserve">Energy measures supporting industry</w:t>
      </w:r>
      <w:r>
        <w:t xml:space="preserve"> </w:t>
      </w:r>
      <w:r>
        <w:t xml:space="preserve">Energy efficiency contributed significantly to decarbonisation of industry in the last years,</w:t>
      </w:r>
      <w:r>
        <w:t xml:space="preserve"> </w:t>
      </w:r>
      <w:r>
        <w:t xml:space="preserve">encouraged both by the Energy Efficiency Directive (26) and other pieces of EU legislation</w:t>
      </w:r>
      <w:r>
        <w:t xml:space="preserve"> </w:t>
      </w:r>
      <w:r>
        <w:t xml:space="preserve">and by technological progresses in industrial processes. The remaining potential for energy</w:t>
      </w:r>
      <w:r>
        <w:t xml:space="preserve"> </w:t>
      </w:r>
      <w:r>
        <w:t xml:space="preserve">efficiency is still large (27), and the amended Energy Efficiency Directive (28), formally agreed</w:t>
      </w:r>
      <w:r>
        <w:t xml:space="preserve"> </w:t>
      </w:r>
      <w:r>
        <w:t xml:space="preserve">on 24 July 2023, significantly raises the EU’s ambition and places a strong emphasis on</w:t>
      </w:r>
      <w:r>
        <w:t xml:space="preserve"> </w:t>
      </w:r>
      <w:r>
        <w:t xml:space="preserve">energy efficiency: the EU countries will be required to achieve an average annual energy</w:t>
      </w:r>
      <w:r>
        <w:t xml:space="preserve"> </w:t>
      </w:r>
      <w:r>
        <w:t xml:space="preserve">savings rate of 1.49% from 2024 to 2030, up from the current requirement of 0.8%, driving</w:t>
      </w:r>
      <w:r>
        <w:t xml:space="preserve"> </w:t>
      </w:r>
      <w:r>
        <w:t xml:space="preserve">energy savings in different sectors, including industry.</w:t>
      </w:r>
      <w:r>
        <w:br/>
      </w:r>
      <w:r>
        <w:t xml:space="preserve">In 2021, electrification only accounted for 33% of final energy use in industry, while direct</w:t>
      </w:r>
      <w:r>
        <w:t xml:space="preserve"> </w:t>
      </w:r>
      <w:r>
        <w:t xml:space="preserve">combustion of fossil fuels covers the remaining use (29). Fossils fuels are burned to provide</w:t>
      </w:r>
      <w:r>
        <w:t xml:space="preserve"> </w:t>
      </w:r>
      <w:r>
        <w:t xml:space="preserve">industrial heat to many and varied applications ranging from low temperature heat in food</w:t>
      </w:r>
      <w:r>
        <w:t xml:space="preserve"> </w:t>
      </w:r>
      <w:r>
        <w:t xml:space="preserve">preparation to high temperature heat in blast furnaces. Electrifying low and mid-temperature</w:t>
      </w:r>
      <w:r>
        <w:t xml:space="preserve"> </w:t>
      </w:r>
      <w:r>
        <w:t xml:space="preserve">industrial heat with decarbonised electricity can lower industrial emissions today with</w:t>
      </w:r>
      <w:r>
        <w:t xml:space="preserve"> </w:t>
      </w:r>
      <w:r>
        <w:t xml:space="preserve">currently available technologies. Low temperature heat may be provided by heat pumps,</w:t>
      </w:r>
      <w:r>
        <w:t xml:space="preserve"> </w:t>
      </w:r>
      <w:r>
        <w:t xml:space="preserve">while heat for specific applications can rely on innovative, low-carbon technologies, such as</w:t>
      </w:r>
      <w:r>
        <w:t xml:space="preserve"> </w:t>
      </w:r>
      <w:r>
        <w:t xml:space="preserve">electric arc furnaces, infrared heating, and induction heating. A 3-stage analysis of the</w:t>
      </w:r>
      <w:r>
        <w:t xml:space="preserve"> </w:t>
      </w:r>
      <w:r>
        <w:t xml:space="preserve">technological potential for industry electrification in 11 industrial sectors in the EU</w:t>
      </w:r>
      <w:r>
        <w:t xml:space="preserve"> </w:t>
      </w:r>
      <w:r>
        <w:t xml:space="preserve">(accounting for 92% of Europe’s industry CO2 emissions) shows that 78% of the energy</w:t>
      </w:r>
      <w:r>
        <w:t xml:space="preserve"> </w:t>
      </w:r>
      <w:r>
        <w:t xml:space="preserve">demand is electrifiable with technologies that are already established, while 99%</w:t>
      </w:r>
      <w:r>
        <w:t xml:space="preserve"> </w:t>
      </w:r>
      <w:r>
        <w:t xml:space="preserve">electrification can be achieved with the addition of technologies currently under</w:t>
      </w:r>
      <w:r>
        <w:t xml:space="preserve"> </w:t>
      </w:r>
      <w:r>
        <w:t xml:space="preserve">development. (30), (31).</w:t>
      </w:r>
    </w:p>
    <w:p>
      <w:pPr>
        <w:pStyle w:val="Compact"/>
        <w:numPr>
          <w:ilvl w:val="0"/>
          <w:numId w:val="1011"/>
        </w:numPr>
      </w:pPr>
      <w:r>
        <w:t xml:space="preserve">Directive (EU) 2023/1791</w:t>
      </w:r>
    </w:p>
    <w:p>
      <w:pPr>
        <w:pStyle w:val="Compact"/>
        <w:numPr>
          <w:ilvl w:val="0"/>
          <w:numId w:val="1011"/>
        </w:numPr>
      </w:pPr>
      <w:r>
        <w:t xml:space="preserve">U.S. DOE Advanced Manufacturing Office. Improving steam system performance: a sourcebook for</w:t>
      </w:r>
      <w:r>
        <w:t xml:space="preserve"> </w:t>
      </w:r>
      <w:r>
        <w:t xml:space="preserve">industry, 2nd ed. Washington, D.C., 2012</w:t>
      </w:r>
    </w:p>
    <w:p>
      <w:pPr>
        <w:pStyle w:val="Compact"/>
        <w:numPr>
          <w:ilvl w:val="0"/>
          <w:numId w:val="1011"/>
        </w:numPr>
      </w:pPr>
      <w:r>
        <w:t xml:space="preserve">COM/2022/142 final</w:t>
      </w:r>
    </w:p>
    <w:p>
      <w:pPr>
        <w:pStyle w:val="Compact"/>
        <w:numPr>
          <w:ilvl w:val="0"/>
          <w:numId w:val="1011"/>
        </w:numPr>
      </w:pPr>
      <w:r>
        <w:t xml:space="preserve">Eurostat Energy Balances 2023</w:t>
      </w:r>
    </w:p>
    <w:p>
      <w:pPr>
        <w:pStyle w:val="Compact"/>
        <w:numPr>
          <w:ilvl w:val="0"/>
          <w:numId w:val="1011"/>
        </w:numPr>
      </w:pPr>
      <w:r>
        <w:t xml:space="preserve">Madeddu et al. (2022). The CO2 reduction potential for the European industry via direct electrification of</w:t>
      </w:r>
      <w:r>
        <w:t xml:space="preserve"> </w:t>
      </w:r>
      <w:r>
        <w:t xml:space="preserve">heat supply (power-to-heat). Environ. Res. Lett. 15 124004. DOI 10.1088/1748-9326/abbd02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Fuels switching to renewable hydrogen and other decarbonised fuels (both e-fuels or biofuels)</w:t>
      </w:r>
      <w:r>
        <w:t xml:space="preserve"> </w:t>
      </w:r>
      <w:r>
        <w:t xml:space="preserve">are also an option to decarbonise industrial applications where electrification and energy</w:t>
      </w:r>
      <w:r>
        <w:t xml:space="preserve"> </w:t>
      </w:r>
      <w:r>
        <w:t xml:space="preserve">efficiency methods cannot be applied (32). Fuel switching from fossil fuels to renewable</w:t>
      </w:r>
      <w:r>
        <w:t xml:space="preserve"> </w:t>
      </w:r>
      <w:r>
        <w:t xml:space="preserve">hydrogen or e-fuels can provide high-temperature heat with substantially lower emissions.</w:t>
      </w:r>
      <w:r>
        <w:t xml:space="preserve"> </w:t>
      </w:r>
      <w:r>
        <w:t xml:space="preserve">The actual impact on emissions should also take into account considerations external to the</w:t>
      </w:r>
      <w:r>
        <w:t xml:space="preserve"> </w:t>
      </w:r>
      <w:r>
        <w:t xml:space="preserve">industrial processes: the use of biomass should be sustainable and balanced with respect to the</w:t>
      </w:r>
      <w:r>
        <w:t xml:space="preserve"> </w:t>
      </w:r>
      <w:r>
        <w:t xml:space="preserve">carbon sink needs and biodiversity constraints; the actual carbon intensity of e-fuels depends</w:t>
      </w:r>
      <w:r>
        <w:t xml:space="preserve"> </w:t>
      </w:r>
      <w:r>
        <w:t xml:space="preserve">on the origin of the carbon (33).</w:t>
      </w:r>
      <w:r>
        <w:t xml:space="preserve"> </w:t>
      </w:r>
      <w:r>
        <w:t xml:space="preserve">The provisional agreement on the proposal for a revision of the Renewable Energy Directive</w:t>
      </w:r>
      <w:r>
        <w:t xml:space="preserve"> </w:t>
      </w:r>
      <w:r>
        <w:t xml:space="preserve">(RED) proposed as part of the Fit-For-55 package as well as the revision proposed as part of</w:t>
      </w:r>
      <w:r>
        <w:t xml:space="preserve"> </w:t>
      </w:r>
      <w:r>
        <w:t xml:space="preserve">the REPowerEU package, reached in the seventh trilogue on March 2023, includes the</w:t>
      </w:r>
      <w:r>
        <w:t xml:space="preserve"> </w:t>
      </w:r>
      <w:r>
        <w:t xml:space="preserve">following relevant provisions supporting electrification and fuel switching in the EU industry:</w:t>
      </w:r>
      <w:r>
        <w:br/>
      </w:r>
      <w:r>
        <w:t xml:space="preserve">• An EU indicative target of an increase of at least 1.6 percentage points in the share</w:t>
      </w:r>
      <w:r>
        <w:t xml:space="preserve"> </w:t>
      </w:r>
      <w:r>
        <w:t xml:space="preserve">of renewable sources in the amount of energy sources used for final energy and non-</w:t>
      </w:r>
      <w:r>
        <w:t xml:space="preserve"> </w:t>
      </w:r>
      <w:r>
        <w:t xml:space="preserve">energy purposes in the industry sector. as an annual average calculated for the</w:t>
      </w:r>
      <w:r>
        <w:t xml:space="preserve"> </w:t>
      </w:r>
      <w:r>
        <w:t xml:space="preserve">periods 2021 to 2025 and 2026 to 2030. (34)</w:t>
      </w:r>
      <w:r>
        <w:t xml:space="preserve"> </w:t>
      </w:r>
      <w:r>
        <w:t xml:space="preserve">• A binding national target of at least 42% on the contribution of renewable fuels of</w:t>
      </w:r>
      <w:r>
        <w:t xml:space="preserve"> </w:t>
      </w:r>
      <w:r>
        <w:t xml:space="preserve">non-biological origin used for final energy and non-energy purposes in the hydrogen</w:t>
      </w:r>
      <w:r>
        <w:t xml:space="preserve"> </w:t>
      </w:r>
      <w:r>
        <w:t xml:space="preserve">used for final energy and non-energy purposes in industry by 2030, and of at least</w:t>
      </w:r>
      <w:r>
        <w:t xml:space="preserve"> </w:t>
      </w:r>
      <w:r>
        <w:t xml:space="preserve">60% by 2035. (35)</w:t>
      </w:r>
      <w:r>
        <w:t xml:space="preserve"> </w:t>
      </w:r>
      <w:r>
        <w:t xml:space="preserve">• An EU regulatory framework determining when renewable fuels of non-biological</w:t>
      </w:r>
      <w:r>
        <w:t xml:space="preserve"> </w:t>
      </w:r>
      <w:r>
        <w:t xml:space="preserve">origin can count towards the abovementioned targets.</w:t>
      </w:r>
    </w:p>
    <w:p>
      <w:pPr>
        <w:pStyle w:val="Compact"/>
        <w:numPr>
          <w:ilvl w:val="0"/>
          <w:numId w:val="1012"/>
        </w:numPr>
      </w:pPr>
      <w:r>
        <w:t xml:space="preserve">Beyond Zero Emissions (2022). Zero Carbon Industry Plan. Electrifying Industry.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BNEF (2021). Hot Spots for Renewable Heat. Decarbonizing Low- to Medium-Temperature Industrial Heat</w:t>
      </w:r>
      <w:r>
        <w:t xml:space="preserve"> </w:t>
      </w:r>
      <w:r>
        <w:t xml:space="preserve">Across the G-20.</w:t>
      </w:r>
    </w:p>
    <w:p>
      <w:pPr>
        <w:pStyle w:val="Compact"/>
        <w:numPr>
          <w:ilvl w:val="0"/>
          <w:numId w:val="1012"/>
        </w:numPr>
      </w:pPr>
      <w:r>
        <w:t xml:space="preserve">Commission Delegated Regulation (EU) 2023/1184</w:t>
      </w:r>
    </w:p>
    <w:p>
      <w:pPr>
        <w:pStyle w:val="Compact"/>
        <w:numPr>
          <w:ilvl w:val="0"/>
          <w:numId w:val="1012"/>
        </w:numPr>
      </w:pPr>
      <w:r>
        <w:t xml:space="preserve">Member States may count waste heat and cold towards the average annual increases referred to in the first</w:t>
      </w:r>
      <w:r>
        <w:t xml:space="preserve"> </w:t>
      </w:r>
      <w:r>
        <w:t xml:space="preserve">subparagraph, up to a limit of 0.4 percentage points, provided the waste heat and cold is supplied from</w:t>
      </w:r>
      <w:r>
        <w:t xml:space="preserve"> </w:t>
      </w:r>
      <w:r>
        <w:t xml:space="preserve">efficient district heating and cooling, excluding networks which supply heat to one building only or where</w:t>
      </w:r>
      <w:r>
        <w:t xml:space="preserve"> </w:t>
      </w:r>
      <w:r>
        <w:t xml:space="preserve">all thermal energy is solely consumed on-site and where the thermal energy is not sold. If they decide to do</w:t>
      </w:r>
      <w:r>
        <w:t xml:space="preserve"> </w:t>
      </w:r>
      <w:r>
        <w:t xml:space="preserve">so, the average annual increase shall increase by half of the waste heat and cold percentage points used.</w:t>
      </w:r>
    </w:p>
    <w:p>
      <w:pPr>
        <w:pStyle w:val="Compact"/>
        <w:numPr>
          <w:ilvl w:val="0"/>
          <w:numId w:val="1012"/>
        </w:numPr>
      </w:pPr>
      <w:r>
        <w:t xml:space="preserve">For the calculation of that percentage, the following rules shall apply: 10794/23 LZ/st 101 ANNEX</w:t>
      </w:r>
      <w:r>
        <w:t xml:space="preserve"> </w:t>
      </w:r>
      <w:r>
        <w:t xml:space="preserve">TREE.2.B EN (a) For the calculation of the denominator, the energy content of hydrogen for final energy</w:t>
      </w:r>
      <w:r>
        <w:t xml:space="preserve"> </w:t>
      </w:r>
      <w:r>
        <w:t xml:space="preserve">and non-energy purposes shall be taken into account, excluding: (i) hydrogen used as intermediate products</w:t>
      </w:r>
      <w:r>
        <w:t xml:space="preserve"> </w:t>
      </w:r>
      <w:r>
        <w:t xml:space="preserve">for the production of conventional transport fuels and biofuels; (ii) hydrogen that is produced by</w:t>
      </w:r>
      <w:r>
        <w:t xml:space="preserve"> </w:t>
      </w:r>
      <w:r>
        <w:t xml:space="preserve">decarbonizing industrial residual gases and is used to replace the specific gases from which it is produced.</w:t>
      </w:r>
    </w:p>
    <w:p>
      <w:pPr>
        <w:pStyle w:val="Compact"/>
        <w:numPr>
          <w:ilvl w:val="0"/>
          <w:numId w:val="1013"/>
        </w:numPr>
      </w:pPr>
      <w:r>
        <w:t xml:space="preserve">hydrogen produced as a by-product or derived from by-products in industrial installations; (b) For the</w:t>
      </w:r>
      <w:r>
        <w:t xml:space="preserve"> </w:t>
      </w:r>
      <w:r>
        <w:t xml:space="preserve">calculation of the numerator, the energy content of the renewable fuels of non-biological origin consumed in</w:t>
      </w:r>
      <w:r>
        <w:t xml:space="preserve"> </w:t>
      </w:r>
      <w:r>
        <w:t xml:space="preserve">the industry sector for final energy and non-energy purposes shall be taken into account, excluding</w:t>
      </w:r>
      <w:r>
        <w:t xml:space="preserve"> </w:t>
      </w:r>
      <w:r>
        <w:t xml:space="preserve">renewable fuels of non-biological origin used as intermediate products for the production of conventional</w:t>
      </w:r>
      <w:r>
        <w:t xml:space="preserve"> </w:t>
      </w:r>
      <w:r>
        <w:t xml:space="preserve">transport fuels and biofuels. (c) For the calculation of the numerator and the denominator, the values</w:t>
      </w:r>
      <w:r>
        <w:t xml:space="preserve"> </w:t>
      </w:r>
      <w:r>
        <w:t xml:space="preserve">regarding the energy content of fuels set out in Annex III shall be used.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Emissions from ozone depleting substances (ODS) result in depletion of the ozone layer and</w:t>
      </w:r>
      <w:r>
        <w:t xml:space="preserve"> </w:t>
      </w:r>
      <w:r>
        <w:t xml:space="preserve">have thus adverse impacts on our health, the biosphere, as well as having large economic</w:t>
      </w:r>
      <w:r>
        <w:t xml:space="preserve"> </w:t>
      </w:r>
      <w:r>
        <w:t xml:space="preserve">implications. These gases have internationally been regulated under the Montreal Protocol on</w:t>
      </w:r>
      <w:r>
        <w:t xml:space="preserve"> </w:t>
      </w:r>
      <w:r>
        <w:t xml:space="preserve">substances that deplete the ozone layer. This has been successful in rapidly reducing on a</w:t>
      </w:r>
      <w:r>
        <w:t xml:space="preserve"> </w:t>
      </w:r>
      <w:r>
        <w:t xml:space="preserve">global scale the production, use and associated emissions of ODS. These gases are also often</w:t>
      </w:r>
      <w:r>
        <w:t xml:space="preserve"> </w:t>
      </w:r>
      <w:r>
        <w:t xml:space="preserve">strong greenhouse gases. EU Regulation (EC) 1005/2009 (ODS Regulation) (36) regulates the</w:t>
      </w:r>
      <w:r>
        <w:t xml:space="preserve"> </w:t>
      </w:r>
      <w:r>
        <w:t xml:space="preserve">use of ODS in the EU and has phased out production and consumption of ODS in the EU. A</w:t>
      </w:r>
      <w:r>
        <w:t xml:space="preserve"> </w:t>
      </w:r>
      <w:r>
        <w:t xml:space="preserve">recent revision of the ODS Regulation has further increased its ambition by targeting ODS</w:t>
      </w:r>
      <w:r>
        <w:t xml:space="preserve"> </w:t>
      </w:r>
      <w:r>
        <w:t xml:space="preserve">banks in the EU, by requiring ODS to be recovered from old insulation foams when buildings</w:t>
      </w:r>
      <w:r>
        <w:t xml:space="preserve"> </w:t>
      </w:r>
      <w:r>
        <w:t xml:space="preserve">are renovated or demolished. This aims to prevent the equivalent of 180 million tonnes of</w:t>
      </w:r>
      <w:r>
        <w:t xml:space="preserve"> </w:t>
      </w:r>
      <w:r>
        <w:t xml:space="preserve">CO2 or 32,000 tonnes of ozone depleting potential (ODP) emissions by 2050.</w:t>
      </w:r>
      <w:r>
        <w:br/>
      </w:r>
      <w:r>
        <w:t xml:space="preserve">Fluorinated greenhouse gases (F-gases) typically replaced ODS when these were</w:t>
      </w:r>
      <w:r>
        <w:t xml:space="preserve"> </w:t>
      </w:r>
      <w:r>
        <w:t xml:space="preserve">prohibited. There has been globally a rapid increase of F-gas use and emissions. The F-gases</w:t>
      </w:r>
      <w:r>
        <w:t xml:space="preserve"> </w:t>
      </w:r>
      <w:r>
        <w:t xml:space="preserve">include hydrofluorocarbons (HFCs), perfluorocarbons (PFCs) and sulphur hexafluoride (SF6).</w:t>
      </w:r>
      <w:r>
        <w:t xml:space="preserve"> </w:t>
      </w:r>
      <w:r>
        <w:t xml:space="preserve">These gases, while not being ODS, are covered by the Paris Agreement because they are</w:t>
      </w:r>
      <w:r>
        <w:t xml:space="preserve"> </w:t>
      </w:r>
      <w:r>
        <w:t xml:space="preserve">highly potent greenhouse gases. They have numerous applications in everyday life, for</w:t>
      </w:r>
      <w:r>
        <w:t xml:space="preserve"> </w:t>
      </w:r>
      <w:r>
        <w:t xml:space="preserve">example in refrigeration, air conditioning, insulation, fire protection and as aerosol</w:t>
      </w:r>
      <w:r>
        <w:t xml:space="preserve"> </w:t>
      </w:r>
      <w:r>
        <w:t xml:space="preserve">propellants. At EU level, F-gases currently account for 2.5 % of total GHG emissions.</w:t>
      </w:r>
      <w:r>
        <w:br/>
      </w:r>
      <w:r>
        <w:t xml:space="preserve">In the EU, the emissions of these gases have only started to reduce since the introduction of</w:t>
      </w:r>
      <w:r>
        <w:t xml:space="preserve"> </w:t>
      </w:r>
      <w:r>
        <w:t xml:space="preserve">the F-gas Regulation (37). Since then, also internationally additional action was taken, with the</w:t>
      </w:r>
      <w:r>
        <w:t xml:space="preserve"> </w:t>
      </w:r>
      <w:r>
        <w:t xml:space="preserve">inclusion of notably HFCs (the largest group of F-gases) into the Montreal Protocol as a</w:t>
      </w:r>
      <w:r>
        <w:t xml:space="preserve"> </w:t>
      </w:r>
      <w:r>
        <w:t xml:space="preserve">controlled substance in 2019 with the aim of stopping global growth and achieving significant</w:t>
      </w:r>
      <w:r>
        <w:t xml:space="preserve"> </w:t>
      </w:r>
      <w:r>
        <w:t xml:space="preserve">emission reductions by 2050.</w:t>
      </w:r>
      <w:r>
        <w:br/>
      </w:r>
      <w:r>
        <w:t xml:space="preserve">More recently the EU’s F-gas Regulation was updated and significantly strengthened in a</w:t>
      </w:r>
      <w:r>
        <w:t xml:space="preserve"> </w:t>
      </w:r>
      <w:r>
        <w:t xml:space="preserve">provisional agreement with the co-legislators (38). It will reduce between 2015 and 2050 the</w:t>
      </w:r>
      <w:r>
        <w:t xml:space="preserve"> </w:t>
      </w:r>
      <w:r>
        <w:t xml:space="preserve">amount of HFC coming onto the EU market, expressed in CO2-eq., by 95% by 2030 and by</w:t>
      </w:r>
      <w:r>
        <w:t xml:space="preserve"> </w:t>
      </w:r>
      <w:r>
        <w:t xml:space="preserve">going to zero by 2050. This will bring an important contribution to the Fit for 55 goals and</w:t>
      </w:r>
      <w:r>
        <w:t xml:space="preserve"> </w:t>
      </w:r>
      <w:r>
        <w:t xml:space="preserve">making Europe climate neutral by 2050.</w:t>
      </w:r>
      <w:r>
        <w:br/>
      </w:r>
      <w:r>
        <w:t xml:space="preserve">2.3</w:t>
      </w:r>
      <w:r>
        <w:t xml:space="preserve"> </w:t>
      </w:r>
      <w:r>
        <w:t xml:space="preserve">Circular economy and sustainable products</w:t>
      </w:r>
      <w:r>
        <w:t xml:space="preserve"> </w:t>
      </w:r>
      <w:r>
        <w:t xml:space="preserve">Several trends are deeply transforming industry independently of the decarbonisation process.</w:t>
      </w:r>
      <w:r>
        <w:t xml:space="preserve"> </w:t>
      </w:r>
      <w:r>
        <w:t xml:space="preserve">The fourth industrial revolution, with automation and innovative solutions like robotics and</w:t>
      </w:r>
      <w:r>
        <w:t xml:space="preserve"> </w:t>
      </w:r>
      <w:r>
        <w:t xml:space="preserve">3D printing are changing the way the end products are fabricated (39), progressively shifting</w:t>
      </w:r>
      <w:r>
        <w:t xml:space="preserve"> </w:t>
      </w:r>
      <w:r>
        <w:t xml:space="preserve">from mass production to mass customisation (40). Technological improvements are improving</w:t>
      </w:r>
    </w:p>
    <w:p>
      <w:pPr>
        <w:pStyle w:val="Compact"/>
        <w:numPr>
          <w:ilvl w:val="0"/>
          <w:numId w:val="1014"/>
        </w:numPr>
      </w:pPr>
      <w:r>
        <w:t xml:space="preserve">Regulation (EC) No 1005/2009</w:t>
      </w:r>
    </w:p>
    <w:p>
      <w:pPr>
        <w:pStyle w:val="Compact"/>
        <w:numPr>
          <w:ilvl w:val="0"/>
          <w:numId w:val="1014"/>
        </w:numPr>
      </w:pPr>
      <w:r>
        <w:t xml:space="preserve">Regulation (EU) No 517/2014</w:t>
      </w:r>
    </w:p>
    <w:p>
      <w:pPr>
        <w:pStyle w:val="Compact"/>
        <w:numPr>
          <w:ilvl w:val="0"/>
          <w:numId w:val="1014"/>
        </w:numPr>
      </w:pPr>
      <w:r>
        <w:t xml:space="preserve">https://ec.europa.eu/commission/presscorner/detail/en/ip_23_4781</w:t>
      </w:r>
    </w:p>
    <w:p>
      <w:pPr>
        <w:pStyle w:val="Compact"/>
        <w:numPr>
          <w:ilvl w:val="0"/>
          <w:numId w:val="1014"/>
        </w:numPr>
      </w:pPr>
      <w:r>
        <w:t xml:space="preserve">Huang RA. Multi-scale life cycle framework for the net impact assessment of additive manufacturing in the</w:t>
      </w:r>
      <w:r>
        <w:t xml:space="preserve"> </w:t>
      </w:r>
      <w:r>
        <w:t xml:space="preserve">United States. Northwestern University, 2016.</w:t>
      </w:r>
    </w:p>
    <w:p>
      <w:pPr>
        <w:pStyle w:val="Compact"/>
        <w:numPr>
          <w:ilvl w:val="0"/>
          <w:numId w:val="1014"/>
        </w:numPr>
      </w:pPr>
      <w:r>
        <w:t xml:space="preserve">Pine, B. Joseph (1993). Mass Customization – The New Frontier in Business Competition. Harvard</w:t>
      </w:r>
      <w:r>
        <w:t xml:space="preserve"> </w:t>
      </w:r>
      <w:r>
        <w:t xml:space="preserve">Business School Press. p. 13. ISBN 978-0-87584-372-8.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the material and resource efficiency of certain industrial processes: minimising material scrap</w:t>
      </w:r>
      <w:r>
        <w:t xml:space="preserve"> </w:t>
      </w:r>
      <w:r>
        <w:t xml:space="preserve">at each step can reduce emissions associated with the process.</w:t>
      </w:r>
      <w:r>
        <w:br/>
      </w:r>
      <w:r>
        <w:t xml:space="preserve">Following a circular economy approach, many industrial products can also be designed to</w:t>
      </w:r>
      <w:r>
        <w:t xml:space="preserve"> </w:t>
      </w:r>
      <w:r>
        <w:t xml:space="preserve">improve their material efficiency, and in certain cases, to employ less-carbon intensive</w:t>
      </w:r>
      <w:r>
        <w:t xml:space="preserve"> </w:t>
      </w:r>
      <w:r>
        <w:t xml:space="preserve">materials (material substitution). Currently, manufacturing and construction firms frequently</w:t>
      </w:r>
      <w:r>
        <w:t xml:space="preserve"> </w:t>
      </w:r>
      <w:r>
        <w:t xml:space="preserve">choose to use more material to save labour, reduce legal or financial risks, simplify supply</w:t>
      </w:r>
      <w:r>
        <w:t xml:space="preserve"> </w:t>
      </w:r>
      <w:r>
        <w:t xml:space="preserve">chains, or simply to conform with customary practices. This is particularly evident for cement</w:t>
      </w:r>
      <w:r>
        <w:t xml:space="preserve"> </w:t>
      </w:r>
      <w:r>
        <w:t xml:space="preserve">and steel, where concrete mass in buildings could be reduced by up to 40% by using high</w:t>
      </w:r>
      <w:r>
        <w:t xml:space="preserve"> </w:t>
      </w:r>
      <w:r>
        <w:t xml:space="preserve">strength concrete only where needed (41) and metal in common products like cars and</w:t>
      </w:r>
      <w:r>
        <w:t xml:space="preserve"> </w:t>
      </w:r>
      <w:r>
        <w:t xml:space="preserve">structural beams, could be reduced by 30% (42).</w:t>
      </w:r>
      <w:r>
        <w:br/>
      </w:r>
      <w:r>
        <w:t xml:space="preserve">Certain end products in the building sector can maintain the same structural properties while</w:t>
      </w:r>
      <w:r>
        <w:t xml:space="preserve"> </w:t>
      </w:r>
      <w:r>
        <w:t xml:space="preserve">manufactured with less-carbon intensive material: concrete and steel can be substituted by</w:t>
      </w:r>
      <w:r>
        <w:t xml:space="preserve"> </w:t>
      </w:r>
      <w:r>
        <w:t xml:space="preserve">timber-based products (43), while cement can be partially replaced by supplementary</w:t>
      </w:r>
      <w:r>
        <w:t xml:space="preserve"> </w:t>
      </w:r>
      <w:r>
        <w:t xml:space="preserve">cementitious materials up to a 40% content (44).</w:t>
      </w:r>
      <w:r>
        <w:br/>
      </w:r>
      <w:r>
        <w:t xml:space="preserve">Demand-side intervention, materialising through the principle of sufficiency, are also</w:t>
      </w:r>
      <w:r>
        <w:t xml:space="preserve"> </w:t>
      </w:r>
      <w:r>
        <w:t xml:space="preserve">important levers of the decarbonisation of industry (45). Sufficiency, defined as collective and</w:t>
      </w:r>
      <w:r>
        <w:t xml:space="preserve"> </w:t>
      </w:r>
      <w:r>
        <w:t xml:space="preserve">individuals’ practices to minimise demand while delivering human wellbeing for all within</w:t>
      </w:r>
      <w:r>
        <w:t xml:space="preserve"> </w:t>
      </w:r>
      <w:r>
        <w:t xml:space="preserve">planetary boundaries (46), (47), (48), influences directly on the request for end products and</w:t>
      </w:r>
      <w:r>
        <w:t xml:space="preserve"> </w:t>
      </w:r>
      <w:r>
        <w:t xml:space="preserve">influence industrial activity (49). The economy shifts from mass production to mass</w:t>
      </w:r>
      <w:r>
        <w:t xml:space="preserve"> </w:t>
      </w:r>
      <w:r>
        <w:t xml:space="preserve">customized services and sharing practices (50), where flexible, shared and integrate products</w:t>
      </w:r>
    </w:p>
    <w:p>
      <w:pPr>
        <w:pStyle w:val="Compact"/>
        <w:numPr>
          <w:ilvl w:val="0"/>
          <w:numId w:val="1015"/>
        </w:numPr>
      </w:pPr>
      <w:r>
        <w:t xml:space="preserve">Fischedick M, Roy J, Abdel-Aziz A, Acquaye A, Allwood J, Ceron J-P, et al. Industry. Climate change</w:t>
      </w:r>
      <w:r>
        <w:t xml:space="preserve"> </w:t>
      </w:r>
      <w:r>
        <w:t xml:space="preserve">2014: mitigation of climate change (fifth assessment report), Cambridge, U.K.: IPCC; 2014. p. 739–810.</w:t>
      </w:r>
    </w:p>
    <w:p>
      <w:pPr>
        <w:pStyle w:val="Compact"/>
        <w:numPr>
          <w:ilvl w:val="0"/>
          <w:numId w:val="1015"/>
        </w:numPr>
      </w:pPr>
      <w:r>
        <w:t xml:space="preserve">Allwood J.M., Cullen J.M., Sustainable materials without the hot air, Cambridge, England: UIT Cambridge</w:t>
      </w:r>
      <w:r>
        <w:t xml:space="preserve"> </w:t>
      </w:r>
      <w:r>
        <w:t xml:space="preserve">Ltd., 2015.</w:t>
      </w:r>
    </w:p>
    <w:p>
      <w:pPr>
        <w:pStyle w:val="Compact"/>
        <w:numPr>
          <w:ilvl w:val="0"/>
          <w:numId w:val="1015"/>
        </w:numPr>
      </w:pPr>
      <w:r>
        <w:t xml:space="preserve">Heeren N., et al. ‘Environmental impact of buildings—what matters?,’ Environ. Sci. Technol., 49:9832,</w:t>
      </w:r>
    </w:p>
    <w:p>
      <w:pPr>
        <w:pStyle w:val="Compact"/>
        <w:numPr>
          <w:ilvl w:val="0"/>
          <w:numId w:val="1017"/>
        </w:numPr>
      </w:pPr>
      <w:r>
        <w:t xml:space="preserve">Scrivener K.L., et al. Eco-efficient cements: potential economically viable solutions for a low-CO2 cement-</w:t>
      </w:r>
      <w:r>
        <w:t xml:space="preserve"> </w:t>
      </w:r>
      <w:r>
        <w:t xml:space="preserve">based materials industry. Paris, France: UN Environment Program, 2017.</w:t>
      </w:r>
    </w:p>
    <w:p>
      <w:pPr>
        <w:pStyle w:val="Compact"/>
        <w:numPr>
          <w:ilvl w:val="0"/>
          <w:numId w:val="1017"/>
        </w:numPr>
      </w:pPr>
      <w:r>
        <w:t xml:space="preserve">IEA, Net Zero by 2050. A roadmap for the Global Energy Sector, 2023.</w:t>
      </w:r>
    </w:p>
    <w:p>
      <w:pPr>
        <w:pStyle w:val="Compact"/>
        <w:numPr>
          <w:ilvl w:val="0"/>
          <w:numId w:val="1017"/>
        </w:numPr>
      </w:pPr>
      <w:r>
        <w:t xml:space="preserve">The concept of planetary boundaries defines a safe operating space for societies, by proposing boundaries</w:t>
      </w:r>
      <w:r>
        <w:t xml:space="preserve"> </w:t>
      </w:r>
      <w:r>
        <w:t xml:space="preserve">for anthropogenic perturbation of nine critical Earth-system processes: climate change, ocean acidification,</w:t>
      </w:r>
      <w:r>
        <w:t xml:space="preserve"> </w:t>
      </w:r>
      <w:r>
        <w:t xml:space="preserve">stratospheric ozone, global phosphorus and nitrogen cycles, atmospheric aerosol loading, freshwater use,</w:t>
      </w:r>
      <w:r>
        <w:t xml:space="preserve"> </w:t>
      </w:r>
      <w:r>
        <w:t xml:space="preserve">land use change, biodiversity loss, and chemical pollution. Crossing such boundaries can lead to catastrophic</w:t>
      </w:r>
      <w:r>
        <w:t xml:space="preserve"> </w:t>
      </w:r>
      <w:r>
        <w:t xml:space="preserve">impacts for societies.</w:t>
      </w:r>
    </w:p>
    <w:p>
      <w:pPr>
        <w:pStyle w:val="Compact"/>
        <w:numPr>
          <w:ilvl w:val="0"/>
          <w:numId w:val="1017"/>
        </w:numPr>
      </w:pPr>
      <w:r>
        <w:t xml:space="preserve">Raworth. Doughnut Economics: Seven Ways to Think Like a 21st-Century Economist, 2017.</w:t>
      </w:r>
    </w:p>
    <w:p>
      <w:pPr>
        <w:pStyle w:val="Compact"/>
        <w:numPr>
          <w:ilvl w:val="0"/>
          <w:numId w:val="1017"/>
        </w:numPr>
      </w:pPr>
      <w:r>
        <w:t xml:space="preserve">Rockström J. et al., ‘Planetary boundaries: Exploring the safe operating space for humanity.’ Ecol. Soc. 14,</w:t>
      </w:r>
      <w:r>
        <w:t xml:space="preserve"> </w:t>
      </w:r>
      <w:r>
        <w:t xml:space="preserve">32, 2009.</w:t>
      </w:r>
    </w:p>
    <w:p>
      <w:pPr>
        <w:pStyle w:val="Compact"/>
        <w:numPr>
          <w:ilvl w:val="0"/>
          <w:numId w:val="1017"/>
        </w:numPr>
      </w:pPr>
      <w:r>
        <w:t xml:space="preserve">It is assumed that the decrease in end-user demand of certain products will impact proportionally net trade,</w:t>
      </w:r>
      <w:r>
        <w:t xml:space="preserve"> </w:t>
      </w:r>
      <w:r>
        <w:t xml:space="preserve">resulting in identical changes in domestic production and industrial activity.</w:t>
      </w:r>
    </w:p>
    <w:p>
      <w:pPr>
        <w:pStyle w:val="Compact"/>
        <w:numPr>
          <w:ilvl w:val="0"/>
          <w:numId w:val="1017"/>
        </w:numPr>
      </w:pPr>
      <w:r>
        <w:t xml:space="preserve">David, M.</w:t>
      </w:r>
      <w:r>
        <w:t xml:space="preserve"> </w:t>
      </w:r>
      <w:r>
        <w:t xml:space="preserve">“Sharing: post-scarcity beyond capitalism?”</w:t>
      </w:r>
      <w:r>
        <w:t xml:space="preserve">. Cambridge Journal of Regions, Economy, and</w:t>
      </w:r>
      <w:r>
        <w:t xml:space="preserve"> </w:t>
      </w:r>
      <w:r>
        <w:t xml:space="preserve">Society. 10 (2): 311–325, 2017. doi:10.1093/cjres/rsx003.</w:t>
      </w:r>
    </w:p>
    <w:p>
      <w:pPr>
        <w:pStyle w:val="FirstParagraph"/>
      </w:pPr>
      <w:r>
        <w:t xml:space="preserve">20</w:t>
      </w:r>
    </w:p>
    <w:p>
      <w:pPr>
        <w:pStyle w:val="BodyText"/>
      </w:pPr>
      <w:r>
        <w:t xml:space="preserve">are produced locally with low unit cost and marketed as personalised custom services (51).</w:t>
      </w:r>
      <w:r>
        <w:t xml:space="preserve"> </w:t>
      </w:r>
      <w:r>
        <w:t xml:space="preserve">Reusing, repairing, renewing, and recycling existing products extends product’s lifetime on</w:t>
      </w:r>
      <w:r>
        <w:t xml:space="preserve"> </w:t>
      </w:r>
      <w:r>
        <w:t xml:space="preserve">the market. This results in more service provided for the same energy input and avoided</w:t>
      </w:r>
      <w:r>
        <w:t xml:space="preserve"> </w:t>
      </w:r>
      <w:r>
        <w:t xml:space="preserve">emissions from product replacement, leading to lower industrial emissions and</w:t>
      </w:r>
      <w:r>
        <w:t xml:space="preserve"> </w:t>
      </w:r>
      <w:r>
        <w:t xml:space="preserve">dematerialisation of the economy. Studies shows that smart strategies and reduced material</w:t>
      </w:r>
      <w:r>
        <w:t xml:space="preserve"> </w:t>
      </w:r>
      <w:r>
        <w:t xml:space="preserve">consumption could shrink global GHG emissions by 39% and cut virgin resource use by</w:t>
      </w:r>
      <w:r>
        <w:t xml:space="preserve"> </w:t>
      </w:r>
      <w:r>
        <w:t xml:space="preserve">28%. (52)</w:t>
      </w:r>
      <w:r>
        <w:t xml:space="preserve"> </w:t>
      </w:r>
      <w:r>
        <w:t xml:space="preserve">The Commission has highlighted the relevance of a circular economy in its Long-Term</w:t>
      </w:r>
      <w:r>
        <w:t xml:space="preserve"> </w:t>
      </w:r>
      <w:r>
        <w:t xml:space="preserve">Strategic Vision on GHG Emissions Reduction as well as in the 2030 Climate Target Plan. To</w:t>
      </w:r>
      <w:r>
        <w:t xml:space="preserve"> </w:t>
      </w:r>
      <w:r>
        <w:t xml:space="preserve">speed up the transition towards a circular economy, the Commission presented the new</w:t>
      </w:r>
      <w:r>
        <w:t xml:space="preserve"> </w:t>
      </w:r>
      <w:r>
        <w:t xml:space="preserve">Circular Economy Action Plan in March 2020. Since then, several packages of measures have</w:t>
      </w:r>
      <w:r>
        <w:t xml:space="preserve"> </w:t>
      </w:r>
      <w:r>
        <w:t xml:space="preserve">followed. The proposals target the design of products, empower consumers, encourage a</w:t>
      </w:r>
      <w:r>
        <w:t xml:space="preserve"> </w:t>
      </w:r>
      <w:r>
        <w:t xml:space="preserve">sustainable consumption, and focus on resource-intensive sectors, such as electronics and</w:t>
      </w:r>
      <w:r>
        <w:t xml:space="preserve"> </w:t>
      </w:r>
      <w:r>
        <w:t xml:space="preserve">ICT, batteries and vehicles, packaging, plastics, textiles, construction and buildings, food, and</w:t>
      </w:r>
      <w:r>
        <w:t xml:space="preserve"> </w:t>
      </w:r>
      <w:r>
        <w:t xml:space="preserve">more.</w:t>
      </w:r>
      <w:r>
        <w:br/>
      </w:r>
      <w:r>
        <w:t xml:space="preserve">In March 2022, the Commission proposed the new Ecodesign for Sustainable Products</w:t>
      </w:r>
      <w:r>
        <w:t xml:space="preserve"> </w:t>
      </w:r>
      <w:r>
        <w:t xml:space="preserve">Regulation (ESPR) (53), which addresses product design and sets new requirements to make</w:t>
      </w:r>
      <w:r>
        <w:t xml:space="preserve"> </w:t>
      </w:r>
      <w:r>
        <w:t xml:space="preserve">products more durable, reliable, reusable, upgradable, reparable, easier to maintain, refurbish</w:t>
      </w:r>
      <w:r>
        <w:t xml:space="preserve"> </w:t>
      </w:r>
      <w:r>
        <w:t xml:space="preserve">and recycle, and energy and resource efficient. The proposal extends the existing Ecodesign</w:t>
      </w:r>
      <w:r>
        <w:t xml:space="preserve"> </w:t>
      </w:r>
      <w:r>
        <w:t xml:space="preserve">framework (54) and is the cornerstone of the Commission’s approach to more environmentally</w:t>
      </w:r>
      <w:r>
        <w:t xml:space="preserve"> </w:t>
      </w:r>
      <w:r>
        <w:t xml:space="preserve">sustainable and circular products.</w:t>
      </w:r>
      <w:r>
        <w:br/>
      </w:r>
      <w:r>
        <w:t xml:space="preserve">Future policies will build on these and other measures to help the EU achieving its 2050</w:t>
      </w:r>
      <w:r>
        <w:t xml:space="preserve"> </w:t>
      </w:r>
      <w:r>
        <w:t xml:space="preserve">climate neutrality target.</w:t>
      </w:r>
      <w:r>
        <w:t xml:space="preserve"> </w:t>
      </w:r>
      <w:r>
        <w:t xml:space="preserve">2.4</w:t>
      </w:r>
      <w:r>
        <w:t xml:space="preserve"> </w:t>
      </w:r>
      <w:r>
        <w:t xml:space="preserve">Industrial carbon management strategy</w:t>
      </w:r>
      <w:r>
        <w:br/>
      </w:r>
      <w:r>
        <w:t xml:space="preserve">Complete decarbonisation of the industrial sector will also imply reductions in both energy</w:t>
      </w:r>
      <w:r>
        <w:t xml:space="preserve"> </w:t>
      </w:r>
      <w:r>
        <w:t xml:space="preserve">and non-energy GHG emissions, where CO2, and more general, carbon is part of the material</w:t>
      </w:r>
      <w:r>
        <w:t xml:space="preserve"> </w:t>
      </w:r>
      <w:r>
        <w:t xml:space="preserve">processing or is used as feedstock for the final product. Industrial emission can be</w:t>
      </w:r>
      <w:r>
        <w:t xml:space="preserve"> </w:t>
      </w:r>
      <w:r>
        <w:t xml:space="preserve">significantly reduced by adaptations in industrial processes and material compositions.</w:t>
      </w:r>
      <w:r>
        <w:t xml:space="preserve"> </w:t>
      </w:r>
      <w:r>
        <w:t xml:space="preserve">Combining these emission reducing initiatives with circularity and carbon capture, including</w:t>
      </w:r>
      <w:r>
        <w:t xml:space="preserve"> </w:t>
      </w:r>
      <w:r>
        <w:t xml:space="preserve">Carbon Capture and Utilisation (where CO2 is used in materials), industries can mitigate most</w:t>
      </w:r>
      <w:r>
        <w:t xml:space="preserve"> </w:t>
      </w:r>
      <w:r>
        <w:t xml:space="preserve">of its emissions.</w:t>
      </w:r>
      <w:r>
        <w:br/>
      </w:r>
      <w:r>
        <w:t xml:space="preserve">Renewable hydrogen and other decarbonised fuels will become the chemical feedstock to</w:t>
      </w:r>
      <w:r>
        <w:t xml:space="preserve"> </w:t>
      </w:r>
      <w:r>
        <w:t xml:space="preserve">replace conventional, high-emitting reactions in several industrial processes. For instance, in</w:t>
      </w:r>
      <w:r>
        <w:t xml:space="preserve"> </w:t>
      </w:r>
      <w:r>
        <w:t xml:space="preserve">the steel sector, hydrogen can directly reduce the iron that is later transformed into steel, and</w:t>
      </w:r>
      <w:r>
        <w:t xml:space="preserve"> </w:t>
      </w:r>
      <w:r>
        <w:t xml:space="preserve">large number of chemical processes can use hydrogen to substitute fossil input. In the cement</w:t>
      </w:r>
      <w:r>
        <w:t xml:space="preserve"> </w:t>
      </w:r>
      <w:r>
        <w:t xml:space="preserve">sector, CO2 is mainly released during the calcination process for clinker manufacturing for</w:t>
      </w:r>
    </w:p>
    <w:p>
      <w:pPr>
        <w:pStyle w:val="Compact"/>
        <w:numPr>
          <w:ilvl w:val="0"/>
          <w:numId w:val="1018"/>
        </w:numPr>
      </w:pPr>
      <w:r>
        <w:t xml:space="preserve">Coletti, P., Mass Customization. An Exploration of European Characteristics, 2011.</w:t>
      </w:r>
    </w:p>
    <w:p>
      <w:pPr>
        <w:pStyle w:val="Compact"/>
        <w:numPr>
          <w:ilvl w:val="0"/>
          <w:numId w:val="1018"/>
        </w:numPr>
      </w:pPr>
      <w:r>
        <w:t xml:space="preserve">Circle Economy, The Circularity Gap Report, 2021.</w:t>
      </w:r>
    </w:p>
    <w:p>
      <w:pPr>
        <w:pStyle w:val="Compact"/>
        <w:numPr>
          <w:ilvl w:val="0"/>
          <w:numId w:val="1018"/>
        </w:numPr>
      </w:pPr>
      <w:r>
        <w:t xml:space="preserve">COM/2022/142 final</w:t>
      </w:r>
    </w:p>
    <w:p>
      <w:pPr>
        <w:pStyle w:val="Compact"/>
        <w:numPr>
          <w:ilvl w:val="0"/>
          <w:numId w:val="1018"/>
        </w:numPr>
      </w:pPr>
      <w:r>
        <w:t xml:space="preserve">C/2022/2026</w:t>
      </w:r>
    </w:p>
    <w:p>
      <w:pPr>
        <w:pStyle w:val="FirstParagraph"/>
      </w:pPr>
      <w:r>
        <w:t xml:space="preserve">21</w:t>
      </w:r>
    </w:p>
    <w:p>
      <w:pPr>
        <w:pStyle w:val="BodyText"/>
      </w:pPr>
      <w:r>
        <w:t xml:space="preserve">clinker manufacturing, which can be mitigated via low-carbon energy input, like hydrogen,</w:t>
      </w:r>
      <w:r>
        <w:t xml:space="preserve"> </w:t>
      </w:r>
      <w:r>
        <w:t xml:space="preserve">and material substitution in cement and further innovation in chemically binding CO2 to</w:t>
      </w:r>
      <w:r>
        <w:t xml:space="preserve"> </w:t>
      </w:r>
      <w:r>
        <w:t xml:space="preserve">materials.</w:t>
      </w:r>
      <w:r>
        <w:t xml:space="preserve"> </w:t>
      </w:r>
      <w:r>
        <w:t xml:space="preserve">Biomass may also be used many industrial processes and materials, both as source of carbon</w:t>
      </w:r>
      <w:r>
        <w:t xml:space="preserve"> </w:t>
      </w:r>
      <w:r>
        <w:t xml:space="preserve">but also of a range of other chemicals and molecules. However, limits exist on the quantity of</w:t>
      </w:r>
      <w:r>
        <w:t xml:space="preserve"> </w:t>
      </w:r>
      <w:r>
        <w:t xml:space="preserve">biomass that may be sustainably produced, given competition with food, agriculture and</w:t>
      </w:r>
      <w:r>
        <w:t xml:space="preserve"> </w:t>
      </w:r>
      <w:r>
        <w:t xml:space="preserve">biodiversity needs (55).</w:t>
      </w:r>
      <w:r>
        <w:t xml:space="preserve"> </w:t>
      </w:r>
      <w:r>
        <w:t xml:space="preserve">CO2 coming from industrial emissions can also be captured to supply carbon atoms where</w:t>
      </w:r>
      <w:r>
        <w:t xml:space="preserve"> </w:t>
      </w:r>
      <w:r>
        <w:t xml:space="preserve">industry needs them (56), coupling different sectors. The CO2 captured can be combined with</w:t>
      </w:r>
      <w:r>
        <w:t xml:space="preserve"> </w:t>
      </w:r>
      <w:r>
        <w:t xml:space="preserve">hydrogen to generate e-fuels but can also be stored in long-life products, such as plastics or</w:t>
      </w:r>
      <w:r>
        <w:t xml:space="preserve"> </w:t>
      </w:r>
      <w:r>
        <w:t xml:space="preserve">minerals. For instance, renewable methanol (derived from H2 and carbon neutral CO2) can</w:t>
      </w:r>
      <w:r>
        <w:t xml:space="preserve"> </w:t>
      </w:r>
      <w:r>
        <w:t xml:space="preserve">also be an excellent precursor for many end products used in the chemical sector. The annual</w:t>
      </w:r>
      <w:r>
        <w:t xml:space="preserve"> </w:t>
      </w:r>
      <w:r>
        <w:t xml:space="preserve">global demand for chemicals and derived materials is estimated to rise to 1,000 million tonnes</w:t>
      </w:r>
      <w:r>
        <w:t xml:space="preserve"> </w:t>
      </w:r>
      <w:r>
        <w:t xml:space="preserve">of carbon (Mt C) by 2050 (57). When such products are recycled at the end of life, the same</w:t>
      </w:r>
      <w:r>
        <w:t xml:space="preserve"> </w:t>
      </w:r>
      <w:r>
        <w:t xml:space="preserve">carbon can be re-captured and re-used, leading to a more circular use of the carbon and pave</w:t>
      </w:r>
      <w:r>
        <w:t xml:space="preserve"> </w:t>
      </w:r>
      <w:r>
        <w:t xml:space="preserve">the way for negative industrial emissions.</w:t>
      </w:r>
      <w:r>
        <w:br/>
      </w:r>
      <w:r>
        <w:t xml:space="preserve">Carbon capture technologies that can be used to produce e-fuels, or store carbon in products</w:t>
      </w:r>
      <w:r>
        <w:t xml:space="preserve"> </w:t>
      </w:r>
      <w:r>
        <w:t xml:space="preserve">and materials are at prototype or demonstration stage today. With the proposed EU objective</w:t>
      </w:r>
      <w:r>
        <w:t xml:space="preserve"> </w:t>
      </w:r>
      <w:r>
        <w:t xml:space="preserve">to reach an annual 50Mt of CO2 injection capacity in strategic storage sites by 2030 based on</w:t>
      </w:r>
      <w:r>
        <w:t xml:space="preserve"> </w:t>
      </w:r>
      <w:r>
        <w:t xml:space="preserve">funding obligations to EU oil and gas producers, the Commission has put a first step towards</w:t>
      </w:r>
      <w:r>
        <w:t xml:space="preserve"> </w:t>
      </w:r>
      <w:r>
        <w:t xml:space="preserve">a comprehensive EU strategy to create a Net-zero industrial carbon management market by</w:t>
      </w:r>
      <w:r>
        <w:t xml:space="preserve"> </w:t>
      </w:r>
      <w:r>
        <w:t xml:space="preserve">2030. This market is projected to become capable to capture, transport, store or use several</w:t>
      </w:r>
      <w:r>
        <w:t xml:space="preserve"> </w:t>
      </w:r>
      <w:r>
        <w:t xml:space="preserve">hundred million tonnes of CO2 from fossil sources that cannot be avoided, from biogenic and</w:t>
      </w:r>
      <w:r>
        <w:t xml:space="preserve"> </w:t>
      </w:r>
      <w:r>
        <w:t xml:space="preserve">from atmospheric origin by 2050 that are necessary to reach climate neutrality. The EU</w:t>
      </w:r>
      <w:r>
        <w:t xml:space="preserve"> </w:t>
      </w:r>
      <w:r>
        <w:t xml:space="preserve">growing trend is in line with global projections, with the IEA showing around 6 GtCO2 of</w:t>
      </w:r>
      <w:r>
        <w:t xml:space="preserve"> </w:t>
      </w:r>
      <w:r>
        <w:t xml:space="preserve">carbon captured worldwide in 2050 (58).</w:t>
      </w:r>
      <w:r>
        <w:t xml:space="preserve"> </w:t>
      </w:r>
      <w:r>
        <w:t xml:space="preserve">2.5</w:t>
      </w:r>
      <w:r>
        <w:t xml:space="preserve"> </w:t>
      </w:r>
      <w:r>
        <w:t xml:space="preserve">Aligning investments with climate neutrality</w:t>
      </w:r>
      <w:r>
        <w:br/>
      </w:r>
      <w:r>
        <w:t xml:space="preserve">The EU’s sustainable finance policies complement and enable sectoral policies outlined above</w:t>
      </w:r>
      <w:r>
        <w:t xml:space="preserve"> </w:t>
      </w:r>
      <w:r>
        <w:t xml:space="preserve">by supporting companies and the financial sector in the alignment of private investments with</w:t>
      </w:r>
      <w:r>
        <w:t xml:space="preserve"> </w:t>
      </w:r>
      <w:r>
        <w:t xml:space="preserve">the objectives of the European Green Deal. The EU has made considerable progress in</w:t>
      </w:r>
      <w:r>
        <w:t xml:space="preserve"> </w:t>
      </w:r>
      <w:r>
        <w:t xml:space="preserve">implementing its sustainable finance agenda over the last five years. Milestones include the</w:t>
      </w:r>
      <w:r>
        <w:t xml:space="preserve"> </w:t>
      </w:r>
      <w:r>
        <w:t xml:space="preserve">adoption of the Taxonomy Regulation (59) and its various delegated acts covering six</w:t>
      </w:r>
      <w:r>
        <w:t xml:space="preserve"> </w:t>
      </w:r>
      <w:r>
        <w:t xml:space="preserve">environmental objectives, including climate change mitigation and adaptation; the Sustainable</w:t>
      </w:r>
    </w:p>
    <w:p>
      <w:pPr>
        <w:pStyle w:val="Compact"/>
        <w:numPr>
          <w:ilvl w:val="0"/>
          <w:numId w:val="1019"/>
        </w:numPr>
      </w:pPr>
      <w:r>
        <w:t xml:space="preserve">IPCC, Special report: global warming of 1.5 °C, 2019.</w:t>
      </w:r>
    </w:p>
    <w:p>
      <w:pPr>
        <w:pStyle w:val="Compact"/>
        <w:numPr>
          <w:ilvl w:val="0"/>
          <w:numId w:val="1019"/>
        </w:numPr>
      </w:pPr>
      <w:r>
        <w:t xml:space="preserve">IEA. “World Energy Outlook”. 2022.</w:t>
      </w:r>
    </w:p>
    <w:p>
      <w:pPr>
        <w:pStyle w:val="Compact"/>
        <w:numPr>
          <w:ilvl w:val="0"/>
          <w:numId w:val="1019"/>
        </w:numPr>
      </w:pPr>
      <w:r>
        <w:t xml:space="preserve">Kahler et al. Turning off the Tap for Fossil Carbon: Future Prospects for a Global Chemical and Derived</w:t>
      </w:r>
      <w:r>
        <w:t xml:space="preserve"> </w:t>
      </w:r>
      <w:r>
        <w:t xml:space="preserve">Material Sector Based on Renewable Carbon, 2021.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IEA (2023), Net Zero Roadmap: A Global Pathway to Keep the 1.5 °C Goal in Reach, IEA, Paris</w:t>
      </w:r>
      <w:r>
        <w:t xml:space="preserve"> </w:t>
      </w:r>
      <w:r>
        <w:t xml:space="preserve">https://www.iea.org/reports/net-zero-roadmap-a-global-pathway-to-keep-the-15-0c-goal-in-reach,</w:t>
      </w:r>
      <w:r>
        <w:t xml:space="preserve"> </w:t>
      </w:r>
      <w:r>
        <w:t xml:space="preserve">License:</w:t>
      </w:r>
      <w:r>
        <w:t xml:space="preserve"> </w:t>
      </w:r>
      <w:r>
        <w:t xml:space="preserve">CC BY 4.0</w:t>
      </w:r>
    </w:p>
    <w:p>
      <w:pPr>
        <w:pStyle w:val="Compact"/>
        <w:numPr>
          <w:ilvl w:val="0"/>
          <w:numId w:val="1019"/>
        </w:numPr>
      </w:pPr>
      <w:r>
        <w:t xml:space="preserve">Regulation (EU) 2020/852 amending Regulation (EU) 2019/2088.</w:t>
      </w:r>
    </w:p>
    <w:p>
      <w:pPr>
        <w:pStyle w:val="FirstParagraph"/>
      </w:pPr>
      <w:r>
        <w:t xml:space="preserve">22</w:t>
      </w:r>
    </w:p>
    <w:p>
      <w:pPr>
        <w:pStyle w:val="BodyText"/>
      </w:pPr>
      <w:r>
        <w:t xml:space="preserve">Finance Disclosure Regulation (SFDR) (60); EU climate benchmarks in the Benchmark</w:t>
      </w:r>
      <w:r>
        <w:t xml:space="preserve"> </w:t>
      </w:r>
      <w:r>
        <w:t xml:space="preserve">Regulation (61); the European Green Bond Standard (62); and the Corporate Sustainability</w:t>
      </w:r>
      <w:r>
        <w:t xml:space="preserve"> </w:t>
      </w:r>
      <w:r>
        <w:t xml:space="preserve">Reporting Directive (CSRD) (63). The mandatory European Sustainability Reporting</w:t>
      </w:r>
      <w:r>
        <w:t xml:space="preserve"> </w:t>
      </w:r>
      <w:r>
        <w:t xml:space="preserve">Standards (64) under the CSRD will enable companies to communicate sustainability</w:t>
      </w:r>
      <w:r>
        <w:t xml:space="preserve"> </w:t>
      </w:r>
      <w:r>
        <w:t xml:space="preserve">information in a standardised way to a variety of lenders, investors, and other stakeholders.</w:t>
      </w:r>
      <w:r>
        <w:t xml:space="preserve"> </w:t>
      </w:r>
      <w:r>
        <w:t xml:space="preserve">This includes the disclosure of transition plans for climate change mitigation, comprising</w:t>
      </w:r>
      <w:r>
        <w:t xml:space="preserve"> </w:t>
      </w:r>
      <w:r>
        <w:t xml:space="preserve">implementing actions and related plans, to ensure that the business model and strategy are</w:t>
      </w:r>
      <w:r>
        <w:t xml:space="preserve"> </w:t>
      </w:r>
      <w:r>
        <w:t xml:space="preserve">compatible with the transition to a sustainable economy and with the limiting of global</w:t>
      </w:r>
      <w:r>
        <w:t xml:space="preserve"> </w:t>
      </w:r>
      <w:r>
        <w:t xml:space="preserve">warming to 1,5 °C in line with the Paris Agreement and the objective of achieving climate</w:t>
      </w:r>
      <w:r>
        <w:t xml:space="preserve"> </w:t>
      </w:r>
      <w:r>
        <w:t xml:space="preserve">neutrality by 2050 as established in the Climate Law (Regulation (EU) 2021/1119), and,</w:t>
      </w:r>
      <w:r>
        <w:t xml:space="preserve"> </w:t>
      </w:r>
      <w:r>
        <w:t xml:space="preserve">where relevant, the exposure of the undertaking to coal-, oil- and gas-related activities. A</w:t>
      </w:r>
      <w:r>
        <w:t xml:space="preserve"> </w:t>
      </w:r>
      <w:r>
        <w:t xml:space="preserve">2023 Commission Recommendation (65) illustrates how the sustainable finance framework</w:t>
      </w:r>
      <w:r>
        <w:t xml:space="preserve"> </w:t>
      </w:r>
      <w:r>
        <w:t xml:space="preserve">encompasses transition finance and explains how companies, investors and financial</w:t>
      </w:r>
      <w:r>
        <w:t xml:space="preserve"> </w:t>
      </w:r>
      <w:r>
        <w:t xml:space="preserve">intermediaries can voluntarily use the current sustainable finance framework to finance their</w:t>
      </w:r>
      <w:r>
        <w:t xml:space="preserve"> </w:t>
      </w:r>
      <w:r>
        <w:t xml:space="preserve">transition to a climate neutral and sustainable economy, while enhancing their</w:t>
      </w:r>
      <w:r>
        <w:t xml:space="preserve"> </w:t>
      </w:r>
      <w:r>
        <w:t xml:space="preserve">competitiveness.</w:t>
      </w:r>
      <w:r>
        <w:br/>
      </w:r>
      <w:r>
        <w:t xml:space="preserve">In particular, green bond markets have soared in recent years. Cumulative issuances of</w:t>
      </w:r>
      <w:r>
        <w:t xml:space="preserve"> </w:t>
      </w:r>
      <w:r>
        <w:t xml:space="preserve">bonds aligned with the International Capital Market Association’s (ICMA) Green Bond</w:t>
      </w:r>
      <w:r>
        <w:t xml:space="preserve"> </w:t>
      </w:r>
      <w:r>
        <w:t xml:space="preserve">Principles, (66) for instance, will very likely pass the EUR 1 trillion mark in 2023 (see Figure</w:t>
      </w:r>
      <w:r>
        <w:t xml:space="preserve"> </w:t>
      </w:r>
      <w:r>
        <w:t xml:space="preserve">3).</w:t>
      </w:r>
    </w:p>
    <w:p>
      <w:pPr>
        <w:pStyle w:val="Compact"/>
        <w:numPr>
          <w:ilvl w:val="0"/>
          <w:numId w:val="1020"/>
        </w:numPr>
      </w:pPr>
      <w:r>
        <w:t xml:space="preserve">Regulation (EU) 2019/2088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Regulation (EU) 2019/2089</w:t>
      </w:r>
    </w:p>
    <w:p>
      <w:pPr>
        <w:pStyle w:val="Compact"/>
        <w:numPr>
          <w:ilvl w:val="0"/>
          <w:numId w:val="1020"/>
        </w:numPr>
      </w:pPr>
      <w:r>
        <w:t xml:space="preserve">COM/2021/391 final</w:t>
      </w:r>
    </w:p>
    <w:p>
      <w:pPr>
        <w:pStyle w:val="Compact"/>
        <w:numPr>
          <w:ilvl w:val="0"/>
          <w:numId w:val="1020"/>
        </w:numPr>
      </w:pPr>
      <w:r>
        <w:t xml:space="preserve">Directive (EU) 2022/2464</w:t>
      </w:r>
    </w:p>
    <w:p>
      <w:pPr>
        <w:pStyle w:val="Compact"/>
        <w:numPr>
          <w:ilvl w:val="0"/>
          <w:numId w:val="1020"/>
        </w:numPr>
      </w:pPr>
      <w:r>
        <w:t xml:space="preserve">C/2023/5303 final</w:t>
      </w:r>
    </w:p>
    <w:p>
      <w:pPr>
        <w:pStyle w:val="Compact"/>
        <w:numPr>
          <w:ilvl w:val="0"/>
          <w:numId w:val="1020"/>
        </w:numPr>
      </w:pPr>
      <w:r>
        <w:t xml:space="preserve">Commission Recommendation on facilitating finance for the transition to a sustainable economy (C(2023)</w:t>
      </w:r>
      <w:r>
        <w:t xml:space="preserve"> </w:t>
      </w:r>
      <w:r>
        <w:t xml:space="preserve">3844).</w:t>
      </w:r>
    </w:p>
    <w:p>
      <w:pPr>
        <w:pStyle w:val="Compact"/>
        <w:numPr>
          <w:ilvl w:val="0"/>
          <w:numId w:val="1020"/>
        </w:numPr>
      </w:pPr>
      <w:r>
        <w:t xml:space="preserve">See</w:t>
      </w:r>
      <w:r>
        <w:t xml:space="preserve"> </w:t>
      </w:r>
      <w:r>
        <w:t xml:space="preserve">https://www.icmagroup.org/sustainable-finance/the-principles-guidelines-and-handbooks/green-bond-</w:t>
      </w:r>
      <w:r>
        <w:t xml:space="preserve"> </w:t>
      </w:r>
      <w:r>
        <w:t xml:space="preserve">principles-gbp/.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Figure 3: Issuance of green bonds in the EU</w:t>
      </w:r>
    </w:p>
    <w:p>
      <w:pPr>
        <w:pStyle w:val="BodyText"/>
      </w:pPr>
      <w:r>
        <w:t xml:space="preserve">Note: Aligned with the ICMA’s green principles, data as of 30 June 2023.</w:t>
      </w:r>
      <w:r>
        <w:t xml:space="preserve"> </w:t>
      </w:r>
      <w:r>
        <w:t xml:space="preserve">Source: Dealogic DCM and JRC calculations.</w:t>
      </w:r>
      <w:r>
        <w:br/>
      </w:r>
      <w:r>
        <w:t xml:space="preserve">This increase in absolute green bond issuances is reflected in green bonds’ share of the</w:t>
      </w:r>
      <w:r>
        <w:t xml:space="preserve"> </w:t>
      </w:r>
      <w:r>
        <w:t xml:space="preserve">corresponding bond market. For EU and non-EU issuers, the share in the EU27 remained</w:t>
      </w:r>
      <w:r>
        <w:t xml:space="preserve"> </w:t>
      </w:r>
      <w:r>
        <w:t xml:space="preserve">lower than 1% until 2013, but has significantly increased since then, and even more markedly</w:t>
      </w:r>
      <w:r>
        <w:t xml:space="preserve"> </w:t>
      </w:r>
      <w:r>
        <w:t xml:space="preserve">from 2016, on the back of strong growth of the green segment. In 2022, green bonds</w:t>
      </w:r>
      <w:r>
        <w:t xml:space="preserve"> </w:t>
      </w:r>
      <w:r>
        <w:t xml:space="preserve">accounted for 16% of newly issued bonds in the EU27, and only 2% of overall issuance in</w:t>
      </w:r>
      <w:r>
        <w:t xml:space="preserve"> </w:t>
      </w:r>
      <w:r>
        <w:t xml:space="preserve">non-EU markets, confirming Europe’s leading role in the sustainable debt capital market (see</w:t>
      </w:r>
      <w:r>
        <w:t xml:space="preserve"> </w:t>
      </w:r>
      <w:r>
        <w:t xml:space="preserve">Figure 4).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Figure 4: Green bond share in total new issuance for EU and non-EU</w:t>
      </w:r>
    </w:p>
    <w:p>
      <w:pPr>
        <w:pStyle w:val="BodyText"/>
      </w:pPr>
      <w:r>
        <w:t xml:space="preserve">Note: Data as of 30 June 2023.</w:t>
      </w:r>
      <w:r>
        <w:t xml:space="preserve"> </w:t>
      </w:r>
      <w:r>
        <w:t xml:space="preserve">Source: Dealogic DCM and JRC calculations.</w:t>
      </w:r>
      <w:r>
        <w:br/>
      </w:r>
      <w:r>
        <w:t xml:space="preserve">Sustainability-linked bonds emerged in 2019 as a new financial instrument, complementing</w:t>
      </w:r>
      <w:r>
        <w:t xml:space="preserve"> </w:t>
      </w:r>
      <w:r>
        <w:t xml:space="preserve">green bonds in green debt markets. These instruments have garnered a lot of interest from</w:t>
      </w:r>
      <w:r>
        <w:t xml:space="preserve"> </w:t>
      </w:r>
      <w:r>
        <w:t xml:space="preserve">both issuers and investors given the ease of setting them up and their ability to incentivise the</w:t>
      </w:r>
      <w:r>
        <w:t xml:space="preserve"> </w:t>
      </w:r>
      <w:r>
        <w:t xml:space="preserve">transition with contractual sustainability targets, which differentiates them from green bonds.</w:t>
      </w:r>
      <w:r>
        <w:t xml:space="preserve"> </w:t>
      </w:r>
      <w:r>
        <w:t xml:space="preserve">However, their uptake is still limited compared to green bonds, having peaked in 2021 at EUR</w:t>
      </w:r>
      <w:r>
        <w:t xml:space="preserve"> </w:t>
      </w:r>
      <w:r>
        <w:t xml:space="preserve">51.8 billion, given the more recent development of this new type of assets.</w:t>
      </w:r>
      <w:r>
        <w:t xml:space="preserve"> </w:t>
      </w:r>
      <w:r>
        <w:t xml:space="preserve">It should be noted however that the “green-ness” of green bonds and sustainability-linked</w:t>
      </w:r>
      <w:r>
        <w:t xml:space="preserve"> </w:t>
      </w:r>
      <w:r>
        <w:t xml:space="preserve">bonds remains cause for concern due to the risk of greenwashing in spite of the emergence of</w:t>
      </w:r>
      <w:r>
        <w:t xml:space="preserve"> </w:t>
      </w:r>
      <w:r>
        <w:t xml:space="preserve">standards and principles that require third-party certification and adequate reporting. Political</w:t>
      </w:r>
      <w:r>
        <w:t xml:space="preserve"> </w:t>
      </w:r>
      <w:r>
        <w:t xml:space="preserve">agreement was reached in early 2023 on the voluntary EU Green Bond Standard, which will</w:t>
      </w:r>
      <w:r>
        <w:t xml:space="preserve"> </w:t>
      </w:r>
      <w:r>
        <w:t xml:space="preserve">rely on the EU Taxonomy and independent reviewers to provide guarantees with a high</w:t>
      </w:r>
      <w:r>
        <w:t xml:space="preserve"> </w:t>
      </w:r>
      <w:r>
        <w:t xml:space="preserve">degree of confidence that financing raised compliant with this standard is genuinely ‘green’</w:t>
      </w:r>
      <w:r>
        <w:t xml:space="preserve"> </w:t>
      </w:r>
      <w:r>
        <w:t xml:space="preserve">(67).</w:t>
      </w:r>
      <w:r>
        <w:t xml:space="preserve"> </w:t>
      </w:r>
      <w:r>
        <w:t xml:space="preserve">2.6</w:t>
      </w:r>
      <w:r>
        <w:t xml:space="preserve"> </w:t>
      </w:r>
      <w:r>
        <w:t xml:space="preserve">Research, development, and innovation</w:t>
      </w:r>
      <w:r>
        <w:br/>
      </w:r>
      <w:r>
        <w:t xml:space="preserve">2.6.1 Role of research and innovation</w:t>
      </w:r>
      <w:r>
        <w:br/>
      </w:r>
      <w:r>
        <w:t xml:space="preserve">Science is at the core of EU policymaking. Policies developed with an insufficient scientific</w:t>
      </w:r>
      <w:r>
        <w:t xml:space="preserve"> </w:t>
      </w:r>
      <w:r>
        <w:t xml:space="preserve">basis are less likely to solve the underlying issue and more likely to give rise to unintended</w:t>
      </w:r>
      <w:r>
        <w:t xml:space="preserve"> </w:t>
      </w:r>
      <w:r>
        <w:t xml:space="preserve">consequences. Research and innovation (R&amp;I) is a key engine through which to foster</w:t>
      </w:r>
      <w:r>
        <w:t xml:space="preserve"> </w:t>
      </w:r>
      <w:r>
        <w:t xml:space="preserve">Europe’s sustainable productivity growth, competitiveness, inclusiveness and fairness – it is a</w:t>
      </w:r>
      <w:r>
        <w:t xml:space="preserve"> </w:t>
      </w:r>
      <w:r>
        <w:t xml:space="preserve">key enabler of the green transition.</w:t>
      </w:r>
    </w:p>
    <w:p>
      <w:pPr>
        <w:pStyle w:val="Compact"/>
        <w:numPr>
          <w:ilvl w:val="0"/>
          <w:numId w:val="1021"/>
        </w:numPr>
      </w:pPr>
      <w:r>
        <w:t xml:space="preserve">See https://finance.ec.europa.eu/sustainable-finance/tools-and-standards/european-green-bond-standard_en.</w:t>
      </w:r>
    </w:p>
    <w:p>
      <w:pPr>
        <w:pStyle w:val="FirstParagraph"/>
      </w:pPr>
      <w:r>
        <w:t xml:space="preserve">25</w:t>
      </w:r>
    </w:p>
    <w:p>
      <w:pPr>
        <w:pStyle w:val="BodyText"/>
      </w:pPr>
      <w:r>
        <w:t xml:space="preserve">The urgency of the climate crisis requires an unprecedented mobilisation of R&amp;I across all</w:t>
      </w:r>
      <w:r>
        <w:t xml:space="preserve"> </w:t>
      </w:r>
      <w:r>
        <w:t xml:space="preserve">sectors to achieve transformative change in our society and economy. R&amp;I is fundamental in</w:t>
      </w:r>
      <w:r>
        <w:t xml:space="preserve"> </w:t>
      </w:r>
      <w:r>
        <w:t xml:space="preserve">many domains, notably in net-zero technologies, circular economy and sustainable</w:t>
      </w:r>
      <w:r>
        <w:t xml:space="preserve"> </w:t>
      </w:r>
      <w:r>
        <w:t xml:space="preserve">bioeconomy including sustainable agriculture land-use and forestry, zero-emissions mobility,</w:t>
      </w:r>
      <w:r>
        <w:t xml:space="preserve"> </w:t>
      </w:r>
      <w:r>
        <w:t xml:space="preserve">building techniques, and the adaptation to climate change to improve our preparedness for and</w:t>
      </w:r>
      <w:r>
        <w:t xml:space="preserve"> </w:t>
      </w:r>
      <w:r>
        <w:t xml:space="preserve">response to climate-related extreme events.</w:t>
      </w:r>
      <w:r>
        <w:t xml:space="preserve"> </w:t>
      </w:r>
      <w:r>
        <w:t xml:space="preserve">The strategic orientations for the EU climate research and innovation investments are outlined</w:t>
      </w:r>
      <w:r>
        <w:t xml:space="preserve"> </w:t>
      </w:r>
      <w:r>
        <w:t xml:space="preserve">in the Horizon Europe Strategic Plan 2025-2027 Analysis (68), as well as the climate R&amp;I</w:t>
      </w:r>
      <w:r>
        <w:t xml:space="preserve"> </w:t>
      </w:r>
      <w:r>
        <w:t xml:space="preserve">priorities crystalised from the process of developing the Horizon Europe Strategic Plan 2025-</w:t>
      </w:r>
      <w:r>
        <w:t xml:space="preserve"> </w:t>
      </w:r>
      <w:r>
        <w:t xml:space="preserve">2027.</w:t>
      </w:r>
      <w:r>
        <w:br/>
      </w:r>
      <w:r>
        <w:t xml:space="preserve">2.6.2 Research, development, and innovation for the Green Transition</w:t>
      </w:r>
      <w:r>
        <w:t xml:space="preserve"> </w:t>
      </w:r>
      <w:r>
        <w:t xml:space="preserve">R&amp;I is critical to achieving the clean energy transition and meeting the objective of climate</w:t>
      </w:r>
      <w:r>
        <w:t xml:space="preserve"> </w:t>
      </w:r>
      <w:r>
        <w:t xml:space="preserve">neutrality by 2050. This section first reviews the identified needs in terms of R&amp;I to achieve</w:t>
      </w:r>
      <w:r>
        <w:t xml:space="preserve"> </w:t>
      </w:r>
      <w:r>
        <w:t xml:space="preserve">the green transition of Europe.</w:t>
      </w:r>
      <w:r>
        <w:br/>
      </w:r>
      <w:r>
        <w:t xml:space="preserve">The European Commission regularly collects and assesses evidence on the development and</w:t>
      </w:r>
      <w:r>
        <w:t xml:space="preserve"> </w:t>
      </w:r>
      <w:r>
        <w:t xml:space="preserve">uptake of low-carbon industrial technologies. This includes industry’s focus on R&amp;D</w:t>
      </w:r>
      <w:r>
        <w:t xml:space="preserve"> </w:t>
      </w:r>
      <w:r>
        <w:t xml:space="preserve">investment, Member States’ engagement in relevant R&amp;I, and local action to support</w:t>
      </w:r>
      <w:r>
        <w:t xml:space="preserve"> </w:t>
      </w:r>
      <w:r>
        <w:t xml:space="preserve">industrial transformation (69).</w:t>
      </w:r>
      <w:r>
        <w:t xml:space="preserve"> </w:t>
      </w:r>
      <w:r>
        <w:t xml:space="preserve">2.6.2.1 Climate science</w:t>
      </w:r>
      <w:r>
        <w:br/>
      </w:r>
      <w:r>
        <w:t xml:space="preserve">Advancements in climate science whilst creating a solid knowledge base remain essential to</w:t>
      </w:r>
      <w:r>
        <w:t xml:space="preserve"> </w:t>
      </w:r>
      <w:r>
        <w:t xml:space="preserve">catalyse the transition towards a climate-neutral and climate-resilient society. The challenges</w:t>
      </w:r>
      <w:r>
        <w:t xml:space="preserve"> </w:t>
      </w:r>
      <w:r>
        <w:t xml:space="preserve">outlined in the 6th Assessment Report of the Intergovernmental Panel on Climate Change</w:t>
      </w:r>
      <w:r>
        <w:t xml:space="preserve"> </w:t>
      </w:r>
      <w:r>
        <w:t xml:space="preserve">(IPCC) will need to be addressed with research that furthers our understanding of the</w:t>
      </w:r>
      <w:r>
        <w:t xml:space="preserve"> </w:t>
      </w:r>
      <w:r>
        <w:t xml:space="preserve">changing climate and its implications. This will contribute to closing knowledge gaps,</w:t>
      </w:r>
      <w:r>
        <w:t xml:space="preserve"> </w:t>
      </w:r>
      <w:r>
        <w:t xml:space="preserve">developing crucial tools to support decisionmakers in the design and implementation of</w:t>
      </w:r>
      <w:r>
        <w:t xml:space="preserve"> </w:t>
      </w:r>
      <w:r>
        <w:t xml:space="preserve">effective mitigation and adaptation solutions at various time and spatial scales, whilst taking</w:t>
      </w:r>
      <w:r>
        <w:t xml:space="preserve"> </w:t>
      </w:r>
      <w:r>
        <w:t xml:space="preserve">into account complementarities and trade-offs with other policy objectives.</w:t>
      </w:r>
      <w:r>
        <w:br/>
      </w:r>
      <w:r>
        <w:t xml:space="preserve">2.6.2.2 Space data</w:t>
      </w:r>
      <w:r>
        <w:t xml:space="preserve"> </w:t>
      </w:r>
      <w:r>
        <w:t xml:space="preserve">Space data and services play a crucial role in enabling the achievement of climate neutrality</w:t>
      </w:r>
      <w:r>
        <w:t xml:space="preserve"> </w:t>
      </w:r>
      <w:r>
        <w:t xml:space="preserve">targets. Integration of space technology with climate change mitigation efforts is</w:t>
      </w:r>
      <w:r>
        <w:t xml:space="preserve"> </w:t>
      </w:r>
      <w:r>
        <w:t xml:space="preserve">indispensable for reducing greenhouse gas emissions and combating climate change. EU</w:t>
      </w:r>
    </w:p>
    <w:p>
      <w:pPr>
        <w:pStyle w:val="Compact"/>
        <w:numPr>
          <w:ilvl w:val="0"/>
          <w:numId w:val="1022"/>
        </w:numPr>
      </w:pPr>
      <w:r>
        <w:t xml:space="preserve">See</w:t>
      </w:r>
      <w:r>
        <w:t xml:space="preserve"> </w:t>
      </w:r>
      <w:r>
        <w:t xml:space="preserve">https://research-and-innovation.ec.europa.eu/news/all-research-and-innovation-news/horizon-europe-</w:t>
      </w:r>
      <w:r>
        <w:t xml:space="preserve"> </w:t>
      </w:r>
      <w:r>
        <w:t xml:space="preserve">strategic-plan-2025-2027-analysis-now-public-2023-05-25_en.</w:t>
      </w:r>
    </w:p>
    <w:p>
      <w:pPr>
        <w:pStyle w:val="Compact"/>
        <w:numPr>
          <w:ilvl w:val="0"/>
          <w:numId w:val="1022"/>
        </w:numPr>
      </w:pPr>
      <w:r>
        <w:t xml:space="preserve">Relevant monitoring tools include the EU Industrial R&amp;D Investment Scoreboard, the Strategic Energy</w:t>
      </w:r>
      <w:r>
        <w:t xml:space="preserve"> </w:t>
      </w:r>
      <w:r>
        <w:t xml:space="preserve">Technology Information System (SETIS), the Science, research and innovation performance of the EU</w:t>
      </w:r>
      <w:r>
        <w:t xml:space="preserve"> </w:t>
      </w:r>
      <w:r>
        <w:t xml:space="preserve">(SRIP) reports, the Horizon Europe Results Platform, the Innovation Radar, the Global Industrial Research</w:t>
      </w:r>
      <w:r>
        <w:t xml:space="preserve"> </w:t>
      </w:r>
      <w:r>
        <w:t xml:space="preserve">&amp; Innovation Analyses (GLORIA) project, etc. They continuously improve their monitoring and assessment</w:t>
      </w:r>
      <w:r>
        <w:t xml:space="preserve"> </w:t>
      </w:r>
      <w:r>
        <w:t xml:space="preserve">work including on breakthrough industrial technologies and innovation ecosystems, in collaboration with the</w:t>
      </w:r>
      <w:r>
        <w:t xml:space="preserve"> </w:t>
      </w:r>
      <w:r>
        <w:t xml:space="preserve">European Innovation Council (EIC). 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Space data and services are essential assets to supporting the implementation of the Green</w:t>
      </w:r>
      <w:r>
        <w:t xml:space="preserve"> </w:t>
      </w:r>
      <w:r>
        <w:t xml:space="preserve">Deal.</w:t>
      </w:r>
      <w:r>
        <w:br/>
      </w:r>
      <w:r>
        <w:t xml:space="preserve">Copernicus (Earth observation), Galileo and European Geostationary Navigation Overlay</w:t>
      </w:r>
      <w:r>
        <w:t xml:space="preserve"> </w:t>
      </w:r>
      <w:r>
        <w:t xml:space="preserve">Service (EGNOS) (satellite navigation) supply the information companies need to monitor</w:t>
      </w:r>
      <w:r>
        <w:t xml:space="preserve"> </w:t>
      </w:r>
      <w:r>
        <w:t xml:space="preserve">environmental indicators, to reduce their environmental impact, to become more sustainable</w:t>
      </w:r>
      <w:r>
        <w:t xml:space="preserve"> </w:t>
      </w:r>
      <w:r>
        <w:t xml:space="preserve">and to drive their green transformation.</w:t>
      </w:r>
      <w:r>
        <w:br/>
      </w:r>
      <w:r>
        <w:t xml:space="preserve">EU space data and services can contribute to the achievement of climate target and can be</w:t>
      </w:r>
      <w:r>
        <w:t xml:space="preserve"> </w:t>
      </w:r>
      <w:r>
        <w:t xml:space="preserve">used for: Monitoring and Measurement of various parameters, including greenhouse gas</w:t>
      </w:r>
      <w:r>
        <w:t xml:space="preserve"> </w:t>
      </w:r>
      <w:r>
        <w:t xml:space="preserve">concentrations, land use change, deforestation and ocean temperatures; Understanding</w:t>
      </w:r>
      <w:r>
        <w:t xml:space="preserve"> </w:t>
      </w:r>
      <w:r>
        <w:t xml:space="preserve">Climate Patterns including analysing atmospheric circulation, ocean currents, and weather</w:t>
      </w:r>
      <w:r>
        <w:t xml:space="preserve"> </w:t>
      </w:r>
      <w:r>
        <w:t xml:space="preserve">systems; Early Warning Systems for extreme weather events and natural disasters related to</w:t>
      </w:r>
      <w:r>
        <w:t xml:space="preserve"> </w:t>
      </w:r>
      <w:r>
        <w:t xml:space="preserve">climate change, such as hurricanes, droughts, floods, landslides, wildfires, or storm surges;</w:t>
      </w:r>
      <w:r>
        <w:t xml:space="preserve"> </w:t>
      </w:r>
      <w:r>
        <w:t xml:space="preserve">Carbon Accounting and Reporting by measuring and quantifying emissions from different</w:t>
      </w:r>
      <w:r>
        <w:t xml:space="preserve"> </w:t>
      </w:r>
      <w:r>
        <w:t xml:space="preserve">sources, including deforestation, industrial activities, and transportation; Climate Modelling;</w:t>
      </w:r>
      <w:r>
        <w:t xml:space="preserve"> </w:t>
      </w:r>
      <w:r>
        <w:t xml:space="preserve">International Cooperation; Climate Education and Awareness; Monitoring Deforestation and</w:t>
      </w:r>
      <w:r>
        <w:t xml:space="preserve"> </w:t>
      </w:r>
      <w:r>
        <w:t xml:space="preserve">Land Use Change to enable targeted action to protect forests; Agriculture and Livestock</w:t>
      </w:r>
      <w:r>
        <w:t xml:space="preserve"> </w:t>
      </w:r>
      <w:r>
        <w:t xml:space="preserve">Management to improve agricultural practices and livestock management, leading to reduced</w:t>
      </w:r>
      <w:r>
        <w:t xml:space="preserve"> </w:t>
      </w:r>
      <w:r>
        <w:t xml:space="preserve">emissions from these sectors, Supporting Renewable Energy by helping identify suitable</w:t>
      </w:r>
      <w:r>
        <w:t xml:space="preserve"> </w:t>
      </w:r>
      <w:r>
        <w:t xml:space="preserve">locations for renewable energy projects; Improving Transportation Efficiency by aiding the</w:t>
      </w:r>
      <w:r>
        <w:t xml:space="preserve"> </w:t>
      </w:r>
      <w:r>
        <w:t xml:space="preserve">monitoring and optimizing transportation routes; Methane Detection; Forest Fire Detection</w:t>
      </w:r>
      <w:r>
        <w:t xml:space="preserve"> </w:t>
      </w:r>
      <w:r>
        <w:t xml:space="preserve">and Management; and Environmental Policy and Decision-Making by providing valuable</w:t>
      </w:r>
      <w:r>
        <w:t xml:space="preserve"> </w:t>
      </w:r>
      <w:r>
        <w:t xml:space="preserve">information to develop and implement effective environmental policies.</w:t>
      </w:r>
      <w:r>
        <w:t xml:space="preserve"> </w:t>
      </w:r>
      <w:r>
        <w:t xml:space="preserve">2.6.2.3 Technological approaches</w:t>
      </w:r>
      <w:r>
        <w:t xml:space="preserve"> </w:t>
      </w:r>
      <w:r>
        <w:t xml:space="preserve">The green transition relies on a range of innovations and technological solutions that together</w:t>
      </w:r>
      <w:r>
        <w:t xml:space="preserve"> </w:t>
      </w:r>
      <w:r>
        <w:t xml:space="preserve">drive the path towards climate neutrality in a complementary manner. This section does not</w:t>
      </w:r>
      <w:r>
        <w:t xml:space="preserve"> </w:t>
      </w:r>
      <w:r>
        <w:t xml:space="preserve">outline an exhaustive list of technologies that will enable the green transition. Rather it</w:t>
      </w:r>
      <w:r>
        <w:t xml:space="preserve"> </w:t>
      </w:r>
      <w:r>
        <w:t xml:space="preserve">provides a selection of key technological solutions that are often at different stages of</w:t>
      </w:r>
      <w:r>
        <w:t xml:space="preserve"> </w:t>
      </w:r>
      <w:r>
        <w:t xml:space="preserve">maturity and technological readiness level and that can decarbonise different sectors and parts</w:t>
      </w:r>
      <w:r>
        <w:t xml:space="preserve"> </w:t>
      </w:r>
      <w:r>
        <w:t xml:space="preserve">of the economy.</w:t>
      </w:r>
      <w:r>
        <w:br/>
      </w:r>
      <w:r>
        <w:t xml:space="preserve">Clean energy generation</w:t>
      </w:r>
      <w:r>
        <w:br/>
      </w:r>
      <w:r>
        <w:t xml:space="preserve">Research and innovation will be crucial to support the transition of the energy system with the</w:t>
      </w:r>
      <w:r>
        <w:t xml:space="preserve"> </w:t>
      </w:r>
      <w:r>
        <w:t xml:space="preserve">aim to reduce the overall energy demand, whilst ensuring that the supply of energy is</w:t>
      </w:r>
      <w:r>
        <w:t xml:space="preserve"> </w:t>
      </w:r>
      <w:r>
        <w:t xml:space="preserve">independent, diversified, climate-neutral, and resilient to the impacts of climate change.</w:t>
      </w:r>
      <w:r>
        <w:br/>
      </w:r>
      <w:r>
        <w:t xml:space="preserve">The reinforcement of the competitiveness of the European value chain relies on the</w:t>
      </w:r>
      <w:r>
        <w:t xml:space="preserve"> </w:t>
      </w:r>
      <w:r>
        <w:t xml:space="preserve">development of clean, sustainable, and “circular by design” energy technologies. Diverse R&amp;I</w:t>
      </w:r>
      <w:r>
        <w:t xml:space="preserve"> </w:t>
      </w:r>
      <w:r>
        <w:t xml:space="preserve">activities on key clean energy technologies such as solar energy, wind energy, sustainable</w:t>
      </w:r>
      <w:r>
        <w:t xml:space="preserve"> </w:t>
      </w:r>
      <w:r>
        <w:t xml:space="preserve">biomethane and advanced biofuels, hydropower, geothermal energy, heat pumps, ocean</w:t>
      </w:r>
      <w:r>
        <w:t xml:space="preserve"> </w:t>
      </w:r>
      <w:r>
        <w:t xml:space="preserve">energy and synthetic renewable fuels are needed to achieve and eventually maintain the</w:t>
      </w:r>
      <w:r>
        <w:t xml:space="preserve"> </w:t>
      </w:r>
      <w:r>
        <w:t xml:space="preserve">autonomy and competitiveness of the EU energy supply. At the same time, it needs to be</w:t>
      </w:r>
      <w:r>
        <w:t xml:space="preserve"> </w:t>
      </w:r>
      <w:r>
        <w:t xml:space="preserve">ensured that ecosystems are not harmed in the process, and that the zero-pollution ambition of</w:t>
      </w:r>
      <w:r>
        <w:t xml:space="preserve"> </w:t>
      </w:r>
      <w:r>
        <w:t xml:space="preserve">the European Green Deal is supported, whilst bringing social benefits for all.</w:t>
      </w:r>
      <w:r>
        <w:br/>
      </w:r>
      <w:r>
        <w:t xml:space="preserve">Further, research and innovation activities are needed to advance the modernisation of the</w:t>
      </w:r>
      <w:r>
        <w:t xml:space="preserve"> </w:t>
      </w:r>
      <w:r>
        <w:t xml:space="preserve">energy networks, grids, markets, and services, as well as to support energy system integration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and to accelerate electrification. Integrating demand response, lowering the cost of energy</w:t>
      </w:r>
      <w:r>
        <w:t xml:space="preserve"> </w:t>
      </w:r>
      <w:r>
        <w:t xml:space="preserve">storage solutions at various timescales, while minimising the use of critical raw materials and</w:t>
      </w:r>
      <w:r>
        <w:t xml:space="preserve"> </w:t>
      </w:r>
      <w:r>
        <w:t xml:space="preserve">ensuring their reuse and recycling, are key elements of the energy system.</w:t>
      </w:r>
      <w:r>
        <w:br/>
      </w:r>
      <w:r>
        <w:t xml:space="preserve">Moreover, the output from research and innovation can accelerate the deployment of Carbon</w:t>
      </w:r>
      <w:r>
        <w:t xml:space="preserve"> </w:t>
      </w:r>
      <w:r>
        <w:t xml:space="preserve">Capture, Utilisation and Storage (CCUS) in electricity generation, industry applications, and</w:t>
      </w:r>
      <w:r>
        <w:t xml:space="preserve"> </w:t>
      </w:r>
      <w:r>
        <w:t xml:space="preserve">negative emissions technologies.</w:t>
      </w:r>
      <w:r>
        <w:br/>
      </w:r>
      <w:r>
        <w:t xml:space="preserve">Electrification</w:t>
      </w:r>
      <w:r>
        <w:br/>
      </w:r>
      <w:r>
        <w:t xml:space="preserve">Reducing emissions from industrial sectors will require coordinated action throughout value</w:t>
      </w:r>
      <w:r>
        <w:t xml:space="preserve"> </w:t>
      </w:r>
      <w:r>
        <w:t xml:space="preserve">chains to boost and accelerate innovation and deployment of all mitigation options, including</w:t>
      </w:r>
      <w:r>
        <w:t xml:space="preserve"> </w:t>
      </w:r>
      <w:r>
        <w:t xml:space="preserve">integration of renewable electricity. R &amp; I still remains crucial for even ‘mature’ low-</w:t>
      </w:r>
      <w:r>
        <w:t xml:space="preserve"> </w:t>
      </w:r>
      <w:r>
        <w:t xml:space="preserve">emission energy technologies such as heat pumps, as well as new technologies to electrify</w:t>
      </w:r>
      <w:r>
        <w:t xml:space="preserve"> </w:t>
      </w:r>
      <w:r>
        <w:t xml:space="preserve">high temperature processes.</w:t>
      </w:r>
      <w:r>
        <w:br/>
      </w:r>
      <w:r>
        <w:t xml:space="preserve">Buildings are responsible for around 40% of EU energy demand and are pivotal to the success</w:t>
      </w:r>
      <w:r>
        <w:t xml:space="preserve"> </w:t>
      </w:r>
      <w:r>
        <w:t xml:space="preserve">of the energy transition and achievement of a climate neutral economy. Research and</w:t>
      </w:r>
      <w:r>
        <w:t xml:space="preserve"> </w:t>
      </w:r>
      <w:r>
        <w:t xml:space="preserve">innovation is needed to achieve the full electrification of building systems with the integration</w:t>
      </w:r>
      <w:r>
        <w:t xml:space="preserve"> </w:t>
      </w:r>
      <w:r>
        <w:t xml:space="preserve">of grid-compatible and flexible solutions that involve demand side management, energy</w:t>
      </w:r>
      <w:r>
        <w:t xml:space="preserve"> </w:t>
      </w:r>
      <w:r>
        <w:t xml:space="preserve">storage, and electric vehicle charging.</w:t>
      </w:r>
      <w:r>
        <w:t xml:space="preserve"> </w:t>
      </w:r>
      <w:r>
        <w:t xml:space="preserve">Energy storage</w:t>
      </w:r>
      <w:r>
        <w:br/>
      </w:r>
      <w:r>
        <w:t xml:space="preserve">R&amp;I activities will allow for the development of lower cost and more sustainably produced</w:t>
      </w:r>
      <w:r>
        <w:t xml:space="preserve"> </w:t>
      </w:r>
      <w:r>
        <w:t xml:space="preserve">battery technologies and other long-term storage technologies, not only in transport</w:t>
      </w:r>
      <w:r>
        <w:t xml:space="preserve"> </w:t>
      </w:r>
      <w:r>
        <w:t xml:space="preserve">applications (road, maritime and aviation), but also in stationary storage applications, where</w:t>
      </w:r>
      <w:r>
        <w:t xml:space="preserve"> </w:t>
      </w:r>
      <w:r>
        <w:t xml:space="preserve">new solutions, such as flow batteries, can play a key role in the development of resilient</w:t>
      </w:r>
      <w:r>
        <w:t xml:space="preserve"> </w:t>
      </w:r>
      <w:r>
        <w:t xml:space="preserve">energy grids. Supporting local sustainable battery production capacity (including equipment</w:t>
      </w:r>
      <w:r>
        <w:t xml:space="preserve"> </w:t>
      </w:r>
      <w:r>
        <w:t xml:space="preserve">and skills development) will be an important driver, but R&amp;I will also need to focus on the</w:t>
      </w:r>
      <w:r>
        <w:t xml:space="preserve"> </w:t>
      </w:r>
      <w:r>
        <w:t xml:space="preserve">replacement, reuse, recycling and end-of-life management of batteries and raw materials</w:t>
      </w:r>
      <w:r>
        <w:t xml:space="preserve"> </w:t>
      </w:r>
      <w:r>
        <w:t xml:space="preserve">recovery.</w:t>
      </w:r>
      <w:r>
        <w:t xml:space="preserve"> </w:t>
      </w:r>
      <w:r>
        <w:t xml:space="preserve">Renewable hydrogen</w:t>
      </w:r>
      <w:r>
        <w:br/>
      </w:r>
      <w:r>
        <w:t xml:space="preserve">Decarbonising the production of hydrogen used as an industrial feedstock, and for new uses as</w:t>
      </w:r>
      <w:r>
        <w:t xml:space="preserve"> </w:t>
      </w:r>
      <w:r>
        <w:t xml:space="preserve">an energy carrier requires R&amp;I for the scaling up of hydrogen production and the production</w:t>
      </w:r>
      <w:r>
        <w:t xml:space="preserve"> </w:t>
      </w:r>
      <w:r>
        <w:t xml:space="preserve">of synfuels, and to develop large-scale hydrogen storage systems.</w:t>
      </w:r>
      <w:r>
        <w:t xml:space="preserve"> </w:t>
      </w:r>
      <w:r>
        <w:t xml:space="preserve">Whilst the technologies used to integrate green hydrogen into a carbon-free energy system are</w:t>
      </w:r>
      <w:r>
        <w:t xml:space="preserve"> </w:t>
      </w:r>
      <w:r>
        <w:t xml:space="preserve">already available, innovation is needed for the scale-up, demonstration, and deployment of</w:t>
      </w:r>
      <w:r>
        <w:t xml:space="preserve"> </w:t>
      </w:r>
      <w:r>
        <w:t xml:space="preserve">hydrogen-based systems in order to take advantage of European technological leadership.</w:t>
      </w:r>
      <w:r>
        <w:br/>
      </w:r>
      <w:r>
        <w:t xml:space="preserve">Biotechnology and biomanufacturing </w:t>
      </w:r>
      <w:r>
        <w:br/>
      </w:r>
      <w:r>
        <w:t xml:space="preserve">The advances in life sciences and information technology are leading to deeper understanding</w:t>
      </w:r>
      <w:r>
        <w:t xml:space="preserve"> </w:t>
      </w:r>
      <w:r>
        <w:t xml:space="preserve">of functioning of living organisms and providing tools to influence biological processes.</w:t>
      </w:r>
      <w:r>
        <w:t xml:space="preserve"> </w:t>
      </w:r>
      <w:r>
        <w:t xml:space="preserve">Increasingly biotechnology and biomanufacturing are becoming important EU assets to</w:t>
      </w:r>
      <w:r>
        <w:t xml:space="preserve"> </w:t>
      </w:r>
      <w:r>
        <w:t xml:space="preserve">advance strategic autonomy and competitiveness and to enable timely solutions to urgent</w:t>
      </w:r>
      <w:r>
        <w:t xml:space="preserve"> </w:t>
      </w:r>
      <w:r>
        <w:t xml:space="preserve">crises, including climate change or pandemics. However, despite the first-class research in</w:t>
      </w:r>
      <w:r>
        <w:t xml:space="preserve"> </w:t>
      </w:r>
      <w:r>
        <w:t xml:space="preserve">biotechnology, the EU could enhance the efforts for deployment and commercialisation of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biotechnology solutions. An initiative is being prepared on EU Biotechnology and</w:t>
      </w:r>
      <w:r>
        <w:t xml:space="preserve"> </w:t>
      </w:r>
      <w:r>
        <w:t xml:space="preserve">Biomanufacturing.</w:t>
      </w:r>
    </w:p>
    <w:p>
      <w:pPr>
        <w:pStyle w:val="BodyText"/>
      </w:pPr>
      <w:r>
        <w:t xml:space="preserve">2.6.2.4 Sustainable transportation</w:t>
      </w:r>
      <w:r>
        <w:t xml:space="preserve"> </w:t>
      </w:r>
      <w:r>
        <w:t xml:space="preserve">Transport is the only sector where greenhouse gas emissions are still above their 1990 levels</w:t>
      </w:r>
      <w:r>
        <w:t xml:space="preserve"> </w:t>
      </w:r>
      <w:r>
        <w:t xml:space="preserve">(18% higher in 2021 relative to 1990). The transport sector (including international aviation</w:t>
      </w:r>
      <w:r>
        <w:t xml:space="preserve"> </w:t>
      </w:r>
      <w:r>
        <w:t xml:space="preserve">and maritime) is responsible for 27% of GHG emissions in the EU (of which over 76.2%</w:t>
      </w:r>
      <w:r>
        <w:t xml:space="preserve"> </w:t>
      </w:r>
      <w:r>
        <w:t xml:space="preserve">came from road transportation in 2021). Energy use of oil and petroleum products accounted</w:t>
      </w:r>
      <w:r>
        <w:t xml:space="preserve"> </w:t>
      </w:r>
      <w:r>
        <w:t xml:space="preserve">for 90.7% of the final energy consumption (70) in transport. Intensified R&amp;I activities are</w:t>
      </w:r>
      <w:r>
        <w:t xml:space="preserve"> </w:t>
      </w:r>
      <w:r>
        <w:t xml:space="preserve">needed, across all transport modes and in line with societal needs and preferences, for the EU</w:t>
      </w:r>
      <w:r>
        <w:t xml:space="preserve"> </w:t>
      </w:r>
      <w:r>
        <w:t xml:space="preserve">to reach its policy goals towards net-zero greenhouse gas emissions by 2050, and to</w:t>
      </w:r>
      <w:r>
        <w:t xml:space="preserve"> </w:t>
      </w:r>
      <w:r>
        <w:t xml:space="preserve">significantly reduce air pollutants towards the zero-pollution ambition.</w:t>
      </w:r>
      <w:r>
        <w:t xml:space="preserve"> </w:t>
      </w:r>
      <w:r>
        <w:t xml:space="preserve">As regards road transport, research and innovation actions must focus on contributing to the</w:t>
      </w:r>
      <w:r>
        <w:t xml:space="preserve"> </w:t>
      </w:r>
      <w:r>
        <w:t xml:space="preserve">shift to zero-emission mobility by targeting cost- and energy-efficient zero-tailpipe-emission</w:t>
      </w:r>
      <w:r>
        <w:t xml:space="preserve"> </w:t>
      </w:r>
      <w:r>
        <w:t xml:space="preserve">vehicles and their integration of these vehicles in the mobility system.</w:t>
      </w:r>
      <w:r>
        <w:br/>
      </w:r>
      <w:r>
        <w:t xml:space="preserve">Road transport has the potential to be largely electrified as it provides high potential for</w:t>
      </w:r>
      <w:r>
        <w:t xml:space="preserve"> </w:t>
      </w:r>
      <w:r>
        <w:t xml:space="preserve">absorbing renewable electricity at times when it is abundant and feed it back into a grid when</w:t>
      </w:r>
      <w:r>
        <w:t xml:space="preserve"> </w:t>
      </w:r>
      <w:r>
        <w:t xml:space="preserve">there is scarcity. With the projected increase of electric vehicles already by 2030 it is</w:t>
      </w:r>
      <w:r>
        <w:t xml:space="preserve"> </w:t>
      </w:r>
      <w:r>
        <w:t xml:space="preserve">necessary to ensure that they can contribute to optimising electricity grid in a cost-effective</w:t>
      </w:r>
      <w:r>
        <w:t xml:space="preserve"> </w:t>
      </w:r>
      <w:r>
        <w:t xml:space="preserve">way by offering flexibility services such as energy storage capacity and demand response</w:t>
      </w:r>
      <w:r>
        <w:t xml:space="preserve"> </w:t>
      </w:r>
      <w:r>
        <w:t xml:space="preserve">thanks to smart charging and bidirectional charging which are expected to become</w:t>
      </w:r>
      <w:r>
        <w:t xml:space="preserve"> </w:t>
      </w:r>
      <w:r>
        <w:t xml:space="preserve">mainstream in the coming years. Moreover, private recharging infrastructure in buildings or</w:t>
      </w:r>
      <w:r>
        <w:t xml:space="preserve"> </w:t>
      </w:r>
      <w:r>
        <w:t xml:space="preserve">depots for specific purpose vehicle fleets where electric vehicles typically park for extended</w:t>
      </w:r>
      <w:r>
        <w:t xml:space="preserve"> </w:t>
      </w:r>
      <w:r>
        <w:t xml:space="preserve">periods of time are highly relevant to energy system integration and could contribute the most</w:t>
      </w:r>
      <w:r>
        <w:t xml:space="preserve"> </w:t>
      </w:r>
      <w:r>
        <w:t xml:space="preserve">to optimising the electricity grid through the flexibility services thus reducing the need for</w:t>
      </w:r>
      <w:r>
        <w:t xml:space="preserve"> </w:t>
      </w:r>
      <w:r>
        <w:t xml:space="preserve">additional investments to expand the grid due to increased electrification. In the rail sector,</w:t>
      </w:r>
      <w:r>
        <w:t xml:space="preserve"> </w:t>
      </w:r>
      <w:r>
        <w:t xml:space="preserve">regenerative braking and energy buffers offer a large untapped potential for enhanced energy</w:t>
      </w:r>
      <w:r>
        <w:t xml:space="preserve"> </w:t>
      </w:r>
      <w:r>
        <w:t xml:space="preserve">efficiency.</w:t>
      </w:r>
      <w:r>
        <w:br/>
      </w:r>
      <w:r>
        <w:t xml:space="preserve">The European aviation sector aims to reach climate neutrality by 2050. This objective relies</w:t>
      </w:r>
      <w:r>
        <w:t xml:space="preserve"> </w:t>
      </w:r>
      <w:r>
        <w:t xml:space="preserve">on the development of sustainable aviation fuels, and hydrogen-powered zero-emission</w:t>
      </w:r>
      <w:r>
        <w:t xml:space="preserve"> </w:t>
      </w:r>
      <w:r>
        <w:t xml:space="preserve">aircraft and infrastructure. R&amp;I actions on aviation need to develop integrated aircraft</w:t>
      </w:r>
      <w:r>
        <w:t xml:space="preserve"> </w:t>
      </w:r>
      <w:r>
        <w:t xml:space="preserve">technologies for deep decarbonisation transformation and to reduce all negative non-CO2</w:t>
      </w:r>
      <w:r>
        <w:t xml:space="preserve"> </w:t>
      </w:r>
      <w:r>
        <w:t xml:space="preserve">impacts and emissions. Likewise, research and innovation is required to further advance net</w:t>
      </w:r>
      <w:r>
        <w:t xml:space="preserve"> </w:t>
      </w:r>
      <w:r>
        <w:t xml:space="preserve">zero-emission solutions on new fuels, engines and ship designs in the shipping sector.</w:t>
      </w:r>
      <w:r>
        <w:t xml:space="preserve"> </w:t>
      </w:r>
      <w:r>
        <w:t xml:space="preserve">2.6.2.5 Circular industry</w:t>
      </w:r>
      <w:r>
        <w:br/>
      </w:r>
      <w:r>
        <w:t xml:space="preserve">A functioning circular economy is one of the key objectives of the European Green Deal.</w:t>
      </w:r>
      <w:r>
        <w:t xml:space="preserve"> </w:t>
      </w:r>
      <w:r>
        <w:t xml:space="preserve">Research and innovation is critical to achieving a circular economy by fostering new safe</w:t>
      </w:r>
    </w:p>
    <w:p>
      <w:pPr>
        <w:pStyle w:val="Compact"/>
        <w:numPr>
          <w:ilvl w:val="0"/>
          <w:numId w:val="1023"/>
        </w:numPr>
      </w:pPr>
      <w:r>
        <w:t xml:space="preserve">Final energy consumption excludes international aviation and maritime. The energy consumption in air</w:t>
      </w:r>
      <w:r>
        <w:t xml:space="preserve"> </w:t>
      </w:r>
      <w:r>
        <w:t xml:space="preserve">transport and maritime are dominated by oil products.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ways of designing, producing, repurposing, reusing, repairing, and recycling. R &amp; I is needed</w:t>
      </w:r>
      <w:r>
        <w:t xml:space="preserve"> </w:t>
      </w:r>
      <w:r>
        <w:t xml:space="preserve">to reinforce our resilience and strategic dependency by decoupling economic growth from</w:t>
      </w:r>
      <w:r>
        <w:t xml:space="preserve"> </w:t>
      </w:r>
      <w:r>
        <w:t xml:space="preserve">resource use.</w:t>
      </w:r>
      <w:r>
        <w:t xml:space="preserve"> </w:t>
      </w:r>
      <w:r>
        <w:t xml:space="preserve">There is much scope for improvement for design of circularity in terms of circularity</w:t>
      </w:r>
      <w:r>
        <w:t xml:space="preserve"> </w:t>
      </w:r>
      <w:r>
        <w:t xml:space="preserve">technologies applicable to different value chains with special attention to disassembly,</w:t>
      </w:r>
      <w:r>
        <w:t xml:space="preserve"> </w:t>
      </w:r>
      <w:r>
        <w:t xml:space="preserve">remanufacturing/upgrading, recycling, and ‘Zero-X’ – zero defects, zero breakdowns, zero</w:t>
      </w:r>
      <w:r>
        <w:t xml:space="preserve"> </w:t>
      </w:r>
      <w:r>
        <w:t xml:space="preserve">waste.</w:t>
      </w:r>
      <w:r>
        <w:br/>
      </w:r>
      <w:r>
        <w:t xml:space="preserve">It will be important to develop and test different circularity technologies in the context of the</w:t>
      </w:r>
      <w:r>
        <w:t xml:space="preserve"> </w:t>
      </w:r>
      <w:r>
        <w:t xml:space="preserve">entire value chain and life cycle, with a view to facilitating deployment, further developing</w:t>
      </w:r>
      <w:r>
        <w:t xml:space="preserve"> </w:t>
      </w:r>
      <w:r>
        <w:t xml:space="preserve">value chains for circularity.</w:t>
      </w:r>
      <w:r>
        <w:br/>
      </w:r>
      <w:r>
        <w:t xml:space="preserve">Research will be needed to enable energy-intensive industries to embrace the circular</w:t>
      </w:r>
      <w:r>
        <w:t xml:space="preserve"> </w:t>
      </w:r>
      <w:r>
        <w:t xml:space="preserve">economy as a key pillar in the design of their value chains. This will be fundamental to</w:t>
      </w:r>
      <w:r>
        <w:t xml:space="preserve"> </w:t>
      </w:r>
      <w:r>
        <w:t xml:space="preserve">ensuring the efficient use of resources (material, energy, and water) by these resource-</w:t>
      </w:r>
      <w:r>
        <w:t xml:space="preserve"> </w:t>
      </w:r>
      <w:r>
        <w:t xml:space="preserve">intensive industries. Particularly important in this context is the development of innovative</w:t>
      </w:r>
      <w:r>
        <w:t xml:space="preserve"> </w:t>
      </w:r>
      <w:r>
        <w:t xml:space="preserve">upcycling of secondary raw material and of resource-efficient industrial processes.</w:t>
      </w:r>
      <w:r>
        <w:br/>
      </w:r>
      <w:r>
        <w:t xml:space="preserve">Achieving circularity of both raw materials and advanced materials is a key challenge for the</w:t>
      </w:r>
      <w:r>
        <w:t xml:space="preserve"> </w:t>
      </w:r>
      <w:r>
        <w:t xml:space="preserve">future. The establishment of new materials flows, as well as the advancement of the recovery,</w:t>
      </w:r>
      <w:r>
        <w:t xml:space="preserve"> </w:t>
      </w:r>
      <w:r>
        <w:t xml:space="preserve">re- and up-cycling of materials from waste relies on R&amp;I.</w:t>
      </w:r>
      <w:r>
        <w:br/>
      </w:r>
      <w:r>
        <w:t xml:space="preserve">2.6.2.6 Sustainable circular bioeconomy</w:t>
      </w:r>
      <w:r>
        <w:t xml:space="preserve"> </w:t>
      </w:r>
      <w:r>
        <w:t xml:space="preserve">In “A Clean Planet for All: Long-term Strategy, 2018” Bioeconomy is one of the seven</w:t>
      </w:r>
      <w:r>
        <w:t xml:space="preserve"> </w:t>
      </w:r>
      <w:r>
        <w:t xml:space="preserve">strategic building blocks towards a net zero GHG economy. Bioeconomy sectors mentioned</w:t>
      </w:r>
      <w:r>
        <w:t xml:space="preserve"> </w:t>
      </w:r>
      <w:r>
        <w:t xml:space="preserve">in this IA (i.a. food and non-food bio-based value chains from agriculture, LULUCF,</w:t>
      </w:r>
      <w:r>
        <w:t xml:space="preserve"> </w:t>
      </w:r>
      <w:r>
        <w:t xml:space="preserve">bioenergy) were included under Reaping the full benefits of Bioeconomy and creating</w:t>
      </w:r>
      <w:r>
        <w:t xml:space="preserve"> </w:t>
      </w:r>
      <w:r>
        <w:t xml:space="preserve">essential carbon sinks for: sequester and store C in agricultural land, forestry and wetlands;</w:t>
      </w:r>
      <w:r>
        <w:t xml:space="preserve"> </w:t>
      </w:r>
      <w:r>
        <w:t xml:space="preserve">substitute C-intensive materials; create new business opportunities; developing climate-</w:t>
      </w:r>
      <w:r>
        <w:t xml:space="preserve"> </w:t>
      </w:r>
      <w:r>
        <w:t xml:space="preserve">friendly farming and forestry systems; unlocking the potential of aquatic resources; and</w:t>
      </w:r>
      <w:r>
        <w:t xml:space="preserve"> </w:t>
      </w:r>
      <w:r>
        <w:t xml:space="preserve">substitute fossil fuels in power generation.</w:t>
      </w:r>
      <w:r>
        <w:t xml:space="preserve"> </w:t>
      </w:r>
      <w:r>
        <w:t xml:space="preserve">Innovation in the sustainable bioeconomy lays the foundations for the transition away from a</w:t>
      </w:r>
      <w:r>
        <w:t xml:space="preserve"> </w:t>
      </w:r>
      <w:r>
        <w:t xml:space="preserve">fossil-based economy. Sustainable bio-based innovation is an important segment of the</w:t>
      </w:r>
      <w:r>
        <w:t xml:space="preserve"> </w:t>
      </w:r>
      <w:r>
        <w:t xml:space="preserve">overall bioeconomy and takes into account sustainability in all its dimensions. Research and</w:t>
      </w:r>
      <w:r>
        <w:t xml:space="preserve"> </w:t>
      </w:r>
      <w:r>
        <w:t xml:space="preserve">innovation need to contribute to scaling up the potential of bioeconomy to substitute GHG</w:t>
      </w:r>
      <w:r>
        <w:t xml:space="preserve"> </w:t>
      </w:r>
      <w:r>
        <w:t xml:space="preserve">intensive products and materials, as well as to improving the circularity aspects of bio-based</w:t>
      </w:r>
      <w:r>
        <w:t xml:space="preserve"> </w:t>
      </w:r>
      <w:r>
        <w:t xml:space="preserve">systems, with a particular focus on biowaste, waste management and valorisation, considering</w:t>
      </w:r>
      <w:r>
        <w:t xml:space="preserve"> </w:t>
      </w:r>
      <w:r>
        <w:t xml:space="preserve">the whole life cycle of bio-based products and technologies. Moreover, the cross-cutting</w:t>
      </w:r>
      <w:r>
        <w:t xml:space="preserve"> </w:t>
      </w:r>
      <w:r>
        <w:t xml:space="preserve">aspect of zero pollution in the sector has to be further implemented.</w:t>
      </w:r>
      <w:r>
        <w:br/>
      </w:r>
      <w:r>
        <w:t xml:space="preserve">The EU agriculture sector is the only major agriculture system in the world that has reduced</w:t>
      </w:r>
      <w:r>
        <w:t xml:space="preserve"> </w:t>
      </w:r>
      <w:r>
        <w:t xml:space="preserve">its GHG emissions (by 20 % since 1994). The development of sustainable agriculture and</w:t>
      </w:r>
      <w:r>
        <w:t xml:space="preserve"> </w:t>
      </w:r>
      <w:r>
        <w:t xml:space="preserve">food systems is one of the main priority areas of action for the EU. Key research areas for</w:t>
      </w:r>
      <w:r>
        <w:t xml:space="preserve"> </w:t>
      </w:r>
      <w:r>
        <w:t xml:space="preserve">agriculture include mitigation and adaption to climate change, enabling more sustainable</w:t>
      </w:r>
      <w:r>
        <w:t xml:space="preserve"> </w:t>
      </w:r>
      <w:r>
        <w:t xml:space="preserve">farming practices, and fostering sustainable livestock systems.</w:t>
      </w:r>
      <w:r>
        <w:br/>
      </w:r>
      <w:r>
        <w:t xml:space="preserve">Further R &amp; I is needed in the forestry sectors in order to meet the expectations of the</w:t>
      </w:r>
      <w:r>
        <w:t xml:space="preserve"> </w:t>
      </w:r>
      <w:r>
        <w:t xml:space="preserve">European Green Deal. Specifically, there is a need to foster multifunctional forests for future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generations through sustainable management approaches, technologies, innovative wood and</w:t>
      </w:r>
      <w:r>
        <w:t xml:space="preserve"> </w:t>
      </w:r>
      <w:r>
        <w:t xml:space="preserve">non-wood products, prevention and management of forest disturbances, urban forestry,</w:t>
      </w:r>
      <w:r>
        <w:t xml:space="preserve"> </w:t>
      </w:r>
      <w:r>
        <w:t xml:space="preserve">management of genetic resources, deployment of inclusive and fair value chains, and</w:t>
      </w:r>
      <w:r>
        <w:t xml:space="preserve"> </w:t>
      </w:r>
      <w:r>
        <w:t xml:space="preserve">improved governance. Overall, a better understanding of consumption of these resources is</w:t>
      </w:r>
      <w:r>
        <w:t xml:space="preserve"> </w:t>
      </w:r>
      <w:r>
        <w:t xml:space="preserve">needed to help shifting to more sustainable consumption patterns (71).</w:t>
      </w:r>
      <w:r>
        <w:t xml:space="preserve"> </w:t>
      </w:r>
      <w:r>
        <w:t xml:space="preserve">2.6.2.7 Socio-economic &amp; behavioural R&amp;I</w:t>
      </w:r>
      <w:r>
        <w:br/>
      </w:r>
      <w:r>
        <w:t xml:space="preserve">Research and innovation must go hand in hand with social innovation, inclusiveness, and</w:t>
      </w:r>
      <w:r>
        <w:t xml:space="preserve"> </w:t>
      </w:r>
      <w:r>
        <w:t xml:space="preserve">promotion of solutions that allow the integration of aspects going beyond functionality, whilst</w:t>
      </w:r>
      <w:r>
        <w:t xml:space="preserve"> </w:t>
      </w:r>
      <w:r>
        <w:t xml:space="preserve">achieving efficiency, sufficiency, and sustainability. The important role of social sciences and</w:t>
      </w:r>
      <w:r>
        <w:t xml:space="preserve"> </w:t>
      </w:r>
      <w:r>
        <w:t xml:space="preserve">humanities must be realised to advance behavioural change and social acceptance, trust, and</w:t>
      </w:r>
      <w:r>
        <w:t xml:space="preserve"> </w:t>
      </w:r>
      <w:r>
        <w:t xml:space="preserve">uptake of solutions.</w:t>
      </w:r>
      <w:r>
        <w:t xml:space="preserve"> </w:t>
      </w:r>
      <w:r>
        <w:t xml:space="preserve">The necessary innovations to address key societal challenges, notably climate change, call for</w:t>
      </w:r>
      <w:r>
        <w:t xml:space="preserve"> </w:t>
      </w:r>
      <w:r>
        <w:t xml:space="preserve">interdisciplinary approaches to research and innovation that combine knowledge from the</w:t>
      </w:r>
      <w:r>
        <w:t xml:space="preserve"> </w:t>
      </w:r>
      <w:r>
        <w:t xml:space="preserve">social sciences and the humanities, including the arts and science, technology, engineering,</w:t>
      </w:r>
      <w:r>
        <w:t xml:space="preserve"> </w:t>
      </w:r>
      <w:r>
        <w:t xml:space="preserve">and mathematics, while at the same time maintaining the human-centric focus.</w:t>
      </w:r>
      <w:r>
        <w:t xml:space="preserve"> </w:t>
      </w:r>
      <w:r>
        <w:t xml:space="preserve">Research is needed to evaluate the societal impact of climate change and the measures</w:t>
      </w:r>
      <w:r>
        <w:t xml:space="preserve"> </w:t>
      </w:r>
      <w:r>
        <w:t xml:space="preserve">required to achieve climate neutrality and to prepare for adverse impacts and risks linked to</w:t>
      </w:r>
      <w:r>
        <w:t xml:space="preserve"> </w:t>
      </w:r>
      <w:r>
        <w:t xml:space="preserve">climate change.</w:t>
      </w:r>
      <w:r>
        <w:br/>
      </w:r>
      <w:r>
        <w:t xml:space="preserve">2.6.3 Advancing the European RDI system</w:t>
      </w:r>
      <w:r>
        <w:br/>
      </w:r>
      <w:r>
        <w:t xml:space="preserve">2.6.3.1 Role of RDI</w:t>
      </w:r>
      <w:r>
        <w:t xml:space="preserve"> </w:t>
      </w:r>
      <w:r>
        <w:t xml:space="preserve">In 2019, the European Green Deal Communication emphasised the key enabling role of R&amp;I</w:t>
      </w:r>
      <w:r>
        <w:t xml:space="preserve"> </w:t>
      </w:r>
      <w:r>
        <w:t xml:space="preserve">in steering the EU towards climate neutrality by 2050 and pointed out the need for the R &amp; I</w:t>
      </w:r>
      <w:r>
        <w:t xml:space="preserve"> </w:t>
      </w:r>
      <w:r>
        <w:t xml:space="preserve">agenda to take a systemic approach to achieving the ambitious targets. Innovation is needed to</w:t>
      </w:r>
      <w:r>
        <w:t xml:space="preserve"> </w:t>
      </w:r>
      <w:r>
        <w:t xml:space="preserve">develop and adopt cutting-edge clean technologies, transformative climate policies and novel</w:t>
      </w:r>
      <w:r>
        <w:t xml:space="preserve"> </w:t>
      </w:r>
      <w:r>
        <w:t xml:space="preserve">practices tailored for a climate-neutral society. Achieving the goals of the Paris Agreement</w:t>
      </w:r>
      <w:r>
        <w:t xml:space="preserve"> </w:t>
      </w:r>
      <w:r>
        <w:t xml:space="preserve">requires rapid and profound changes across all countries, sectors, and aspects of how the</w:t>
      </w:r>
      <w:r>
        <w:t xml:space="preserve"> </w:t>
      </w:r>
      <w:r>
        <w:t xml:space="preserve">society operates and calls for mobilising R&amp;I at the scale and speed that are commensure with</w:t>
      </w:r>
      <w:r>
        <w:t xml:space="preserve"> </w:t>
      </w:r>
      <w:r>
        <w:t xml:space="preserve">this challenge. Innovative net-zero solutions must not only be developed and deployed faster,</w:t>
      </w:r>
      <w:r>
        <w:t xml:space="preserve"> </w:t>
      </w:r>
      <w:r>
        <w:t xml:space="preserve">but also have to be climate-proof. The problems at stake today are complex and</w:t>
      </w:r>
      <w:r>
        <w:t xml:space="preserve"> </w:t>
      </w:r>
      <w:r>
        <w:t xml:space="preserve">interconnected, thus requiring solutions from multiple perspectives, disciplines, and sectors,</w:t>
      </w:r>
      <w:r>
        <w:t xml:space="preserve"> </w:t>
      </w:r>
      <w:r>
        <w:t xml:space="preserve">maximising the co-benefits, and attenuating the trade-offs. Beyond delivering technological</w:t>
      </w:r>
      <w:r>
        <w:t xml:space="preserve"> </w:t>
      </w:r>
      <w:r>
        <w:t xml:space="preserve">innovation, R &amp; I policies are increasingly expected to provide novel instruments and to act as</w:t>
      </w:r>
      <w:r>
        <w:t xml:space="preserve"> </w:t>
      </w:r>
      <w:r>
        <w:t xml:space="preserve">a lever for catalysing transformational change towards sustainable development, empowering</w:t>
      </w:r>
      <w:r>
        <w:t xml:space="preserve"> </w:t>
      </w:r>
      <w:r>
        <w:t xml:space="preserve">individuals, and communities to meet societal needs and build sustainable, inclusive and</w:t>
      </w:r>
      <w:r>
        <w:t xml:space="preserve"> </w:t>
      </w:r>
      <w:r>
        <w:t xml:space="preserve">resilient societies. All this will require sustained and more effective investments in research</w:t>
      </w:r>
    </w:p>
    <w:p>
      <w:pPr>
        <w:pStyle w:val="Compact"/>
        <w:numPr>
          <w:ilvl w:val="0"/>
          <w:numId w:val="1024"/>
        </w:numPr>
      </w:pPr>
      <w:r>
        <w:t xml:space="preserve">European Commission, Directorate-General for Research and Innovation, European bioeconomy policy –</w:t>
      </w:r>
      <w:r>
        <w:t xml:space="preserve"> </w:t>
      </w:r>
      <w:r>
        <w:t xml:space="preserve">Stocktaking and future developments – Report from the Commission to the European Parliament, the</w:t>
      </w:r>
      <w:r>
        <w:t xml:space="preserve"> </w:t>
      </w:r>
      <w:r>
        <w:t xml:space="preserve">Council, the European Economic and Social Committee and the Committee of the Regions, Publications</w:t>
      </w:r>
      <w:r>
        <w:t xml:space="preserve"> </w:t>
      </w:r>
      <w:r>
        <w:t xml:space="preserve">Office of the European Union, 2022, https://data.europa.eu/doi/10.2777/997651.</w:t>
      </w:r>
    </w:p>
    <w:p>
      <w:pPr>
        <w:pStyle w:val="FirstParagraph"/>
      </w:pPr>
      <w:r>
        <w:t xml:space="preserve">31</w:t>
      </w:r>
    </w:p>
    <w:p>
      <w:pPr>
        <w:pStyle w:val="BodyText"/>
      </w:pPr>
      <w:r>
        <w:t xml:space="preserve">and innovation, from public and private sources alike, if the EU is to succeed in decarbonising</w:t>
      </w:r>
      <w:r>
        <w:t xml:space="preserve"> </w:t>
      </w:r>
      <w:r>
        <w:t xml:space="preserve">at sufficient speed to fall in line with what the science says is necessary.</w:t>
      </w:r>
      <w:r>
        <w:t xml:space="preserve"> </w:t>
      </w:r>
      <w:r>
        <w:t xml:space="preserve">2.6.3.2 Where the EU is today</w:t>
      </w:r>
      <w:r>
        <w:br/>
      </w:r>
      <w:r>
        <w:t xml:space="preserve">The EU has remained stable over time in terms of number of patent applications filed related</w:t>
      </w:r>
      <w:r>
        <w:t xml:space="preserve"> </w:t>
      </w:r>
      <w:r>
        <w:t xml:space="preserve">to the societal grand challenge (SGC) “Climate and Environment” (Figure 5). The EU is still</w:t>
      </w:r>
      <w:r>
        <w:t xml:space="preserve"> </w:t>
      </w:r>
      <w:r>
        <w:t xml:space="preserve">the top worldwide patent applicant in the field of “Climate and Environment” (23 %), but its</w:t>
      </w:r>
      <w:r>
        <w:t xml:space="preserve"> </w:t>
      </w:r>
      <w:r>
        <w:t xml:space="preserve">share has declined (see Figure 6), underscoring the importance of stepping up the investments</w:t>
      </w:r>
      <w:r>
        <w:t xml:space="preserve"> </w:t>
      </w:r>
      <w:r>
        <w:t xml:space="preserve">to secure Europe’s leadership in technologies needed for the transition.</w:t>
      </w:r>
      <w:r>
        <w:t xml:space="preserve"> </w:t>
      </w:r>
      <w:r>
        <w:t xml:space="preserve">Figure 5: Number of patent applications filed under the PCT in the EU by SGC</w:t>
      </w:r>
    </w:p>
    <w:p>
      <w:pPr>
        <w:pStyle w:val="BodyText"/>
      </w:pPr>
      <w:r>
        <w:t xml:space="preserve">Note: Covers PCT patents at the international phase designating the European Patent Office. Fractional counting</w:t>
      </w:r>
      <w:r>
        <w:t xml:space="preserve"> </w:t>
      </w:r>
      <w:r>
        <w:t xml:space="preserve">method used; inventor’s country of residence and priority date used.</w:t>
      </w:r>
      <w:r>
        <w:t xml:space="preserve"> </w:t>
      </w:r>
      <w:r>
        <w:t xml:space="preserve">Source: Own analysis based on Science-Metrix using the European Patent Office’s patent statistics database (72).</w:t>
      </w:r>
      <w:r>
        <w:t xml:space="preserve"> </w:t>
      </w:r>
      <w:r>
        <w:t xml:space="preserve">European countries (73) are also among the leaders of the green transition. From 2016 to 2021,</w:t>
      </w:r>
      <w:r>
        <w:t xml:space="preserve"> </w:t>
      </w:r>
      <w:r>
        <w:t xml:space="preserve">Europe produced 30 % of all green inventions worldwide. Japan was second, with 21 %,</w:t>
      </w:r>
      <w:r>
        <w:t xml:space="preserve"> </w:t>
      </w:r>
      <w:r>
        <w:t xml:space="preserve">followed by the United States (19 %) and China (13 %). The European lead is especially</w:t>
      </w:r>
      <w:r>
        <w:t xml:space="preserve"> </w:t>
      </w:r>
      <w:r>
        <w:t xml:space="preserve">strong for domains such as green transport (41 %), biofuels (37 %) and wind energy (58 %).</w:t>
      </w:r>
      <w:r>
        <w:t xml:space="preserve"> </w:t>
      </w:r>
      <w:r>
        <w:t xml:space="preserve">The production of solar energy technology or batteries is more evenly distributed among the</w:t>
      </w:r>
      <w:r>
        <w:t xml:space="preserve"> </w:t>
      </w:r>
      <w:r>
        <w:t xml:space="preserve">largest and most innovative countries (74).</w:t>
      </w:r>
      <w:r>
        <w:br/>
      </w:r>
      <w:r>
        <w:t xml:space="preserve">Europe has maintained a stable position in the green transition since 2004. In addition,</w:t>
      </w:r>
      <w:r>
        <w:t xml:space="preserve"> </w:t>
      </w:r>
      <w:r>
        <w:t xml:space="preserve">although a slowdown can be observed during the 2007–2008 financial crisis, the rate of output</w:t>
      </w:r>
      <w:r>
        <w:t xml:space="preserve"> </w:t>
      </w:r>
      <w:r>
        <w:t xml:space="preserve">of innovation has been relatively stable since 2014.</w:t>
      </w:r>
    </w:p>
    <w:p>
      <w:pPr>
        <w:pStyle w:val="Compact"/>
        <w:numPr>
          <w:ilvl w:val="0"/>
          <w:numId w:val="1025"/>
        </w:numPr>
      </w:pPr>
      <w:r>
        <w:t xml:space="preserve">European Commission, Directorate-General for Research and Innovation (2022). Science, research and</w:t>
      </w:r>
      <w:r>
        <w:t xml:space="preserve"> </w:t>
      </w:r>
      <w:r>
        <w:t xml:space="preserve">innovation performance of the EU 2022 – Building a sustainable future in uncertain times, Publications</w:t>
      </w:r>
      <w:r>
        <w:t xml:space="preserve"> </w:t>
      </w:r>
      <w:r>
        <w:t xml:space="preserve">Office of the European Union, Luxembourg, https://data.europa.eu/doi/10.2777/78826.</w:t>
      </w:r>
    </w:p>
    <w:p>
      <w:pPr>
        <w:pStyle w:val="Compact"/>
        <w:numPr>
          <w:ilvl w:val="0"/>
          <w:numId w:val="1025"/>
        </w:numPr>
      </w:pPr>
      <w:r>
        <w:t xml:space="preserve">Understood as the group comprising the EU-27, the United Kingdom, and the European Free Trade</w:t>
      </w:r>
      <w:r>
        <w:t xml:space="preserve"> </w:t>
      </w:r>
      <w:r>
        <w:t xml:space="preserve">Association countries.</w:t>
      </w:r>
    </w:p>
    <w:p>
      <w:pPr>
        <w:pStyle w:val="Compact"/>
        <w:numPr>
          <w:ilvl w:val="0"/>
          <w:numId w:val="1025"/>
        </w:numPr>
      </w:pPr>
      <w:r>
        <w:t xml:space="preserve">See https://www.paballand.com/asg/esir/fow/green-transition.html.</w:t>
      </w:r>
    </w:p>
    <w:p>
      <w:pPr>
        <w:pStyle w:val="FirstParagraph"/>
      </w:pPr>
      <w:r>
        <w:t xml:space="preserve">32</w:t>
      </w:r>
    </w:p>
    <w:p>
      <w:pPr>
        <w:pStyle w:val="BodyText"/>
      </w:pPr>
      <w:r>
        <w:t xml:space="preserve">Figure 6: Global patent applications for SGC “Climate and Environment”</w:t>
      </w:r>
    </w:p>
    <w:p>
      <w:pPr>
        <w:pStyle w:val="BodyText"/>
      </w:pPr>
      <w:r>
        <w:t xml:space="preserve">Note: Filed under the PCT. 2008 (interior ring) and 2018 (exterior ring).</w:t>
      </w:r>
      <w:r>
        <w:t xml:space="preserve"> </w:t>
      </w:r>
      <w:r>
        <w:t xml:space="preserve">Source: Own analysis based on Science-Metrix using the European Patent Office’s patent statistics database (75).</w:t>
      </w:r>
      <w:r>
        <w:t xml:space="preserve"> </w:t>
      </w:r>
      <w:r>
        <w:t xml:space="preserve">The EU has put in place a number of instruments and funding programmes that aim to deliver</w:t>
      </w:r>
      <w:r>
        <w:t xml:space="preserve"> </w:t>
      </w:r>
      <w:r>
        <w:t xml:space="preserve">research and innovation results, with a particular focus on the green transition:</w:t>
      </w:r>
      <w:r>
        <w:br/>
      </w:r>
      <w:r>
        <w:t xml:space="preserve">• The EU Framework Programmes for R&amp;I Horizon 2020 (2014-2020) and</w:t>
      </w:r>
      <w:r>
        <w:t xml:space="preserve"> </w:t>
      </w:r>
      <w:r>
        <w:t xml:space="preserve">Horizon Europe (2021-2027) (76), with the latter having a budget of EUR 95.5</w:t>
      </w:r>
      <w:r>
        <w:t xml:space="preserve"> </w:t>
      </w:r>
      <w:r>
        <w:t xml:space="preserve">billion, of which 35% are allocated to tackling climate change. Horizon Europe</w:t>
      </w:r>
      <w:r>
        <w:t xml:space="preserve"> </w:t>
      </w:r>
      <w:r>
        <w:t xml:space="preserve">plays an important role in mobilising research and innovation in the most strategic</w:t>
      </w:r>
      <w:r>
        <w:t xml:space="preserve"> </w:t>
      </w:r>
      <w:r>
        <w:t xml:space="preserve">areas for transitioning to climate neutrality and resilience, notably through its</w:t>
      </w:r>
      <w:r>
        <w:t xml:space="preserve"> </w:t>
      </w:r>
      <w:r>
        <w:t xml:space="preserve">comprehensive portfolio of EU partnerships (77) and missions (78).</w:t>
      </w:r>
    </w:p>
    <w:p>
      <w:pPr>
        <w:pStyle w:val="Compact"/>
        <w:numPr>
          <w:ilvl w:val="0"/>
          <w:numId w:val="1026"/>
        </w:numPr>
      </w:pPr>
      <w:r>
        <w:t xml:space="preserve">European Commission, Directorate-General for Research and Innovation (2022). Science, research and</w:t>
      </w:r>
      <w:r>
        <w:t xml:space="preserve"> </w:t>
      </w:r>
      <w:r>
        <w:t xml:space="preserve">innovation performance of the EU 2022 – Building a sustainable future in uncertain times, Publications</w:t>
      </w:r>
      <w:r>
        <w:t xml:space="preserve"> </w:t>
      </w:r>
      <w:r>
        <w:t xml:space="preserve">Office of the European Union, Luxembourg, https://data.europa.eu/doi/10.2777/78826.</w:t>
      </w:r>
    </w:p>
    <w:p>
      <w:pPr>
        <w:pStyle w:val="Compact"/>
        <w:numPr>
          <w:ilvl w:val="0"/>
          <w:numId w:val="1026"/>
        </w:numPr>
      </w:pPr>
      <w:r>
        <w:t xml:space="preserve">See</w:t>
      </w:r>
      <w:r>
        <w:t xml:space="preserve"> </w:t>
      </w:r>
      <w:r>
        <w:t xml:space="preserve">https://research-and-innovation.ec.europa.eu/funding/funding-opportunities/funding-programmes-and-</w:t>
      </w:r>
      <w:r>
        <w:t xml:space="preserve"> </w:t>
      </w:r>
      <w:r>
        <w:t xml:space="preserve">open-calls/horizon-europe_en.</w:t>
      </w:r>
    </w:p>
    <w:p>
      <w:pPr>
        <w:pStyle w:val="Compact"/>
        <w:numPr>
          <w:ilvl w:val="0"/>
          <w:numId w:val="1026"/>
        </w:numPr>
      </w:pPr>
      <w:r>
        <w:t xml:space="preserve">See</w:t>
      </w:r>
      <w:r>
        <w:t xml:space="preserve"> </w:t>
      </w:r>
      <w:r>
        <w:t xml:space="preserve">https://research-and-innovation.ec.europa.eu/funding/funding-opportunities/funding-programmes-and-</w:t>
      </w:r>
      <w:r>
        <w:t xml:space="preserve"> </w:t>
      </w:r>
      <w:r>
        <w:t xml:space="preserve">open-calls/horizon-europe/european-partnerships-horizon-europe_en</w:t>
      </w:r>
    </w:p>
    <w:p>
      <w:pPr>
        <w:pStyle w:val="Compact"/>
        <w:numPr>
          <w:ilvl w:val="0"/>
          <w:numId w:val="1026"/>
        </w:numPr>
      </w:pPr>
      <w:r>
        <w:t xml:space="preserve"> See https://research-and-innovation.ec.europa.eu/funding/funding-opportunities/funding-programmes-and-</w:t>
      </w:r>
      <w:r>
        <w:t xml:space="preserve"> </w:t>
      </w:r>
      <w:r>
        <w:t xml:space="preserve">open-calls/horizon-europe/eu-missions-horizon-europe_en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• The European Institute of Innovation and Technology’s (EIT) Knowledge and</w:t>
      </w:r>
      <w:r>
        <w:t xml:space="preserve"> </w:t>
      </w:r>
      <w:r>
        <w:t xml:space="preserve">Innovation Communities (KICs), that comprises public-private partnerships on</w:t>
      </w:r>
      <w:r>
        <w:t xml:space="preserve"> </w:t>
      </w:r>
      <w:r>
        <w:t xml:space="preserve">different societal challenges, including on climate (79) and energy (80).</w:t>
      </w:r>
      <w:r>
        <w:t xml:space="preserve"> </w:t>
      </w:r>
      <w:r>
        <w:t xml:space="preserve">• The Innovation Fund (81) under the Emissions Trading System (ETS), which is</w:t>
      </w:r>
      <w:r>
        <w:t xml:space="preserve"> </w:t>
      </w:r>
      <w:r>
        <w:t xml:space="preserve">the EU fund for climate policy, and aims to bring to the market solutions to</w:t>
      </w:r>
      <w:r>
        <w:t xml:space="preserve"> </w:t>
      </w:r>
      <w:r>
        <w:t xml:space="preserve">decarbonise European industry and support its transition to climate neutrality.</w:t>
      </w:r>
      <w:r>
        <w:t xml:space="preserve"> </w:t>
      </w:r>
      <w:r>
        <w:t xml:space="preserve">• The European Regional Development Fund (82) (ERDF) and Cohesion</w:t>
      </w:r>
      <w:r>
        <w:t xml:space="preserve"> </w:t>
      </w:r>
      <w:r>
        <w:t xml:space="preserve">Fund (83) (CF) support Member States in advancing the transition to climate</w:t>
      </w:r>
      <w:r>
        <w:t xml:space="preserve"> </w:t>
      </w:r>
      <w:r>
        <w:t xml:space="preserve">neutrality and other EU priorities. The funds will deliver at least EUR 78 billion in</w:t>
      </w:r>
      <w:r>
        <w:t xml:space="preserve"> </w:t>
      </w:r>
      <w:r>
        <w:t xml:space="preserve">investment in climate action in 2021-2027 (30% of the total ERDF and 37% of the</w:t>
      </w:r>
      <w:r>
        <w:t xml:space="preserve"> </w:t>
      </w:r>
      <w:r>
        <w:t xml:space="preserve">total Cohesion Fund budget allocation).</w:t>
      </w:r>
      <w:r>
        <w:t xml:space="preserve"> </w:t>
      </w:r>
      <w:r>
        <w:t xml:space="preserve">• The LIFE Programme (84) is the EU’s funding instrument for the environment</w:t>
      </w:r>
      <w:r>
        <w:t xml:space="preserve"> </w:t>
      </w:r>
      <w:r>
        <w:t xml:space="preserve">and climate action.</w:t>
      </w:r>
      <w:r>
        <w:br/>
      </w:r>
      <w:r>
        <w:t xml:space="preserve">• R&amp;I is a key dimension of the National Energy and Climate Plans (85) (NECPs).</w:t>
      </w:r>
      <w:r>
        <w:t xml:space="preserve"> </w:t>
      </w:r>
      <w:r>
        <w:t xml:space="preserve">The inclusion of specific and measurable R&amp;I objectives in the NECPs will help</w:t>
      </w:r>
      <w:r>
        <w:t xml:space="preserve"> </w:t>
      </w:r>
      <w:r>
        <w:t xml:space="preserve">integrating national strategies and priorities at EU level in a 2030-2050</w:t>
      </w:r>
      <w:r>
        <w:t xml:space="preserve"> </w:t>
      </w:r>
      <w:r>
        <w:t xml:space="preserve">perspective.</w:t>
      </w:r>
      <w:r>
        <w:t xml:space="preserve"> </w:t>
      </w:r>
      <w:r>
        <w:t xml:space="preserve">• The EU is participating in international fora on innovation related to</w:t>
      </w:r>
      <w:r>
        <w:t xml:space="preserve"> </w:t>
      </w:r>
      <w:r>
        <w:t xml:space="preserve">decarbonisation, in particular as a member of the Clean Energy Ministerial (86)</w:t>
      </w:r>
      <w:r>
        <w:t xml:space="preserve"> </w:t>
      </w:r>
      <w:r>
        <w:t xml:space="preserve">and of the Mission Innovation (87).</w:t>
      </w:r>
      <w:r>
        <w:t xml:space="preserve"> </w:t>
      </w:r>
      <w:r>
        <w:t xml:space="preserve">• Furthermore, the EU supports the work of the IPCC (88) which makes a major</w:t>
      </w:r>
      <w:r>
        <w:t xml:space="preserve"> </w:t>
      </w:r>
      <w:r>
        <w:t xml:space="preserve">contribution to the advancement of climate science, which underpins evidence-</w:t>
      </w:r>
      <w:r>
        <w:t xml:space="preserve"> </w:t>
      </w:r>
      <w:r>
        <w:t xml:space="preserve">based climate policies and global climate diplomacy. The support is channelled,</w:t>
      </w:r>
      <w:r>
        <w:t xml:space="preserve"> </w:t>
      </w:r>
      <w:r>
        <w:t xml:space="preserve">inter alia, through the EU Framework Programmes for R&amp;I (89).</w:t>
      </w:r>
    </w:p>
    <w:p>
      <w:pPr>
        <w:pStyle w:val="Compact"/>
        <w:numPr>
          <w:ilvl w:val="0"/>
          <w:numId w:val="1027"/>
        </w:numPr>
      </w:pPr>
      <w:r>
        <w:t xml:space="preserve">See Climate-KIC | The EU’s main climate innovation initiative, https://www.climate-kic.org/.</w:t>
      </w:r>
    </w:p>
    <w:p>
      <w:pPr>
        <w:pStyle w:val="Compact"/>
        <w:numPr>
          <w:ilvl w:val="0"/>
          <w:numId w:val="1027"/>
        </w:numPr>
      </w:pPr>
      <w:r>
        <w:t xml:space="preserve">See KIC InnoEnergy: a new approach to education, https://eit.europa.eu/news-events/news/kic-innoenergy-</w:t>
      </w:r>
      <w:r>
        <w:t xml:space="preserve"> </w:t>
      </w:r>
      <w:r>
        <w:t xml:space="preserve">new-approach-education.</w:t>
      </w:r>
    </w:p>
    <w:p>
      <w:pPr>
        <w:pStyle w:val="Compact"/>
        <w:numPr>
          <w:ilvl w:val="0"/>
          <w:numId w:val="1027"/>
        </w:numPr>
      </w:pPr>
      <w:r>
        <w:t xml:space="preserve">See</w:t>
      </w:r>
      <w:r>
        <w:t xml:space="preserve"> </w:t>
      </w:r>
      <w:r>
        <w:t xml:space="preserve">‘What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Innovation</w:t>
      </w:r>
      <w:r>
        <w:t xml:space="preserve"> </w:t>
      </w:r>
      <w:r>
        <w:t xml:space="preserve">Fund?’,</w:t>
      </w:r>
      <w:r>
        <w:t xml:space="preserve"> </w:t>
      </w:r>
      <w:r>
        <w:t xml:space="preserve">https://climate.ec.europa.eu/eu-action/eu-funding-climate-</w:t>
      </w:r>
      <w:r>
        <w:t xml:space="preserve"> </w:t>
      </w:r>
      <w:r>
        <w:t xml:space="preserve">action/innovation-fund/what-innovation-fund_en.</w:t>
      </w:r>
    </w:p>
    <w:p>
      <w:pPr>
        <w:pStyle w:val="Compact"/>
        <w:numPr>
          <w:ilvl w:val="0"/>
          <w:numId w:val="1027"/>
        </w:numPr>
      </w:pPr>
      <w:r>
        <w:t xml:space="preserve">See https://commission.europa.eu/funding-tenders/find-funding/eu-funding-programmes/european-regional-</w:t>
      </w:r>
      <w:r>
        <w:t xml:space="preserve"> </w:t>
      </w:r>
      <w:r>
        <w:t xml:space="preserve">development-fund-erdf_en.</w:t>
      </w:r>
    </w:p>
    <w:p>
      <w:pPr>
        <w:pStyle w:val="Compact"/>
        <w:numPr>
          <w:ilvl w:val="0"/>
          <w:numId w:val="1027"/>
        </w:numPr>
      </w:pPr>
      <w:r>
        <w:t xml:space="preserve">See</w:t>
      </w:r>
      <w:r>
        <w:t xml:space="preserve"> </w:t>
      </w:r>
      <w:r>
        <w:t xml:space="preserve">https://commission.europa.eu/funding-tenders/find-funding/eu-funding-programmes/cohesion-fund-</w:t>
      </w:r>
      <w:r>
        <w:t xml:space="preserve"> </w:t>
      </w:r>
      <w:r>
        <w:t xml:space="preserve">cf_en.</w:t>
      </w:r>
    </w:p>
    <w:p>
      <w:pPr>
        <w:pStyle w:val="Compact"/>
        <w:numPr>
          <w:ilvl w:val="0"/>
          <w:numId w:val="1027"/>
        </w:numPr>
      </w:pPr>
      <w:r>
        <w:t xml:space="preserve">See https://cinea.ec.europa.eu/programmes/life_en.</w:t>
      </w:r>
    </w:p>
    <w:p>
      <w:pPr>
        <w:pStyle w:val="Compact"/>
        <w:numPr>
          <w:ilvl w:val="0"/>
          <w:numId w:val="1027"/>
        </w:numPr>
      </w:pPr>
      <w:r>
        <w:t xml:space="preserve">See https://energy.ec.europa.eu/topics/energy-strategy/national-energy-and-climate-plans_en.</w:t>
      </w:r>
    </w:p>
    <w:p>
      <w:pPr>
        <w:pStyle w:val="Compact"/>
        <w:numPr>
          <w:ilvl w:val="0"/>
          <w:numId w:val="1027"/>
        </w:numPr>
      </w:pPr>
      <w:r>
        <w:t xml:space="preserve">See https://www.cleanenergyministerial.org/.</w:t>
      </w:r>
    </w:p>
    <w:p>
      <w:pPr>
        <w:pStyle w:val="Compact"/>
        <w:numPr>
          <w:ilvl w:val="0"/>
          <w:numId w:val="1027"/>
        </w:numPr>
      </w:pPr>
      <w:r>
        <w:t xml:space="preserve">See Mission Innovation – Catalysing Clean Energy Solutions for All (mission-innovation.net).</w:t>
      </w:r>
    </w:p>
    <w:p>
      <w:pPr>
        <w:pStyle w:val="Compact"/>
        <w:numPr>
          <w:ilvl w:val="0"/>
          <w:numId w:val="1027"/>
        </w:numPr>
      </w:pPr>
      <w:r>
        <w:t xml:space="preserve">IPCC — Intergovernmental Panel on Climate Change, https://www.ipcc.ch/.</w:t>
      </w:r>
    </w:p>
    <w:p>
      <w:pPr>
        <w:pStyle w:val="Compact"/>
        <w:numPr>
          <w:ilvl w:val="0"/>
          <w:numId w:val="1027"/>
        </w:numPr>
      </w:pPr>
      <w:r>
        <w:t xml:space="preserve">Factsheet</w:t>
      </w:r>
      <w:r>
        <w:t xml:space="preserve"> </w:t>
      </w:r>
      <w:r>
        <w:t xml:space="preserve">EU</w:t>
      </w:r>
      <w:r>
        <w:t xml:space="preserve"> </w:t>
      </w:r>
      <w:r>
        <w:t xml:space="preserve">research</w:t>
      </w:r>
      <w:r>
        <w:t xml:space="preserve"> </w:t>
      </w:r>
      <w:r>
        <w:t xml:space="preserve">&amp;</w:t>
      </w:r>
      <w:r>
        <w:t xml:space="preserve"> </w:t>
      </w:r>
      <w:r>
        <w:t xml:space="preserve">innovation</w:t>
      </w:r>
      <w:r>
        <w:t xml:space="preserve"> </w:t>
      </w:r>
      <w:r>
        <w:t xml:space="preserve">–</w:t>
      </w:r>
      <w:r>
        <w:t xml:space="preserve"> </w:t>
      </w:r>
      <w:r>
        <w:t xml:space="preserve">Top</w:t>
      </w:r>
      <w:r>
        <w:t xml:space="preserve"> </w:t>
      </w:r>
      <w:r>
        <w:t xml:space="preserve">funder</w:t>
      </w:r>
      <w:r>
        <w:t xml:space="preserve"> </w:t>
      </w:r>
      <w:r>
        <w:t xml:space="preserve">of</w:t>
      </w:r>
      <w:r>
        <w:t xml:space="preserve"> </w:t>
      </w:r>
      <w:r>
        <w:t xml:space="preserve">leading</w:t>
      </w:r>
      <w:r>
        <w:t xml:space="preserve"> </w:t>
      </w:r>
      <w:r>
        <w:t xml:space="preserve">climate</w:t>
      </w:r>
      <w:r>
        <w:t xml:space="preserve"> </w:t>
      </w:r>
      <w:r>
        <w:t xml:space="preserve">science,</w:t>
      </w:r>
      <w:r>
        <w:t xml:space="preserve"> </w:t>
      </w:r>
      <w:r>
        <w:t xml:space="preserve">https://op.europa.eu/en/web/eu-law-and-publications/publication-detail/-/publication/5417b4fd-c9fa-11ed-</w:t>
      </w:r>
      <w:r>
        <w:t xml:space="preserve"> </w:t>
      </w:r>
      <w:r>
        <w:t xml:space="preserve">a05c-01aa75ed71a1.</w:t>
      </w:r>
    </w:p>
    <w:p>
      <w:pPr>
        <w:pStyle w:val="FirstParagraph"/>
      </w:pPr>
      <w:r>
        <w:t xml:space="preserve">34</w:t>
      </w:r>
    </w:p>
    <w:p>
      <w:pPr>
        <w:pStyle w:val="BodyText"/>
      </w:pPr>
      <w:r>
        <w:t xml:space="preserve">Figure 7: Available public funding by stage of the RD &amp; D process</w:t>
      </w:r>
    </w:p>
    <w:p>
      <w:pPr>
        <w:pStyle w:val="BodyText"/>
      </w:pPr>
      <w:r>
        <w:t xml:space="preserve">Note: Annualised estimates for the period 2021 – 2027, except from the Innovation fund which is annualized for the</w:t>
      </w:r>
      <w:r>
        <w:t xml:space="preserve"> </w:t>
      </w:r>
      <w:r>
        <w:t xml:space="preserve">period 2020-2030 and the Breakthrough Energy Europe which spans over the 2018-2023 period, in 2022 EUR</w:t>
      </w:r>
      <w:r>
        <w:t xml:space="preserve"> </w:t>
      </w:r>
      <w:r>
        <w:t xml:space="preserve">values.</w:t>
      </w:r>
      <w:r>
        <w:t xml:space="preserve"> </w:t>
      </w:r>
      <w:r>
        <w:t xml:space="preserve">Source: European Scientific Advisory Board on Climate Change (2024) (90)</w:t>
      </w:r>
    </w:p>
    <w:p>
      <w:pPr>
        <w:pStyle w:val="BodyText"/>
      </w:pPr>
      <w:r>
        <w:t xml:space="preserve">2.6.3.3 Future R&amp;I for EU decarbonisation &amp; industrial growth</w:t>
      </w:r>
      <w:r>
        <w:t xml:space="preserve"> </w:t>
      </w:r>
      <w:r>
        <w:t xml:space="preserve">Even if the EU is positioned as a leader in terms of the green transition, continued investment</w:t>
      </w:r>
      <w:r>
        <w:t xml:space="preserve"> </w:t>
      </w:r>
      <w:r>
        <w:t xml:space="preserve">into R &amp; I progress and uptake are still critical for implementing the European Green</w:t>
      </w:r>
      <w:r>
        <w:t xml:space="preserve"> </w:t>
      </w:r>
      <w:r>
        <w:t xml:space="preserve">Deal (91), and translating the leadership into environmental, economic, and social benefits.</w:t>
      </w:r>
      <w:r>
        <w:t xml:space="preserve"> </w:t>
      </w:r>
      <w:r>
        <w:t xml:space="preserve">To deliver on the green and digital transitions, systemic change should be fostered across our</w:t>
      </w:r>
      <w:r>
        <w:t xml:space="preserve"> </w:t>
      </w:r>
      <w:r>
        <w:t xml:space="preserve">entire economy and all sectors, covering both production and consumption side, and with a</w:t>
      </w:r>
      <w:r>
        <w:t xml:space="preserve"> </w:t>
      </w:r>
      <w:r>
        <w:t xml:space="preserve">focus on energy (as key enabler for electrification and decarbonisation of other sectors),</w:t>
      </w:r>
      <w:r>
        <w:t xml:space="preserve"> </w:t>
      </w:r>
      <w:r>
        <w:t xml:space="preserve">energy-intensive industry, (large-scale) infrastructure, transport, food, agriculture and land-</w:t>
      </w:r>
      <w:r>
        <w:t xml:space="preserve"> </w:t>
      </w:r>
      <w:r>
        <w:t xml:space="preserve">use, construction and buildings. Some innovations are market-ready, such as solar power, but</w:t>
      </w:r>
      <w:r>
        <w:t xml:space="preserve"> </w:t>
      </w:r>
      <w:r>
        <w:t xml:space="preserve">many need to be improved and scaled up, while others still need to be invented to reach</w:t>
      </w:r>
      <w:r>
        <w:t xml:space="preserve"> </w:t>
      </w:r>
      <w:r>
        <w:t xml:space="preserve">climate neutrality. In order to enable such systemic changes, unprecedented mobilisation of</w:t>
      </w:r>
      <w:r>
        <w:t xml:space="preserve"> </w:t>
      </w:r>
      <w:r>
        <w:t xml:space="preserve">R&amp;I is needed, with technological innovation complemented by social, governance and</w:t>
      </w:r>
      <w:r>
        <w:t xml:space="preserve"> </w:t>
      </w:r>
      <w:r>
        <w:t xml:space="preserve">economic innovation, as well as behavioural research on accelerating the transition towards</w:t>
      </w:r>
      <w:r>
        <w:t xml:space="preserve"> </w:t>
      </w:r>
      <w:r>
        <w:t xml:space="preserve">climate neutrality. Given the potential of demand-side mitigation (92), research is needed to</w:t>
      </w:r>
    </w:p>
    <w:p>
      <w:pPr>
        <w:pStyle w:val="Compact"/>
        <w:numPr>
          <w:ilvl w:val="0"/>
          <w:numId w:val="1028"/>
        </w:numPr>
      </w:pPr>
      <w:r>
        <w:t xml:space="preserve">European Scientific Advisory Board on Climate Change (2024): Towards EU climate neutrality: progress,</w:t>
      </w:r>
      <w:r>
        <w:t xml:space="preserve"> </w:t>
      </w:r>
      <w:r>
        <w:t xml:space="preserve">policy gaps and opportunities</w:t>
      </w:r>
    </w:p>
    <w:p>
      <w:pPr>
        <w:pStyle w:val="Compact"/>
        <w:numPr>
          <w:ilvl w:val="0"/>
          <w:numId w:val="1028"/>
        </w:numPr>
      </w:pPr>
      <w:r>
        <w:t xml:space="preserve">European Commission, Directorate-General for Research and Innovation (2022), Science, research and</w:t>
      </w:r>
      <w:r>
        <w:t xml:space="preserve"> </w:t>
      </w:r>
      <w:r>
        <w:t xml:space="preserve">innovation performance of the EU 2022 (SRIP), Publications Office of the European Union,</w:t>
      </w:r>
      <w:r>
        <w:t xml:space="preserve"> </w:t>
      </w:r>
      <w:r>
        <w:t xml:space="preserve">Luxembourg, https://data.europa.eu/doi/10.2777/38888.</w:t>
      </w:r>
    </w:p>
    <w:p>
      <w:pPr>
        <w:pStyle w:val="Compact"/>
        <w:numPr>
          <w:ilvl w:val="0"/>
          <w:numId w:val="1028"/>
        </w:numPr>
      </w:pPr>
      <w:r>
        <w:t xml:space="preserve">IPCC AR6 estimates that demand side mitigation could deliver 40–70% of emissions reductions by 2050.</w:t>
      </w:r>
    </w:p>
    <w:p>
      <w:pPr>
        <w:pStyle w:val="FirstParagraph"/>
      </w:pPr>
      <w:r>
        <w:t xml:space="preserve">35</w:t>
      </w:r>
    </w:p>
    <w:p>
      <w:pPr>
        <w:pStyle w:val="BodyText"/>
      </w:pPr>
      <w:r>
        <w:t xml:space="preserve">better understand how lifestyle choices can contribute to climate objectives. Finally, in the</w:t>
      </w:r>
      <w:r>
        <w:t xml:space="preserve"> </w:t>
      </w:r>
      <w:r>
        <w:t xml:space="preserve">context of this impact assessment, a defining element of the scenarios proposed is the ability</w:t>
      </w:r>
      <w:r>
        <w:t xml:space="preserve"> </w:t>
      </w:r>
      <w:r>
        <w:t xml:space="preserve">to deploy novel technologies with important implications for choices on how to accelerate and</w:t>
      </w:r>
      <w:r>
        <w:t xml:space="preserve"> </w:t>
      </w:r>
      <w:r>
        <w:t xml:space="preserve">scale up R&amp;I to support the more ambitious options.</w:t>
      </w:r>
      <w:r>
        <w:t xml:space="preserve"> </w:t>
      </w:r>
      <w:r>
        <w:t xml:space="preserve">According to the Analysis for the Horizon Europe Strategic Plan 2025-2027 (93), the</w:t>
      </w:r>
      <w:r>
        <w:t xml:space="preserve"> </w:t>
      </w:r>
      <w:r>
        <w:t xml:space="preserve">following priorities for EU R&amp;I were identified for delivering on the European Green Deal,</w:t>
      </w:r>
      <w:r>
        <w:t xml:space="preserve"> </w:t>
      </w:r>
      <w:r>
        <w:t xml:space="preserve">many of relevance for addressing the climate change challenge:</w:t>
      </w:r>
      <w:r>
        <w:t xml:space="preserve"> </w:t>
      </w:r>
      <w:r>
        <w:t xml:space="preserve">• protect and restore natural capital;</w:t>
      </w:r>
      <w:r>
        <w:br/>
      </w:r>
      <w:r>
        <w:t xml:space="preserve">• decarbonise the economy;</w:t>
      </w:r>
      <w:r>
        <w:br/>
      </w:r>
      <w:r>
        <w:t xml:space="preserve">• accelerate the transition to chemicals and materials that are safe and</w:t>
      </w:r>
      <w:r>
        <w:t xml:space="preserve"> </w:t>
      </w:r>
      <w:r>
        <w:t xml:space="preserve">sustainable (94);</w:t>
      </w:r>
      <w:r>
        <w:br/>
      </w:r>
      <w:r>
        <w:t xml:space="preserve">• achieve a circular economy and the zero pollution ambition;</w:t>
      </w:r>
      <w:r>
        <w:br/>
      </w:r>
      <w:r>
        <w:t xml:space="preserve">• modernise our infrastructures, buildings, and transport, and make them more</w:t>
      </w:r>
      <w:r>
        <w:t xml:space="preserve"> </w:t>
      </w:r>
      <w:r>
        <w:t xml:space="preserve">resilient;</w:t>
      </w:r>
      <w:r>
        <w:t xml:space="preserve"> </w:t>
      </w:r>
      <w:r>
        <w:t xml:space="preserve">• protect the health and well-being of citizens and communities (including rural</w:t>
      </w:r>
      <w:r>
        <w:t xml:space="preserve"> </w:t>
      </w:r>
      <w:r>
        <w:t xml:space="preserve">ones);</w:t>
      </w:r>
      <w:r>
        <w:t xml:space="preserve"> </w:t>
      </w:r>
      <w:r>
        <w:t xml:space="preserve">• design sustainable and resilient agriculture, forestry, fisheries and aquaculture, and</w:t>
      </w:r>
      <w:r>
        <w:t xml:space="preserve"> </w:t>
      </w:r>
      <w:r>
        <w:t xml:space="preserve">food and water systems; and transform our ways of producing and consuming (95).</w:t>
      </w:r>
      <w:r>
        <w:t xml:space="preserve"> </w:t>
      </w:r>
      <w:r>
        <w:t xml:space="preserve">In the context of the transition to climate neutrality, it is also important for Europe to pursue</w:t>
      </w:r>
      <w:r>
        <w:t xml:space="preserve"> </w:t>
      </w:r>
      <w:r>
        <w:t xml:space="preserve">reciprocal openness and a level playing field through strategic international R &amp; I cooperation</w:t>
      </w:r>
      <w:r>
        <w:t xml:space="preserve"> </w:t>
      </w:r>
      <w:r>
        <w:t xml:space="preserve">with like-minded partners.</w:t>
      </w:r>
      <w:r>
        <w:t xml:space="preserve"> </w:t>
      </w:r>
      <w:r>
        <w:t xml:space="preserve">2.7</w:t>
      </w:r>
      <w:r>
        <w:t xml:space="preserve"> </w:t>
      </w:r>
      <w:r>
        <w:t xml:space="preserve">SMEs</w:t>
      </w:r>
      <w:r>
        <w:br/>
      </w:r>
      <w:r>
        <w:t xml:space="preserve">The transition implies challenges and opportunities for SMEs. At the stakeholder event</w:t>
      </w:r>
      <w:r>
        <w:t xml:space="preserve"> </w:t>
      </w:r>
      <w:r>
        <w:t xml:space="preserve">organised by the Directorate General on Climate Action on June 9th, one SME mentioned that</w:t>
      </w:r>
      <w:r>
        <w:t xml:space="preserve"> </w:t>
      </w:r>
      <w:r>
        <w:t xml:space="preserve">the reduction of activity in some sectors (for example in the supply chain for fossil fuel</w:t>
      </w:r>
      <w:r>
        <w:t xml:space="preserve"> </w:t>
      </w:r>
      <w:r>
        <w:t xml:space="preserve">engines in the automobile sector (96)) will be compensated by new opportunities (in growing</w:t>
      </w:r>
      <w:r>
        <w:t xml:space="preserve"> </w:t>
      </w:r>
      <w:r>
        <w:t xml:space="preserve">activities (for example, demand for heat pumps in the residential sector).</w:t>
      </w:r>
    </w:p>
    <w:p>
      <w:pPr>
        <w:pStyle w:val="Compact"/>
        <w:numPr>
          <w:ilvl w:val="0"/>
          <w:numId w:val="1029"/>
        </w:numPr>
      </w:pPr>
      <w:r>
        <w:t xml:space="preserve">See</w:t>
      </w:r>
      <w:r>
        <w:t xml:space="preserve"> </w:t>
      </w:r>
      <w:r>
        <w:t xml:space="preserve">https://research-and-innovation.ec.europa.eu/news/all-research-and-innovation-news/horizon-europe-</w:t>
      </w:r>
      <w:r>
        <w:t xml:space="preserve"> </w:t>
      </w:r>
      <w:r>
        <w:t xml:space="preserve">strategic-plan-2025-2027-analysis-now-public-2023-05-25_en.</w:t>
      </w:r>
    </w:p>
    <w:p>
      <w:pPr>
        <w:pStyle w:val="Compact"/>
        <w:numPr>
          <w:ilvl w:val="0"/>
          <w:numId w:val="1029"/>
        </w:numPr>
      </w:pPr>
      <w:r>
        <w:t xml:space="preserve">European Commission, Directorate-General for Research and Innovation (2022), Strategic research and</w:t>
      </w:r>
      <w:r>
        <w:t xml:space="preserve"> </w:t>
      </w:r>
      <w:r>
        <w:t xml:space="preserve">innovation plan for safe and sustainable chemicals and materials, Publications Office of the European</w:t>
      </w:r>
      <w:r>
        <w:t xml:space="preserve"> </w:t>
      </w:r>
      <w:r>
        <w:t xml:space="preserve">Union, Luxembourg, DOI: 10.2777/876851.</w:t>
      </w:r>
    </w:p>
    <w:p>
      <w:pPr>
        <w:pStyle w:val="Compact"/>
        <w:numPr>
          <w:ilvl w:val="0"/>
          <w:numId w:val="1029"/>
        </w:numPr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(2019), The</w:t>
      </w:r>
      <w:r>
        <w:t xml:space="preserve"> </w:t>
      </w:r>
      <w:r>
        <w:t xml:space="preserve">European</w:t>
      </w:r>
      <w:r>
        <w:t xml:space="preserve"> </w:t>
      </w:r>
      <w:r>
        <w:t xml:space="preserve">Green</w:t>
      </w:r>
      <w:r>
        <w:t xml:space="preserve"> </w:t>
      </w:r>
      <w:r>
        <w:t xml:space="preserve">Deal,</w:t>
      </w:r>
      <w:r>
        <w:t xml:space="preserve"> </w:t>
      </w:r>
      <w:r>
        <w:t xml:space="preserve">COM(2019) 640</w:t>
      </w:r>
      <w:r>
        <w:t xml:space="preserve"> </w:t>
      </w:r>
      <w:r>
        <w:t xml:space="preserve">final, https://eur-</w:t>
      </w:r>
      <w:r>
        <w:t xml:space="preserve"> </w:t>
      </w:r>
      <w:r>
        <w:t xml:space="preserve">lex.europa.eu/legal-content/EN/TXT/?uri=COM%3A2019%3A640%3AFIN.</w:t>
      </w:r>
    </w:p>
    <w:p>
      <w:pPr>
        <w:pStyle w:val="Compact"/>
        <w:numPr>
          <w:ilvl w:val="0"/>
          <w:numId w:val="1029"/>
        </w:numPr>
      </w:pPr>
      <w:r>
        <w:t xml:space="preserve">Less than 0.07% of SMEs in the EU are in the manufacturing of motor vehicles, trailers and semi-trailers;</w:t>
      </w:r>
      <w:r>
        <w:t xml:space="preserve"> </w:t>
      </w:r>
      <w:r>
        <w:t xml:space="preserve">less than 0.06% are in the manufacturing of other transport equipment (Eurostat Structural Business</w:t>
      </w:r>
      <w:r>
        <w:t xml:space="preserve"> </w:t>
      </w:r>
      <w:r>
        <w:t xml:space="preserve">Statistics). Around 3.4% are in the wholesale and retail trade and repair of motor vehicles and motorcycles.</w:t>
      </w:r>
      <w:r>
        <w:t xml:space="preserve"> </w:t>
      </w:r>
      <w:r>
        <w:t xml:space="preserve">Other sectors involved in the supply chain of the automobile sector may be not impacted by the transition</w:t>
      </w:r>
      <w:r>
        <w:t xml:space="preserve"> </w:t>
      </w:r>
      <w:r>
        <w:t xml:space="preserve">(e.g., textile manufacturing), negatively impacted (e.g., the manufacturing of compounds used in fossil fuel</w:t>
      </w:r>
      <w:r>
        <w:t xml:space="preserve"> </w:t>
      </w:r>
      <w:r>
        <w:t xml:space="preserve">engines) or positively impacted (e.g., the manufacturing of batteries).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Specific measures and programmes exist to support SMEs in the transition (see SME test in</w:t>
      </w:r>
      <w:r>
        <w:t xml:space="preserve"> </w:t>
      </w:r>
      <w:r>
        <w:t xml:space="preserve">Annex 4). In 2014-2020, the European programme for small and medium-sized enterprises</w:t>
      </w:r>
      <w:r>
        <w:t xml:space="preserve"> </w:t>
      </w:r>
      <w:r>
        <w:t xml:space="preserve">(COSME) contributed to the climate mainstreaming objectives. The detail of measures and</w:t>
      </w:r>
      <w:r>
        <w:t xml:space="preserve"> </w:t>
      </w:r>
      <w:r>
        <w:t xml:space="preserve">initiatives conducted under the programme are presented in the COSME 2020 Monitoring</w:t>
      </w:r>
      <w:r>
        <w:t xml:space="preserve"> </w:t>
      </w:r>
      <w:r>
        <w:t xml:space="preserve">Report (97). To give a few examples, the Equity Facility for Growth (EFG) and the Enterprise</w:t>
      </w:r>
      <w:r>
        <w:t xml:space="preserve"> </w:t>
      </w:r>
      <w:r>
        <w:t xml:space="preserve">Europe Network (EEN) paid attention to the challenges implied by the decarbonisation. The</w:t>
      </w:r>
      <w:r>
        <w:t xml:space="preserve"> </w:t>
      </w:r>
      <w:r>
        <w:t xml:space="preserve">EEN helped SMEs to improve their energy and resource efficiency and reduce their</w:t>
      </w:r>
      <w:r>
        <w:t xml:space="preserve"> </w:t>
      </w:r>
      <w:r>
        <w:t xml:space="preserve">emissions. The COSME Equity Facility for Growth (EFG) invested EUR 6.7 million in a</w:t>
      </w:r>
      <w:r>
        <w:t xml:space="preserve"> </w:t>
      </w:r>
      <w:r>
        <w:t xml:space="preserve">Venture Capital (VC) fund dedicated to clean technologies. In the time period 2014-2020, the</w:t>
      </w:r>
      <w:r>
        <w:t xml:space="preserve"> </w:t>
      </w:r>
      <w:r>
        <w:t xml:space="preserve">EFG facilitated more than EUR 62 million of investments in SMEs in the ‘Energy and</w:t>
      </w:r>
      <w:r>
        <w:t xml:space="preserve"> </w:t>
      </w:r>
      <w:r>
        <w:t xml:space="preserve">Environment’ sector. The COSME programme is an experience to learn from for developing</w:t>
      </w:r>
      <w:r>
        <w:t xml:space="preserve"> </w:t>
      </w:r>
      <w:r>
        <w:t xml:space="preserve">other comparable programmes in the next decades.</w:t>
      </w:r>
      <w:r>
        <w:t xml:space="preserve"> </w:t>
      </w:r>
      <w:r>
        <w:t xml:space="preserve">Aware of the impact that climate change may be for SMEs, the European Investment Bank</w:t>
      </w:r>
      <w:r>
        <w:t xml:space="preserve"> </w:t>
      </w:r>
      <w:r>
        <w:t xml:space="preserve">(EIB) Group also pays attention to develop financing tools that are particularly adequate (98).</w:t>
      </w:r>
      <w:r>
        <w:t xml:space="preserve"> </w:t>
      </w:r>
      <w:r>
        <w:t xml:space="preserve">It works with financial intermediaries that offer products targeting small and medium firms</w:t>
      </w:r>
      <w:r>
        <w:t xml:space="preserve"> </w:t>
      </w:r>
      <w:r>
        <w:t xml:space="preserve">and micro-enterprises. Some of the instruments offered by the EIB Group typically helps</w:t>
      </w:r>
      <w:r>
        <w:t xml:space="preserve"> </w:t>
      </w:r>
      <w:r>
        <w:t xml:space="preserve">more established small businesses while others focus on enterprises in earlier stages of</w:t>
      </w:r>
      <w:r>
        <w:t xml:space="preserve"> </w:t>
      </w:r>
      <w:r>
        <w:t xml:space="preserve">growth.</w:t>
      </w:r>
      <w:r>
        <w:t xml:space="preserve"> </w:t>
      </w:r>
      <w:r>
        <w:t xml:space="preserve">The recent SME Relief Package (99) is expected to support SMEs in the transition to a low-</w:t>
      </w:r>
      <w:r>
        <w:t xml:space="preserve"> </w:t>
      </w:r>
      <w:r>
        <w:t xml:space="preserve">carbon economy. Rules to ensure small businesses are paid in due time help them invest and</w:t>
      </w:r>
      <w:r>
        <w:t xml:space="preserve"> </w:t>
      </w:r>
      <w:r>
        <w:t xml:space="preserve">innovate in sustainability and hire more employees (100).</w:t>
      </w:r>
      <w:r>
        <w:t xml:space="preserve"> </w:t>
      </w:r>
      <w:r>
        <w:t xml:space="preserve">In addition, depending on the regions and the sector in which SMEs operate, they may benefit</w:t>
      </w:r>
      <w:r>
        <w:t xml:space="preserve"> </w:t>
      </w:r>
      <w:r>
        <w:t xml:space="preserve">from measures and programmes aimed at supporting specific regions and sectors throughout</w:t>
      </w:r>
      <w:r>
        <w:t xml:space="preserve"> </w:t>
      </w:r>
      <w:r>
        <w:t xml:space="preserve">the transition (see Annex 9).</w:t>
      </w:r>
      <w:r>
        <w:t xml:space="preserve"> </w:t>
      </w:r>
      <w:r>
        <w:t xml:space="preserve">3</w:t>
      </w:r>
      <w:r>
        <w:t xml:space="preserve"> </w:t>
      </w:r>
      <w:r>
        <w:t xml:space="preserve">AN INCLUSIVE AGENDA</w:t>
      </w:r>
      <w:r>
        <w:br/>
      </w:r>
      <w:r>
        <w:t xml:space="preserve">3.1</w:t>
      </w:r>
      <w:r>
        <w:t xml:space="preserve"> </w:t>
      </w:r>
      <w:r>
        <w:t xml:space="preserve">Just transition and social policy</w:t>
      </w:r>
      <w:r>
        <w:br/>
      </w:r>
      <w:r>
        <w:t xml:space="preserve">The European Green Deal sets out the strategy for the Union to become the first climate-</w:t>
      </w:r>
      <w:r>
        <w:t xml:space="preserve"> </w:t>
      </w:r>
      <w:r>
        <w:t xml:space="preserve">neutral continent and to transform the Union into a sustainable, fairer, and more prosperous</w:t>
      </w:r>
      <w:r>
        <w:t xml:space="preserve"> </w:t>
      </w:r>
      <w:r>
        <w:t xml:space="preserve">society. It stresses that no person and no place should be left behind. Addressing from the</w:t>
      </w:r>
      <w:r>
        <w:t xml:space="preserve"> </w:t>
      </w:r>
      <w:r>
        <w:t xml:space="preserve">outset the socio-economic impacts of the energy and climate transition and protecting</w:t>
      </w:r>
      <w:r>
        <w:t xml:space="preserve"> </w:t>
      </w:r>
      <w:r>
        <w:t xml:space="preserve">households, exposed industries and workers throughout the process is a prerequisite for a fair</w:t>
      </w:r>
      <w:r>
        <w:t xml:space="preserve"> </w:t>
      </w:r>
      <w:r>
        <w:t xml:space="preserve">and inclusive transition. It is clear by now that the impacts of the green transition on</w:t>
      </w:r>
    </w:p>
    <w:p>
      <w:pPr>
        <w:pStyle w:val="Compact"/>
        <w:numPr>
          <w:ilvl w:val="0"/>
          <w:numId w:val="1030"/>
        </w:numPr>
      </w:pPr>
      <w:r>
        <w:t xml:space="preserve">Report from the Commission to the European Parliament and the council. COSME 2014-2020. Programme</w:t>
      </w:r>
      <w:r>
        <w:t xml:space="preserve"> </w:t>
      </w:r>
      <w:r>
        <w:t xml:space="preserve">for the Competitiveness of Enterprises and SMEs. 2020 Monitoring Report.</w:t>
      </w:r>
    </w:p>
    <w:p>
      <w:pPr>
        <w:pStyle w:val="Compact"/>
        <w:numPr>
          <w:ilvl w:val="0"/>
          <w:numId w:val="1030"/>
        </w:numPr>
      </w:pPr>
      <w:r>
        <w:t xml:space="preserve">Small and medium enterprises. Overview 2022. European Investment Bank Group.</w:t>
      </w:r>
    </w:p>
    <w:p>
      <w:pPr>
        <w:pStyle w:val="Compact"/>
        <w:numPr>
          <w:ilvl w:val="0"/>
          <w:numId w:val="1030"/>
        </w:numPr>
      </w:pPr>
      <w:r>
        <w:t xml:space="preserve">COM(2023) 535 final</w:t>
      </w:r>
    </w:p>
    <w:p>
      <w:pPr>
        <w:pStyle w:val="Compact"/>
        <w:numPr>
          <w:ilvl w:val="0"/>
          <w:numId w:val="1030"/>
        </w:numPr>
      </w:pPr>
      <w:r>
        <w:t xml:space="preserve">Di Bella, L., Katsinis, A., Lagüera-González, J., Odenthal, L., Hell, M., Lozar, B. Annual Report on</w:t>
      </w:r>
      <w:r>
        <w:t xml:space="preserve"> </w:t>
      </w:r>
      <w:r>
        <w:t xml:space="preserve">European SMEs 2022/2023, Publications Office of the European Union, Luxemburg, 2023,</w:t>
      </w:r>
      <w:r>
        <w:t xml:space="preserve"> </w:t>
      </w:r>
      <w:r>
        <w:t xml:space="preserve">doi:10.2760/028705, JRC134336.</w:t>
      </w:r>
    </w:p>
    <w:p>
      <w:pPr>
        <w:pStyle w:val="FirstParagraph"/>
      </w:pPr>
      <w:r>
        <w:t xml:space="preserve">37</w:t>
      </w:r>
    </w:p>
    <w:p>
      <w:pPr>
        <w:pStyle w:val="BodyText"/>
      </w:pPr>
      <w:r>
        <w:t xml:space="preserve">businesses and employment will vary by sector, occupation, region, and country (101).</w:t>
      </w:r>
      <w:r>
        <w:t xml:space="preserve"> </w:t>
      </w:r>
      <w:r>
        <w:t xml:space="preserve">Restructuring and adjustment in the companies, sectors, and industrial ecosystems most</w:t>
      </w:r>
      <w:r>
        <w:t xml:space="preserve"> </w:t>
      </w:r>
      <w:r>
        <w:t xml:space="preserve">affected by the transition will require the development of new business models while</w:t>
      </w:r>
      <w:r>
        <w:t xml:space="preserve"> </w:t>
      </w:r>
      <w:r>
        <w:t xml:space="preserve">upskilling, reskilling or labour reallocations both across sectors and regions will be needed.</w:t>
      </w:r>
      <w:r>
        <w:br/>
      </w:r>
      <w:r>
        <w:t xml:space="preserve">The transition will bring numerous benefits (job creation, healthier environment, cheaper and</w:t>
      </w:r>
      <w:r>
        <w:t xml:space="preserve"> </w:t>
      </w:r>
      <w:r>
        <w:t xml:space="preserve">cleaner energy, better living comfort). Yet, ensuring a fair and inclusive transition will require</w:t>
      </w:r>
      <w:r>
        <w:t xml:space="preserve"> </w:t>
      </w:r>
      <w:r>
        <w:t xml:space="preserve">to pay due attention to transforming sectors (automotive, agriculture, forestry, waste), the</w:t>
      </w:r>
      <w:r>
        <w:t xml:space="preserve"> </w:t>
      </w:r>
      <w:r>
        <w:t xml:space="preserve">quality of jobs being created, the impact on various skills segments and the gender gap.</w:t>
      </w:r>
      <w:r>
        <w:t xml:space="preserve"> </w:t>
      </w:r>
      <w:r>
        <w:t xml:space="preserve">Increased climate ambitions combined with important labour shortages, calls for timely</w:t>
      </w:r>
      <w:r>
        <w:t xml:space="preserve"> </w:t>
      </w:r>
      <w:r>
        <w:t xml:space="preserve">investments in education and (re)skilling. Additional and targeted measures to address the</w:t>
      </w:r>
      <w:r>
        <w:t xml:space="preserve"> </w:t>
      </w:r>
      <w:r>
        <w:t xml:space="preserve">distributional impacts of the transition, including social challenges such as energy and</w:t>
      </w:r>
      <w:r>
        <w:t xml:space="preserve"> </w:t>
      </w:r>
      <w:r>
        <w:t xml:space="preserve">transport poverty aspects, are also required. Wide stakeholder involvement based on close</w:t>
      </w:r>
      <w:r>
        <w:t xml:space="preserve"> </w:t>
      </w:r>
      <w:r>
        <w:t xml:space="preserve">cooperation with social partners and civil society is essential for ensuring a just and inclusive</w:t>
      </w:r>
      <w:r>
        <w:t xml:space="preserve"> </w:t>
      </w:r>
      <w:r>
        <w:t xml:space="preserve">transition towards a climate neutral economy, especially in regions and sectors most affected.</w:t>
      </w:r>
      <w:r>
        <w:br/>
      </w:r>
      <w:r>
        <w:t xml:space="preserve">3.1.1 How to accompany the transition?</w:t>
      </w:r>
      <w:r>
        <w:t xml:space="preserve"> </w:t>
      </w:r>
      <w:r>
        <w:t xml:space="preserve">To accompany the transition to a climate neutral economy, the EU has put in place a</w:t>
      </w:r>
      <w:r>
        <w:t xml:space="preserve"> </w:t>
      </w:r>
      <w:r>
        <w:t xml:space="preserve">comprehensive enabling framework. Council Recommendation 2022/C243/04 adopted in</w:t>
      </w:r>
      <w:r>
        <w:t xml:space="preserve"> </w:t>
      </w:r>
      <w:r>
        <w:t xml:space="preserve">2022 provides Member States with comprehensive guidance on measures to address the</w:t>
      </w:r>
      <w:r>
        <w:t xml:space="preserve"> </w:t>
      </w:r>
      <w:r>
        <w:t xml:space="preserve">employment and social aspects of climate policies. The objective of these measures should be</w:t>
      </w:r>
      <w:r>
        <w:t xml:space="preserve"> </w:t>
      </w:r>
      <w:r>
        <w:t xml:space="preserve">to provide active support to quality employment, ensure access to quality education, training,</w:t>
      </w:r>
      <w:r>
        <w:t xml:space="preserve"> </w:t>
      </w:r>
      <w:r>
        <w:t xml:space="preserve">and life-long learning, provide fair tax benefit systems and social protection, and ensure</w:t>
      </w:r>
      <w:r>
        <w:t xml:space="preserve"> </w:t>
      </w:r>
      <w:r>
        <w:t xml:space="preserve">access to essential services. In 2023 and 2024, Member States are required to update their</w:t>
      </w:r>
      <w:r>
        <w:t xml:space="preserve"> </w:t>
      </w:r>
      <w:r>
        <w:t xml:space="preserve">2030 national energy climate plans (NECPs,) which are the central strategic planning tool</w:t>
      </w:r>
      <w:r>
        <w:t xml:space="preserve"> </w:t>
      </w:r>
      <w:r>
        <w:t xml:space="preserve">under the Governance Regulation. In the Commission Notice 2022/C495/02, the Commission</w:t>
      </w:r>
      <w:r>
        <w:t xml:space="preserve"> </w:t>
      </w:r>
      <w:r>
        <w:t xml:space="preserve">stressed the importance of considering fair transition aspects when designing policies and</w:t>
      </w:r>
      <w:r>
        <w:t xml:space="preserve"> </w:t>
      </w:r>
      <w:r>
        <w:t xml:space="preserve">measures to advance towards climate neutrality.</w:t>
      </w:r>
      <w:r>
        <w:t xml:space="preserve"> </w:t>
      </w:r>
      <w:r>
        <w:t xml:space="preserve">3.1.2 Energy and transport poverty aspects</w:t>
      </w:r>
      <w:r>
        <w:t xml:space="preserve"> </w:t>
      </w:r>
      <w:r>
        <w:t xml:space="preserve">Energy poverty is exacerbated by the fact that the EU’s population is projected to continue</w:t>
      </w:r>
      <w:r>
        <w:t xml:space="preserve"> </w:t>
      </w:r>
      <w:r>
        <w:t xml:space="preserve">ageing and shrinking in the coming decades. This demographic change can have a significant</w:t>
      </w:r>
      <w:r>
        <w:t xml:space="preserve"> </w:t>
      </w:r>
      <w:r>
        <w:t xml:space="preserve">impact on energy poverty as older people are particularly affected by it (lower incomes, live</w:t>
      </w:r>
      <w:r>
        <w:t xml:space="preserve"> </w:t>
      </w:r>
      <w:r>
        <w:t xml:space="preserve">in poorly insulated homes and are more susceptible to health problems associated with cold</w:t>
      </w:r>
      <w:r>
        <w:t xml:space="preserve"> </w:t>
      </w:r>
      <w:r>
        <w:t xml:space="preserve">homes). Climate change affects the poor at a disproportionately higher rate as they frequently</w:t>
      </w:r>
      <w:r>
        <w:t xml:space="preserve"> </w:t>
      </w:r>
      <w:r>
        <w:t xml:space="preserve">suffer from poor health conditions and work outside more often (102).</w:t>
      </w:r>
      <w:r>
        <w:t xml:space="preserve"> </w:t>
      </w:r>
      <w:r>
        <w:t xml:space="preserve">In 2021, the European Commission launched the Energy Poverty Advisory Hub (EPAH), the</w:t>
      </w:r>
      <w:r>
        <w:t xml:space="preserve"> </w:t>
      </w:r>
      <w:r>
        <w:t xml:space="preserve">leading EU initiative aiming to eradicate energy poverty and accelerate the just energy</w:t>
      </w:r>
      <w:r>
        <w:t xml:space="preserve"> </w:t>
      </w:r>
      <w:r>
        <w:t xml:space="preserve">transition of European local governments. In April 2022, the Commission Energy Poverty and</w:t>
      </w:r>
      <w:r>
        <w:t xml:space="preserve"> </w:t>
      </w:r>
      <w:r>
        <w:t xml:space="preserve">Vulnerable Consumers Coordination Group was established. It provides EU countries with a</w:t>
      </w:r>
    </w:p>
    <w:p>
      <w:pPr>
        <w:pStyle w:val="Compact"/>
        <w:numPr>
          <w:ilvl w:val="0"/>
          <w:numId w:val="1031"/>
        </w:numPr>
      </w:pPr>
      <w:r>
        <w:t xml:space="preserve">SWD(2020) 176 final</w:t>
      </w:r>
    </w:p>
    <w:p>
      <w:pPr>
        <w:pStyle w:val="Compact"/>
        <w:numPr>
          <w:ilvl w:val="0"/>
          <w:numId w:val="1031"/>
        </w:numPr>
      </w:pPr>
      <w:r>
        <w:t xml:space="preserve">Meyer-Ohlendorf, Nils; Spasova, Deyana; Graichen, Jakob; Gores, Sabine (2023): Designing the EU 2040</w:t>
      </w:r>
      <w:r>
        <w:t xml:space="preserve"> </w:t>
      </w:r>
      <w:r>
        <w:t xml:space="preserve">climate target. Ecologic Institute, Berlin.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space to exchange best practices and increase coordination of policy measures to support</w:t>
      </w:r>
      <w:r>
        <w:t xml:space="preserve"> </w:t>
      </w:r>
      <w:r>
        <w:t xml:space="preserve">vulnerable and energy-poor households. A new Social Climate Fund (SCF) (103)will support</w:t>
      </w:r>
      <w:r>
        <w:t xml:space="preserve"> </w:t>
      </w:r>
      <w:r>
        <w:t xml:space="preserve">vulnerable households, transport users and micro-enterprises affected by the introduction of</w:t>
      </w:r>
      <w:r>
        <w:t xml:space="preserve"> </w:t>
      </w:r>
      <w:r>
        <w:t xml:space="preserve">emissions trading for fuels used in road transport and buildings. The aim is to help these</w:t>
      </w:r>
      <w:r>
        <w:t xml:space="preserve"> </w:t>
      </w:r>
      <w:r>
        <w:t xml:space="preserve">groups reduce their reliance on costly fossil fuels by making buildings more efficient,</w:t>
      </w:r>
      <w:r>
        <w:t xml:space="preserve"> </w:t>
      </w:r>
      <w:r>
        <w:t xml:space="preserve">decarbonising heating and cooling of buildings (including integrating energy from renewable</w:t>
      </w:r>
      <w:r>
        <w:t xml:space="preserve"> </w:t>
      </w:r>
      <w:r>
        <w:t xml:space="preserve">sources) and increasing access to sustainable transport. In addition, the SCF can also support</w:t>
      </w:r>
      <w:r>
        <w:t xml:space="preserve"> </w:t>
      </w:r>
      <w:r>
        <w:t xml:space="preserve">vulnerable groups through national measures via targeted and temporary direct income</w:t>
      </w:r>
      <w:r>
        <w:t xml:space="preserve"> </w:t>
      </w:r>
      <w:r>
        <w:t xml:space="preserve">support.</w:t>
      </w:r>
      <w:r>
        <w:br/>
      </w:r>
      <w:r>
        <w:t xml:space="preserve">3.1.3 Employment and skills related aspects</w:t>
      </w:r>
      <w:r>
        <w:t xml:space="preserve"> </w:t>
      </w:r>
      <w:r>
        <w:t xml:space="preserve">3.1.3.1 Better understanding of jobs and skills required</w:t>
      </w:r>
      <w:r>
        <w:t xml:space="preserve"> </w:t>
      </w:r>
      <w:r>
        <w:t xml:space="preserve">As the transition will have substantial effects on labour demand and skills in some specific</w:t>
      </w:r>
      <w:r>
        <w:t xml:space="preserve"> </w:t>
      </w:r>
      <w:r>
        <w:t xml:space="preserve">regions, sectors, and occupations, it is essential to better understand and monitor where</w:t>
      </w:r>
      <w:r>
        <w:t xml:space="preserve"> </w:t>
      </w:r>
      <w:r>
        <w:t xml:space="preserve">shortages are expected and who will be adversely affected. To better anticipate these changes,</w:t>
      </w:r>
      <w:r>
        <w:t xml:space="preserve"> </w:t>
      </w:r>
      <w:r>
        <w:t xml:space="preserve">there is a need to develop up-to-date labour market and skills intelligence and foresight. More</w:t>
      </w:r>
      <w:r>
        <w:t xml:space="preserve"> </w:t>
      </w:r>
      <w:r>
        <w:t xml:space="preserve">granular data (e.g., at regional, occupational, and gender levels), more precise definitions of</w:t>
      </w:r>
      <w:r>
        <w:t xml:space="preserve"> </w:t>
      </w:r>
      <w:r>
        <w:t xml:space="preserve">green jobs and skills, as well indicators are required. Cooperation between public authorities</w:t>
      </w:r>
      <w:r>
        <w:t xml:space="preserve"> </w:t>
      </w:r>
      <w:r>
        <w:t xml:space="preserve">at all levels and with social partners, civil society organizations, educational organisations and</w:t>
      </w:r>
      <w:r>
        <w:t xml:space="preserve"> </w:t>
      </w:r>
      <w:r>
        <w:t xml:space="preserve">enterprises is important for improving the evidence base for a fair and inclusive transition.</w:t>
      </w:r>
      <w:r>
        <w:t xml:space="preserve"> </w:t>
      </w:r>
      <w:r>
        <w:t xml:space="preserve">Several Commission initiatives have been laying the ground for further work in this area such</w:t>
      </w:r>
      <w:r>
        <w:t xml:space="preserve"> </w:t>
      </w:r>
      <w:r>
        <w:t xml:space="preserve">as the recent GreenComp reference framework for sustainability competences (104), the</w:t>
      </w:r>
      <w:r>
        <w:t xml:space="preserve"> </w:t>
      </w:r>
      <w:r>
        <w:t xml:space="preserve">European Skills, Competences, and Occupations (ESCO) taxonomy on skills for the green</w:t>
      </w:r>
      <w:r>
        <w:t xml:space="preserve"> </w:t>
      </w:r>
      <w:r>
        <w:t xml:space="preserve">transition (105) and the CEDEFOP Green Observatory which tries to map skills needed in the</w:t>
      </w:r>
      <w:r>
        <w:t xml:space="preserve"> </w:t>
      </w:r>
      <w:r>
        <w:t xml:space="preserve">EU job market.</w:t>
      </w:r>
      <w:r>
        <w:br/>
      </w:r>
      <w:r>
        <w:t xml:space="preserve">3.1.3.2 Targeted upskilling and reskilling</w:t>
      </w:r>
      <w:r>
        <w:t xml:space="preserve"> </w:t>
      </w:r>
      <w:r>
        <w:t xml:space="preserve">To mitigate unemployment in declining sectors and address increasing labour shortages in key</w:t>
      </w:r>
      <w:r>
        <w:t xml:space="preserve"> </w:t>
      </w:r>
      <w:r>
        <w:t xml:space="preserve">sectors for the green transition, it is essential to re- and upskill the workforce in impacted</w:t>
      </w:r>
      <w:r>
        <w:t xml:space="preserve"> </w:t>
      </w:r>
      <w:r>
        <w:t xml:space="preserve">sectors and to ensure that educational programmes are labour market relevant. Today, 70-80%</w:t>
      </w:r>
      <w:r>
        <w:t xml:space="preserve"> </w:t>
      </w:r>
      <w:r>
        <w:t xml:space="preserve">of people see the green transition as an opportunity but around 50% of people are not sure</w:t>
      </w:r>
      <w:r>
        <w:t xml:space="preserve"> </w:t>
      </w:r>
      <w:r>
        <w:t xml:space="preserve">whether they have the rights skills (106). Several EU Level initiatives seek to address the</w:t>
      </w:r>
      <w:r>
        <w:t xml:space="preserve"> </w:t>
      </w:r>
      <w:r>
        <w:t xml:space="preserve">growing demand for “green” skills. The European Skills Agenda is the current five-year plan</w:t>
      </w:r>
      <w:r>
        <w:t xml:space="preserve"> </w:t>
      </w:r>
      <w:r>
        <w:t xml:space="preserve">to help individuals and businesses develop more and better skills and thereby spur the green</w:t>
      </w:r>
      <w:r>
        <w:t xml:space="preserve"> </w:t>
      </w:r>
      <w:r>
        <w:t xml:space="preserve">and digital transition. Actions within the EU Skills Agenda, such as the Pact for Skills,</w:t>
      </w:r>
      <w:r>
        <w:t xml:space="preserve"> </w:t>
      </w:r>
      <w:r>
        <w:t xml:space="preserve">demonstrate the facilitating role that the EU can play in connecting Member States, education</w:t>
      </w:r>
      <w:r>
        <w:t xml:space="preserve"> </w:t>
      </w:r>
      <w:r>
        <w:t xml:space="preserve">and training providers, industry, and social partners to effectively identify skills and learning</w:t>
      </w:r>
    </w:p>
    <w:p>
      <w:pPr>
        <w:pStyle w:val="Compact"/>
        <w:numPr>
          <w:ilvl w:val="0"/>
          <w:numId w:val="1032"/>
        </w:numPr>
      </w:pPr>
      <w:r>
        <w:t xml:space="preserve">Regulation (EU) 2023/955 of the European Parliament and of the Council of 10 May 2023 establishing a</w:t>
      </w:r>
      <w:r>
        <w:t xml:space="preserve"> </w:t>
      </w:r>
      <w:r>
        <w:t xml:space="preserve">Social Climate Fund and amending Regulation (EU) 2021/1060.</w:t>
      </w:r>
    </w:p>
    <w:p>
      <w:pPr>
        <w:pStyle w:val="Compact"/>
        <w:numPr>
          <w:ilvl w:val="0"/>
          <w:numId w:val="1032"/>
        </w:numPr>
      </w:pPr>
      <w:r>
        <w:t xml:space="preserve">See</w:t>
      </w:r>
      <w:r>
        <w:t xml:space="preserve"> </w:t>
      </w:r>
      <w:r>
        <w:t xml:space="preserve">https://joint-research-centre.ec.europa.eu/greencomp-european-sustainability-competence-</w:t>
      </w:r>
      <w:r>
        <w:t xml:space="preserve"> </w:t>
      </w:r>
      <w:r>
        <w:t xml:space="preserve">framework_en.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See https://ec.europa.eu/newsroom/empl/items/741088/en.</w:t>
      </w:r>
    </w:p>
    <w:p>
      <w:pPr>
        <w:pStyle w:val="Compact"/>
        <w:numPr>
          <w:ilvl w:val="0"/>
          <w:numId w:val="1032"/>
        </w:numPr>
      </w:pPr>
      <w:r>
        <w:t xml:space="preserve">Eurobarometer on fairness, inequality and intergenerational mobility.</w:t>
      </w:r>
    </w:p>
    <w:p>
      <w:pPr>
        <w:pStyle w:val="FirstParagraph"/>
      </w:pPr>
      <w:r>
        <w:t xml:space="preserve">39</w:t>
      </w:r>
    </w:p>
    <w:p>
      <w:pPr>
        <w:pStyle w:val="BodyText"/>
      </w:pPr>
      <w:r>
        <w:t xml:space="preserve">pathways. The recent EU’s Skill Partnership for the automotive ecosystem is a good example</w:t>
      </w:r>
      <w:r>
        <w:t xml:space="preserve"> </w:t>
      </w:r>
      <w:r>
        <w:t xml:space="preserve">of a tailored approach to bridge the gaps and facilitate road transport electrification (107).</w:t>
      </w:r>
      <w:r>
        <w:t xml:space="preserve"> </w:t>
      </w:r>
      <w:r>
        <w:t xml:space="preserve">Skills are also at the centre of the Green Deal Industrial Plan with initiatives such as the skill</w:t>
      </w:r>
      <w:r>
        <w:t xml:space="preserve"> </w:t>
      </w:r>
      <w:r>
        <w:t xml:space="preserve">academies for clean technology sectors, initiatives aimed at ensuring there is a skilled</w:t>
      </w:r>
      <w:r>
        <w:t xml:space="preserve"> </w:t>
      </w:r>
      <w:r>
        <w:t xml:space="preserve">workforce supporting the production of net-zero technologies in the EU.</w:t>
      </w:r>
      <w:r>
        <w:br/>
      </w:r>
      <w:r>
        <w:t xml:space="preserve">But equipping the workforce with the right set of skills is just one side of the coin. It needs to</w:t>
      </w:r>
      <w:r>
        <w:t xml:space="preserve"> </w:t>
      </w:r>
      <w:r>
        <w:t xml:space="preserve">be complemented with measures supporting access to quality employment, in particular</w:t>
      </w:r>
      <w:r>
        <w:t xml:space="preserve"> </w:t>
      </w:r>
      <w:r>
        <w:t xml:space="preserve">through public employment services, tailored job search assistance and other active labour</w:t>
      </w:r>
      <w:r>
        <w:t xml:space="preserve"> </w:t>
      </w:r>
      <w:r>
        <w:t xml:space="preserve">market policy measures. The European Social Fund Plus, the EU’s main instrument for</w:t>
      </w:r>
      <w:r>
        <w:t xml:space="preserve"> </w:t>
      </w:r>
      <w:r>
        <w:t xml:space="preserve">investing in people, is becoming an increasingly more important tool in the current context.</w:t>
      </w:r>
      <w:r>
        <w:t xml:space="preserve"> </w:t>
      </w:r>
      <w:r>
        <w:t xml:space="preserve">Within this framework, Member States have programmed around 6 billion € for the period</w:t>
      </w:r>
      <w:r>
        <w:t xml:space="preserve"> </w:t>
      </w:r>
      <w:r>
        <w:t xml:space="preserve">2021-2027 including in the area of skills development, green entrepreneurship, job search</w:t>
      </w:r>
      <w:r>
        <w:t xml:space="preserve"> </w:t>
      </w:r>
      <w:r>
        <w:t xml:space="preserve">assistance, active labour market policies and social inclusion of people impacted by the</w:t>
      </w:r>
      <w:r>
        <w:t xml:space="preserve"> </w:t>
      </w:r>
      <w:r>
        <w:t xml:space="preserve">transition. In addition, other funds such as the Recovery and Resilience Facility, Invest EU</w:t>
      </w:r>
      <w:r>
        <w:t xml:space="preserve"> </w:t>
      </w:r>
      <w:r>
        <w:t xml:space="preserve">and the Just Transition Fund can support up- and reskilling. (108)</w:t>
      </w:r>
      <w:r>
        <w:t xml:space="preserve"> </w:t>
      </w:r>
      <w:r>
        <w:t xml:space="preserve">Finally, as the climate and energy transition affects women differently than men (109), specific</w:t>
      </w:r>
      <w:r>
        <w:t xml:space="preserve"> </w:t>
      </w:r>
      <w:r>
        <w:t xml:space="preserve">attention can be paid to the gender aspects in programmes and plans designed to facilitate and</w:t>
      </w:r>
      <w:r>
        <w:t xml:space="preserve"> </w:t>
      </w:r>
      <w:r>
        <w:t xml:space="preserve">support the transition, for example in the NECPs (110).</w:t>
      </w:r>
    </w:p>
    <w:p>
      <w:pPr>
        <w:pStyle w:val="BodyText"/>
      </w:pPr>
      <w:r>
        <w:t xml:space="preserve">3.1.4 Strategic cooperation and communication</w:t>
      </w:r>
      <w:r>
        <w:t xml:space="preserve"> </w:t>
      </w:r>
      <w:r>
        <w:t xml:space="preserve">Effective multilevel governance at the EU, national and regional levels is key for the kind of</w:t>
      </w:r>
      <w:r>
        <w:t xml:space="preserve"> </w:t>
      </w:r>
      <w:r>
        <w:t xml:space="preserve">long-term systemic change that is needed to reconfigure production and consumption systems</w:t>
      </w:r>
      <w:r>
        <w:t xml:space="preserve"> </w:t>
      </w:r>
      <w:r>
        <w:t xml:space="preserve">in impacted sectors (111). From the outset, fair and inclusive transition objectives should be</w:t>
      </w:r>
      <w:r>
        <w:t xml:space="preserve"> </w:t>
      </w:r>
      <w:r>
        <w:t xml:space="preserve">integrated into policymaking at all levels through an effective whole-of-society approach.</w:t>
      </w:r>
      <w:r>
        <w:t xml:space="preserve"> </w:t>
      </w:r>
      <w:r>
        <w:t xml:space="preserve">Regional and local authorities need to play an active role in the development, implementation</w:t>
      </w:r>
      <w:r>
        <w:t xml:space="preserve"> </w:t>
      </w:r>
      <w:r>
        <w:t xml:space="preserve">and monitoring of fair transition policies. Indeed, local authorities are the closest to citizens</w:t>
      </w:r>
      <w:r>
        <w:t xml:space="preserve"> </w:t>
      </w:r>
      <w:r>
        <w:t xml:space="preserve">and implement 70% of all EU legislation, 90% of climate adaptation policies, and 65% of the</w:t>
      </w:r>
      <w:r>
        <w:t xml:space="preserve"> </w:t>
      </w:r>
      <w:r>
        <w:t xml:space="preserve">Sustainable Development Goals (112). Active involvement of social partners, civil society,</w:t>
      </w:r>
      <w:r>
        <w:t xml:space="preserve"> </w:t>
      </w:r>
      <w:r>
        <w:t xml:space="preserve">educational and training institutions, and those affected at different stages is essential for</w:t>
      </w:r>
      <w:r>
        <w:t xml:space="preserve"> </w:t>
      </w:r>
      <w:r>
        <w:t xml:space="preserve">raising awareness and providing reliable information to the public, facilitating learning and</w:t>
      </w:r>
    </w:p>
    <w:p>
      <w:pPr>
        <w:pStyle w:val="Compact"/>
        <w:numPr>
          <w:ilvl w:val="0"/>
          <w:numId w:val="1033"/>
        </w:numPr>
      </w:pPr>
      <w:r>
        <w:t xml:space="preserve">Tamba, M., Krause, J., Weitzel, M., Ioan, R., Duboz, L., Grosso, M., Vandyck, T. Economy-wide impacts</w:t>
      </w:r>
      <w:r>
        <w:t xml:space="preserve"> </w:t>
      </w:r>
      <w:r>
        <w:t xml:space="preserve">of road transport electrification in the EU, Technological Forecasting &amp; Social Change, 182 (2022) 121803.</w:t>
      </w:r>
    </w:p>
    <w:p>
      <w:pPr>
        <w:pStyle w:val="Compact"/>
        <w:numPr>
          <w:ilvl w:val="0"/>
          <w:numId w:val="1033"/>
        </w:numPr>
      </w:pPr>
      <w:r>
        <w:t xml:space="preserve">An overview of all funds which can contribute to upskilling and reskilling is available on the following</w:t>
      </w:r>
      <w:r>
        <w:t xml:space="preserve"> </w:t>
      </w:r>
      <w:r>
        <w:t xml:space="preserve">webpage: https://ec.europa.eu/social/main.jsp?catId=1530&amp;langId=en.</w:t>
      </w:r>
      <w:r>
        <w:t xml:space="preserve"> </w:t>
      </w:r>
      <w:r>
        <w:t xml:space="preserve">(109)See EIGE (2023). Gender Equality Index 2023. Towards a green transition in transport and energy,</w:t>
      </w:r>
      <w:r>
        <w:t xml:space="preserve"> </w:t>
      </w:r>
      <w:r>
        <w:t xml:space="preserve">Publications Office of the European Union</w:t>
      </w:r>
    </w:p>
    <w:p>
      <w:pPr>
        <w:pStyle w:val="Compact"/>
        <w:numPr>
          <w:ilvl w:val="0"/>
          <w:numId w:val="1033"/>
        </w:numPr>
      </w:pPr>
      <w:r>
        <w:t xml:space="preserve">COM(2023) 796 final</w:t>
      </w:r>
    </w:p>
    <w:p>
      <w:pPr>
        <w:pStyle w:val="Compact"/>
        <w:numPr>
          <w:ilvl w:val="0"/>
          <w:numId w:val="1033"/>
        </w:numPr>
      </w:pPr>
      <w:r>
        <w:t xml:space="preserve">Eurofound and EEA (2023), The transition to a climate-neutral economy: Exploring the socioeconomic</w:t>
      </w:r>
      <w:r>
        <w:t xml:space="preserve"> </w:t>
      </w:r>
      <w:r>
        <w:t xml:space="preserve">impacts, Publications Office of the European Union, Luxembourg.</w:t>
      </w:r>
    </w:p>
    <w:p>
      <w:pPr>
        <w:pStyle w:val="Compact"/>
        <w:numPr>
          <w:ilvl w:val="0"/>
          <w:numId w:val="1033"/>
        </w:numPr>
      </w:pPr>
      <w:r>
        <w:t xml:space="preserve">Resolution of the European Committee of the Regions - The Green Deal in partnership with local and</w:t>
      </w:r>
      <w:r>
        <w:t xml:space="preserve"> </w:t>
      </w:r>
      <w:r>
        <w:t xml:space="preserve">regional authorities (2020/C 79/01).</w:t>
      </w:r>
    </w:p>
    <w:p>
      <w:pPr>
        <w:pStyle w:val="FirstParagraph"/>
      </w:pPr>
      <w:r>
        <w:t xml:space="preserve">40</w:t>
      </w:r>
    </w:p>
    <w:p>
      <w:pPr>
        <w:pStyle w:val="BodyText"/>
      </w:pPr>
      <w:r>
        <w:t xml:space="preserve">ensuring support across regions and economic sectors for the systemic changes to come. This</w:t>
      </w:r>
      <w:r>
        <w:t xml:space="preserve"> </w:t>
      </w:r>
      <w:r>
        <w:t xml:space="preserve">requires investments in capacity development. To give an example of relevant initiative, the</w:t>
      </w:r>
      <w:r>
        <w:t xml:space="preserve"> </w:t>
      </w:r>
      <w:r>
        <w:t xml:space="preserve">European works councils (EWCs) is a European representation of employees (over 17</w:t>
      </w:r>
      <w:r>
        <w:t xml:space="preserve"> </w:t>
      </w:r>
      <w:r>
        <w:t xml:space="preserve">million) at company level. They facilitate the information, consultation, and participation of</w:t>
      </w:r>
      <w:r>
        <w:t xml:space="preserve"> </w:t>
      </w:r>
      <w:r>
        <w:t xml:space="preserve">employees with a focus on transnational issues. At the EU level, several tools exist. For</w:t>
      </w:r>
      <w:r>
        <w:t xml:space="preserve"> </w:t>
      </w:r>
      <w:r>
        <w:t xml:space="preserve">example, the Council recommendation on social dialogue can help ensure that the new jobs</w:t>
      </w:r>
      <w:r>
        <w:t xml:space="preserve"> </w:t>
      </w:r>
      <w:r>
        <w:t xml:space="preserve">for the green transition are quality jobs with good working conditions. It can support</w:t>
      </w:r>
      <w:r>
        <w:t xml:space="preserve"> </w:t>
      </w:r>
      <w:r>
        <w:t xml:space="preserve">(re)skilling, job transitions and EU competitiveness. In the Communication on Enhancing the</w:t>
      </w:r>
      <w:r>
        <w:t xml:space="preserve"> </w:t>
      </w:r>
      <w:r>
        <w:t xml:space="preserve">European Administrative Space (ComPAct) (113), the Commission sets out actions to reinforce</w:t>
      </w:r>
      <w:r>
        <w:t xml:space="preserve"> </w:t>
      </w:r>
      <w:r>
        <w:t xml:space="preserve">the capacity of public administrations across Member States to manage the green transition,</w:t>
      </w:r>
      <w:r>
        <w:t xml:space="preserve"> </w:t>
      </w:r>
      <w:r>
        <w:t xml:space="preserve">by up- and reskilling civil servants, mainstreaming the green transition into the policymaking</w:t>
      </w:r>
      <w:r>
        <w:t xml:space="preserve"> </w:t>
      </w:r>
      <w:r>
        <w:t xml:space="preserve">cycle, and greening their own organisation and operations.”</w:t>
      </w:r>
      <w:r>
        <w:t xml:space="preserve"> </w:t>
      </w:r>
      <w:r>
        <w:t xml:space="preserve">3.1.5 Examples of fair and inclusive transitions</w:t>
      </w:r>
      <w:r>
        <w:t xml:space="preserve"> </w:t>
      </w:r>
      <w:r>
        <w:t xml:space="preserve">Promoting the exchanges of best practices while considering country specificities can help</w:t>
      </w:r>
      <w:r>
        <w:t xml:space="preserve"> </w:t>
      </w:r>
      <w:r>
        <w:t xml:space="preserve">ensure successful transition across countries and regions.</w:t>
      </w:r>
      <w:r>
        <w:br/>
      </w:r>
      <w:r>
        <w:t xml:space="preserve">Financial incentives for home renovation play a key role to support energy-poor and</w:t>
      </w:r>
      <w:r>
        <w:t xml:space="preserve"> </w:t>
      </w:r>
      <w:r>
        <w:t xml:space="preserve">vulnerable households to achieve energy savings.</w:t>
      </w:r>
      <w:r>
        <w:br/>
      </w:r>
      <w:r>
        <w:t xml:space="preserve">Germany’s transition away from coal for electricity generation entails significant structural</w:t>
      </w:r>
      <w:r>
        <w:t xml:space="preserve"> </w:t>
      </w:r>
      <w:r>
        <w:t xml:space="preserve">change and economic and social challenges, with over 19,650 direct and 35,734 indirect jobs</w:t>
      </w:r>
      <w:r>
        <w:t xml:space="preserve"> </w:t>
      </w:r>
      <w:r>
        <w:t xml:space="preserve">impacted in coal mining (114). In particular, the transition to clean energy is affecting three</w:t>
      </w:r>
      <w:r>
        <w:t xml:space="preserve"> </w:t>
      </w:r>
      <w:r>
        <w:t xml:space="preserve">coal mining areas: the Lausitzer Revier, the Rheinische Revier, and the Mitteldeutsche Revier.</w:t>
      </w:r>
      <w:r>
        <w:t xml:space="preserve"> </w:t>
      </w:r>
      <w:r>
        <w:t xml:space="preserve">Measures to address this challenge were designed. For example, the “adjustment allowance”</w:t>
      </w:r>
      <w:r>
        <w:t xml:space="preserve"> </w:t>
      </w:r>
      <w:r>
        <w:t xml:space="preserve">(“Anpassungsgeld”) provides financial support to workers facing job losses. Under this</w:t>
      </w:r>
      <w:r>
        <w:t xml:space="preserve"> </w:t>
      </w:r>
      <w:r>
        <w:t xml:space="preserve">scheme, former mining workers above the age of 50 and meeting certain conditions can</w:t>
      </w:r>
      <w:r>
        <w:t xml:space="preserve"> </w:t>
      </w:r>
      <w:r>
        <w:t xml:space="preserve">receive a bridge aid for a maximum of five years until entitlement to benefits from the miners’</w:t>
      </w:r>
      <w:r>
        <w:t xml:space="preserve"> </w:t>
      </w:r>
      <w:r>
        <w:t xml:space="preserve">pension insurance. Furthermore, the federal government has pledged to support the affected</w:t>
      </w:r>
      <w:r>
        <w:t xml:space="preserve"> </w:t>
      </w:r>
      <w:r>
        <w:t xml:space="preserve">states (“Länder”) with up to EUR 14 billion in financial transfers for regional investments</w:t>
      </w:r>
      <w:r>
        <w:t xml:space="preserve"> </w:t>
      </w:r>
      <w:r>
        <w:t xml:space="preserve">until 2038 at the latest. The federal government will fund additional measures with up to EUR</w:t>
      </w:r>
      <w:r>
        <w:t xml:space="preserve"> </w:t>
      </w:r>
      <w:r>
        <w:t xml:space="preserve">26 billion, such as rail and road infrastructure, research institutions (115). The Just Transition</w:t>
      </w:r>
      <w:r>
        <w:t xml:space="preserve"> </w:t>
      </w:r>
      <w:r>
        <w:t xml:space="preserve">Fund was also utilized to help the most affected regions.</w:t>
      </w:r>
      <w:r>
        <w:t xml:space="preserve"> </w:t>
      </w:r>
      <w:r>
        <w:t xml:space="preserve">One example of a successful transition in the energy sector is the offshore wind evolution of</w:t>
      </w:r>
      <w:r>
        <w:t xml:space="preserve"> </w:t>
      </w:r>
      <w:r>
        <w:t xml:space="preserve">the city of Esbjerg in Denmark. Esbjerg underwent a fundamental transformation from</w:t>
      </w:r>
      <w:r>
        <w:t xml:space="preserve"> </w:t>
      </w:r>
      <w:r>
        <w:t xml:space="preserve">servicing the oil and gas sectors over the past three decades to becoming one of Europe’s</w:t>
      </w:r>
      <w:r>
        <w:t xml:space="preserve"> </w:t>
      </w:r>
      <w:r>
        <w:t xml:space="preserve">leading hubs for offshore wind. Reskilling and upskilling pathways were designed to absorb</w:t>
      </w:r>
    </w:p>
    <w:p>
      <w:pPr>
        <w:pStyle w:val="Compact"/>
        <w:numPr>
          <w:ilvl w:val="0"/>
          <w:numId w:val="1034"/>
        </w:numPr>
      </w:pPr>
      <w:r>
        <w:t xml:space="preserve">COM(2023) 667 final</w:t>
      </w:r>
    </w:p>
    <w:p>
      <w:pPr>
        <w:pStyle w:val="Compact"/>
        <w:numPr>
          <w:ilvl w:val="0"/>
          <w:numId w:val="1034"/>
        </w:numPr>
      </w:pPr>
      <w:r>
        <w:t xml:space="preserve">SWD(2020)504 final</w:t>
      </w:r>
    </w:p>
    <w:p>
      <w:pPr>
        <w:pStyle w:val="Compact"/>
        <w:numPr>
          <w:ilvl w:val="0"/>
          <w:numId w:val="1034"/>
        </w:numPr>
      </w:pPr>
      <w:r>
        <w:t xml:space="preserve">SWD(2020)504 final</w:t>
      </w:r>
    </w:p>
    <w:p>
      <w:pPr>
        <w:pStyle w:val="FirstParagraph"/>
      </w:pPr>
      <w:r>
        <w:t xml:space="preserve">41</w:t>
      </w:r>
    </w:p>
    <w:p>
      <w:pPr>
        <w:pStyle w:val="BodyText"/>
      </w:pPr>
      <w:r>
        <w:t xml:space="preserve">workers from the oil and gas industry to the offshore wind sector, which helped avoid high</w:t>
      </w:r>
      <w:r>
        <w:t xml:space="preserve"> </w:t>
      </w:r>
      <w:r>
        <w:t xml:space="preserve">unemployment and economic stagnation of the region (116).</w:t>
      </w:r>
      <w:r>
        <w:br/>
      </w:r>
      <w:r>
        <w:t xml:space="preserve">Poland is developing 120 Sectoral Skills Centres (SSCs) which will cover industries related to</w:t>
      </w:r>
      <w:r>
        <w:t xml:space="preserve"> </w:t>
      </w:r>
      <w:r>
        <w:t xml:space="preserve">the green transition, i.e., in areas of renewable energy, environmental protection,</w:t>
      </w:r>
      <w:r>
        <w:t xml:space="preserve"> </w:t>
      </w:r>
      <w:r>
        <w:t xml:space="preserve">environmental engineering and waste management. Practical trainings will target young</w:t>
      </w:r>
      <w:r>
        <w:t xml:space="preserve"> </w:t>
      </w:r>
      <w:r>
        <w:t xml:space="preserve">people and people with disabilities, adults and teachers for vocational education and</w:t>
      </w:r>
      <w:r>
        <w:t xml:space="preserve"> </w:t>
      </w:r>
      <w:r>
        <w:t xml:space="preserve">training (117).</w:t>
      </w:r>
      <w:r>
        <w:t xml:space="preserve"> </w:t>
      </w:r>
      <w:r>
        <w:t xml:space="preserve">Another successful example is the “Contrat de Transition Écologique” (CTE) initiated in</w:t>
      </w:r>
      <w:r>
        <w:t xml:space="preserve"> </w:t>
      </w:r>
      <w:r>
        <w:t xml:space="preserve">France as a partnership programme between the State and local communities to help develop</w:t>
      </w:r>
      <w:r>
        <w:t xml:space="preserve"> </w:t>
      </w:r>
      <w:r>
        <w:t xml:space="preserve">local projects that diversify the local economy, for sustainability and environmentally</w:t>
      </w:r>
      <w:r>
        <w:t xml:space="preserve"> </w:t>
      </w:r>
      <w:r>
        <w:t xml:space="preserve">responsible development. Each contract lasts three to four years. The process started in 2018,</w:t>
      </w:r>
      <w:r>
        <w:t xml:space="preserve"> </w:t>
      </w:r>
      <w:r>
        <w:t xml:space="preserve">experimenting with 18 territories and later expanding to 107 territories. This initiative shows</w:t>
      </w:r>
      <w:r>
        <w:t xml:space="preserve"> </w:t>
      </w:r>
      <w:r>
        <w:t xml:space="preserve">how cooperation between the State, local authorities and local socioeconomic actors can</w:t>
      </w:r>
      <w:r>
        <w:t xml:space="preserve"> </w:t>
      </w:r>
      <w:r>
        <w:t xml:space="preserve">support ecological action undertaken at national level and transpose it to the local level (118).</w:t>
      </w:r>
      <w:r>
        <w:t xml:space="preserve"> </w:t>
      </w:r>
      <w:r>
        <w:t xml:space="preserve">3.2</w:t>
      </w:r>
      <w:r>
        <w:t xml:space="preserve"> </w:t>
      </w:r>
      <w:r>
        <w:t xml:space="preserve">Regional policy and local action</w:t>
      </w:r>
      <w:r>
        <w:t xml:space="preserve"> </w:t>
      </w:r>
      <w:r>
        <w:t xml:space="preserve">Regional authorities play a crucial role in the climate transition because they are at the</w:t>
      </w:r>
      <w:r>
        <w:t xml:space="preserve"> </w:t>
      </w:r>
      <w:r>
        <w:t xml:space="preserve">forefront of implementing climate change mitigation and adaptation measures. Each of them</w:t>
      </w:r>
      <w:r>
        <w:t xml:space="preserve"> </w:t>
      </w:r>
      <w:r>
        <w:t xml:space="preserve">faces unique opportunities and challenges as they decarbonise their economies (see Annex 8)</w:t>
      </w:r>
      <w:r>
        <w:t xml:space="preserve"> </w:t>
      </w:r>
      <w:r>
        <w:t xml:space="preserve">by 2040. To support regions with the implementation of locally tailored ambitious climate</w:t>
      </w:r>
      <w:r>
        <w:t xml:space="preserve"> </w:t>
      </w:r>
      <w:r>
        <w:t xml:space="preserve">policies and measures, the EU has put in place a comprehensive and flexible enabling</w:t>
      </w:r>
      <w:r>
        <w:t xml:space="preserve"> </w:t>
      </w:r>
      <w:r>
        <w:t xml:space="preserve">framework. This framework is supplemented by the initiatives and strategies developed by</w:t>
      </w:r>
      <w:r>
        <w:t xml:space="preserve"> </w:t>
      </w:r>
      <w:r>
        <w:t xml:space="preserve">national and regional authorities. However, neither regional, nor national or EU authorities</w:t>
      </w:r>
      <w:r>
        <w:t xml:space="preserve"> </w:t>
      </w:r>
      <w:r>
        <w:t xml:space="preserve">can act alone. It is vital that different levels of government coordinate their climate efforts,</w:t>
      </w:r>
      <w:r>
        <w:t xml:space="preserve"> </w:t>
      </w:r>
      <w:r>
        <w:t xml:space="preserve">both within and across borders.</w:t>
      </w:r>
      <w:r>
        <w:br/>
      </w:r>
      <w:r>
        <w:t xml:space="preserve">3.2.1 Available EU funding, objectives, and strategies</w:t>
      </w:r>
      <w:r>
        <w:t xml:space="preserve"> </w:t>
      </w:r>
      <w:r>
        <w:t xml:space="preserve">A significant share of the EU’s multiannual financial framework (MFF) for 2021-2027 and</w:t>
      </w:r>
      <w:r>
        <w:t xml:space="preserve"> </w:t>
      </w:r>
      <w:r>
        <w:t xml:space="preserve">NextGenerationEU (€2.018 trillion in current prices) will directly support climate action in</w:t>
      </w:r>
      <w:r>
        <w:t xml:space="preserve"> </w:t>
      </w:r>
      <w:r>
        <w:t xml:space="preserve">less developed regions. At least 30% of these two sources combined will be spent on fighting</w:t>
      </w:r>
      <w:r>
        <w:t xml:space="preserve"> </w:t>
      </w:r>
      <w:r>
        <w:t xml:space="preserve">climate change (119). A significant share of these amounts should be spent by the end of 2029.</w:t>
      </w:r>
      <w:r>
        <w:t xml:space="preserve"> </w:t>
      </w:r>
      <w:r>
        <w:t xml:space="preserve">The next, post-2027, long-term budget of the EU will be adopted under the next Commission</w:t>
      </w:r>
      <w:r>
        <w:t xml:space="preserve"> </w:t>
      </w:r>
      <w:r>
        <w:t xml:space="preserve">mandate.</w:t>
      </w:r>
    </w:p>
    <w:p>
      <w:pPr>
        <w:pStyle w:val="Compact"/>
        <w:numPr>
          <w:ilvl w:val="0"/>
          <w:numId w:val="1035"/>
        </w:numPr>
      </w:pPr>
      <w:r>
        <w:t xml:space="preserve">Implementation of just transition and economic diversification strategies. A compilation of best practices</w:t>
      </w:r>
      <w:r>
        <w:t xml:space="preserve"> </w:t>
      </w:r>
      <w:r>
        <w:t xml:space="preserve">from different countries. United Nations Climate Change. Katowice Committee on Impacts. 2023.</w:t>
      </w:r>
    </w:p>
    <w:p>
      <w:pPr>
        <w:pStyle w:val="Compact"/>
        <w:numPr>
          <w:ilvl w:val="0"/>
          <w:numId w:val="1035"/>
        </w:numPr>
      </w:pPr>
      <w:r>
        <w:t xml:space="preserve">Vocational education and training and the green transition - Publications Office of the EU (europa.eu). DOI:</w:t>
      </w:r>
      <w:r>
        <w:t xml:space="preserve"> </w:t>
      </w:r>
      <w:r>
        <w:t xml:space="preserve">10.2767/183713</w:t>
      </w:r>
    </w:p>
    <w:p>
      <w:pPr>
        <w:pStyle w:val="Compact"/>
        <w:numPr>
          <w:ilvl w:val="0"/>
          <w:numId w:val="1035"/>
        </w:numPr>
      </w:pPr>
      <w:r>
        <w:t xml:space="preserve">Just transition interventions: report by the Katowice Committee of Impacts (created in 2018 in the</w:t>
      </w:r>
      <w:r>
        <w:t xml:space="preserve"> </w:t>
      </w:r>
      <w:r>
        <w:t xml:space="preserve">framework of the UNFCCC with a mandate for monitoring response measures).</w:t>
      </w:r>
    </w:p>
    <w:p>
      <w:pPr>
        <w:pStyle w:val="Compact"/>
        <w:numPr>
          <w:ilvl w:val="0"/>
          <w:numId w:val="1035"/>
        </w:numPr>
      </w:pPr>
      <w:r>
        <w:t xml:space="preserve">EU budget today. Midterm review of the MFF 2021-2027. https://commission.europa.eu/strategy-and-</w:t>
      </w:r>
      <w:r>
        <w:t xml:space="preserve"> </w:t>
      </w:r>
      <w:r>
        <w:t xml:space="preserve">policy/eu-budget/motion/today_en.</w:t>
      </w:r>
    </w:p>
    <w:p>
      <w:pPr>
        <w:pStyle w:val="FirstParagraph"/>
      </w:pPr>
      <w:r>
        <w:t xml:space="preserve">42</w:t>
      </w:r>
    </w:p>
    <w:p>
      <w:pPr>
        <w:pStyle w:val="BodyText"/>
      </w:pPr>
      <w:r>
        <w:t xml:space="preserve">Several spending programmes under the EU’s 2021-2027 budget have climate spending</w:t>
      </w:r>
      <w:r>
        <w:t xml:space="preserve"> </w:t>
      </w:r>
      <w:r>
        <w:t xml:space="preserve">targets of at least 30%. These include the European Regional Development Fund (ERDF)</w:t>
      </w:r>
      <w:r>
        <w:t xml:space="preserve"> </w:t>
      </w:r>
      <w:r>
        <w:t xml:space="preserve">(30%), Horizon Europe (35%), the Cohesion Fund (37%), the Connecting Europe Facility</w:t>
      </w:r>
      <w:r>
        <w:t xml:space="preserve"> </w:t>
      </w:r>
      <w:r>
        <w:t xml:space="preserve">(60%), and LIFE (61%). 100 % of the resources of the Just Transition Fund (JTF) contribute</w:t>
      </w:r>
      <w:r>
        <w:t xml:space="preserve"> </w:t>
      </w:r>
      <w:r>
        <w:t xml:space="preserve">to climate objectives. The resources from the JTF’s own envelope are additional to the</w:t>
      </w:r>
      <w:r>
        <w:t xml:space="preserve"> </w:t>
      </w:r>
      <w:r>
        <w:t xml:space="preserve">investments needed to achieve the EU’s overall 30% climate expenditure target (120). Several</w:t>
      </w:r>
      <w:r>
        <w:t xml:space="preserve"> </w:t>
      </w:r>
      <w:r>
        <w:t xml:space="preserve">of these funds strongly support less developed regions or, in the case of the JTF, target the</w:t>
      </w:r>
      <w:r>
        <w:t xml:space="preserve"> </w:t>
      </w:r>
      <w:r>
        <w:t xml:space="preserve">regions most affected by the climate transition.</w:t>
      </w:r>
      <w:r>
        <w:br/>
      </w:r>
      <w:r>
        <w:t xml:space="preserve">The Governance of the Energy Union and Climate Action Regulation (121) facilitates the</w:t>
      </w:r>
      <w:r>
        <w:t xml:space="preserve"> </w:t>
      </w:r>
      <w:r>
        <w:t xml:space="preserve">involvement of all governance levels including regional actors in addressing energy and</w:t>
      </w:r>
      <w:r>
        <w:t xml:space="preserve"> </w:t>
      </w:r>
      <w:r>
        <w:t xml:space="preserve">climate policies by creating a permanent Multilevel Climate and Energy Dialogue in Member</w:t>
      </w:r>
      <w:r>
        <w:t xml:space="preserve"> </w:t>
      </w:r>
      <w:r>
        <w:t xml:space="preserve">States. Such a permanent and regular dialogue on climate and energy among all levels of</w:t>
      </w:r>
      <w:r>
        <w:t xml:space="preserve"> </w:t>
      </w:r>
      <w:r>
        <w:t xml:space="preserve">governance and relevant stakeholders has delivered various benefits: continuous political</w:t>
      </w:r>
      <w:r>
        <w:t xml:space="preserve"> </w:t>
      </w:r>
      <w:r>
        <w:t xml:space="preserve">support, ownership, feedback loops, shared responsibility as well as a better implementation</w:t>
      </w:r>
      <w:r>
        <w:t xml:space="preserve"> </w:t>
      </w:r>
      <w:r>
        <w:t xml:space="preserve">of the necessary actions.</w:t>
      </w:r>
      <w:r>
        <w:br/>
      </w:r>
      <w:r>
        <w:t xml:space="preserve">The EU has developed strategies and measures to tackle climate change in regional clusters.</w:t>
      </w:r>
      <w:r>
        <w:t xml:space="preserve"> </w:t>
      </w:r>
      <w:r>
        <w:t xml:space="preserve">For instance, the macro-regional strategies (MRS) address common challenges such as</w:t>
      </w:r>
      <w:r>
        <w:t xml:space="preserve"> </w:t>
      </w:r>
      <w:r>
        <w:t xml:space="preserve">climate change in defined geographical areas, allowing the impacted regions to benefit from</w:t>
      </w:r>
      <w:r>
        <w:t xml:space="preserve"> </w:t>
      </w:r>
      <w:r>
        <w:t xml:space="preserve">strengthened cooperation (122). The MRS involve 19 EU and 10 non-EU countries. They will</w:t>
      </w:r>
      <w:r>
        <w:t xml:space="preserve"> </w:t>
      </w:r>
      <w:r>
        <w:t xml:space="preserve">contribute to increasing economic, social, and territorial cohesion. The MRS are:</w:t>
      </w:r>
      <w:r>
        <w:t xml:space="preserve"> </w:t>
      </w:r>
      <w:r>
        <w:t xml:space="preserve">• the EU strategy for the Baltic Sea Region (EUSBSR, 2009);</w:t>
      </w:r>
      <w:r>
        <w:t xml:space="preserve"> </w:t>
      </w:r>
      <w:r>
        <w:t xml:space="preserve">• the EU strategy for the Danube Region (EUSDR, 2011);</w:t>
      </w:r>
      <w:r>
        <w:t xml:space="preserve"> </w:t>
      </w:r>
      <w:r>
        <w:t xml:space="preserve">• the EU strategy for the Adriatic and Ionian Region (EUSAIR, 2014); and</w:t>
      </w:r>
      <w:r>
        <w:t xml:space="preserve"> </w:t>
      </w:r>
      <w:r>
        <w:t xml:space="preserve">• the EU strategy for the Alpine Region (EUSALP, 2016).</w:t>
      </w:r>
      <w:r>
        <w:t xml:space="preserve"> </w:t>
      </w:r>
      <w:r>
        <w:t xml:space="preserve">3.2.2 The EU’s cohesion policy</w:t>
      </w:r>
      <w:r>
        <w:br/>
      </w:r>
      <w:r>
        <w:t xml:space="preserve">The EU’s cohesion policy aims to promote and support the overall harmonious development</w:t>
      </w:r>
      <w:r>
        <w:t xml:space="preserve"> </w:t>
      </w:r>
      <w:r>
        <w:t xml:space="preserve">of all EU Member States and regions, making it a vital element of the enabling framework.</w:t>
      </w:r>
      <w:r>
        <w:t xml:space="preserve"> </w:t>
      </w:r>
      <w:r>
        <w:t xml:space="preserve">The policy is implemented by Member States’ national and regional bodies in partnership</w:t>
      </w:r>
      <w:r>
        <w:t xml:space="preserve"> </w:t>
      </w:r>
      <w:r>
        <w:t xml:space="preserve">with the European Commission. It contributes to the goals of the Commission priorities,</w:t>
      </w:r>
      <w:r>
        <w:t xml:space="preserve"> </w:t>
      </w:r>
      <w:r>
        <w:t xml:space="preserve">including the European Green Deal (EGD) and more specifically the transition to climate</w:t>
      </w:r>
      <w:r>
        <w:t xml:space="preserve"> </w:t>
      </w:r>
      <w:r>
        <w:t xml:space="preserve">neutrality. Cohesion policy has been allocated a major share of the EU budget – currently</w:t>
      </w:r>
      <w:r>
        <w:t xml:space="preserve"> </w:t>
      </w:r>
      <w:r>
        <w:t xml:space="preserve">€378 billion for 2021–27 (123). Figure 8 indicates that most of the cohesion funds are targeted</w:t>
      </w:r>
      <w:r>
        <w:t xml:space="preserve"> </w:t>
      </w:r>
      <w:r>
        <w:t xml:space="preserve">at less developed regions, which are regions with a GDP per capita under 75% of the EU</w:t>
      </w:r>
      <w:r>
        <w:t xml:space="preserve"> </w:t>
      </w:r>
      <w:r>
        <w:t xml:space="preserve">average.</w:t>
      </w:r>
      <w:r>
        <w:br/>
      </w:r>
      <w:r>
        <w:t xml:space="preserve">The cohesion policy is delivered through specific funds:</w:t>
      </w:r>
    </w:p>
    <w:p>
      <w:pPr>
        <w:pStyle w:val="Compact"/>
        <w:numPr>
          <w:ilvl w:val="0"/>
          <w:numId w:val="1036"/>
        </w:numPr>
      </w:pPr>
      <w:r>
        <w:t xml:space="preserve">Official Journal of the European Union. L231/1. 30.6.2021.</w:t>
      </w:r>
    </w:p>
    <w:p>
      <w:pPr>
        <w:pStyle w:val="Compact"/>
        <w:numPr>
          <w:ilvl w:val="0"/>
          <w:numId w:val="1036"/>
        </w:numPr>
      </w:pPr>
      <w:r>
        <w:t xml:space="preserve">See Governance of the Energy Union and Climate Action (europa.eu).</w:t>
      </w:r>
    </w:p>
    <w:p>
      <w:pPr>
        <w:pStyle w:val="Compact"/>
        <w:numPr>
          <w:ilvl w:val="0"/>
          <w:numId w:val="1036"/>
        </w:numPr>
      </w:pPr>
      <w:r>
        <w:t xml:space="preserve">Inforegio - Macro-Regional Strategies. https://ec.europa.eu/regional_policy/policy/cooperation/macro-</w:t>
      </w:r>
      <w:r>
        <w:t xml:space="preserve"> </w:t>
      </w:r>
      <w:r>
        <w:t xml:space="preserve">regional-strategies_en</w:t>
      </w:r>
    </w:p>
    <w:p>
      <w:pPr>
        <w:pStyle w:val="Compact"/>
        <w:numPr>
          <w:ilvl w:val="0"/>
          <w:numId w:val="1036"/>
        </w:numPr>
      </w:pPr>
      <w:r>
        <w:t xml:space="preserve">Inforegio – EU cohesion Policy: 2021-2027 programmes expected to create 1.3 million jobs in the EU.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• The European Regional Development Fund (ERDF), which invests in the social and</w:t>
      </w:r>
      <w:r>
        <w:t xml:space="preserve"> </w:t>
      </w:r>
      <w:r>
        <w:t xml:space="preserve">economic development of all EU regions and cities;</w:t>
      </w:r>
      <w:r>
        <w:br/>
      </w:r>
      <w:r>
        <w:t xml:space="preserve">• The Cohesion Fund (CF), which invests in environment and transport in EU countries</w:t>
      </w:r>
      <w:r>
        <w:t xml:space="preserve"> </w:t>
      </w:r>
      <w:r>
        <w:t xml:space="preserve">with gross national income (GNI) per capita below 90% of the EU-27 average;</w:t>
      </w:r>
      <w:r>
        <w:t xml:space="preserve"> </w:t>
      </w:r>
      <w:r>
        <w:t xml:space="preserve">• The European Social Fund Plus (ESF+), which supports jobs and, more generally, a</w:t>
      </w:r>
      <w:r>
        <w:t xml:space="preserve"> </w:t>
      </w:r>
      <w:r>
        <w:t xml:space="preserve">fair and socially inclusive society in EU countries (see the section “Just transition &amp;</w:t>
      </w:r>
      <w:r>
        <w:t xml:space="preserve"> </w:t>
      </w:r>
      <w:r>
        <w:t xml:space="preserve">social policy” in Annex 9 of this impact assessment);</w:t>
      </w:r>
      <w:r>
        <w:br/>
      </w:r>
      <w:r>
        <w:t xml:space="preserve">• The Just Transition Fund (JTF), which supports regions most affected by the transition</w:t>
      </w:r>
      <w:r>
        <w:t xml:space="preserve"> </w:t>
      </w:r>
      <w:r>
        <w:t xml:space="preserve">towards climate neutrality. It is one of the three pillars of the Just Transition</w:t>
      </w:r>
      <w:r>
        <w:t xml:space="preserve"> </w:t>
      </w:r>
      <w:r>
        <w:t xml:space="preserve">Mechanism (see below);</w:t>
      </w:r>
      <w:r>
        <w:t xml:space="preserve"> </w:t>
      </w:r>
      <w:r>
        <w:t xml:space="preserve">• Interreg funds, which support territorial cooperation across EU borders as well as with</w:t>
      </w:r>
      <w:r>
        <w:t xml:space="preserve"> </w:t>
      </w:r>
      <w:r>
        <w:t xml:space="preserve">certain neighbouring third countries.</w:t>
      </w:r>
    </w:p>
    <w:p>
      <w:pPr>
        <w:pStyle w:val="BodyText"/>
      </w:pPr>
      <w:r>
        <w:t xml:space="preserve">Figure 8: Investment by fund and category of regions</w:t>
      </w:r>
    </w:p>
    <w:p>
      <w:pPr>
        <w:pStyle w:val="BodyText"/>
      </w:pPr>
      <w:r>
        <w:t xml:space="preserve">Note: billion EUR. ERDF: European Regional and Development Fund; ESF+: European Social Fund Plus; CF: Cohesion</w:t>
      </w:r>
      <w:r>
        <w:t xml:space="preserve"> </w:t>
      </w:r>
      <w:r>
        <w:t xml:space="preserve">Fund; JTF: Just Transition Fund.</w:t>
      </w:r>
      <w:r>
        <w:t xml:space="preserve"> </w:t>
      </w:r>
      <w:r>
        <w:t xml:space="preserve">Source: European Commission.</w:t>
      </w:r>
      <w:r>
        <w:t xml:space="preserve"> </w:t>
      </w:r>
      <w:r>
        <w:t xml:space="preserve">With over EUR 118 billion in EU funded climate investments in the 2021-2027 programming</w:t>
      </w:r>
      <w:r>
        <w:t xml:space="preserve"> </w:t>
      </w:r>
      <w:r>
        <w:t xml:space="preserve">period, cohesion policy is providing a significant contribution to the European Green Deal</w:t>
      </w:r>
      <w:r>
        <w:t xml:space="preserve"> </w:t>
      </w:r>
      <w:r>
        <w:t xml:space="preserve">(EGD). The adopted 2021-2027 ERDF and CF programmes allocate respectively 33% and</w:t>
      </w:r>
      <w:r>
        <w:t xml:space="preserve"> </w:t>
      </w:r>
      <w:r>
        <w:t xml:space="preserve">56% of their funds to climate action, which exceeds the minimum regulatory commitments of</w:t>
      </w:r>
      <w:r>
        <w:t xml:space="preserve"> </w:t>
      </w:r>
      <w:r>
        <w:t xml:space="preserve">30% for ERDF and 37% for the Cohesion Fund. The major areas to receive support are</w:t>
      </w:r>
      <w:r>
        <w:t xml:space="preserve"> </w:t>
      </w:r>
      <w:r>
        <w:t xml:space="preserve">energy efficiency; sustainable urban mobility; renewable energy and networks; and climate</w:t>
      </w:r>
      <w:r>
        <w:t xml:space="preserve"> </w:t>
      </w:r>
      <w:r>
        <w:t xml:space="preserve">change adaptation (see Figure 9). In addition, 100% of the JTF’s funds benefit climate action.</w:t>
      </w:r>
      <w:r>
        <w:t xml:space="preserve"> </w:t>
      </w:r>
      <w:r>
        <w:t xml:space="preserve">ESF+ will contribute to the creation of green jobs. Combined, these climate relevant</w:t>
      </w:r>
      <w:r>
        <w:t xml:space="preserve"> </w:t>
      </w:r>
      <w:r>
        <w:t xml:space="preserve">investments will enable regions to significantly boost the implementation of the EU’s climate</w:t>
      </w:r>
      <w:r>
        <w:t xml:space="preserve"> </w:t>
      </w:r>
      <w:r>
        <w:t xml:space="preserve">and environmental policies that aim to improve the life and prospects of people throughout</w:t>
      </w:r>
      <w:r>
        <w:t xml:space="preserve"> </w:t>
      </w:r>
      <w:r>
        <w:t xml:space="preserve">the EU.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Figure 9: ERDF/CF climate expenditure by climate-relevant policy area</w:t>
      </w:r>
      <w:r>
        <w:t xml:space="preserve"> </w:t>
      </w:r>
      <w:r>
        <w:t xml:space="preserve">Source: European Commission.</w:t>
      </w:r>
      <w:r>
        <w:t xml:space="preserve"> </w:t>
      </w:r>
      <w:r>
        <w:t xml:space="preserve">The cohesion policy’s enforcement mechanisms help to ensure climate action stays on track.</w:t>
      </w:r>
      <w:r>
        <w:t xml:space="preserve"> </w:t>
      </w:r>
      <w:r>
        <w:t xml:space="preserve">For example, cohesion policy has introduced a climate adjustment mechanism that can</w:t>
      </w:r>
      <w:r>
        <w:t xml:space="preserve"> </w:t>
      </w:r>
      <w:r>
        <w:t xml:space="preserve">introduce remediation measures when there’s insufficient progress. Further, during the 2025</w:t>
      </w:r>
      <w:r>
        <w:t xml:space="preserve"> </w:t>
      </w:r>
      <w:r>
        <w:t xml:space="preserve">midterm review, the adopted programmes will be reviewed. This review will provide an</w:t>
      </w:r>
      <w:r>
        <w:t xml:space="preserve"> </w:t>
      </w:r>
      <w:r>
        <w:t xml:space="preserve">opportunity to take account of the country-specific recommendations (CSRs), including those</w:t>
      </w:r>
      <w:r>
        <w:t xml:space="preserve"> </w:t>
      </w:r>
      <w:r>
        <w:t xml:space="preserve">concerning climate policy, and of the progress made by Member States in implementing</w:t>
      </w:r>
      <w:r>
        <w:t xml:space="preserve"> </w:t>
      </w:r>
      <w:r>
        <w:t xml:space="preserve">National Energy and Climate Plans (NECPs).</w:t>
      </w:r>
      <w:r>
        <w:t xml:space="preserve"> </w:t>
      </w:r>
      <w:r>
        <w:t xml:space="preserve">3.2.2.1 Just Transition Mechanism</w:t>
      </w:r>
      <w:r>
        <w:t xml:space="preserve"> </w:t>
      </w:r>
      <w:r>
        <w:t xml:space="preserve">In addition, the newly created Just Transition Mechanism (JTM) (124) provides targeted</w:t>
      </w:r>
      <w:r>
        <w:t xml:space="preserve"> </w:t>
      </w:r>
      <w:r>
        <w:t xml:space="preserve">support to the regions most affected by the climate transition, for example those that must</w:t>
      </w:r>
      <w:r>
        <w:t xml:space="preserve"> </w:t>
      </w:r>
      <w:r>
        <w:t xml:space="preserve">cease fossil-fuel related activities, transform and restructure carbon-intensive industries and/or</w:t>
      </w:r>
      <w:r>
        <w:t xml:space="preserve"> </w:t>
      </w:r>
      <w:r>
        <w:t xml:space="preserve">diversify their economy, maintain social cohesion, invest in future-proof job opportunities,</w:t>
      </w:r>
      <w:r>
        <w:t xml:space="preserve"> </w:t>
      </w:r>
      <w:r>
        <w:t xml:space="preserve">retrain the affected workers and youth to prepare them for future jobs.</w:t>
      </w:r>
      <w:r>
        <w:br/>
      </w:r>
      <w:r>
        <w:t xml:space="preserve">The JTM consists of three pillars:</w:t>
      </w:r>
      <w:r>
        <w:t xml:space="preserve"> </w:t>
      </w:r>
      <w:r>
        <w:t xml:space="preserve">• JTF (125), which contributes to alleviating the socio-economic impacts of the transition</w:t>
      </w:r>
      <w:r>
        <w:t xml:space="preserve"> </w:t>
      </w:r>
      <w:r>
        <w:t xml:space="preserve">to a climate-neutral economy and to support the economic diversification and</w:t>
      </w:r>
      <w:r>
        <w:t xml:space="preserve"> </w:t>
      </w:r>
      <w:r>
        <w:t xml:space="preserve">reconversion of the territories concerned. The actions supported by the JTF should</w:t>
      </w:r>
      <w:r>
        <w:t xml:space="preserve"> </w:t>
      </w:r>
      <w:r>
        <w:t xml:space="preserve">directly contribute to alleviating the impact of the transition by financing the</w:t>
      </w:r>
      <w:r>
        <w:t xml:space="preserve"> </w:t>
      </w:r>
      <w:r>
        <w:t xml:space="preserve">diversification and modernisation of the local economy and by mitigating the negative</w:t>
      </w:r>
      <w:r>
        <w:t xml:space="preserve"> </w:t>
      </w:r>
      <w:r>
        <w:t xml:space="preserve">repercussions on employment.</w:t>
      </w:r>
      <w:r>
        <w:t xml:space="preserve"> </w:t>
      </w:r>
      <w:r>
        <w:t xml:space="preserve">• A dedicated InvestEU ‘Just Transition’ scheme to support economically viable</w:t>
      </w:r>
      <w:r>
        <w:t xml:space="preserve"> </w:t>
      </w:r>
      <w:r>
        <w:t xml:space="preserve">investments by private and public sector entities in a wider range of projects. The</w:t>
      </w:r>
    </w:p>
    <w:p>
      <w:pPr>
        <w:pStyle w:val="Compact"/>
        <w:numPr>
          <w:ilvl w:val="0"/>
          <w:numId w:val="1037"/>
        </w:numPr>
      </w:pPr>
      <w:r>
        <w:t xml:space="preserve">See</w:t>
      </w:r>
      <w:r>
        <w:t xml:space="preserve"> </w:t>
      </w:r>
      <w:r>
        <w:t xml:space="preserve">https://commission.europa.eu/strategy-and-policy/priorities-2019-2024/european-green-deal/finance-</w:t>
      </w:r>
      <w:r>
        <w:t xml:space="preserve"> </w:t>
      </w:r>
      <w:r>
        <w:t xml:space="preserve">and-green-deal/just-transition-mechanism_en</w:t>
      </w:r>
    </w:p>
    <w:p>
      <w:pPr>
        <w:pStyle w:val="Compact"/>
        <w:numPr>
          <w:ilvl w:val="0"/>
          <w:numId w:val="1037"/>
        </w:numPr>
      </w:pPr>
      <w:r>
        <w:t xml:space="preserve">Just</w:t>
      </w:r>
      <w:r>
        <w:t xml:space="preserve"> </w:t>
      </w:r>
      <w:r>
        <w:t xml:space="preserve">Transition</w:t>
      </w:r>
      <w:r>
        <w:t xml:space="preserve"> </w:t>
      </w:r>
      <w:r>
        <w:t xml:space="preserve">Fund:</w:t>
      </w:r>
      <w:r>
        <w:t xml:space="preserve"> </w:t>
      </w:r>
      <w:r>
        <w:t xml:space="preserve">https://commission.europa.eu/funding-tenders/find-funding/eu-funding-</w:t>
      </w:r>
      <w:r>
        <w:t xml:space="preserve"> </w:t>
      </w:r>
      <w:r>
        <w:t xml:space="preserve">programmes/just-transition-fund_en</w:t>
      </w:r>
    </w:p>
    <w:p>
      <w:pPr>
        <w:pStyle w:val="FirstParagraph"/>
      </w:pPr>
      <w:r>
        <w:t xml:space="preserve">45</w:t>
      </w:r>
    </w:p>
    <w:p>
      <w:pPr>
        <w:pStyle w:val="BodyText"/>
      </w:pPr>
      <w:r>
        <w:t xml:space="preserve">investments should foster economic growth and ultimately economic attractiveness of</w:t>
      </w:r>
      <w:r>
        <w:t xml:space="preserve"> </w:t>
      </w:r>
      <w:r>
        <w:t xml:space="preserve">the Just Transition territories.</w:t>
      </w:r>
      <w:r>
        <w:t xml:space="preserve"> </w:t>
      </w:r>
      <w:r>
        <w:t xml:space="preserve">• The Public Sector Loan Facility for additional investments to be leveraged by the</w:t>
      </w:r>
      <w:r>
        <w:t xml:space="preserve"> </w:t>
      </w:r>
      <w:r>
        <w:t xml:space="preserve">European Investment Bank (EIB). This helps public sector entities in the most affected</w:t>
      </w:r>
      <w:r>
        <w:t xml:space="preserve"> </w:t>
      </w:r>
      <w:r>
        <w:t xml:space="preserve">regions to meet their development needs in the transition towards a climate-neutral</w:t>
      </w:r>
      <w:r>
        <w:t xml:space="preserve"> </w:t>
      </w:r>
      <w:r>
        <w:t xml:space="preserve">economy.</w:t>
      </w:r>
      <w:r>
        <w:br/>
      </w:r>
      <w:r>
        <w:t xml:space="preserve">3.2.2.2 Territorial Just Transition Plans (TJTPs)</w:t>
      </w:r>
      <w:r>
        <w:t xml:space="preserve"> </w:t>
      </w:r>
      <w:r>
        <w:t xml:space="preserve">The territorial just transition plans provide a novel model for the territorialisation of the</w:t>
      </w:r>
      <w:r>
        <w:t xml:space="preserve"> </w:t>
      </w:r>
      <w:r>
        <w:t xml:space="preserve">climate action, by defining the territories which might receive financing from the JTM. These</w:t>
      </w:r>
      <w:r>
        <w:t xml:space="preserve"> </w:t>
      </w:r>
      <w:r>
        <w:t xml:space="preserve">plans set out the challenges in each territory, as well as the development needs and objectives</w:t>
      </w:r>
      <w:r>
        <w:t xml:space="preserve"> </w:t>
      </w:r>
      <w:r>
        <w:t xml:space="preserve">to be met by 2030. The territories eligible for support by the JTF are published on the Just</w:t>
      </w:r>
      <w:r>
        <w:t xml:space="preserve"> </w:t>
      </w:r>
      <w:r>
        <w:t xml:space="preserve">Transition Platform website with the links to the plans (126).</w:t>
      </w:r>
      <w:r>
        <w:br/>
      </w:r>
      <w:r>
        <w:t xml:space="preserve">Figure 10: Overview of territories in approved territorial just transition plans (Sept. 2023)</w:t>
      </w:r>
    </w:p>
    <w:p>
      <w:pPr>
        <w:pStyle w:val="BodyText"/>
      </w:pPr>
      <w:r>
        <w:t xml:space="preserve">Source: European Commission.</w:t>
      </w:r>
      <w:r>
        <w:t xml:space="preserve"> </w:t>
      </w:r>
      <w:r>
        <w:t xml:space="preserve">Box: An example of support by the JTF: the decarbonisation of the Swedish industry</w:t>
      </w:r>
      <w:r>
        <w:t xml:space="preserve"> </w:t>
      </w:r>
      <w:r>
        <w:t xml:space="preserve">The JTF is helping the Swedish industry transition to climate neutrality (127), while</w:t>
      </w:r>
      <w:r>
        <w:t xml:space="preserve"> </w:t>
      </w:r>
      <w:r>
        <w:t xml:space="preserve">maintaining competitiveness and sustaining economic and employment levels in the</w:t>
      </w:r>
    </w:p>
    <w:p>
      <w:pPr>
        <w:pStyle w:val="Compact"/>
        <w:numPr>
          <w:ilvl w:val="0"/>
          <w:numId w:val="1038"/>
        </w:numPr>
      </w:pPr>
      <w:r>
        <w:t xml:space="preserve">Inforegio - Just Transition Fund. https://ec.europa.eu/regional_policy/funding/just-transition-fund/just-</w:t>
      </w:r>
      <w:r>
        <w:t xml:space="preserve"> </w:t>
      </w:r>
      <w:r>
        <w:t xml:space="preserve">transition-platform_en</w:t>
      </w:r>
    </w:p>
    <w:p>
      <w:pPr>
        <w:pStyle w:val="Compact"/>
        <w:numPr>
          <w:ilvl w:val="0"/>
          <w:numId w:val="1038"/>
        </w:numPr>
      </w:pPr>
      <w:r>
        <w:t xml:space="preserve">EU</w:t>
      </w:r>
      <w:r>
        <w:t xml:space="preserve"> </w:t>
      </w:r>
      <w:r>
        <w:t xml:space="preserve">Cohesion</w:t>
      </w:r>
      <w:r>
        <w:t xml:space="preserve"> </w:t>
      </w:r>
      <w:r>
        <w:t xml:space="preserve">policy:</w:t>
      </w:r>
      <w:r>
        <w:t xml:space="preserve"> </w:t>
      </w:r>
      <w:r>
        <w:t xml:space="preserve">€155.7</w:t>
      </w:r>
      <w:r>
        <w:t xml:space="preserve"> </w:t>
      </w:r>
      <w:r>
        <w:t xml:space="preserve">million</w:t>
      </w:r>
      <w:r>
        <w:t xml:space="preserve"> </w:t>
      </w:r>
      <w:r>
        <w:t xml:space="preserve">climate</w:t>
      </w:r>
      <w:r>
        <w:t xml:space="preserve"> </w:t>
      </w:r>
      <w:r>
        <w:t xml:space="preserve">transition</w:t>
      </w:r>
      <w:r>
        <w:t xml:space="preserve"> </w:t>
      </w:r>
      <w:r>
        <w:t xml:space="preserve">Sweden.</w:t>
      </w:r>
      <w:r>
        <w:t xml:space="preserve"> </w:t>
      </w:r>
      <w:r>
        <w:t xml:space="preserve">https://ec.europa.eu/commission/presscorner/detail/en/ip_22_5316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Norrbotten, Västerbotten and Gotland regions. As industrial emissions account for 32% of</w:t>
      </w:r>
      <w:r>
        <w:t xml:space="preserve"> </w:t>
      </w:r>
      <w:r>
        <w:t xml:space="preserve">Sweden’s total greenhouse gas emissions, the transformation of the steel, mineral and metals</w:t>
      </w:r>
      <w:r>
        <w:t xml:space="preserve"> </w:t>
      </w:r>
      <w:r>
        <w:t xml:space="preserve">industry is expected to have important socio-economic impacts. The JTF will help alleviate</w:t>
      </w:r>
      <w:r>
        <w:t xml:space="preserve"> </w:t>
      </w:r>
      <w:r>
        <w:t xml:space="preserve">these impacts by investing EUR 155.7 million in research and innovation and in the retraining</w:t>
      </w:r>
      <w:r>
        <w:t xml:space="preserve"> </w:t>
      </w:r>
      <w:r>
        <w:t xml:space="preserve">and reskilling of workers.</w:t>
      </w:r>
    </w:p>
    <w:p>
      <w:pPr>
        <w:pStyle w:val="BodyText"/>
      </w:pPr>
      <w:r>
        <w:t xml:space="preserve">3.2.3 The Recovery and Resilience Facility</w:t>
      </w:r>
      <w:r>
        <w:t xml:space="preserve"> </w:t>
      </w:r>
      <w:r>
        <w:t xml:space="preserve">The Recovery and Resilience Facility (RRF) will help achieve the EU’s targets to reduce net</w:t>
      </w:r>
      <w:r>
        <w:t xml:space="preserve"> </w:t>
      </w:r>
      <w:r>
        <w:t xml:space="preserve">greenhouse gas emissions by at least 55% by 2030 and to reach climate neutrality by 2050.</w:t>
      </w:r>
      <w:r>
        <w:t xml:space="preserve"> </w:t>
      </w:r>
      <w:r>
        <w:t xml:space="preserve">The RRF Regulation provides that the reforms and investments included in each of the</w:t>
      </w:r>
      <w:r>
        <w:t xml:space="preserve"> </w:t>
      </w:r>
      <w:r>
        <w:t xml:space="preserve">recovery and resilience plans must reach targets for climate and digital expenditure. The</w:t>
      </w:r>
      <w:r>
        <w:t xml:space="preserve"> </w:t>
      </w:r>
      <w:r>
        <w:t xml:space="preserve">measures supported by the RRF are contributing to meet the EU’s climate ambition by</w:t>
      </w:r>
      <w:r>
        <w:t xml:space="preserve"> </w:t>
      </w:r>
      <w:r>
        <w:t xml:space="preserve">promoting sustainable mobility, increasing energy efficiency, and promoting a higher</w:t>
      </w:r>
      <w:r>
        <w:t xml:space="preserve"> </w:t>
      </w:r>
      <w:r>
        <w:t xml:space="preserve">deployment of renewable energy sources (Figure 11). They will also ensure progress towards</w:t>
      </w:r>
      <w:r>
        <w:t xml:space="preserve"> </w:t>
      </w:r>
      <w:r>
        <w:t xml:space="preserve">climate adaption and other environmental objectives such as reducing air pollution, promoting</w:t>
      </w:r>
      <w:r>
        <w:t xml:space="preserve"> </w:t>
      </w:r>
      <w:r>
        <w:t xml:space="preserve">the circular economy, or restoring and protecting biodiversity.</w:t>
      </w:r>
      <w:r>
        <w:br/>
      </w:r>
      <w:r>
        <w:t xml:space="preserve">Figure 11: Breakdown of expenditure supporting the green transition, by policy area</w:t>
      </w:r>
    </w:p>
    <w:p>
      <w:pPr>
        <w:pStyle w:val="BodyText"/>
      </w:pPr>
      <w:r>
        <w:t xml:space="preserve">Note: This chart shows a breakdown of the estimated contribution to the policy pillar according to a list of policy</w:t>
      </w:r>
      <w:r>
        <w:t xml:space="preserve"> </w:t>
      </w:r>
      <w:r>
        <w:t xml:space="preserve">areas established by the European Commission. The percentage relates to the overall share of the plan tagged under</w:t>
      </w:r>
      <w:r>
        <w:t xml:space="preserve"> </w:t>
      </w:r>
      <w:r>
        <w:t xml:space="preserve">this policy pillar.</w:t>
      </w:r>
      <w:r>
        <w:t xml:space="preserve"> </w:t>
      </w:r>
      <w:r>
        <w:t xml:space="preserve">Source: Recovery and Resilience Scoreboard.</w:t>
      </w:r>
      <w:r>
        <w:br/>
      </w:r>
      <w:r>
        <w:t xml:space="preserve">The reforms and investments that support climate objectives in Member States’ RRPs have</w:t>
      </w:r>
      <w:r>
        <w:t xml:space="preserve"> </w:t>
      </w:r>
      <w:r>
        <w:t xml:space="preserve">exceeded the target of 37% of total allocation set in the RRF Regulation. Total estimated</w:t>
      </w:r>
      <w:r>
        <w:t xml:space="preserve"> </w:t>
      </w:r>
      <w:r>
        <w:t xml:space="preserve">climate expenditure in the adopted plans amounts to EUR 204 billion, which represents about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40% of the total plans’ allocation as calculated according to the climate tracking</w:t>
      </w:r>
      <w:r>
        <w:t xml:space="preserve"> </w:t>
      </w:r>
      <w:r>
        <w:t xml:space="preserve">methodology (128).</w:t>
      </w:r>
      <w:r>
        <w:t xml:space="preserve"> </w:t>
      </w:r>
      <w:r>
        <w:t xml:space="preserve">3.2.4 Other EU initiatives</w:t>
      </w:r>
      <w:r>
        <w:br/>
      </w:r>
      <w:r>
        <w:t xml:space="preserve">There are several other EU funds, policies, and initiatives that support Member States and</w:t>
      </w:r>
      <w:r>
        <w:t xml:space="preserve"> </w:t>
      </w:r>
      <w:r>
        <w:t xml:space="preserve">their regions with implementing climate policies (see below a non-exhaustive list of such</w:t>
      </w:r>
      <w:r>
        <w:t xml:space="preserve"> </w:t>
      </w:r>
      <w:r>
        <w:t xml:space="preserve">initiatives). Not all these initiatives directly or exclusively target specific EU regions.</w:t>
      </w:r>
      <w:r>
        <w:t xml:space="preserve"> </w:t>
      </w:r>
      <w:r>
        <w:t xml:space="preserve">However, they will all have an impact on climate action in specific regions.</w:t>
      </w:r>
      <w:r>
        <w:br/>
      </w:r>
      <w:r>
        <w:t xml:space="preserve">3.2.4.1 Funding</w:t>
      </w:r>
      <w:r>
        <w:t xml:space="preserve"> </w:t>
      </w:r>
      <w:r>
        <w:t xml:space="preserve">The Modernisation Fund (129) is a programme from the European Union to support 10</w:t>
      </w:r>
      <w:r>
        <w:t xml:space="preserve"> </w:t>
      </w:r>
      <w:r>
        <w:t xml:space="preserve">Member States to meet the 2030 energy targets by helping to modernise energy systems and</w:t>
      </w:r>
      <w:r>
        <w:t xml:space="preserve"> </w:t>
      </w:r>
      <w:r>
        <w:t xml:space="preserve">improve energy efficiency.</w:t>
      </w:r>
      <w:r>
        <w:t xml:space="preserve"> </w:t>
      </w:r>
      <w:r>
        <w:t xml:space="preserve">The Innovation Fund (130) is one of the world’s largest funding programmes for the</w:t>
      </w:r>
      <w:r>
        <w:t xml:space="preserve"> </w:t>
      </w:r>
      <w:r>
        <w:t xml:space="preserve">demonstration of innovative low-carbon technologies. The Innovation Fund’s total funding</w:t>
      </w:r>
      <w:r>
        <w:t xml:space="preserve"> </w:t>
      </w:r>
      <w:r>
        <w:t xml:space="preserve">depends on the carbon price, and it may amount to about €40 billion for 2020-2030 (assuming</w:t>
      </w:r>
      <w:r>
        <w:t xml:space="preserve"> </w:t>
      </w:r>
      <w:r>
        <w:t xml:space="preserve">a carbon price of €75/tCO2). In practice, the Innovation Fund allowances from the EU ETS</w:t>
      </w:r>
      <w:r>
        <w:t xml:space="preserve"> </w:t>
      </w:r>
      <w:r>
        <w:t xml:space="preserve">are being auctioned based on the agreed schedule and the revenues perceived are used to</w:t>
      </w:r>
      <w:r>
        <w:t xml:space="preserve"> </w:t>
      </w:r>
      <w:r>
        <w:t xml:space="preserve">provide support to innovative projects afterwards.</w:t>
      </w:r>
      <w:r>
        <w:t xml:space="preserve"> </w:t>
      </w:r>
      <w:r>
        <w:t xml:space="preserve">Connecting Europe Facility (CEF) is a key EU funding instrument to deliver the European</w:t>
      </w:r>
      <w:r>
        <w:t xml:space="preserve"> </w:t>
      </w:r>
      <w:r>
        <w:t xml:space="preserve">Green Deal and an important enabler towards the Union’s decarbonisation objectives for 2030</w:t>
      </w:r>
      <w:r>
        <w:t xml:space="preserve"> </w:t>
      </w:r>
      <w:r>
        <w:t xml:space="preserve">and 2050 (131). It supports the development of high performing, sustainable and efficiently</w:t>
      </w:r>
      <w:r>
        <w:t xml:space="preserve"> </w:t>
      </w:r>
      <w:r>
        <w:t xml:space="preserve">interconnected trans-European networks in the fields of transport, energy, and digital services.</w:t>
      </w:r>
      <w:r>
        <w:br/>
      </w:r>
      <w:r>
        <w:t xml:space="preserve">The InvestEU Programme (132) supports sustainable investment, innovation, and job creation</w:t>
      </w:r>
      <w:r>
        <w:t xml:space="preserve"> </w:t>
      </w:r>
      <w:r>
        <w:t xml:space="preserve">in Europe. With the EU budget guarantee provided to International and National promotional</w:t>
      </w:r>
      <w:r>
        <w:t xml:space="preserve"> </w:t>
      </w:r>
      <w:r>
        <w:t xml:space="preserve">banks, the InvestEU programme aims to trigger more than €372 billion in private investments</w:t>
      </w:r>
      <w:r>
        <w:t xml:space="preserve"> </w:t>
      </w:r>
      <w:r>
        <w:t xml:space="preserve">to high EU policy priority areas. Its Advisory Hub will provide advisory support services to</w:t>
      </w:r>
      <w:r>
        <w:t xml:space="preserve"> </w:t>
      </w:r>
      <w:r>
        <w:t xml:space="preserve">regional authorities.</w:t>
      </w:r>
    </w:p>
    <w:p>
      <w:pPr>
        <w:pStyle w:val="Compact"/>
        <w:numPr>
          <w:ilvl w:val="0"/>
          <w:numId w:val="1039"/>
        </w:numPr>
      </w:pPr>
      <w:r>
        <w:t xml:space="preserve">The RRPs had to specify and justify to what extent each measure contributes fully (100%), partly (40%) or</w:t>
      </w:r>
      <w:r>
        <w:t xml:space="preserve"> </w:t>
      </w:r>
      <w:r>
        <w:t xml:space="preserve">has no impact (0%) to climate objectives, using Annex VI to the RRF Regulation. Combining the</w:t>
      </w:r>
      <w:r>
        <w:t xml:space="preserve"> </w:t>
      </w:r>
      <w:r>
        <w:t xml:space="preserve">coefficients with the cost estimates of each measure allows calculating to what degree the plans contribute to</w:t>
      </w:r>
      <w:r>
        <w:t xml:space="preserve"> </w:t>
      </w:r>
      <w:r>
        <w:t xml:space="preserve">the climate target. Please note that the contribution to the green transition pillar is higher than the</w:t>
      </w:r>
      <w:r>
        <w:t xml:space="preserve"> </w:t>
      </w:r>
      <w:r>
        <w:t xml:space="preserve">contribution to climate objectives as defined in Annex VI of the RRF Regulation, since methodologies</w:t>
      </w:r>
      <w:r>
        <w:t xml:space="preserve"> </w:t>
      </w:r>
      <w:r>
        <w:t xml:space="preserve">differ. The differences arise mainly because all covered measures are considered to contribute with 100% of</w:t>
      </w:r>
      <w:r>
        <w:t xml:space="preserve"> </w:t>
      </w:r>
      <w:r>
        <w:t xml:space="preserve">their estimated cost to the pillar, while some contribute only with 40% of their estimated cost to the climate</w:t>
      </w:r>
      <w:r>
        <w:t xml:space="preserve"> </w:t>
      </w:r>
      <w:r>
        <w:t xml:space="preserve">objectives as defined in Annex VI of the Regulation. In addition, the green transition pillar also includes</w:t>
      </w:r>
      <w:r>
        <w:t xml:space="preserve"> </w:t>
      </w:r>
      <w:r>
        <w:t xml:space="preserve">coefficients for environmental objectives that are wider than climate objectives as per Annex VI of the RRF</w:t>
      </w:r>
      <w:r>
        <w:t xml:space="preserve"> </w:t>
      </w:r>
      <w:r>
        <w:t xml:space="preserve">Regulation.</w:t>
      </w:r>
    </w:p>
    <w:p>
      <w:pPr>
        <w:pStyle w:val="Compact"/>
        <w:numPr>
          <w:ilvl w:val="0"/>
          <w:numId w:val="1039"/>
        </w:numPr>
      </w:pPr>
      <w:r>
        <w:t xml:space="preserve">See https://modernisationfund.eu/.</w:t>
      </w:r>
    </w:p>
    <w:p>
      <w:pPr>
        <w:pStyle w:val="Compact"/>
        <w:numPr>
          <w:ilvl w:val="0"/>
          <w:numId w:val="1039"/>
        </w:numPr>
      </w:pPr>
      <w:r>
        <w:t xml:space="preserve">See https://cinea.ec.europa.eu/programmes/innovation-fund_en.</w:t>
      </w:r>
    </w:p>
    <w:p>
      <w:pPr>
        <w:pStyle w:val="Compact"/>
        <w:numPr>
          <w:ilvl w:val="0"/>
          <w:numId w:val="1039"/>
        </w:numPr>
      </w:pPr>
      <w:r>
        <w:t xml:space="preserve">See https://cinea.ec.europa.eu/programmes/connecting-europe-facility_en.</w:t>
      </w:r>
    </w:p>
    <w:p>
      <w:pPr>
        <w:pStyle w:val="Compact"/>
        <w:numPr>
          <w:ilvl w:val="0"/>
          <w:numId w:val="1039"/>
        </w:numPr>
      </w:pPr>
      <w:r>
        <w:t xml:space="preserve">See https://investeu.europa.eu/investeu-programme_en.</w:t>
      </w:r>
    </w:p>
    <w:p>
      <w:pPr>
        <w:pStyle w:val="FirstParagraph"/>
      </w:pPr>
      <w:r>
        <w:t xml:space="preserve">48</w:t>
      </w:r>
    </w:p>
    <w:p>
      <w:pPr>
        <w:pStyle w:val="BodyText"/>
      </w:pPr>
      <w:r>
        <w:t xml:space="preserve">The EIB (133) offers targeted support for projects in less-developed regions, including for</w:t>
      </w:r>
      <w:r>
        <w:t xml:space="preserve"> </w:t>
      </w:r>
      <w:r>
        <w:t xml:space="preserve">green transition projects.</w:t>
      </w:r>
      <w:r>
        <w:br/>
      </w:r>
      <w:r>
        <w:t xml:space="preserve">3.2.4.2 Fostering collaboration between regional authorities</w:t>
      </w:r>
      <w:r>
        <w:t xml:space="preserve"> </w:t>
      </w:r>
      <w:r>
        <w:t xml:space="preserve">Horizon Europe Mission on Cities (134) involves local authorities, citizens, businesses,</w:t>
      </w:r>
      <w:r>
        <w:t xml:space="preserve"> </w:t>
      </w:r>
      <w:r>
        <w:t xml:space="preserve">investors as well as regional and national authorities to deliver 100 climate-neutral and smart</w:t>
      </w:r>
      <w:r>
        <w:t xml:space="preserve"> </w:t>
      </w:r>
      <w:r>
        <w:t xml:space="preserve">cities by 2030 and to ensure that these cities act as experimentation and innovation hubs to</w:t>
      </w:r>
      <w:r>
        <w:t xml:space="preserve"> </w:t>
      </w:r>
      <w:r>
        <w:t xml:space="preserve">enable all European cities to follow suit by 2050.</w:t>
      </w:r>
      <w:r>
        <w:t xml:space="preserve"> </w:t>
      </w:r>
      <w:r>
        <w:t xml:space="preserve">The EU Covenant of Mayors for Climate &amp; Energy (135) is an initiative supported by the</w:t>
      </w:r>
      <w:r>
        <w:t xml:space="preserve"> </w:t>
      </w:r>
      <w:r>
        <w:t xml:space="preserve">European Commission that brings together thousands of local governments that want to</w:t>
      </w:r>
      <w:r>
        <w:t xml:space="preserve"> </w:t>
      </w:r>
      <w:r>
        <w:t xml:space="preserve">secure a better future for their citizens. Local governments voluntarily commit to</w:t>
      </w:r>
      <w:r>
        <w:t xml:space="preserve"> </w:t>
      </w:r>
      <w:r>
        <w:t xml:space="preserve">implementing EU climate and energy objectives and the European Green Deal on the ground.</w:t>
      </w:r>
      <w:r>
        <w:t xml:space="preserve"> </w:t>
      </w:r>
      <w:r>
        <w:t xml:space="preserve">The initiative is a first-of-its-kind bottom-up approach to energy and climate action. There are</w:t>
      </w:r>
      <w:r>
        <w:t xml:space="preserve"> </w:t>
      </w:r>
      <w:r>
        <w:t xml:space="preserve">almost 11.000 cities committed to become climate neutral by 2050.</w:t>
      </w:r>
      <w:r>
        <w:t xml:space="preserve"> </w:t>
      </w:r>
      <w:r>
        <w:t xml:space="preserve">Regions4Climate (136) is developing innovative tools and collaborative practices to support</w:t>
      </w:r>
      <w:r>
        <w:t xml:space="preserve"> </w:t>
      </w:r>
      <w:r>
        <w:t xml:space="preserve">European regions and communities in developing and implementing their own resilience</w:t>
      </w:r>
      <w:r>
        <w:t xml:space="preserve"> </w:t>
      </w:r>
      <w:r>
        <w:t xml:space="preserve">plans that not only explicitly address social, environmental, and economic innovations but</w:t>
      </w:r>
      <w:r>
        <w:t xml:space="preserve"> </w:t>
      </w:r>
      <w:r>
        <w:t xml:space="preserve">also inherently consider social equity and social justice concerns associated with resilience</w:t>
      </w:r>
      <w:r>
        <w:t xml:space="preserve"> </w:t>
      </w:r>
      <w:r>
        <w:t xml:space="preserve">building.</w:t>
      </w:r>
      <w:r>
        <w:t xml:space="preserve"> </w:t>
      </w:r>
      <w:r>
        <w:t xml:space="preserve">The European Climate Pact (137) is a movement of people united around a common cause,</w:t>
      </w:r>
      <w:r>
        <w:t xml:space="preserve"> </w:t>
      </w:r>
      <w:r>
        <w:t xml:space="preserve">each taking steps in their own worlds to build a more sustainable Europe. Launched by the</w:t>
      </w:r>
      <w:r>
        <w:t xml:space="preserve"> </w:t>
      </w:r>
      <w:r>
        <w:t xml:space="preserve">European Commission, the Pact is part of the European Green Deal and is helping the EU to</w:t>
      </w:r>
      <w:r>
        <w:t xml:space="preserve"> </w:t>
      </w:r>
      <w:r>
        <w:t xml:space="preserve">meet its goal to become climate-neutral by 2050.</w:t>
      </w:r>
      <w:r>
        <w:t xml:space="preserve"> </w:t>
      </w:r>
      <w:r>
        <w:t xml:space="preserve">3.2.4.3 Regional State Aid</w:t>
      </w:r>
      <w:r>
        <w:t xml:space="preserve"> </w:t>
      </w:r>
      <w:r>
        <w:t xml:space="preserve">The European Commission’s regional state-aid (138) policy supports economic development</w:t>
      </w:r>
      <w:r>
        <w:t xml:space="preserve"> </w:t>
      </w:r>
      <w:r>
        <w:t xml:space="preserve">and employment. The regional aid guidelines set out the rules under which Member States can</w:t>
      </w:r>
      <w:r>
        <w:t xml:space="preserve"> </w:t>
      </w:r>
      <w:r>
        <w:t xml:space="preserve">grant state aid to companies to support investments in new production facilities in the less</w:t>
      </w:r>
      <w:r>
        <w:t xml:space="preserve"> </w:t>
      </w:r>
      <w:r>
        <w:t xml:space="preserve">advantaged regions of Europe or to extend or modernise existing facilities.</w:t>
      </w:r>
      <w:r>
        <w:t xml:space="preserve"> </w:t>
      </w:r>
      <w:r>
        <w:t xml:space="preserve">3.2.4.4 Technical assistance</w:t>
      </w:r>
      <w:r>
        <w:t xml:space="preserve"> </w:t>
      </w:r>
      <w:r>
        <w:t xml:space="preserve">The Commission offers technical assistance to Member States and their regions, including</w:t>
      </w:r>
      <w:r>
        <w:t xml:space="preserve"> </w:t>
      </w:r>
      <w:r>
        <w:t xml:space="preserve">through the following measures.</w:t>
      </w:r>
    </w:p>
    <w:p>
      <w:pPr>
        <w:pStyle w:val="Compact"/>
        <w:numPr>
          <w:ilvl w:val="0"/>
          <w:numId w:val="1040"/>
        </w:numPr>
      </w:pPr>
      <w:r>
        <w:t xml:space="preserve">See https://www.eib.org/en/projects/regions/index.htm.</w:t>
      </w:r>
    </w:p>
    <w:p>
      <w:pPr>
        <w:pStyle w:val="Compact"/>
        <w:numPr>
          <w:ilvl w:val="0"/>
          <w:numId w:val="1040"/>
        </w:numPr>
      </w:pPr>
      <w:r>
        <w:t xml:space="preserve">See Climate-neutral and smart cities, https://research-and-innovation.ec.europa.eu/funding/funding-</w:t>
      </w:r>
      <w:r>
        <w:t xml:space="preserve"> </w:t>
      </w:r>
      <w:r>
        <w:t xml:space="preserve">opportunities/funding-programmes-and-open-calls/horizon-europe/eu-missions-horizon-europe/climate-</w:t>
      </w:r>
      <w:r>
        <w:t xml:space="preserve"> </w:t>
      </w:r>
      <w:r>
        <w:t xml:space="preserve">neutral-and-smart-cities_en.</w:t>
      </w:r>
    </w:p>
    <w:p>
      <w:pPr>
        <w:pStyle w:val="Compact"/>
        <w:numPr>
          <w:ilvl w:val="0"/>
          <w:numId w:val="1040"/>
        </w:numPr>
      </w:pPr>
      <w:r>
        <w:t xml:space="preserve">See https://eu-mayors.ec.europa.eu/en/home.</w:t>
      </w:r>
    </w:p>
    <w:p>
      <w:pPr>
        <w:pStyle w:val="Compact"/>
        <w:numPr>
          <w:ilvl w:val="0"/>
          <w:numId w:val="1040"/>
        </w:numPr>
      </w:pPr>
      <w:r>
        <w:t xml:space="preserve">See Regions4Climate - Building resilient communities, https://regions4climate.eu/.</w:t>
      </w:r>
    </w:p>
    <w:p>
      <w:pPr>
        <w:pStyle w:val="Compact"/>
        <w:numPr>
          <w:ilvl w:val="0"/>
          <w:numId w:val="1040"/>
        </w:numPr>
      </w:pPr>
      <w:r>
        <w:t xml:space="preserve">See https://climate-pact.europa.eu/index_en.</w:t>
      </w:r>
    </w:p>
    <w:p>
      <w:pPr>
        <w:pStyle w:val="Compact"/>
        <w:numPr>
          <w:ilvl w:val="0"/>
          <w:numId w:val="1040"/>
        </w:numPr>
      </w:pPr>
      <w:r>
        <w:t xml:space="preserve">See Regional Aid, https://competition-policy.ec.europa.eu/state-aid/legislation/modernisation/regional-</w:t>
      </w:r>
      <w:r>
        <w:t xml:space="preserve"> </w:t>
      </w:r>
      <w:r>
        <w:t xml:space="preserve">aid_en.</w:t>
      </w:r>
    </w:p>
    <w:p>
      <w:pPr>
        <w:pStyle w:val="FirstParagraph"/>
      </w:pPr>
      <w:r>
        <w:t xml:space="preserve">49</w:t>
      </w:r>
    </w:p>
    <w:p>
      <w:pPr>
        <w:pStyle w:val="BodyText"/>
      </w:pPr>
      <w:r>
        <w:t xml:space="preserve">The C4T Community of Practice (139) is a community-based platform that aims to support EU</w:t>
      </w:r>
      <w:r>
        <w:t xml:space="preserve"> </w:t>
      </w:r>
      <w:r>
        <w:t xml:space="preserve">Member States and regions to make a better use of EU funds for sustainability transitions.</w:t>
      </w:r>
      <w:r>
        <w:t xml:space="preserve"> </w:t>
      </w:r>
      <w:r>
        <w:t xml:space="preserve">C4T engages national, regional, and local cohesion and sustainability transitions practitioners</w:t>
      </w:r>
      <w:r>
        <w:t xml:space="preserve"> </w:t>
      </w:r>
      <w:r>
        <w:t xml:space="preserve">in sharing experience and good practices, creating partnerships and jointly identifying</w:t>
      </w:r>
      <w:r>
        <w:t xml:space="preserve"> </w:t>
      </w:r>
      <w:r>
        <w:t xml:space="preserve">solutions. C4T also provides technical assistance to facilitate the development and/or</w:t>
      </w:r>
      <w:r>
        <w:t xml:space="preserve"> </w:t>
      </w:r>
      <w:r>
        <w:t xml:space="preserve">implementation of sustainability transitions. C4T brings together beneficiaries involved in the</w:t>
      </w:r>
      <w:r>
        <w:t xml:space="preserve"> </w:t>
      </w:r>
      <w:r>
        <w:t xml:space="preserve">implementation of transition measures with support from cohesion policy under Policy</w:t>
      </w:r>
      <w:r>
        <w:t xml:space="preserve"> </w:t>
      </w:r>
      <w:r>
        <w:t xml:space="preserve">Objective 2 ‘A greener, low-carbon transition towards a net zero carbon economy and</w:t>
      </w:r>
      <w:r>
        <w:t xml:space="preserve"> </w:t>
      </w:r>
      <w:r>
        <w:t xml:space="preserve">resilient Europe’.</w:t>
      </w:r>
      <w:r>
        <w:br/>
      </w:r>
      <w:r>
        <w:t xml:space="preserve">EU Technical Support Instrument (140) is the EU programme that provides tailor-made</w:t>
      </w:r>
      <w:r>
        <w:t xml:space="preserve"> </w:t>
      </w:r>
      <w:r>
        <w:t xml:space="preserve">technical expertise to EU Member States to design and implement reforms. The support is</w:t>
      </w:r>
      <w:r>
        <w:t xml:space="preserve"> </w:t>
      </w:r>
      <w:r>
        <w:t xml:space="preserve">demand driven and does not require co-financing from Member States.</w:t>
      </w:r>
      <w:r>
        <w:t xml:space="preserve"> </w:t>
      </w:r>
      <w:r>
        <w:t xml:space="preserve">The policy support facility (141) gives Member States and countries associated to Horizon</w:t>
      </w:r>
      <w:r>
        <w:t xml:space="preserve"> </w:t>
      </w:r>
      <w:r>
        <w:t xml:space="preserve">Europe practical support to design, implement and evaluate reforms that enhance the quality</w:t>
      </w:r>
      <w:r>
        <w:t xml:space="preserve"> </w:t>
      </w:r>
      <w:r>
        <w:t xml:space="preserve">of their research and innovation investments, policies, and systems.</w:t>
      </w:r>
      <w:r>
        <w:t xml:space="preserve"> </w:t>
      </w:r>
      <w:r>
        <w:t xml:space="preserve">The Climate Adaptation Platform for the Alps (CAPA) (142) supports decision-makers in</w:t>
      </w:r>
      <w:r>
        <w:t xml:space="preserve"> </w:t>
      </w:r>
      <w:r>
        <w:t xml:space="preserve">Alpine countries, regions, and municipalities in adapting to climate change by giving them</w:t>
      </w:r>
      <w:r>
        <w:t xml:space="preserve"> </w:t>
      </w:r>
      <w:r>
        <w:t xml:space="preserve">access to knowledge resources and information that have been selected by experts based on</w:t>
      </w:r>
      <w:r>
        <w:t xml:space="preserve"> </w:t>
      </w:r>
      <w:r>
        <w:t xml:space="preserve">relevance and usefulness criteria. It offers knowledge products for a broad spectrum of</w:t>
      </w:r>
      <w:r>
        <w:t xml:space="preserve"> </w:t>
      </w:r>
      <w:r>
        <w:t xml:space="preserve">administrative and socio-economic sectors (agriculture, energy, health, water management,</w:t>
      </w:r>
      <w:r>
        <w:t xml:space="preserve"> </w:t>
      </w:r>
      <w:r>
        <w:t xml:space="preserve">spatial planning, etc.). It puts strong emphasis on cross-sectorial aspects of adaptation.</w:t>
      </w:r>
      <w:r>
        <w:t xml:space="preserve"> </w:t>
      </w:r>
      <w:r>
        <w:t xml:space="preserve">3.2.5 Example of a region that has received support: the Ruhr region</w:t>
      </w:r>
      <w:r>
        <w:t xml:space="preserve"> </w:t>
      </w:r>
      <w:r>
        <w:t xml:space="preserve">The Ruhr region in North Rhine-Westphalia has traditionally been one of Europe’s industrial</w:t>
      </w:r>
      <w:r>
        <w:t xml:space="preserve"> </w:t>
      </w:r>
      <w:r>
        <w:t xml:space="preserve">powerhouses, based on the extraction of coal (143). Spanning roughly 2,700 km2the Ruhr</w:t>
      </w:r>
      <w:r>
        <w:t xml:space="preserve"> </w:t>
      </w:r>
      <w:r>
        <w:t xml:space="preserve">Valley lies in the state of North-Rhine Westphalia, made up of 53 cities that came to depend</w:t>
      </w:r>
      <w:r>
        <w:t xml:space="preserve"> </w:t>
      </w:r>
      <w:r>
        <w:t xml:space="preserve">on coal mining when it reached an industrial scale in the 1800s. At their height in the 1950s,</w:t>
      </w:r>
      <w:r>
        <w:t xml:space="preserve"> </w:t>
      </w:r>
      <w:r>
        <w:t xml:space="preserve">the mines employed about 600,000 workers, entwining the region’s identity with coal.</w:t>
      </w:r>
      <w:r>
        <w:t xml:space="preserve"> </w:t>
      </w:r>
      <w:r>
        <w:t xml:space="preserve">According to Reitzenstein et al. (2021), Galgoczi (2014), Sheldon et al. (2018), in the Ruhr</w:t>
      </w:r>
      <w:r>
        <w:t xml:space="preserve"> </w:t>
      </w:r>
      <w:r>
        <w:t xml:space="preserve">region in 1957, 70% of the population was employed in coal, iron and steel industries (half in</w:t>
      </w:r>
      <w:r>
        <w:t xml:space="preserve"> </w:t>
      </w:r>
      <w:r>
        <w:t xml:space="preserve">coal mining).</w:t>
      </w:r>
    </w:p>
    <w:p>
      <w:pPr>
        <w:pStyle w:val="Compact"/>
        <w:numPr>
          <w:ilvl w:val="0"/>
          <w:numId w:val="1041"/>
        </w:numPr>
      </w:pPr>
      <w:r>
        <w:t xml:space="preserve">See Inforegio - Cohesion for Transitions (C4T), https://ec.europa.eu/regional_policy/policy/communities-</w:t>
      </w:r>
      <w:r>
        <w:t xml:space="preserve"> </w:t>
      </w:r>
      <w:r>
        <w:t xml:space="preserve">and-networks/cohesion-4-transition_en.</w:t>
      </w:r>
    </w:p>
    <w:p>
      <w:pPr>
        <w:pStyle w:val="Compact"/>
        <w:numPr>
          <w:ilvl w:val="0"/>
          <w:numId w:val="1041"/>
        </w:numPr>
      </w:pPr>
      <w:r>
        <w:t xml:space="preserve">See https://commission.europa.eu/funding-tenders/find-funding/eu-funding-programmes/technical-support-</w:t>
      </w:r>
      <w:r>
        <w:t xml:space="preserve"> </w:t>
      </w:r>
      <w:r>
        <w:t xml:space="preserve">instrument/technical-support-instrument-tsi_en.</w:t>
      </w:r>
    </w:p>
    <w:p>
      <w:pPr>
        <w:pStyle w:val="Compact"/>
        <w:numPr>
          <w:ilvl w:val="0"/>
          <w:numId w:val="1041"/>
        </w:numPr>
      </w:pPr>
      <w:r>
        <w:t xml:space="preserve">See https://ec.europa.eu/research-and-innovation/en/statistics/policy-support-facility.</w:t>
      </w:r>
    </w:p>
    <w:p>
      <w:pPr>
        <w:pStyle w:val="Compact"/>
        <w:numPr>
          <w:ilvl w:val="0"/>
          <w:numId w:val="1041"/>
        </w:numPr>
      </w:pPr>
      <w:r>
        <w:t xml:space="preserve">See</w:t>
      </w:r>
      <w:r>
        <w:t xml:space="preserve"> </w:t>
      </w:r>
      <w:r>
        <w:t xml:space="preserve">https://climate-adapt.eea.europa.eu/en/metadata/portals/climate-adaptation-platform-for-the-alps-</w:t>
      </w:r>
      <w:r>
        <w:t xml:space="preserve"> </w:t>
      </w:r>
      <w:r>
        <w:t xml:space="preserve">capa#:~:text=The%20platform%20provides%20resources%20about,analytical%20studies%20and%20polic</w:t>
      </w:r>
      <w:r>
        <w:t xml:space="preserve"> </w:t>
      </w:r>
      <w:r>
        <w:t xml:space="preserve">y%20reviews).</w:t>
      </w:r>
    </w:p>
    <w:p>
      <w:pPr>
        <w:pStyle w:val="Compact"/>
        <w:numPr>
          <w:ilvl w:val="0"/>
          <w:numId w:val="1041"/>
        </w:numPr>
      </w:pPr>
      <w:r>
        <w:t xml:space="preserve">See</w:t>
      </w:r>
      <w:r>
        <w:t xml:space="preserve"> </w:t>
      </w:r>
      <w:r>
        <w:t xml:space="preserve">https://economy-finance.ec.europa.eu/system/files/2022-</w:t>
      </w:r>
      <w:r>
        <w:t xml:space="preserve"> </w:t>
      </w:r>
      <w:r>
        <w:t xml:space="preserve">12/dp176_en_green%20transition%20labour.pdf.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Cohesion policy supported many projects in the framework of a long-term strategy aimed at</w:t>
      </w:r>
      <w:r>
        <w:t xml:space="preserve"> </w:t>
      </w:r>
      <w:r>
        <w:t xml:space="preserve">transforming the region, including the restoration of the river system, the construction of a</w:t>
      </w:r>
      <w:r>
        <w:t xml:space="preserve"> </w:t>
      </w:r>
      <w:r>
        <w:t xml:space="preserve">bicycle network, the creation of landscape parks, and the conversion of former steel sites and</w:t>
      </w:r>
      <w:r>
        <w:t xml:space="preserve"> </w:t>
      </w:r>
      <w:r>
        <w:t xml:space="preserve">railroads into lakes and green neighbourhoods. This is embedded in nearly three decades of</w:t>
      </w:r>
      <w:r>
        <w:t xml:space="preserve"> </w:t>
      </w:r>
      <w:r>
        <w:t xml:space="preserve">EU funding to support the structural change of this old industrial region into a modern, green</w:t>
      </w:r>
      <w:r>
        <w:t xml:space="preserve"> </w:t>
      </w:r>
      <w:r>
        <w:t xml:space="preserve">metropolis. This involved structural policies to support the specialization of the region, the</w:t>
      </w:r>
      <w:r>
        <w:t xml:space="preserve"> </w:t>
      </w:r>
      <w:r>
        <w:t xml:space="preserve">development of new universities, infrastructures, in particular in renewable energy, and</w:t>
      </w:r>
      <w:r>
        <w:t xml:space="preserve"> </w:t>
      </w:r>
      <w:r>
        <w:t xml:space="preserve">cultural activities. Several policies contributed to the successful transition in the Ruhr region.</w:t>
      </w:r>
      <w:r>
        <w:t xml:space="preserve"> </w:t>
      </w:r>
      <w:r>
        <w:t xml:space="preserve">These include a consistent engagement of different levels of governments; a strong</w:t>
      </w:r>
      <w:r>
        <w:t xml:space="preserve"> </w:t>
      </w:r>
      <w:r>
        <w:t xml:space="preserve">participation of social partners; targeted public sector investments; institutional cooperation;</w:t>
      </w:r>
      <w:r>
        <w:t xml:space="preserve"> </w:t>
      </w:r>
      <w:r>
        <w:t xml:space="preserve">and effective labour market policies.</w:t>
      </w:r>
      <w:r>
        <w:t xml:space="preserve"> </w:t>
      </w:r>
      <w:r>
        <w:t xml:space="preserve">Coal mining has now completely disappeared but despite the loss in coal jobs, the overall</w:t>
      </w:r>
      <w:r>
        <w:t xml:space="preserve"> </w:t>
      </w:r>
      <w:r>
        <w:t xml:space="preserve">number of jobs stayed constant. The support provided to the Ruhr region turned it into an</w:t>
      </w:r>
      <w:r>
        <w:t xml:space="preserve"> </w:t>
      </w:r>
      <w:r>
        <w:t xml:space="preserve">exemplary territory for green infrastructures and an attractive area for companies.</w:t>
      </w:r>
      <w:r>
        <w:br/>
      </w:r>
      <w:r>
        <w:t xml:space="preserve">In the 2021-2027 period, the Ruhr region is also one of the German territories benefitting</w:t>
      </w:r>
      <w:r>
        <w:t xml:space="preserve"> </w:t>
      </w:r>
      <w:r>
        <w:t xml:space="preserve">from the JTF. The fund will help the region with investments in skills, green innovation, and</w:t>
      </w:r>
      <w:r>
        <w:t xml:space="preserve"> </w:t>
      </w:r>
      <w:r>
        <w:t xml:space="preserve">environmental restoration. This contributes to cushioning the socio-economic impacts of</w:t>
      </w:r>
      <w:r>
        <w:t xml:space="preserve"> </w:t>
      </w:r>
      <w:r>
        <w:t xml:space="preserve">Germany’s coal phase-out.</w:t>
      </w:r>
      <w:r>
        <w:t xml:space="preserve"> </w:t>
      </w:r>
      <w:r>
        <w:t xml:space="preserve">3.3</w:t>
      </w:r>
      <w:r>
        <w:t xml:space="preserve"> </w:t>
      </w:r>
      <w:r>
        <w:t xml:space="preserve">Lifestyle and individual action</w:t>
      </w:r>
      <w:r>
        <w:t xml:space="preserve"> </w:t>
      </w:r>
      <w:r>
        <w:t xml:space="preserve">3.3.1 Sustainable lifestyle choices</w:t>
      </w:r>
      <w:r>
        <w:t xml:space="preserve"> </w:t>
      </w:r>
      <w:r>
        <w:t xml:space="preserve">Individual action is one of the key factors to efficiently mitigate climate change and protect</w:t>
      </w:r>
      <w:r>
        <w:t xml:space="preserve"> </w:t>
      </w:r>
      <w:r>
        <w:t xml:space="preserve">the environment. Household consumption has been associated with up to 72% of global</w:t>
      </w:r>
      <w:r>
        <w:t xml:space="preserve"> </w:t>
      </w:r>
      <w:r>
        <w:t xml:space="preserve">greenhouse gas emissions (144), thus changes in individual and household lifestyles have an</w:t>
      </w:r>
      <w:r>
        <w:t xml:space="preserve"> </w:t>
      </w:r>
      <w:r>
        <w:t xml:space="preserve">enormous potential to reduce GHG emissions.</w:t>
      </w:r>
      <w:r>
        <w:br/>
      </w:r>
      <w:r>
        <w:t xml:space="preserve">Making more climate-friendly choices on an individual level requires a willingness to adopt</w:t>
      </w:r>
      <w:r>
        <w:t xml:space="preserve"> </w:t>
      </w:r>
      <w:r>
        <w:t xml:space="preserve">new behaviours, but policy makers need to facilitate more climate-friendly lifestyle choices</w:t>
      </w:r>
      <w:r>
        <w:t xml:space="preserve"> </w:t>
      </w:r>
      <w:r>
        <w:t xml:space="preserve">by removing barriers and creating incentives to set up proper framework conditions for new</w:t>
      </w:r>
      <w:r>
        <w:t xml:space="preserve"> </w:t>
      </w:r>
      <w:r>
        <w:t xml:space="preserve">lifestyles (145). Examples for an improvement of proper framework conditions for new</w:t>
      </w:r>
      <w:r>
        <w:t xml:space="preserve"> </w:t>
      </w:r>
      <w:r>
        <w:t xml:space="preserve">lifestyles are increasing their availability (e.g., through improved access to public transport),</w:t>
      </w:r>
      <w:r>
        <w:t xml:space="preserve"> </w:t>
      </w:r>
      <w:r>
        <w:t xml:space="preserve">incentivizing their use (e.g. reducing taxes on repair work to increase the longevity of</w:t>
      </w:r>
      <w:r>
        <w:t xml:space="preserve"> </w:t>
      </w:r>
      <w:r>
        <w:t xml:space="preserve">products) or informing individuals about the environmental impact of their choices (e.g.,</w:t>
      </w:r>
      <w:r>
        <w:t xml:space="preserve"> </w:t>
      </w:r>
      <w:r>
        <w:t xml:space="preserve">reliable and trustworthy eco-friendly or energy efficiency labels, protection against false</w:t>
      </w:r>
      <w:r>
        <w:t xml:space="preserve"> </w:t>
      </w:r>
      <w:r>
        <w:t xml:space="preserve">green claims, and reliable data on door-to-door transport emissions (146)).</w:t>
      </w:r>
      <w:r>
        <w:t xml:space="preserve"> </w:t>
      </w:r>
      <w:r>
        <w:t xml:space="preserve">Some examples for individual action in a non-exhaustive list are:</w:t>
      </w:r>
    </w:p>
    <w:p>
      <w:pPr>
        <w:pStyle w:val="Compact"/>
        <w:numPr>
          <w:ilvl w:val="0"/>
          <w:numId w:val="1042"/>
        </w:numPr>
      </w:pPr>
      <w:r>
        <w:t xml:space="preserve">Hertwich, E.G., Peters, G.P., 2009. Carbon footprint of nations: A global, trade-linked analysis. Environ.</w:t>
      </w:r>
      <w:r>
        <w:t xml:space="preserve"> </w:t>
      </w:r>
      <w:r>
        <w:t xml:space="preserve">Sci. Technol. 43 (16), 6414–6420.</w:t>
      </w:r>
    </w:p>
    <w:p>
      <w:pPr>
        <w:pStyle w:val="Compact"/>
        <w:numPr>
          <w:ilvl w:val="0"/>
          <w:numId w:val="1042"/>
        </w:numPr>
      </w:pPr>
      <w:r>
        <w:t xml:space="preserve">Frederiks, E. R., Stenner, K., Hobman, E. V. ‘Household energy use: Applying behavioural economics to</w:t>
      </w:r>
      <w:r>
        <w:t xml:space="preserve"> </w:t>
      </w:r>
      <w:r>
        <w:t xml:space="preserve">understand consumer decision-making and behaviour’, Renewable and Sustainable Energy Reviews, 41,</w:t>
      </w:r>
      <w:r>
        <w:t xml:space="preserve"> </w:t>
      </w:r>
      <w:r>
        <w:t xml:space="preserve">1385-1394, 2015.</w:t>
      </w:r>
    </w:p>
    <w:p>
      <w:pPr>
        <w:pStyle w:val="Compact"/>
        <w:numPr>
          <w:ilvl w:val="0"/>
          <w:numId w:val="1042"/>
        </w:numPr>
      </w:pPr>
      <w:r>
        <w:t xml:space="preserve">COM(2023) 441</w:t>
      </w:r>
    </w:p>
    <w:p>
      <w:pPr>
        <w:pStyle w:val="FirstParagraph"/>
      </w:pPr>
      <w:r>
        <w:t xml:space="preserve">51</w:t>
      </w:r>
    </w:p>
    <w:p>
      <w:pPr>
        <w:pStyle w:val="Compact"/>
        <w:numPr>
          <w:ilvl w:val="0"/>
          <w:numId w:val="1043"/>
        </w:numPr>
      </w:pPr>
      <w:r>
        <w:t xml:space="preserve">Sustainable lifestyle choices: individuals can make choices in their daily lives to</w:t>
      </w:r>
      <w:r>
        <w:t xml:space="preserve"> </w:t>
      </w:r>
      <w:r>
        <w:t xml:space="preserve">reduce their carbon footprint such as reducing waste, consuming more sustainable and</w:t>
      </w:r>
      <w:r>
        <w:t xml:space="preserve"> </w:t>
      </w:r>
      <w:r>
        <w:t xml:space="preserve">sufficient. This includes buying locally and environmentally friendly products and</w:t>
      </w:r>
      <w:r>
        <w:t xml:space="preserve"> </w:t>
      </w:r>
      <w:r>
        <w:t xml:space="preserve">opting for long-lasting products, reducing single-use products, and opting for the reuse</w:t>
      </w:r>
      <w:r>
        <w:t xml:space="preserve"> </w:t>
      </w:r>
      <w:r>
        <w:t xml:space="preserve">of products. Furthermore, citizens can choose a more sufficient lifestyle by buying less</w:t>
      </w:r>
      <w:r>
        <w:t xml:space="preserve"> </w:t>
      </w:r>
      <w:r>
        <w:t xml:space="preserve">and repairing more as part of advanced circular economy practices.</w:t>
      </w:r>
    </w:p>
    <w:p>
      <w:pPr>
        <w:pStyle w:val="Compact"/>
        <w:numPr>
          <w:ilvl w:val="0"/>
          <w:numId w:val="1043"/>
        </w:numPr>
      </w:pPr>
      <w:r>
        <w:t xml:space="preserve">Sustainable transportation: walking, cycling, or using public transport instead of using</w:t>
      </w:r>
      <w:r>
        <w:t xml:space="preserve"> </w:t>
      </w:r>
      <w:r>
        <w:t xml:space="preserve">a car can significantly reduce carbon emissions. Citizens can also advocate for</w:t>
      </w:r>
      <w:r>
        <w:t xml:space="preserve"> </w:t>
      </w:r>
      <w:r>
        <w:t xml:space="preserve">‘mobility as a service’ such as car- and bike-sharing options that aim to share transport</w:t>
      </w:r>
      <w:r>
        <w:t xml:space="preserve"> </w:t>
      </w:r>
      <w:r>
        <w:t xml:space="preserve">modes between individuals and aim for a higher use intensity. An increasing concern</w:t>
      </w:r>
      <w:r>
        <w:t xml:space="preserve"> </w:t>
      </w:r>
      <w:r>
        <w:t xml:space="preserve">on climate change and a shift in the social norm among citizens may incentivize</w:t>
      </w:r>
      <w:r>
        <w:t xml:space="preserve"> </w:t>
      </w:r>
      <w:r>
        <w:t xml:space="preserve">citizens to use less flights in favour of more sustainable transport alternatives, like rail.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Energy and housing transition: individuals may participate in the transition to</w:t>
      </w:r>
      <w:r>
        <w:t xml:space="preserve"> </w:t>
      </w:r>
      <w:r>
        <w:t xml:space="preserve">renewable energy sources at the individual level through supporting community-based</w:t>
      </w:r>
      <w:r>
        <w:t xml:space="preserve"> </w:t>
      </w:r>
      <w:r>
        <w:t xml:space="preserve">renewable energy projects, the installation of solar panels on their homes, or adopting</w:t>
      </w:r>
      <w:r>
        <w:t xml:space="preserve"> </w:t>
      </w:r>
      <w:r>
        <w:t xml:space="preserve">energy efficiency measures in homes and businesses. This may also include a shift</w:t>
      </w:r>
      <w:r>
        <w:t xml:space="preserve"> </w:t>
      </w:r>
      <w:r>
        <w:t xml:space="preserve">towards reduced floor area and a preference for renovation over new construction.</w:t>
      </w:r>
      <w:r>
        <w:br/>
      </w:r>
      <w:r>
        <w:t xml:space="preserve">Results from the public consultation show that large parts of EU citizens are in general willing</w:t>
      </w:r>
      <w:r>
        <w:t xml:space="preserve"> </w:t>
      </w:r>
      <w:r>
        <w:t xml:space="preserve">to adopt new lifestyles and to adopt a variety of individual actions to reduce their own carbon</w:t>
      </w:r>
      <w:r>
        <w:t xml:space="preserve"> </w:t>
      </w:r>
      <w:r>
        <w:t xml:space="preserve">footprint (82%). The highest support was expressed for individual action towards a more</w:t>
      </w:r>
      <w:r>
        <w:t xml:space="preserve"> </w:t>
      </w:r>
      <w:r>
        <w:t xml:space="preserve">circular economy such as repairing or reusing goods (88%) (147) and reducing wasteful</w:t>
      </w:r>
      <w:r>
        <w:t xml:space="preserve"> </w:t>
      </w:r>
      <w:r>
        <w:t xml:space="preserve">consumption through the use of long-lasting appliances, clothing and other products (89%).</w:t>
      </w:r>
      <w:r>
        <w:t xml:space="preserve"> </w:t>
      </w:r>
      <w:r>
        <w:t xml:space="preserve">High support was also expressed for a dietary change towards more climate-friendly diets</w:t>
      </w:r>
      <w:r>
        <w:t xml:space="preserve"> </w:t>
      </w:r>
      <w:r>
        <w:t xml:space="preserve">(85%) and for the use of climate-friendly labels (82%) and the acceptance of renewable</w:t>
      </w:r>
      <w:r>
        <w:t xml:space="preserve"> </w:t>
      </w:r>
      <w:r>
        <w:t xml:space="preserve">energy infrastructure in one’s municipality (80%).</w:t>
      </w:r>
      <w:r>
        <w:br/>
      </w:r>
      <w:r>
        <w:t xml:space="preserve">However, it appears these changes in lifestyles and consumption patterns need support from</w:t>
      </w:r>
      <w:r>
        <w:t xml:space="preserve"> </w:t>
      </w:r>
      <w:r>
        <w:t xml:space="preserve">policy makers (148), for example through a change in the choice architecture, incentives,</w:t>
      </w:r>
      <w:r>
        <w:t xml:space="preserve"> </w:t>
      </w:r>
      <w:r>
        <w:t xml:space="preserve">available mobility alternatives, or urban planning (149). EU citizens indicated in the public</w:t>
      </w:r>
      <w:r>
        <w:t xml:space="preserve"> </w:t>
      </w:r>
      <w:r>
        <w:t xml:space="preserve">consultation that number of policies would help them adopting a more climate-friendly</w:t>
      </w:r>
      <w:r>
        <w:t xml:space="preserve"> </w:t>
      </w:r>
      <w:r>
        <w:t xml:space="preserve">lifestyle (150). Citizens indicated as most helpful, if prices of goods and services would reflect</w:t>
      </w:r>
      <w:r>
        <w:t xml:space="preserve"> </w:t>
      </w:r>
      <w:r>
        <w:t xml:space="preserve">their climate impact to a better degree (Avg. = 4.43), the facilitation of personal investments</w:t>
      </w:r>
      <w:r>
        <w:t xml:space="preserve"> </w:t>
      </w:r>
      <w:r>
        <w:t xml:space="preserve">in climate friendly solutions (Avg. = 4.27) and ensuring that the most vulnerable in society</w:t>
      </w:r>
      <w:r>
        <w:t xml:space="preserve"> </w:t>
      </w:r>
      <w:r>
        <w:t xml:space="preserve">have access to climate-friendly products and services (Avg. = 4.19). On general, all types of</w:t>
      </w:r>
    </w:p>
    <w:p>
      <w:pPr>
        <w:pStyle w:val="Compact"/>
        <w:numPr>
          <w:ilvl w:val="0"/>
          <w:numId w:val="1044"/>
        </w:numPr>
      </w:pPr>
      <w:r>
        <w:t xml:space="preserve">Participants in the Public Consultation questionnaire were asked which of the listed personal actions they</w:t>
      </w:r>
      <w:r>
        <w:t xml:space="preserve"> </w:t>
      </w:r>
      <w:r>
        <w:t xml:space="preserve">would be willing to take to fight climate change. Percentages indicate EU citizens willingness to take these</w:t>
      </w:r>
      <w:r>
        <w:t xml:space="preserve"> </w:t>
      </w:r>
      <w:r>
        <w:t xml:space="preserve">actions.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Scientific Advice Mechanism (SAM), ‘Towards Sustainable Food Consumption’, Group of Chief Scientific</w:t>
      </w:r>
      <w:r>
        <w:t xml:space="preserve"> </w:t>
      </w:r>
      <w:r>
        <w:t xml:space="preserve">Advisors Scientific Opinion, No.14, 2023.</w:t>
      </w:r>
    </w:p>
    <w:p>
      <w:pPr>
        <w:pStyle w:val="Compact"/>
        <w:numPr>
          <w:ilvl w:val="0"/>
          <w:numId w:val="1044"/>
        </w:numPr>
      </w:pPr>
      <w:r>
        <w:t xml:space="preserve">IPCC AR6 WG III, Summary for Policy Makers.</w:t>
      </w:r>
    </w:p>
    <w:p>
      <w:pPr>
        <w:pStyle w:val="Compact"/>
        <w:numPr>
          <w:ilvl w:val="0"/>
          <w:numId w:val="1044"/>
        </w:numPr>
      </w:pPr>
      <w:r>
        <w:t xml:space="preserve">EU citizens indicated on a scale from 1 (not helpful) to 5 (very helpful) how much the following proposals</w:t>
      </w:r>
      <w:r>
        <w:t xml:space="preserve"> </w:t>
      </w:r>
      <w:r>
        <w:t xml:space="preserve">would help them to reduce their personal climate footprint. Numbers in brackets show the mean value. The</w:t>
      </w:r>
      <w:r>
        <w:t xml:space="preserve"> </w:t>
      </w:r>
      <w:r>
        <w:t xml:space="preserve">closer a mean value to 5 the more helpful it is assessed on average.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support to increase information, raising awareness and facilitating the access to climate-</w:t>
      </w:r>
      <w:r>
        <w:t xml:space="preserve"> </w:t>
      </w:r>
      <w:r>
        <w:t xml:space="preserve">friendly solutions was rated positively (Avg. = 3.77 to 4.04).</w:t>
      </w:r>
      <w:r>
        <w:br/>
      </w:r>
      <w:r>
        <w:t xml:space="preserve">3.3.2 Sustainable food consumption</w:t>
      </w:r>
      <w:r>
        <w:t xml:space="preserve"> </w:t>
      </w:r>
      <w:r>
        <w:t xml:space="preserve">A particularly relevant field for changing lifestyles is food consumption. With regard to</w:t>
      </w:r>
      <w:r>
        <w:t xml:space="preserve"> </w:t>
      </w:r>
      <w:r>
        <w:t xml:space="preserve">demand-sided mitigation potentials associated with individual choices, behaviour and lifestyle</w:t>
      </w:r>
      <w:r>
        <w:t xml:space="preserve"> </w:t>
      </w:r>
      <w:r>
        <w:t xml:space="preserve">changes, the IPCC has identified nutrition as the area with the biggest potential to reduce</w:t>
      </w:r>
      <w:r>
        <w:t xml:space="preserve"> </w:t>
      </w:r>
      <w:r>
        <w:t xml:space="preserve">emissions (151). Also, throughout the EU, food has both emerged as the consumption area of</w:t>
      </w:r>
      <w:r>
        <w:t xml:space="preserve"> </w:t>
      </w:r>
      <w:r>
        <w:t xml:space="preserve">individuals with the highest environmental and climate impact (152), as well as a field that</w:t>
      </w:r>
      <w:r>
        <w:t xml:space="preserve"> </w:t>
      </w:r>
      <w:r>
        <w:t xml:space="preserve">shows a notably high agreement for willingness to change throughout EU citizens. As an</w:t>
      </w:r>
      <w:r>
        <w:t xml:space="preserve"> </w:t>
      </w:r>
      <w:r>
        <w:t xml:space="preserve">example, a high share of EU citizens indicated their inclination in the public consultation to</w:t>
      </w:r>
      <w:r>
        <w:t xml:space="preserve"> </w:t>
      </w:r>
      <w:r>
        <w:t xml:space="preserve">eat food with a lower climate impact, such as plant-based, local, or sustainably produced food</w:t>
      </w:r>
      <w:r>
        <w:t xml:space="preserve"> </w:t>
      </w:r>
      <w:r>
        <w:t xml:space="preserve">(85%). When looking more closely on food consumption habits of EU citizens, animal-based</w:t>
      </w:r>
      <w:r>
        <w:t xml:space="preserve"> </w:t>
      </w:r>
      <w:r>
        <w:t xml:space="preserve">products (i.e., meat, dairy products, and eggs) stick out since they make up only about one</w:t>
      </w:r>
      <w:r>
        <w:t xml:space="preserve"> </w:t>
      </w:r>
      <w:r>
        <w:t xml:space="preserve">quarter of the total amount of food consumed while contributing to more than 60% of the</w:t>
      </w:r>
      <w:r>
        <w:t xml:space="preserve"> </w:t>
      </w:r>
      <w:r>
        <w:t xml:space="preserve">climate change impacts from food (153). This is due to the lower efficiency from an</w:t>
      </w:r>
      <w:r>
        <w:t xml:space="preserve"> </w:t>
      </w:r>
      <w:r>
        <w:t xml:space="preserve">input/output perspective of animal-based products compared to other food products (154).</w:t>
      </w:r>
      <w:r>
        <w:br/>
      </w:r>
      <w:r>
        <w:t xml:space="preserve">A voluntary change in food diets in societies is not uncommon. Food diets can change in a</w:t>
      </w:r>
      <w:r>
        <w:t xml:space="preserve"> </w:t>
      </w:r>
      <w:r>
        <w:t xml:space="preserve">comparably short time and recent history underlines the potential for widespread changes,</w:t>
      </w:r>
      <w:r>
        <w:t xml:space="preserve"> </w:t>
      </w:r>
      <w:r>
        <w:t xml:space="preserve">including on more diverse and healthier diets (155). Moreover low-meat diets increase in EU</w:t>
      </w:r>
      <w:r>
        <w:t xml:space="preserve"> </w:t>
      </w:r>
      <w:r>
        <w:t xml:space="preserve">countries as some recent examples show. The number of products being labelled as</w:t>
      </w:r>
      <w:r>
        <w:t xml:space="preserve"> </w:t>
      </w:r>
      <w:r>
        <w:t xml:space="preserve">vegetarian, or vegan has increased significantly (156) and with-it meat-alternatives in</w:t>
      </w:r>
      <w:r>
        <w:t xml:space="preserve"> </w:t>
      </w:r>
      <w:r>
        <w:t xml:space="preserve">supermarkets. Meat consumption per capita in Germany declined in 5 years until 2022 by</w:t>
      </w:r>
      <w:r>
        <w:t xml:space="preserve"> </w:t>
      </w:r>
      <w:r>
        <w:t xml:space="preserve">13% for beef and cattle and by 20% for pork and is now at the lowest total consumption level</w:t>
      </w:r>
      <w:r>
        <w:t xml:space="preserve"> </w:t>
      </w:r>
      <w:r>
        <w:t xml:space="preserve">since 1989. (157) One of the main reasons is that meat alternatives become increasingly</w:t>
      </w:r>
      <w:r>
        <w:t xml:space="preserve"> </w:t>
      </w:r>
      <w:r>
        <w:t xml:space="preserve">available and plant-based diets increasingly popular among the population. On EU level, a</w:t>
      </w:r>
    </w:p>
    <w:p>
      <w:pPr>
        <w:pStyle w:val="Compact"/>
        <w:numPr>
          <w:ilvl w:val="0"/>
          <w:numId w:val="1045"/>
        </w:numPr>
      </w:pPr>
      <w:r>
        <w:t xml:space="preserve">IPCC AR6 WG III, Summary for Policy Makers Figure SPM.6</w:t>
      </w:r>
    </w:p>
    <w:p>
      <w:pPr>
        <w:pStyle w:val="Compact"/>
        <w:numPr>
          <w:ilvl w:val="0"/>
          <w:numId w:val="1045"/>
        </w:numPr>
      </w:pPr>
      <w:r>
        <w:t xml:space="preserve">Five areas of consumption have been assessed: food, mobility, housing, household goods and appliances.</w:t>
      </w:r>
      <w:r>
        <w:t xml:space="preserve"> </w:t>
      </w:r>
      <w:r>
        <w:t xml:space="preserve">Food makes up 48% of the consumption footprint on environmental impacts and 38% of the consumption</w:t>
      </w:r>
      <w:r>
        <w:t xml:space="preserve"> </w:t>
      </w:r>
      <w:r>
        <w:t xml:space="preserve">footprint on climate change for an average EU citizen in 2021. See Sanyé Mengual E, Sala S, ‘Consumption</w:t>
      </w:r>
      <w:r>
        <w:t xml:space="preserve"> </w:t>
      </w:r>
      <w:r>
        <w:t xml:space="preserve">Footprint and Domestic Footprint: Assessing the environmental impacts of EU consumption and production.</w:t>
      </w:r>
      <w:r>
        <w:t xml:space="preserve"> </w:t>
      </w:r>
      <w:r>
        <w:t xml:space="preserve">Life cycle assessment to support the European Green Deal’, Publications Office of the European Union,</w:t>
      </w:r>
    </w:p>
    <w:p>
      <w:pPr>
        <w:pStyle w:val="Compact"/>
        <w:numPr>
          <w:ilvl w:val="0"/>
          <w:numId w:val="1047"/>
        </w:numPr>
      </w:pPr>
      <w:r>
        <w:t xml:space="preserve">European Commission, Joint Research Centre, Sanyé Mengual, E., Sala, S., Consumption footprint and</w:t>
      </w:r>
      <w:r>
        <w:t xml:space="preserve"> </w:t>
      </w:r>
      <w:r>
        <w:t xml:space="preserve">domestic footprint – Assessing the environmental impacts of EU consumption and production – Life cycle</w:t>
      </w:r>
      <w:r>
        <w:t xml:space="preserve"> </w:t>
      </w:r>
      <w:r>
        <w:t xml:space="preserve">assessment to support the European Green Deal, Publications Office of the European Union, 2023,</w:t>
      </w:r>
      <w:r>
        <w:t xml:space="preserve"> </w:t>
      </w:r>
      <w:r>
        <w:t xml:space="preserve">https://data.europa.eu/doi/10.2760/218540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Capone, R., et al., ‘Food System Sustainability and Food Security: Connecting the Dots.’, Journal of Food</w:t>
      </w:r>
      <w:r>
        <w:t xml:space="preserve"> </w:t>
      </w:r>
      <w:r>
        <w:t xml:space="preserve">Security, 2, 1, 13-22, 2014.</w:t>
      </w:r>
    </w:p>
    <w:p>
      <w:pPr>
        <w:pStyle w:val="Compact"/>
        <w:numPr>
          <w:ilvl w:val="0"/>
          <w:numId w:val="1047"/>
        </w:numPr>
      </w:pPr>
      <w:r>
        <w:t xml:space="preserve">Vermeulen, S.J., et al., ‘Changing diets and the transformation of the global food system’, Ann. N.Y. Acad.</w:t>
      </w:r>
      <w:r>
        <w:t xml:space="preserve"> </w:t>
      </w:r>
      <w:r>
        <w:t xml:space="preserve">Sci., 1478, 3-17, 2020.</w:t>
      </w:r>
    </w:p>
    <w:p>
      <w:pPr>
        <w:pStyle w:val="Compact"/>
        <w:numPr>
          <w:ilvl w:val="0"/>
          <w:numId w:val="1047"/>
        </w:numPr>
      </w:pPr>
      <w:r>
        <w:t xml:space="preserve">FReSH insights report, ‘Consumption behavior and trends: understanding the shift required towards healthy,</w:t>
      </w:r>
      <w:r>
        <w:t xml:space="preserve"> </w:t>
      </w:r>
      <w:r>
        <w:t xml:space="preserve">sustainable, and enjoyable diets’, Geneva: World Business Council for Sustainable Development, 2018.</w:t>
      </w:r>
    </w:p>
    <w:p>
      <w:pPr>
        <w:pStyle w:val="Compact"/>
        <w:numPr>
          <w:ilvl w:val="0"/>
          <w:numId w:val="1047"/>
        </w:numPr>
      </w:pPr>
      <w:r>
        <w:t xml:space="preserve">BLE (2023), Press Release: Fleischverzehr 2022 auf Tiefstand.</w:t>
      </w:r>
    </w:p>
    <w:p>
      <w:pPr>
        <w:pStyle w:val="FirstParagraph"/>
      </w:pPr>
      <w:r>
        <w:t xml:space="preserve">53</w:t>
      </w:r>
    </w:p>
    <w:p>
      <w:pPr>
        <w:pStyle w:val="BodyText"/>
      </w:pPr>
      <w:r>
        <w:t xml:space="preserve">slight general trend of dietary change is also visible. In the last five years before 2023, per</w:t>
      </w:r>
      <w:r>
        <w:t xml:space="preserve"> </w:t>
      </w:r>
      <w:r>
        <w:t xml:space="preserve">capita consumption of meat declined by nearly 2% and consumption of fresh dairy products</w:t>
      </w:r>
      <w:r>
        <w:t xml:space="preserve"> </w:t>
      </w:r>
      <w:r>
        <w:t xml:space="preserve">by 6%, a trend that is generally expected to continue in the future. This is in line with results</w:t>
      </w:r>
      <w:r>
        <w:t xml:space="preserve"> </w:t>
      </w:r>
      <w:r>
        <w:t xml:space="preserve">from the public consultation.</w:t>
      </w:r>
      <w:r>
        <w:br/>
      </w:r>
      <w:r>
        <w:t xml:space="preserve">Furthermore, the European Commission projects a shift from red meat to white meat (158),</w:t>
      </w:r>
      <w:r>
        <w:t xml:space="preserve"> </w:t>
      </w:r>
      <w:r>
        <w:t xml:space="preserve">which is associated with lower GHG emissions. The current changes in dietary preferences</w:t>
      </w:r>
      <w:r>
        <w:t xml:space="preserve"> </w:t>
      </w:r>
      <w:r>
        <w:t xml:space="preserve">result from health considerations and consumer concerns about climate, animal welfare and</w:t>
      </w:r>
      <w:r>
        <w:t xml:space="preserve"> </w:t>
      </w:r>
      <w:r>
        <w:t xml:space="preserve">environment. The increasing availability of protein alternatives also play a role in dietary</w:t>
      </w:r>
      <w:r>
        <w:t xml:space="preserve"> </w:t>
      </w:r>
      <w:r>
        <w:t xml:space="preserve">changes. Importantly these meat alternatives can be vegetables, fish as well as artificial meat.</w:t>
      </w:r>
      <w:r>
        <w:t xml:space="preserve"> </w:t>
      </w:r>
      <w:r>
        <w:t xml:space="preserve">However, to obtain a sustainable and healthy diet simply replacing meat with fish comes with</w:t>
      </w:r>
      <w:r>
        <w:t xml:space="preserve"> </w:t>
      </w:r>
      <w:r>
        <w:t xml:space="preserve">its own concerns. Overexploitation is already impacting fish stocks, and more importantly</w:t>
      </w:r>
      <w:r>
        <w:t xml:space="preserve"> </w:t>
      </w:r>
      <w:r>
        <w:t xml:space="preserve">Europeans consumption of fish should with regard to healthy diets not drastically</w:t>
      </w:r>
      <w:r>
        <w:t xml:space="preserve"> </w:t>
      </w:r>
      <w:r>
        <w:t xml:space="preserve">increase. (159)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HEALTHY NATURE AND SUSTAINABLE CIRCULAR BIOECONOMY</w:t>
      </w:r>
      <w:r>
        <w:t xml:space="preserve"> </w:t>
      </w:r>
      <w:r>
        <w:t xml:space="preserve">Managing the land more sustainably is not only important for the achievement of climate</w:t>
      </w:r>
      <w:r>
        <w:t xml:space="preserve"> </w:t>
      </w:r>
      <w:r>
        <w:t xml:space="preserve">targets but is also essential to ensure that the land sector can continue to provide food,</w:t>
      </w:r>
      <w:r>
        <w:t xml:space="preserve"> </w:t>
      </w:r>
      <w:r>
        <w:t xml:space="preserve">biomass, freshwater and ecosystem services for generations to come, in the context of</w:t>
      </w:r>
      <w:r>
        <w:t xml:space="preserve"> </w:t>
      </w:r>
      <w:r>
        <w:t xml:space="preserve">increasing global warming.</w:t>
      </w:r>
      <w:r>
        <w:br/>
      </w:r>
      <w:r>
        <w:t xml:space="preserve">4.1</w:t>
      </w:r>
      <w:r>
        <w:t xml:space="preserve"> </w:t>
      </w:r>
      <w:r>
        <w:t xml:space="preserve">Current policy framework on carbon removals and agriculture GHGs</w:t>
      </w:r>
      <w:r>
        <w:t xml:space="preserve"> </w:t>
      </w:r>
      <w:r>
        <w:t xml:space="preserve">Management of land and biological resources within ecologic boundaries is one of the</w:t>
      </w:r>
      <w:r>
        <w:t xml:space="preserve"> </w:t>
      </w:r>
      <w:r>
        <w:t xml:space="preserve">dimensions of bioeconomy policies. There are challenges to be addressed, such as the</w:t>
      </w:r>
      <w:r>
        <w:t xml:space="preserve"> </w:t>
      </w:r>
      <w:r>
        <w:t xml:space="preserve">increased pressure on land for climate mitigation and adaptation and nature protection while</w:t>
      </w:r>
      <w:r>
        <w:t xml:space="preserve"> </w:t>
      </w:r>
      <w:r>
        <w:t xml:space="preserve">supplying an increasing demand of biomass for food, materials (e.g., bioplastics, long-lasting</w:t>
      </w:r>
      <w:r>
        <w:t xml:space="preserve"> </w:t>
      </w:r>
      <w:r>
        <w:t xml:space="preserve">wood products) and bioenergy. To ensure environmental integrity, there is a need to</w:t>
      </w:r>
      <w:r>
        <w:t xml:space="preserve"> </w:t>
      </w:r>
      <w:r>
        <w:t xml:space="preserve">understand the status and resilience of terrestrial and marine ecosystems, including their</w:t>
      </w:r>
      <w:r>
        <w:t xml:space="preserve"> </w:t>
      </w:r>
      <w:r>
        <w:t xml:space="preserve">services and related socio-economic costs and benefits.</w:t>
      </w:r>
      <w:r>
        <w:t xml:space="preserve"> </w:t>
      </w:r>
      <w:r>
        <w:t xml:space="preserve">The current policy framework addresses the climate change mitigation potential of sustainable</w:t>
      </w:r>
      <w:r>
        <w:t xml:space="preserve"> </w:t>
      </w:r>
      <w:r>
        <w:t xml:space="preserve">land management practices through national targets. These targets are characterised by a</w:t>
      </w:r>
      <w:r>
        <w:t xml:space="preserve"> </w:t>
      </w:r>
      <w:r>
        <w:t xml:space="preserve">separation between the agriculture sector and the Land Use, Land Use Change and Forestry</w:t>
      </w:r>
      <w:r>
        <w:t xml:space="preserve"> </w:t>
      </w:r>
      <w:r>
        <w:t xml:space="preserve">(LULUCF) sector. The agriculture sector, which corresponds to non-CO2 emissions mainly</w:t>
      </w:r>
      <w:r>
        <w:t xml:space="preserve"> </w:t>
      </w:r>
      <w:r>
        <w:t xml:space="preserve">related to the raising of livestock, the use of fertilisers and the management of manure, is not</w:t>
      </w:r>
      <w:r>
        <w:t xml:space="preserve"> </w:t>
      </w:r>
      <w:r>
        <w:t xml:space="preserve">governed by a specific sectoral target; its emissions are instead included in the national</w:t>
      </w:r>
      <w:r>
        <w:t xml:space="preserve"> </w:t>
      </w:r>
      <w:r>
        <w:t xml:space="preserve">emission targets under the Effort Sharing Regulation together with other sectors. Recently,</w:t>
      </w:r>
      <w:r>
        <w:t xml:space="preserve"> </w:t>
      </w:r>
      <w:r>
        <w:t xml:space="preserve">with the Fit-for-55 revision, Effort Sharing targets underwent a significant increase in</w:t>
      </w:r>
      <w:r>
        <w:t xml:space="preserve"> </w:t>
      </w:r>
      <w:r>
        <w:t xml:space="preserve">ambition: emissions in these sectors will have to be cut by 40% (up from -29%) by 2030 as</w:t>
      </w:r>
    </w:p>
    <w:p>
      <w:pPr>
        <w:pStyle w:val="Compact"/>
        <w:numPr>
          <w:ilvl w:val="0"/>
          <w:numId w:val="1048"/>
        </w:numPr>
      </w:pPr>
      <w:r>
        <w:t xml:space="preserve">European Commission, DG Agriculture and Rural Development, ‘EU agricultural outlook for markets,</w:t>
      </w:r>
      <w:r>
        <w:t xml:space="preserve"> </w:t>
      </w:r>
      <w:r>
        <w:t xml:space="preserve">income and environment, 2022-2032’, Brussels, 2022.</w:t>
      </w:r>
    </w:p>
    <w:p>
      <w:pPr>
        <w:pStyle w:val="Compact"/>
        <w:numPr>
          <w:ilvl w:val="0"/>
          <w:numId w:val="1048"/>
        </w:numPr>
      </w:pPr>
      <w:r>
        <w:t xml:space="preserve">Willet et al., ‘Food in the Anthropocene: the EAT–Lancet Commission on healthy diets from sustainable</w:t>
      </w:r>
      <w:r>
        <w:t xml:space="preserve"> </w:t>
      </w:r>
      <w:r>
        <w:t xml:space="preserve">food systems’, Lancet, 2019.</w:t>
      </w:r>
    </w:p>
    <w:p>
      <w:pPr>
        <w:pStyle w:val="FirstParagraph"/>
      </w:pPr>
      <w:r>
        <w:t xml:space="preserve">54</w:t>
      </w:r>
    </w:p>
    <w:p>
      <w:pPr>
        <w:pStyle w:val="BodyText"/>
      </w:pPr>
      <w:r>
        <w:t xml:space="preserve">compared to 2005 emission levels. The LULUCF sector mainly corresponds to CO2 fluxes</w:t>
      </w:r>
      <w:r>
        <w:t xml:space="preserve"> </w:t>
      </w:r>
      <w:r>
        <w:t xml:space="preserve">(i.e., emissions and removals) between soils, biomass and the atmosphere; with the LULUCF</w:t>
      </w:r>
      <w:r>
        <w:t xml:space="preserve"> </w:t>
      </w:r>
      <w:r>
        <w:t xml:space="preserve">Regulation, the EU has recently agreed on a new target to achieve 310 MtCO2 of net</w:t>
      </w:r>
      <w:r>
        <w:t xml:space="preserve"> </w:t>
      </w:r>
      <w:r>
        <w:t xml:space="preserve">removals in 2030, and this target is distributed across Member States through binding national</w:t>
      </w:r>
      <w:r>
        <w:t xml:space="preserve"> </w:t>
      </w:r>
      <w:r>
        <w:t xml:space="preserve">targets.</w:t>
      </w:r>
      <w:r>
        <w:br/>
      </w:r>
      <w:r>
        <w:t xml:space="preserve">National targets can trickle down to the individual land managers through public-based or</w:t>
      </w:r>
      <w:r>
        <w:t xml:space="preserve"> </w:t>
      </w:r>
      <w:r>
        <w:t xml:space="preserve">market-based incentives to take climate action. The Common Agricultural Policy (2023-2027</w:t>
      </w:r>
      <w:r>
        <w:t xml:space="preserve"> </w:t>
      </w:r>
      <w:r>
        <w:t xml:space="preserve">period), which includes several climate-related obligations and incentives, represents an</w:t>
      </w:r>
      <w:r>
        <w:t xml:space="preserve"> </w:t>
      </w:r>
      <w:r>
        <w:t xml:space="preserve">important budget envelope that Member States can use to support farmers in adopting more</w:t>
      </w:r>
      <w:r>
        <w:t xml:space="preserve"> </w:t>
      </w:r>
      <w:r>
        <w:t xml:space="preserve">sustainable land management practices and to help to achieve those national climate targets.</w:t>
      </w:r>
      <w:r>
        <w:t xml:space="preserve"> </w:t>
      </w:r>
      <w:r>
        <w:t xml:space="preserve">Every EU Member State describes in a national CAP Strategic Plan how it intends to design</w:t>
      </w:r>
      <w:r>
        <w:t xml:space="preserve"> </w:t>
      </w:r>
      <w:r>
        <w:t xml:space="preserve">CAP requirements and interventions to contribute (among others) to the objective of climate</w:t>
      </w:r>
      <w:r>
        <w:t xml:space="preserve"> </w:t>
      </w:r>
      <w:r>
        <w:t xml:space="preserve">mitigation and adaptation. Under the enhanced conditionality, by 2025, land management</w:t>
      </w:r>
      <w:r>
        <w:t xml:space="preserve"> </w:t>
      </w:r>
      <w:r>
        <w:t xml:space="preserve">practices minimising or avoiding carbon release will be applied on agricultural wetlands and</w:t>
      </w:r>
      <w:r>
        <w:t xml:space="preserve"> </w:t>
      </w:r>
      <w:r>
        <w:t xml:space="preserve">peatlands in all EU countries. Member States are planning to support carbon removals and</w:t>
      </w:r>
      <w:r>
        <w:t xml:space="preserve"> </w:t>
      </w:r>
      <w:r>
        <w:t xml:space="preserve">protection, and reduced methane and nitrous oxide from better use, management, and</w:t>
      </w:r>
      <w:r>
        <w:t xml:space="preserve"> </w:t>
      </w:r>
      <w:r>
        <w:t xml:space="preserve">application of fertilisers on 35% of the EU’s utilized agricultural area with practices beyond</w:t>
      </w:r>
      <w:r>
        <w:t xml:space="preserve"> </w:t>
      </w:r>
      <w:r>
        <w:t xml:space="preserve">conditionality. Eco-schemes, agro-environment climate commitments and investments are</w:t>
      </w:r>
      <w:r>
        <w:t xml:space="preserve"> </w:t>
      </w:r>
      <w:r>
        <w:t xml:space="preserve">broadly used to support practices such as agroforestry, afforestation, soil cover and reduced</w:t>
      </w:r>
      <w:r>
        <w:t xml:space="preserve"> </w:t>
      </w:r>
      <w:r>
        <w:t xml:space="preserve">tillage, grassland protection, and management of peatland. Investments in improved manure</w:t>
      </w:r>
      <w:r>
        <w:t xml:space="preserve"> </w:t>
      </w:r>
      <w:r>
        <w:t xml:space="preserve">storage and management, low emission slurry spreading, and anaerobic digesters have been</w:t>
      </w:r>
      <w:r>
        <w:t xml:space="preserve"> </w:t>
      </w:r>
      <w:r>
        <w:t xml:space="preserve">planned to address livestock-related emissions, with some Member States planning other</w:t>
      </w:r>
      <w:r>
        <w:t xml:space="preserve"> </w:t>
      </w:r>
      <w:r>
        <w:t xml:space="preserve">practices such as outdoor grazing, improvement of feeding plans and feed additives. Over</w:t>
      </w:r>
      <w:r>
        <w:t xml:space="preserve"> </w:t>
      </w:r>
      <w:r>
        <w:t xml:space="preserve">600 000 ha are planned to be supported for afforestation, agroforestry, restoration, and</w:t>
      </w:r>
      <w:r>
        <w:t xml:space="preserve"> </w:t>
      </w:r>
      <w:r>
        <w:t xml:space="preserve">creation of landscape features. A specific article in the CAP Strategic Plan Regulation</w:t>
      </w:r>
      <w:r>
        <w:t xml:space="preserve"> </w:t>
      </w:r>
      <w:r>
        <w:t xml:space="preserve">requires Member States to assess whether their CAP Strategic Plan should be amended</w:t>
      </w:r>
      <w:r>
        <w:t xml:space="preserve"> </w:t>
      </w:r>
      <w:r>
        <w:t xml:space="preserve">according to recent agreements on more ambitious EU climate targets for the LULUCF and</w:t>
      </w:r>
      <w:r>
        <w:t xml:space="preserve"> </w:t>
      </w:r>
      <w:r>
        <w:t xml:space="preserve">the Effort Sharing sectors.</w:t>
      </w:r>
      <w:r>
        <w:t xml:space="preserve"> </w:t>
      </w:r>
      <w:r>
        <w:t xml:space="preserve">The upcoming proposal for a legislative framework for sustainable food systems (FSFS) is</w:t>
      </w:r>
      <w:r>
        <w:t xml:space="preserve"> </w:t>
      </w:r>
      <w:r>
        <w:t xml:space="preserve">one of the flagship initiatives of the Farm to Fork Strategy (160). It aims to accelerate and</w:t>
      </w:r>
      <w:r>
        <w:t xml:space="preserve"> </w:t>
      </w:r>
      <w:r>
        <w:t xml:space="preserve">make the transition to sustainable food systems easier while mainstreaming sustainability in</w:t>
      </w:r>
      <w:r>
        <w:t xml:space="preserve"> </w:t>
      </w:r>
      <w:r>
        <w:t xml:space="preserve">all food-related policies and strengthening the resilience of food systems. As a result of a</w:t>
      </w:r>
      <w:r>
        <w:t xml:space="preserve"> </w:t>
      </w:r>
      <w:r>
        <w:t xml:space="preserve">more sustainable food system emissions in the agriculture sector as well as in food processing</w:t>
      </w:r>
      <w:r>
        <w:t xml:space="preserve"> </w:t>
      </w:r>
      <w:r>
        <w:t xml:space="preserve">industry should decline. One important input to the proposal is the independent expert report</w:t>
      </w:r>
      <w:r>
        <w:t xml:space="preserve"> </w:t>
      </w:r>
      <w:r>
        <w:t xml:space="preserve">(161), which highlights the need to decrease the environmental impacts from food production,</w:t>
      </w:r>
      <w:r>
        <w:t xml:space="preserve"> </w:t>
      </w:r>
      <w:r>
        <w:t xml:space="preserve">reduce food waste and loss, and stimulate dietary changes towards healthier and less resource-</w:t>
      </w:r>
      <w:r>
        <w:t xml:space="preserve"> </w:t>
      </w:r>
      <w:r>
        <w:t xml:space="preserve">intensive diets through a combination of various policy measures.</w:t>
      </w:r>
    </w:p>
    <w:p>
      <w:pPr>
        <w:pStyle w:val="Compact"/>
        <w:numPr>
          <w:ilvl w:val="0"/>
          <w:numId w:val="1049"/>
        </w:numPr>
      </w:pPr>
      <w:r>
        <w:t xml:space="preserve">COM(2020) 381 final</w:t>
      </w:r>
    </w:p>
    <w:p>
      <w:pPr>
        <w:pStyle w:val="Compact"/>
        <w:numPr>
          <w:ilvl w:val="0"/>
          <w:numId w:val="1049"/>
        </w:numPr>
      </w:pPr>
      <w:r>
        <w:t xml:space="preserve">European Commission, Directorate-General for Research and Innovation, Group of Chief Scientific</w:t>
      </w:r>
      <w:r>
        <w:t xml:space="preserve"> </w:t>
      </w:r>
      <w:r>
        <w:t xml:space="preserve">Advisors, Towards a sustainable food system – Moving from food as a commodity to food as more of a</w:t>
      </w:r>
      <w:r>
        <w:t xml:space="preserve"> </w:t>
      </w:r>
      <w:r>
        <w:t xml:space="preserve">common</w:t>
      </w:r>
      <w:r>
        <w:t xml:space="preserve"> </w:t>
      </w:r>
      <w:r>
        <w:t xml:space="preserve">good</w:t>
      </w:r>
      <w:r>
        <w:t xml:space="preserve"> </w:t>
      </w:r>
      <w:r>
        <w:t xml:space="preserve">–</w:t>
      </w:r>
      <w:r>
        <w:t xml:space="preserve"> </w:t>
      </w:r>
      <w:r>
        <w:t xml:space="preserve">Independent</w:t>
      </w:r>
      <w:r>
        <w:t xml:space="preserve"> </w:t>
      </w:r>
      <w:r>
        <w:t xml:space="preserve">expert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https://data.europa.eu/doi/10.2777/282386.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Carbon farming is a business model whereby land managers are rewarded for providing</w:t>
      </w:r>
      <w:r>
        <w:t xml:space="preserve"> </w:t>
      </w:r>
      <w:r>
        <w:t xml:space="preserve">carbon sequestration. To enable this approach, the Commission has proposed an EU-wide</w:t>
      </w:r>
      <w:r>
        <w:t xml:space="preserve"> </w:t>
      </w:r>
      <w:r>
        <w:t xml:space="preserve">voluntary framework for the certification of carbon removals, as a tool to reliably monitor,</w:t>
      </w:r>
      <w:r>
        <w:t xml:space="preserve"> </w:t>
      </w:r>
      <w:r>
        <w:t xml:space="preserve">report, and verify (MRV) high-quality carbon removals that deliver unambiguous climate</w:t>
      </w:r>
      <w:r>
        <w:t xml:space="preserve"> </w:t>
      </w:r>
      <w:r>
        <w:t xml:space="preserve">benefits and have the potential to also deliver on biodiversity and restoration of ecosystem</w:t>
      </w:r>
      <w:r>
        <w:t xml:space="preserve"> </w:t>
      </w:r>
      <w:r>
        <w:t xml:space="preserve">services. The proposed framework can create innovative business opportunities for land</w:t>
      </w:r>
      <w:r>
        <w:t xml:space="preserve"> </w:t>
      </w:r>
      <w:r>
        <w:t xml:space="preserve">managers, but only if the resulting carbon removals are credible and trustworthy, so that they</w:t>
      </w:r>
      <w:r>
        <w:t xml:space="preserve"> </w:t>
      </w:r>
      <w:r>
        <w:t xml:space="preserve">can attract private and public financial support. Carbon farming will provide farmers,</w:t>
      </w:r>
      <w:r>
        <w:t xml:space="preserve"> </w:t>
      </w:r>
      <w:r>
        <w:t xml:space="preserve">foresters, and other land managers with an additional source of income in exchange for</w:t>
      </w:r>
      <w:r>
        <w:t xml:space="preserve"> </w:t>
      </w:r>
      <w:r>
        <w:t xml:space="preserve">storing carbon in the soil, trees, shrubs, wetlands, and peatlands. The proposal requires that</w:t>
      </w:r>
      <w:r>
        <w:t xml:space="preserve"> </w:t>
      </w:r>
      <w:r>
        <w:t xml:space="preserve">carbon farming does not harm other environmental objectives and encourages the delivery of</w:t>
      </w:r>
      <w:r>
        <w:t xml:space="preserve"> </w:t>
      </w:r>
      <w:r>
        <w:t xml:space="preserve">environmental co-benefits, such as on biodiversity and the provision of ecosystem services.</w:t>
      </w:r>
      <w:r>
        <w:t xml:space="preserve"> </w:t>
      </w:r>
      <w:r>
        <w:t xml:space="preserve">Once the Regulation enters into force, the EU-level quality criteria and verification rules will</w:t>
      </w:r>
      <w:r>
        <w:t xml:space="preserve"> </w:t>
      </w:r>
      <w:r>
        <w:t xml:space="preserve">be further operationalised through technical certification methodologies adopted by the</w:t>
      </w:r>
      <w:r>
        <w:t xml:space="preserve"> </w:t>
      </w:r>
      <w:r>
        <w:t xml:space="preserve">Commission, in the forms of Delegated Acts, tailored to the different types of carbon removal</w:t>
      </w:r>
      <w:r>
        <w:t xml:space="preserve"> </w:t>
      </w:r>
      <w:r>
        <w:t xml:space="preserve">activities. To this end, the Commission has established an Expert Group on Carbon</w:t>
      </w:r>
      <w:r>
        <w:t xml:space="preserve"> </w:t>
      </w:r>
      <w:r>
        <w:t xml:space="preserve">Removals, which will assist the Commission to map out best practices on certification</w:t>
      </w:r>
      <w:r>
        <w:t xml:space="preserve"> </w:t>
      </w:r>
      <w:r>
        <w:t xml:space="preserve">methodologies for carbon removals, ensuring full and close involvement of civil society.</w:t>
      </w:r>
      <w:r>
        <w:br/>
      </w:r>
      <w:r>
        <w:t xml:space="preserve">4.2</w:t>
      </w:r>
      <w:r>
        <w:t xml:space="preserve"> </w:t>
      </w:r>
      <w:r>
        <w:t xml:space="preserve">Reducing GHG emissions from the land sector</w:t>
      </w:r>
      <w:r>
        <w:t xml:space="preserve"> </w:t>
      </w:r>
      <w:r>
        <w:t xml:space="preserve">4.2.1 Agricultural emissions</w:t>
      </w:r>
      <w:r>
        <w:t xml:space="preserve"> </w:t>
      </w:r>
      <w:r>
        <w:t xml:space="preserve">GHGs emitted from agricultural activities include non-CO2 emissions such as methane (CH4)</w:t>
      </w:r>
      <w:r>
        <w:t xml:space="preserve"> </w:t>
      </w:r>
      <w:r>
        <w:t xml:space="preserve">and nitrous oxide (N2O). Most of these non-CO2 emissions come from the livestock digestion</w:t>
      </w:r>
      <w:r>
        <w:t xml:space="preserve"> </w:t>
      </w:r>
      <w:r>
        <w:t xml:space="preserve">process, the management of manure, and the use of fertilisers. Over the last decade, the</w:t>
      </w:r>
      <w:r>
        <w:t xml:space="preserve"> </w:t>
      </w:r>
      <w:r>
        <w:t xml:space="preserve">agricultural sector has not reduced its absolute GHG emissions, although increasing</w:t>
      </w:r>
      <w:r>
        <w:t xml:space="preserve"> </w:t>
      </w:r>
      <w:r>
        <w:t xml:space="preserve">production efficiencies have led to reduced GHG emissions per unit produced. Practices to</w:t>
      </w:r>
      <w:r>
        <w:t xml:space="preserve"> </w:t>
      </w:r>
      <w:r>
        <w:t xml:space="preserve">reduce methane emissions from enteric fermentation should focus on breeding to reduce</w:t>
      </w:r>
      <w:r>
        <w:t xml:space="preserve"> </w:t>
      </w:r>
      <w:r>
        <w:t xml:space="preserve">methane intensity and improve animal health and fertility, optimising feed management and</w:t>
      </w:r>
      <w:r>
        <w:t xml:space="preserve"> </w:t>
      </w:r>
      <w:r>
        <w:t xml:space="preserve">use of pastures/grazing, and using appropriate feed additives. The best way to reduce fertiliser</w:t>
      </w:r>
      <w:r>
        <w:t xml:space="preserve"> </w:t>
      </w:r>
      <w:r>
        <w:t xml:space="preserve">emissions is to optimise the fertilisation process, mainly through a precise selection of the</w:t>
      </w:r>
      <w:r>
        <w:t xml:space="preserve"> </w:t>
      </w:r>
      <w:r>
        <w:t xml:space="preserve">fertiliser dose in space and time (precision agriculture); other options include management</w:t>
      </w:r>
      <w:r>
        <w:t xml:space="preserve"> </w:t>
      </w:r>
      <w:r>
        <w:t xml:space="preserve">practices beneficial for the nutrient cycle and soil, such as using legume crops or pastures in</w:t>
      </w:r>
      <w:r>
        <w:t xml:space="preserve"> </w:t>
      </w:r>
      <w:r>
        <w:t xml:space="preserve">rotation instead of nitrogen fertiliser, catch and cover crops or practicing minimum tillage for</w:t>
      </w:r>
      <w:r>
        <w:t xml:space="preserve"> </w:t>
      </w:r>
      <w:r>
        <w:t xml:space="preserve">cropping. Techniques to decrease manure-related emissions are cooling slurry, slurry</w:t>
      </w:r>
      <w:r>
        <w:t xml:space="preserve"> </w:t>
      </w:r>
      <w:r>
        <w:t xml:space="preserve">acidification, covering manure and slurry stores, anaerobic digestion with biogas recovery for</w:t>
      </w:r>
      <w:r>
        <w:t xml:space="preserve"> </w:t>
      </w:r>
      <w:r>
        <w:t xml:space="preserve">renewable energy, improvements in the housing of livestock.</w:t>
      </w:r>
      <w:r>
        <w:t xml:space="preserve"> </w:t>
      </w:r>
      <w:r>
        <w:t xml:space="preserve">4.2.2 Halt and reverse the loss of soil carbon</w:t>
      </w:r>
      <w:r>
        <w:br/>
      </w:r>
      <w:r>
        <w:t xml:space="preserve">Besides creating non-CO2 emissions, agricultural activities may cause a loss of carbon from</w:t>
      </w:r>
      <w:r>
        <w:t xml:space="preserve"> </w:t>
      </w:r>
      <w:r>
        <w:t xml:space="preserve">soils due to the use of land as cropland and grassland. Overall, EU soils are losing carbon. In</w:t>
      </w:r>
      <w:r>
        <w:t xml:space="preserve"> </w:t>
      </w:r>
      <w:r>
        <w:t xml:space="preserve">2019, Member States reported net emissions of 108 MtCO2 from organic soil and net</w:t>
      </w:r>
      <w:r>
        <w:t xml:space="preserve"> </w:t>
      </w:r>
      <w:r>
        <w:t xml:space="preserve">removals of 44 MtCO2 from mineral soil. The IPCC (162) cites afforestation, enhanced</w:t>
      </w:r>
    </w:p>
    <w:p>
      <w:pPr>
        <w:pStyle w:val="Compact"/>
        <w:numPr>
          <w:ilvl w:val="0"/>
          <w:numId w:val="1050"/>
        </w:numPr>
      </w:pPr>
      <w:r>
        <w:t xml:space="preserve">IPCC AR6 WG III Full Report, 2022, Mitigation of Climate Change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sequestration in cropland and grasslands, use of biochar, peatland and costal wetland</w:t>
      </w:r>
      <w:r>
        <w:t xml:space="preserve"> </w:t>
      </w:r>
      <w:r>
        <w:t xml:space="preserve">restoration and agroforestry as mitigation options with a positive impact on soil carbon</w:t>
      </w:r>
      <w:r>
        <w:t xml:space="preserve"> </w:t>
      </w:r>
      <w:r>
        <w:t xml:space="preserve">storage. These nature-based removals can provide important co-benefits such as better</w:t>
      </w:r>
      <w:r>
        <w:t xml:space="preserve"> </w:t>
      </w:r>
      <w:r>
        <w:t xml:space="preserve">resilience to climate change (in particular, droughts and floods) improved soil quality,</w:t>
      </w:r>
      <w:r>
        <w:t xml:space="preserve"> </w:t>
      </w:r>
      <w:r>
        <w:t xml:space="preserve">increased crop yields, improved biodiversity and reduced N2O and CH4 emissions, when</w:t>
      </w:r>
      <w:r>
        <w:t xml:space="preserve"> </w:t>
      </w:r>
      <w:r>
        <w:t xml:space="preserve">implemented properly (163). However, the solutions can also lead to increased competition for</w:t>
      </w:r>
      <w:r>
        <w:t xml:space="preserve"> </w:t>
      </w:r>
      <w:r>
        <w:t xml:space="preserve">land and negative impacts on food production (with consequent risks for food security) and on</w:t>
      </w:r>
      <w:r>
        <w:t xml:space="preserve"> </w:t>
      </w:r>
      <w:r>
        <w:t xml:space="preserve">biodiversity, as well as increase N2O and CH4 emissions and the risk of subsequent loss of</w:t>
      </w:r>
      <w:r>
        <w:t xml:space="preserve"> </w:t>
      </w:r>
      <w:r>
        <w:t xml:space="preserve">sequestered carbon due to climate change and future disturbances (164).</w:t>
      </w:r>
      <w:r>
        <w:t xml:space="preserve"> </w:t>
      </w:r>
      <w:r>
        <w:t xml:space="preserve">4.2.3 Increase forest carbon sinks</w:t>
      </w:r>
      <w:r>
        <w:br/>
      </w:r>
      <w:r>
        <w:t xml:space="preserve">The capacity of EU forests to sequester carbon has been rapidly declining: EU forests only</w:t>
      </w:r>
      <w:r>
        <w:t xml:space="preserve"> </w:t>
      </w:r>
      <w:r>
        <w:t xml:space="preserve">absorbed 256 MtCO2 in 2020, down from 320 MtCO2 in 2016 and 357 MtCO2 in 2013. The</w:t>
      </w:r>
      <w:r>
        <w:t xml:space="preserve"> </w:t>
      </w:r>
      <w:r>
        <w:t xml:space="preserve">decline in the forest sink can be attributed to an increase in wood demand, an increasing share</w:t>
      </w:r>
      <w:r>
        <w:t xml:space="preserve"> </w:t>
      </w:r>
      <w:r>
        <w:t xml:space="preserve">of forests reaching harvest maturity, and an increase in natural disturbances (165). To reverse</w:t>
      </w:r>
      <w:r>
        <w:t xml:space="preserve"> </w:t>
      </w:r>
      <w:r>
        <w:t xml:space="preserve">this trend, it is important to consider mitigation options in the LULUCF sector such as</w:t>
      </w:r>
      <w:r>
        <w:t xml:space="preserve"> </w:t>
      </w:r>
      <w:r>
        <w:t xml:space="preserve">improved forest management, afforestation, rewetting, and emission reduction on agricultural</w:t>
      </w:r>
      <w:r>
        <w:t xml:space="preserve"> </w:t>
      </w:r>
      <w:r>
        <w:t xml:space="preserve">land, while ensuring that any new forest is composed of mixes of species that can be resilient</w:t>
      </w:r>
      <w:r>
        <w:t xml:space="preserve"> </w:t>
      </w:r>
      <w:r>
        <w:t xml:space="preserve">in the face of climate change.</w:t>
      </w:r>
      <w:r>
        <w:t xml:space="preserve"> </w:t>
      </w:r>
      <w:r>
        <w:t xml:space="preserve">4.3</w:t>
      </w:r>
      <w:r>
        <w:t xml:space="preserve"> </w:t>
      </w:r>
      <w:r>
        <w:t xml:space="preserve">Preserve and restore biodiverse ecosystems</w:t>
      </w:r>
      <w:r>
        <w:br/>
      </w:r>
      <w:r>
        <w:t xml:space="preserve">Climate change and biodiversity loss are two of the most pressing issues of the Anthropocene.</w:t>
      </w:r>
      <w:r>
        <w:t xml:space="preserve"> </w:t>
      </w:r>
      <w:r>
        <w:t xml:space="preserve">The rapid decline of biodiversity and changes in climate are interdependent: they share</w:t>
      </w:r>
      <w:r>
        <w:t xml:space="preserve"> </w:t>
      </w:r>
      <w:r>
        <w:t xml:space="preserve">underlying direct and indirect drivers, they interact and are mutually reinforcing. Furthermore,</w:t>
      </w:r>
      <w:r>
        <w:t xml:space="preserve"> </w:t>
      </w:r>
      <w:r>
        <w:t xml:space="preserve">both can have cascading and complex effects that impact people’s quality of life and</w:t>
      </w:r>
      <w:r>
        <w:t xml:space="preserve"> </w:t>
      </w:r>
      <w:r>
        <w:t xml:space="preserve">compromise societal goals.</w:t>
      </w:r>
      <w:r>
        <w:br/>
      </w:r>
      <w:r>
        <w:t xml:space="preserve">Climate change is one of the five main drivers of global biodiversity loss, with change of land</w:t>
      </w:r>
      <w:r>
        <w:t xml:space="preserve"> </w:t>
      </w:r>
      <w:r>
        <w:t xml:space="preserve">and sea use, direct exploitation, pollution, and invasive alien species (166). At the same time,</w:t>
      </w:r>
      <w:r>
        <w:t xml:space="preserve"> </w:t>
      </w:r>
      <w:r>
        <w:t xml:space="preserve">biodiversity is an essential ally to fight climate change. Healthy ecosystems deliver services</w:t>
      </w:r>
      <w:r>
        <w:t xml:space="preserve"> </w:t>
      </w:r>
      <w:r>
        <w:t xml:space="preserve">that are key for climate mitigation and adaptation (protection against floods, droughts, urban</w:t>
      </w:r>
      <w:r>
        <w:t xml:space="preserve"> </w:t>
      </w:r>
      <w:r>
        <w:t xml:space="preserve">heat and desertification, water retention, air, and water purification). However, it should be</w:t>
      </w:r>
      <w:r>
        <w:t xml:space="preserve"> </w:t>
      </w:r>
      <w:r>
        <w:t xml:space="preserve">noted that climate change is not the only factor threatening ecosystems. For instance, certain</w:t>
      </w:r>
      <w:r>
        <w:t xml:space="preserve"> </w:t>
      </w:r>
      <w:r>
        <w:t xml:space="preserve">forestry practices may be beneficial to store carbon but can exacerbate the risks of extreme</w:t>
      </w:r>
      <w:r>
        <w:t xml:space="preserve"> </w:t>
      </w:r>
      <w:r>
        <w:t xml:space="preserve">weather events, such as forest fires or plagues (167). More biodiverse forests are more resilient,</w:t>
      </w:r>
    </w:p>
    <w:p>
      <w:pPr>
        <w:pStyle w:val="Compact"/>
        <w:numPr>
          <w:ilvl w:val="0"/>
          <w:numId w:val="1051"/>
        </w:numPr>
      </w:pPr>
      <w:r>
        <w:t xml:space="preserve">European Environment Agency, Briefing no. 14/2022, Soil carbon, 2022. doi: 10.2800/822511</w:t>
      </w:r>
    </w:p>
    <w:p>
      <w:pPr>
        <w:pStyle w:val="Compact"/>
        <w:numPr>
          <w:ilvl w:val="0"/>
          <w:numId w:val="1051"/>
        </w:numPr>
      </w:pPr>
      <w:r>
        <w:t xml:space="preserve">IPCC, 2022, IPCC 6 Assessment Report, WG3, Chapter 12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SWD(2021) 609 final</w:t>
      </w:r>
    </w:p>
    <w:p>
      <w:pPr>
        <w:pStyle w:val="Compact"/>
        <w:numPr>
          <w:ilvl w:val="0"/>
          <w:numId w:val="1051"/>
        </w:numPr>
      </w:pPr>
      <w:r>
        <w:t xml:space="preserve">IPBES (2019). Global assessment report on biodiversity and ecosystem services of the Intergovernmental</w:t>
      </w:r>
      <w:r>
        <w:t xml:space="preserve"> </w:t>
      </w:r>
      <w:r>
        <w:t xml:space="preserve">Science-Policy</w:t>
      </w:r>
      <w:r>
        <w:t xml:space="preserve"> </w:t>
      </w:r>
      <w:r>
        <w:t xml:space="preserve">Platform</w:t>
      </w:r>
      <w:r>
        <w:t xml:space="preserve"> </w:t>
      </w:r>
      <w:r>
        <w:t xml:space="preserve">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(Version</w:t>
      </w:r>
      <w:r>
        <w:t xml:space="preserve"> </w:t>
      </w:r>
      <w:r>
        <w:t xml:space="preserve">1).</w:t>
      </w:r>
      <w:r>
        <w:t xml:space="preserve"> </w:t>
      </w:r>
      <w:r>
        <w:t xml:space="preserve">Zenodo.</w:t>
      </w:r>
      <w:r>
        <w:t xml:space="preserve"> </w:t>
      </w:r>
      <w:r>
        <w:t xml:space="preserve">https://doi.org/10.5281/zenodo.6417333</w:t>
      </w:r>
    </w:p>
    <w:p>
      <w:pPr>
        <w:pStyle w:val="Compact"/>
        <w:numPr>
          <w:ilvl w:val="0"/>
          <w:numId w:val="1051"/>
        </w:numPr>
      </w:pPr>
      <w:r>
        <w:t xml:space="preserve">Robbie S.H. Johnson, Younes Alila (2023). Nonstationary stochastic paired watershed approach:</w:t>
      </w:r>
      <w:r>
        <w:t xml:space="preserve"> </w:t>
      </w:r>
      <w:r>
        <w:t xml:space="preserve">Investigating forest harvesting effects on floods in two large, nested, and snow-dominated watersheds in</w:t>
      </w:r>
      <w:r>
        <w:t xml:space="preserve"> </w:t>
      </w:r>
      <w:r>
        <w:t xml:space="preserve">British Columbia, Canada, Journal of Hydrology, Volume 625, Part A, 129970, ISSN 0022-1694,</w:t>
      </w:r>
      <w:r>
        <w:t xml:space="preserve"> </w:t>
      </w:r>
      <w:r>
        <w:t xml:space="preserve">https://doi.org/10.1016/j.jhydrol.2023.129970.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multifunctional, productive, deliver more ecosystem services and even capture more</w:t>
      </w:r>
      <w:r>
        <w:t xml:space="preserve"> </w:t>
      </w:r>
      <w:r>
        <w:t xml:space="preserve">carbon (168) (169).</w:t>
      </w:r>
      <w:r>
        <w:t xml:space="preserve"> </w:t>
      </w:r>
      <w:r>
        <w:t xml:space="preserve">Nature-based solutions are actions to protect, conserve, restore, sustainably use, and manage</w:t>
      </w:r>
      <w:r>
        <w:t xml:space="preserve"> </w:t>
      </w:r>
      <w:r>
        <w:t xml:space="preserve">natural or modified terrestrial, freshwater, coastal and marine ecosystems which address</w:t>
      </w:r>
      <w:r>
        <w:t xml:space="preserve"> </w:t>
      </w:r>
      <w:r>
        <w:t xml:space="preserve">social, economic, and environmental challenges effectively and adaptively, while</w:t>
      </w:r>
      <w:r>
        <w:t xml:space="preserve"> </w:t>
      </w:r>
      <w:r>
        <w:t xml:space="preserve">simultaneously providing human well-being, ecosystem services, resilience, and biodiversity</w:t>
      </w:r>
      <w:r>
        <w:t xml:space="preserve"> </w:t>
      </w:r>
      <w:r>
        <w:t xml:space="preserve">benefits (170). In that sense, nature-based solutions not only help to mitigate climate change</w:t>
      </w:r>
      <w:r>
        <w:t xml:space="preserve"> </w:t>
      </w:r>
      <w:r>
        <w:t xml:space="preserve">but also can directly provide additional benefits to biodiversity and people (171). Examples of</w:t>
      </w:r>
      <w:r>
        <w:t xml:space="preserve"> </w:t>
      </w:r>
      <w:r>
        <w:t xml:space="preserve">concrete nature-based solutions are conserving forests and ecosystems, and ecosystem</w:t>
      </w:r>
      <w:r>
        <w:t xml:space="preserve"> </w:t>
      </w:r>
      <w:r>
        <w:t xml:space="preserve">restoration, reforestation, and afforestation. The IPCC highlights that nature-based solutions</w:t>
      </w:r>
      <w:r>
        <w:t xml:space="preserve"> </w:t>
      </w:r>
      <w:r>
        <w:t xml:space="preserve">have greater likelihood of being successful than other mitigation measures on agriculture,</w:t>
      </w:r>
      <w:r>
        <w:t xml:space="preserve"> </w:t>
      </w:r>
      <w:r>
        <w:t xml:space="preserve">forestry and land-use, whose rapid deployment is essential to reach the 1.5°C</w:t>
      </w:r>
      <w:r>
        <w:t xml:space="preserve"> </w:t>
      </w:r>
      <w:r>
        <w:t xml:space="preserve">target (172).Biodiversity-friendly climate strategies, far from leading to additional costs, are</w:t>
      </w:r>
      <w:r>
        <w:t xml:space="preserve"> </w:t>
      </w:r>
      <w:r>
        <w:t xml:space="preserve">often a more economical approach than mitigation that does not take environmental protection</w:t>
      </w:r>
      <w:r>
        <w:t xml:space="preserve"> </w:t>
      </w:r>
      <w:r>
        <w:t xml:space="preserve">into account (173), thanks to the synergies generated and the socio-economic costs avoided</w:t>
      </w:r>
      <w:r>
        <w:t xml:space="preserve"> </w:t>
      </w:r>
      <w:r>
        <w:t xml:space="preserve">from degraded ecosystems (174).</w:t>
      </w:r>
      <w:r>
        <w:br/>
      </w:r>
      <w:r>
        <w:t xml:space="preserve">The EU has launched several initiatives to preserve and restore biodiverse ecosystems. The</w:t>
      </w:r>
      <w:r>
        <w:t xml:space="preserve"> </w:t>
      </w:r>
      <w:r>
        <w:t xml:space="preserve">EU Biodiversity Strategy for 2030 (175) is a part of the European Green Deal and focuses on</w:t>
      </w:r>
      <w:r>
        <w:t xml:space="preserve"> </w:t>
      </w:r>
      <w:r>
        <w:t xml:space="preserve">halting biodiversity loss, protect areas at land and at sea, restoring degraded ecosystems, and</w:t>
      </w:r>
      <w:r>
        <w:t xml:space="preserve"> </w:t>
      </w:r>
      <w:r>
        <w:t xml:space="preserve">introduce measures to enable the necessary transformative changes as well as to tackle the</w:t>
      </w:r>
      <w:r>
        <w:t xml:space="preserve"> </w:t>
      </w:r>
      <w:r>
        <w:t xml:space="preserve">global biodiversity challenge. The EU Forest Strategy for 2030 (176) builds on the EU</w:t>
      </w:r>
      <w:r>
        <w:t xml:space="preserve"> </w:t>
      </w:r>
      <w:r>
        <w:t xml:space="preserve">biodiversity strategy for 2030 and sets a vision and concrete actions to improve the quantity</w:t>
      </w:r>
      <w:r>
        <w:t xml:space="preserve"> </w:t>
      </w:r>
      <w:r>
        <w:t xml:space="preserve">and quality of EU forests and strengthen their protection, restoration, and resilience. It aims to</w:t>
      </w:r>
      <w:r>
        <w:t xml:space="preserve"> </w:t>
      </w:r>
      <w:r>
        <w:t xml:space="preserve">restore and enlarge the EU’s forests to combat climate change but also to reverse biodiversity</w:t>
      </w:r>
      <w:r>
        <w:t xml:space="preserve"> </w:t>
      </w:r>
      <w:r>
        <w:t xml:space="preserve">loss and ensure resilient and multifunctional forest ecosystems. The strategy is designed to</w:t>
      </w:r>
    </w:p>
    <w:p>
      <w:pPr>
        <w:pStyle w:val="Compact"/>
        <w:numPr>
          <w:ilvl w:val="0"/>
          <w:numId w:val="1052"/>
        </w:numPr>
      </w:pPr>
      <w:r>
        <w:t xml:space="preserve">Lewis, S.L., Wheeler, Ch.E.; Mitchard, E.T.A. and Kock, A. (2019). “Restoring natural forests is the best</w:t>
      </w:r>
      <w:r>
        <w:t xml:space="preserve"> </w:t>
      </w:r>
      <w:r>
        <w:t xml:space="preserve">way to remove atmospheric carbon, in Nature, 68, 25-28, https://doi.org/10.1038/d41586-019-01026-8.</w:t>
      </w:r>
    </w:p>
    <w:p>
      <w:pPr>
        <w:pStyle w:val="Compact"/>
        <w:numPr>
          <w:ilvl w:val="0"/>
          <w:numId w:val="1052"/>
        </w:numPr>
      </w:pPr>
      <w:r>
        <w:t xml:space="preserve">Pukkala, T. (2016). Which type of forest management provides most ecosystem services? Forest Ecosystems</w:t>
      </w:r>
      <w:r>
        <w:t xml:space="preserve"> </w:t>
      </w:r>
      <w:r>
        <w:t xml:space="preserve">3, 1-16.</w:t>
      </w:r>
    </w:p>
    <w:p>
      <w:pPr>
        <w:pStyle w:val="Compact"/>
        <w:numPr>
          <w:ilvl w:val="0"/>
          <w:numId w:val="1052"/>
        </w:numPr>
      </w:pPr>
      <w:r>
        <w:t xml:space="preserve">UNEA (2022). Nature-based solutions for supporting sustainable development. UNEP/EA.5/Res.5.</w:t>
      </w:r>
      <w:r>
        <w:t xml:space="preserve"> </w:t>
      </w:r>
      <w:r>
        <w:t xml:space="preserve">Available at: https://wedocs.unep.org/20.500.11822/39864.</w:t>
      </w:r>
    </w:p>
    <w:p>
      <w:pPr>
        <w:pStyle w:val="Compact"/>
        <w:numPr>
          <w:ilvl w:val="0"/>
          <w:numId w:val="1052"/>
        </w:numPr>
      </w:pPr>
      <w:r>
        <w:t xml:space="preserve">Seddon, N. et al. (2020). ‘Global recognition of the importance of nature-based solutions to the impacts of</w:t>
      </w:r>
      <w:r>
        <w:t xml:space="preserve"> </w:t>
      </w:r>
      <w:r>
        <w:t xml:space="preserve">climate change’, Global Sustainability, 3, p. e15. Available at: https://doi.org/10.1017/sus.2020.8.</w:t>
      </w:r>
    </w:p>
    <w:p>
      <w:pPr>
        <w:pStyle w:val="Compact"/>
        <w:numPr>
          <w:ilvl w:val="0"/>
          <w:numId w:val="1052"/>
        </w:numPr>
      </w:pPr>
      <w:r>
        <w:t xml:space="preserve">IPCC (2022). Climate Change 2022: Mitigation of Climate Change. Contribution of Working Group III to</w:t>
      </w:r>
      <w:r>
        <w:t xml:space="preserve"> </w:t>
      </w:r>
      <w:r>
        <w:t xml:space="preserve">the Sixth Assessment Report of the Intergovernmental Panel on Climate Change. Available at:</w:t>
      </w:r>
      <w:r>
        <w:t xml:space="preserve"> </w:t>
      </w:r>
      <w:r>
        <w:t xml:space="preserve">https://www.ipcc.ch/report/ar6/wg3/.</w:t>
      </w:r>
    </w:p>
    <w:p>
      <w:pPr>
        <w:pStyle w:val="Compact"/>
        <w:numPr>
          <w:ilvl w:val="0"/>
          <w:numId w:val="1052"/>
        </w:numPr>
      </w:pPr>
      <w:r>
        <w:t xml:space="preserve">Strassburg, B.B.N. et al. (2018). ‘Strategic approaches to restoring ecosystems can triple conservation gains</w:t>
      </w:r>
      <w:r>
        <w:t xml:space="preserve"> </w:t>
      </w:r>
      <w:r>
        <w:t xml:space="preserve">and halve costs’, Nature Ecology &amp; Evolution, 3(1), pp. 62–70. Available at:</w:t>
      </w:r>
      <w:r>
        <w:t xml:space="preserve"> </w:t>
      </w:r>
      <w:r>
        <w:t xml:space="preserve">https://doi.org/10.1038/s41559-018-0743-8.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Pörtner, H.-O. et al. (2023) ‘Overcoming the coupled climate and biodiversity crises and their societal</w:t>
      </w:r>
      <w:r>
        <w:t xml:space="preserve"> </w:t>
      </w:r>
      <w:r>
        <w:t xml:space="preserve">impacts’, Science, 380(6642), p. eabl4881. Available at: https://doi.org/10.1126/science.abl4881</w:t>
      </w:r>
    </w:p>
    <w:p>
      <w:pPr>
        <w:pStyle w:val="Compact"/>
        <w:numPr>
          <w:ilvl w:val="0"/>
          <w:numId w:val="1052"/>
        </w:numPr>
      </w:pPr>
      <w:r>
        <w:t xml:space="preserve">COM(2020) 380 final</w:t>
      </w:r>
    </w:p>
    <w:p>
      <w:pPr>
        <w:pStyle w:val="Compact"/>
        <w:numPr>
          <w:ilvl w:val="0"/>
          <w:numId w:val="1052"/>
        </w:numPr>
      </w:pPr>
      <w:r>
        <w:t xml:space="preserve">COM(2021) 572 final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address various challenges and opportunities related to forests, including environmental,</w:t>
      </w:r>
      <w:r>
        <w:t xml:space="preserve"> </w:t>
      </w:r>
      <w:r>
        <w:t xml:space="preserve">economic, and social aspects. Part of the strategy therefore is to promote the sustainable forest</w:t>
      </w:r>
      <w:r>
        <w:t xml:space="preserve"> </w:t>
      </w:r>
      <w:r>
        <w:t xml:space="preserve">bioeconomy for long-lived wood products, ensure the sustainable use of wood-based</w:t>
      </w:r>
      <w:r>
        <w:t xml:space="preserve"> </w:t>
      </w:r>
      <w:r>
        <w:t xml:space="preserve">resources for bioenergy and the re- and afforestation of biodiverse forests.</w:t>
      </w:r>
      <w:r>
        <w:t xml:space="preserve"> </w:t>
      </w:r>
      <w:r>
        <w:t xml:space="preserve">The proposal for a Directive on Soil Monitoring and Resilience (177) is also part of the EU</w:t>
      </w:r>
      <w:r>
        <w:t xml:space="preserve"> </w:t>
      </w:r>
      <w:r>
        <w:t xml:space="preserve">Biodiversity Strategy for 2030 and was proposed to ensure a level playing field and a high</w:t>
      </w:r>
      <w:r>
        <w:t xml:space="preserve"> </w:t>
      </w:r>
      <w:r>
        <w:t xml:space="preserve">level of environmental and health protection. More specifically, the proposed Soil Monitoring</w:t>
      </w:r>
      <w:r>
        <w:t xml:space="preserve"> </w:t>
      </w:r>
      <w:r>
        <w:t xml:space="preserve">Law aims to address key soil threats in the EU, such as erosion, floods and landslides, loss of</w:t>
      </w:r>
      <w:r>
        <w:t xml:space="preserve"> </w:t>
      </w:r>
      <w:r>
        <w:t xml:space="preserve">soil organic matter, salinisation, contamination, compaction, sealing, as well as loss of soil</w:t>
      </w:r>
      <w:r>
        <w:t xml:space="preserve"> </w:t>
      </w:r>
      <w:r>
        <w:t xml:space="preserve">biodiversity.</w:t>
      </w:r>
      <w:r>
        <w:t xml:space="preserve"> </w:t>
      </w:r>
      <w:r>
        <w:t xml:space="preserve">4.4</w:t>
      </w:r>
      <w:r>
        <w:t xml:space="preserve"> </w:t>
      </w:r>
      <w:r>
        <w:t xml:space="preserve">Investment needs for biodiversity and a sustainable and circular bioeconomy</w:t>
      </w:r>
      <w:r>
        <w:t xml:space="preserve"> </w:t>
      </w:r>
      <w:r>
        <w:t xml:space="preserve">The Bioeconomyy Strategy Progress Report 2022 (178) which was delivered in response to the</w:t>
      </w:r>
      <w:r>
        <w:t xml:space="preserve"> </w:t>
      </w:r>
      <w:r>
        <w:t xml:space="preserve">updated EU bioeconomy strategy (179) emphasizes that EUR 2.7 billion of private investment</w:t>
      </w:r>
      <w:r>
        <w:t xml:space="preserve"> </w:t>
      </w:r>
      <w:r>
        <w:t xml:space="preserve">has been unlocked to bio-based industries, which helped to develop new technologies for</w:t>
      </w:r>
      <w:r>
        <w:t xml:space="preserve"> </w:t>
      </w:r>
      <w:r>
        <w:t xml:space="preserve">sustainable and circular bio-based value chains. However, pressure on ecosystems is</w:t>
      </w:r>
      <w:r>
        <w:t xml:space="preserve"> </w:t>
      </w:r>
      <w:r>
        <w:t xml:space="preserve">increasing and more action is needed. Most importantly, future bioeconomy needs to develop</w:t>
      </w:r>
      <w:r>
        <w:t xml:space="preserve"> </w:t>
      </w:r>
      <w:r>
        <w:t xml:space="preserve">solutions on how to better manage land and biomass demands (180) and make consumption</w:t>
      </w:r>
      <w:r>
        <w:t xml:space="preserve"> </w:t>
      </w:r>
      <w:r>
        <w:t xml:space="preserve">patterns more sustainable.</w:t>
      </w:r>
      <w:r>
        <w:br/>
      </w:r>
      <w:r>
        <w:t xml:space="preserve">Annual financing need for biodiversity protection and restoration reaches up to EUR 48</w:t>
      </w:r>
      <w:r>
        <w:t xml:space="preserve"> </w:t>
      </w:r>
      <w:r>
        <w:t xml:space="preserve">billion per year to 2030, with a foreseen gap of around EUR 19 billion, with implications</w:t>
      </w:r>
      <w:r>
        <w:t xml:space="preserve"> </w:t>
      </w:r>
      <w:r>
        <w:t xml:space="preserve">beyond 2030. As part of this, nature restoration investments of EUR 8-15 billion per year,</w:t>
      </w:r>
      <w:r>
        <w:t xml:space="preserve"> </w:t>
      </w:r>
      <w:r>
        <w:t xml:space="preserve">need to be maintained up to 2050 (181). These investments are also necessary to increase the</w:t>
      </w:r>
      <w:r>
        <w:t xml:space="preserve"> </w:t>
      </w:r>
      <w:r>
        <w:t xml:space="preserve">carbon removal capacity and the resilience of ecosystems.</w:t>
      </w:r>
      <w:r>
        <w:t xml:space="preserve"> </w:t>
      </w:r>
      <w:r>
        <w:t xml:space="preserve">4.4.1 Towards biodiversity credits and payment for ecosystem services (PES)</w:t>
      </w:r>
      <w:r>
        <w:t xml:space="preserve"> </w:t>
      </w:r>
      <w:r>
        <w:t xml:space="preserve">The Kunming-Montreal Global Biodiversity Framework (GBF) commits parties to increase</w:t>
      </w:r>
      <w:r>
        <w:t xml:space="preserve"> </w:t>
      </w:r>
      <w:r>
        <w:t xml:space="preserve">financial resources for biodiversity (182) for example through stimulating innovative schemes</w:t>
      </w:r>
    </w:p>
    <w:p>
      <w:pPr>
        <w:pStyle w:val="Compact"/>
        <w:numPr>
          <w:ilvl w:val="0"/>
          <w:numId w:val="1053"/>
        </w:numPr>
      </w:pPr>
      <w:r>
        <w:t xml:space="preserve">COM(2023) 416 final</w:t>
      </w:r>
    </w:p>
    <w:p>
      <w:pPr>
        <w:pStyle w:val="Compact"/>
        <w:numPr>
          <w:ilvl w:val="0"/>
          <w:numId w:val="1053"/>
        </w:numPr>
      </w:pPr>
      <w:r>
        <w:t xml:space="preserve">European Commission, Directorate-General for Research and Innovation, European bioeconomy policy –</w:t>
      </w:r>
      <w:r>
        <w:t xml:space="preserve"> </w:t>
      </w:r>
      <w:r>
        <w:t xml:space="preserve">Stocktaking and future developments – Report from the Commission to the European Parliament, the</w:t>
      </w:r>
      <w:r>
        <w:t xml:space="preserve"> </w:t>
      </w:r>
      <w:r>
        <w:t xml:space="preserve">Council, the European Economic and Social Committee and the Committee of the Regions, Publications</w:t>
      </w:r>
      <w:r>
        <w:t xml:space="preserve"> </w:t>
      </w:r>
      <w:r>
        <w:t xml:space="preserve">Office of the European Union, 2022, https://data.europa.eu/doi/10.2777/997651.</w:t>
      </w:r>
    </w:p>
    <w:p>
      <w:pPr>
        <w:pStyle w:val="Compact"/>
        <w:numPr>
          <w:ilvl w:val="0"/>
          <w:numId w:val="1053"/>
        </w:numPr>
      </w:pPr>
      <w:r>
        <w:t xml:space="preserve">COM/2018/673 final</w:t>
      </w:r>
    </w:p>
    <w:p>
      <w:pPr>
        <w:pStyle w:val="Compact"/>
        <w:numPr>
          <w:ilvl w:val="0"/>
          <w:numId w:val="1053"/>
        </w:numPr>
      </w:pPr>
      <w:r>
        <w:t xml:space="preserve">See for instance JRC, ‘Biomass production, supply, uses and flows in the European Union’, JRC Science for</w:t>
      </w:r>
      <w:r>
        <w:t xml:space="preserve"> </w:t>
      </w:r>
      <w:r>
        <w:t xml:space="preserve">policy report, 2023.</w:t>
      </w:r>
    </w:p>
    <w:p>
      <w:pPr>
        <w:pStyle w:val="Compact"/>
        <w:numPr>
          <w:ilvl w:val="0"/>
          <w:numId w:val="1053"/>
        </w:numPr>
      </w:pPr>
      <w:r>
        <w:t xml:space="preserve">European Commission, Directorate-General for Environment, Nesbit, M., Whiteoak, K., Underwood, E. et</w:t>
      </w:r>
      <w:r>
        <w:t xml:space="preserve"> </w:t>
      </w:r>
      <w:r>
        <w:t xml:space="preserve">al., Biodiversity financing and tracking – Final report, Publications Office of the European Union, 2022,</w:t>
      </w:r>
      <w:r>
        <w:t xml:space="preserve"> </w:t>
      </w:r>
      <w:r>
        <w:t xml:space="preserve">https://data.europa.eu/doi/10.2779/950856.</w:t>
      </w:r>
    </w:p>
    <w:p>
      <w:pPr>
        <w:pStyle w:val="Compact"/>
        <w:numPr>
          <w:ilvl w:val="0"/>
          <w:numId w:val="1053"/>
        </w:numPr>
      </w:pPr>
      <w:r>
        <w:t xml:space="preserve">GBF Target 19 ‘Financial resources increased to $ 200 billion per year, including $ 30 billion through</w:t>
      </w:r>
      <w:r>
        <w:t xml:space="preserve"> </w:t>
      </w:r>
      <w:r>
        <w:t xml:space="preserve">international finance’; https://www.cbd.int/gbf/targets/19/.</w:t>
      </w:r>
    </w:p>
    <w:p>
      <w:pPr>
        <w:pStyle w:val="FirstParagraph"/>
      </w:pPr>
      <w:r>
        <w:t xml:space="preserve">59</w:t>
      </w:r>
    </w:p>
    <w:p>
      <w:pPr>
        <w:pStyle w:val="BodyText"/>
      </w:pPr>
      <w:r>
        <w:t xml:space="preserve">such as payment for ecosystem services (PES), green bonds, biodiversity offsets and credits,</w:t>
      </w:r>
      <w:r>
        <w:t xml:space="preserve"> </w:t>
      </w:r>
      <w:r>
        <w:t xml:space="preserve">and benefit-sharing mechanisms, with environmental and social safeguards.</w:t>
      </w:r>
      <w:r>
        <w:t xml:space="preserve"> </w:t>
      </w:r>
      <w:r>
        <w:t xml:space="preserve">Payment for ecosystem services (PES) (183) represent a policy instrument and describe</w:t>
      </w:r>
      <w:r>
        <w:t xml:space="preserve"> </w:t>
      </w:r>
      <w:r>
        <w:t xml:space="preserve">incentives provided to landowners, farmers, or communities in exchange for managing their</w:t>
      </w:r>
      <w:r>
        <w:t xml:space="preserve"> </w:t>
      </w:r>
      <w:r>
        <w:t xml:space="preserve">land or natural resources in ways that benefit the natural ecosystems and its respective</w:t>
      </w:r>
      <w:r>
        <w:t xml:space="preserve"> </w:t>
      </w:r>
      <w:r>
        <w:t xml:space="preserve">services. Ecosystem services are the various benefits that humans receive from natural</w:t>
      </w:r>
      <w:r>
        <w:t xml:space="preserve"> </w:t>
      </w:r>
      <w:r>
        <w:t xml:space="preserve">ecosystems, including clean water, air purification, soil fertility, pollination, and climate</w:t>
      </w:r>
      <w:r>
        <w:t xml:space="preserve"> </w:t>
      </w:r>
      <w:r>
        <w:t xml:space="preserve">regulation. PES has received wide attention among scientists, governments, and institutions,</w:t>
      </w:r>
      <w:r>
        <w:t xml:space="preserve"> </w:t>
      </w:r>
      <w:r>
        <w:t xml:space="preserve">and have been implemented at local, national, and international levels (184). PES programmes</w:t>
      </w:r>
      <w:r>
        <w:t xml:space="preserve"> </w:t>
      </w:r>
      <w:r>
        <w:t xml:space="preserve">around the globe have already generated annual payments over US$36 billion by 2018 (185)</w:t>
      </w:r>
      <w:r>
        <w:t xml:space="preserve"> </w:t>
      </w:r>
      <w:r>
        <w:t xml:space="preserve">financing services such as providing water quality and quantity, biodiversity and habitat</w:t>
      </w:r>
      <w:r>
        <w:t xml:space="preserve"> </w:t>
      </w:r>
      <w:r>
        <w:t xml:space="preserve">conversation, pollination services, but as well climate change mitigation through forests and</w:t>
      </w:r>
      <w:r>
        <w:t xml:space="preserve"> </w:t>
      </w:r>
      <w:r>
        <w:t xml:space="preserve">other ecosystems. In a PES scheme dedicated to climate mitigation, owners of land that hosts</w:t>
      </w:r>
      <w:r>
        <w:t xml:space="preserve"> </w:t>
      </w:r>
      <w:r>
        <w:t xml:space="preserve">ecosystems such forests, grasslands, and wetlands but also agroecosystems would receive a</w:t>
      </w:r>
      <w:r>
        <w:t xml:space="preserve"> </w:t>
      </w:r>
      <w:r>
        <w:t xml:space="preserve">premium for carbon sequestration and long-term carbon storage. The payments are either</w:t>
      </w:r>
      <w:r>
        <w:t xml:space="preserve"> </w:t>
      </w:r>
      <w:r>
        <w:t xml:space="preserve">user-financed (direct beneficiaries of ecosystem services), government-financed, or</w:t>
      </w:r>
      <w:r>
        <w:t xml:space="preserve"> </w:t>
      </w:r>
      <w:r>
        <w:t xml:space="preserve">compliance-based (parties facing regulatory obligations paying to satisfy their mitigation</w:t>
      </w:r>
      <w:r>
        <w:t xml:space="preserve"> </w:t>
      </w:r>
      <w:r>
        <w:t xml:space="preserve">requirements such as the EU ETS).</w:t>
      </w:r>
      <w:r>
        <w:br/>
      </w:r>
      <w:r>
        <w:t xml:space="preserve">Biodiversity credits is a more specific policy instrument designed specifically for biodiversity.</w:t>
      </w:r>
      <w:r>
        <w:t xml:space="preserve"> </w:t>
      </w:r>
      <w:r>
        <w:t xml:space="preserve">The credits are tradeable units of biodiversity, which can be bought by companies to measure</w:t>
      </w:r>
      <w:r>
        <w:t xml:space="preserve"> </w:t>
      </w:r>
      <w:r>
        <w:t xml:space="preserve">milestones towards becoming nature positive. They can be self-standing or complement</w:t>
      </w:r>
      <w:r>
        <w:t xml:space="preserve"> </w:t>
      </w:r>
      <w:r>
        <w:t xml:space="preserve">voluntary carbon credits. Biodiversity credits represent improvements in biodiversity, while</w:t>
      </w:r>
      <w:r>
        <w:t xml:space="preserve"> </w:t>
      </w:r>
      <w:r>
        <w:t xml:space="preserve">biodiversity offsets are measurable conservation outcomes designed to compensate for</w:t>
      </w:r>
      <w:r>
        <w:t xml:space="preserve"> </w:t>
      </w:r>
      <w:r>
        <w:t xml:space="preserve">adverse impacts of projects. The credits may become an emerging instrument to mobilize</w:t>
      </w:r>
      <w:r>
        <w:t xml:space="preserve"> </w:t>
      </w:r>
      <w:r>
        <w:t xml:space="preserve">financial resources toward nature-positive outcomes and are generating interest among many</w:t>
      </w:r>
      <w:r>
        <w:t xml:space="preserve"> </w:t>
      </w:r>
      <w:r>
        <w:t xml:space="preserve">governments, financial entities, and stakeholders at both global and European level. While</w:t>
      </w:r>
      <w:r>
        <w:t xml:space="preserve"> </w:t>
      </w:r>
      <w:r>
        <w:t xml:space="preserve">biodiversity credits are certainly not a panacea to close the biodiversity finance, they can</w:t>
      </w:r>
      <w:r>
        <w:t xml:space="preserve"> </w:t>
      </w:r>
      <w:r>
        <w:t xml:space="preserve">provide a sizable contribution.</w:t>
      </w:r>
      <w:r>
        <w:t xml:space="preserve"> </w:t>
      </w:r>
      <w:r>
        <w:t xml:space="preserve">Work is ongoing internationally to define and develop instruments for resource mobilisation</w:t>
      </w:r>
      <w:r>
        <w:t xml:space="preserve"> </w:t>
      </w:r>
      <w:r>
        <w:t xml:space="preserve">in favour of biodiversity. In this context, biodiversity credits and related tools could help to</w:t>
      </w:r>
      <w:r>
        <w:t xml:space="preserve"> </w:t>
      </w:r>
      <w:r>
        <w:t xml:space="preserve">address the concerns raised by countries with high forest cover and low levels of</w:t>
      </w:r>
      <w:r>
        <w:t xml:space="preserve"> </w:t>
      </w:r>
      <w:r>
        <w:t xml:space="preserve">deforestation, such as Gabon and Guiana, which are calling for more international funding</w:t>
      </w:r>
      <w:r>
        <w:t xml:space="preserve"> </w:t>
      </w:r>
      <w:r>
        <w:t xml:space="preserve">earmarked for the conservation and protection of tropical forests. It is important to offer</w:t>
      </w:r>
    </w:p>
    <w:p>
      <w:pPr>
        <w:pStyle w:val="Compact"/>
        <w:numPr>
          <w:ilvl w:val="0"/>
          <w:numId w:val="1054"/>
        </w:numPr>
      </w:pPr>
      <w:r>
        <w:t xml:space="preserve">Sattler, Claudia, and Bettina Matzdorf.</w:t>
      </w:r>
      <w:r>
        <w:t xml:space="preserve"> </w:t>
      </w:r>
      <w:r>
        <w:t xml:space="preserve">“PES in a nutshell: From definitions and origins to PES in practice—</w:t>
      </w:r>
      <w:r>
        <w:t xml:space="preserve"> </w:t>
      </w:r>
      <w:r>
        <w:t xml:space="preserve">Approaches, design process and innovative aspects.”</w:t>
      </w:r>
      <w:r>
        <w:t xml:space="preserve"> </w:t>
      </w:r>
      <w:r>
        <w:t xml:space="preserve">Ecosystem services 6 (2013): 2-11.</w:t>
      </w:r>
    </w:p>
    <w:p>
      <w:pPr>
        <w:pStyle w:val="Compact"/>
        <w:numPr>
          <w:ilvl w:val="0"/>
          <w:numId w:val="1054"/>
        </w:numPr>
      </w:pPr>
      <w:r>
        <w:t xml:space="preserve">China has implemented large-scale PES programs, particularly for watershed protection, reducing erosion</w:t>
      </w:r>
      <w:r>
        <w:t xml:space="preserve"> </w:t>
      </w:r>
      <w:r>
        <w:t xml:space="preserve">and reforestation. Mexico has established PES programs to protect forests and watersheds. The UN’s</w:t>
      </w:r>
      <w:r>
        <w:t xml:space="preserve"> </w:t>
      </w:r>
      <w:r>
        <w:t xml:space="preserve">Reducing Emissions from Deforestation and Forest Degradation (REDD+) program involves payments for</w:t>
      </w:r>
      <w:r>
        <w:t xml:space="preserve"> </w:t>
      </w:r>
      <w:r>
        <w:t xml:space="preserve">conserving forests and reducing carbon emissions. The United States pay alndowners and farmers for</w:t>
      </w:r>
      <w:r>
        <w:t xml:space="preserve"> </w:t>
      </w:r>
      <w:r>
        <w:t xml:space="preserve">watershed, biodiversity protection and the control of soil erosion.</w:t>
      </w:r>
      <w:r>
        <w:br/>
      </w:r>
    </w:p>
    <w:p>
      <w:pPr>
        <w:pStyle w:val="Compact"/>
        <w:numPr>
          <w:ilvl w:val="0"/>
          <w:numId w:val="1054"/>
        </w:numPr>
      </w:pPr>
      <w:r>
        <w:t xml:space="preserve">Salzman, J., Bennett, G., Carroll, N., Goldstein, A. and Jenkins, M. ‘The global status and trends of</w:t>
      </w:r>
      <w:r>
        <w:t xml:space="preserve"> </w:t>
      </w:r>
      <w:r>
        <w:t xml:space="preserve">Payments for Ecosystem Services’, Nature Sustainability, 1(3), pp.136-144, 2018.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incentives to these countries to avoid deforestation and preserve their forests. At the same</w:t>
      </w:r>
      <w:r>
        <w:t xml:space="preserve"> </w:t>
      </w:r>
      <w:r>
        <w:t xml:space="preserve">time biodiversity credits, self-standing or part of voluntary carbon removals credits, must be</w:t>
      </w:r>
      <w:r>
        <w:t xml:space="preserve"> </w:t>
      </w:r>
      <w:r>
        <w:t xml:space="preserve">reliable, measurable and guarantee high-quality (including additionality, long-term duration</w:t>
      </w:r>
      <w:r>
        <w:t xml:space="preserve"> </w:t>
      </w:r>
      <w:r>
        <w:t xml:space="preserve">and sustainability), avoiding greenwashing. At this stage, there are several voluntary schemes</w:t>
      </w:r>
      <w:r>
        <w:t xml:space="preserve"> </w:t>
      </w:r>
      <w:r>
        <w:t xml:space="preserve">internationally, but without common methodologies and supervision. The Commission is</w:t>
      </w:r>
      <w:r>
        <w:t xml:space="preserve"> </w:t>
      </w:r>
      <w:r>
        <w:t xml:space="preserve">reflecting on how to address this issue and exploit the potential of biodiversity credits.</w:t>
      </w:r>
      <w:r>
        <w:t xml:space="preserve"> </w:t>
      </w:r>
      <w:r>
        <w:t xml:space="preserve">There are however other market-based instruments to support biodiversity: taxation (based,</w:t>
      </w:r>
      <w:r>
        <w:t xml:space="preserve"> </w:t>
      </w:r>
      <w:r>
        <w:t xml:space="preserve">for instance, on the “polluter pays principle”) and subsidies (186). The advances in cost-benefit</w:t>
      </w:r>
      <w:r>
        <w:t xml:space="preserve"> </w:t>
      </w:r>
      <w:r>
        <w:t xml:space="preserve">analysis methodologies, which increasingly include environment-related impacts and a long-</w:t>
      </w:r>
      <w:r>
        <w:t xml:space="preserve"> </w:t>
      </w:r>
      <w:r>
        <w:t xml:space="preserve">term perspective, represent an opportunity for further biodiversity and climate friendly</w:t>
      </w:r>
      <w:r>
        <w:t xml:space="preserve"> </w:t>
      </w:r>
      <w:r>
        <w:t xml:space="preserve">investments, such as nature-based solutions. The European Investment Bank (EIB) provides</w:t>
      </w:r>
      <w:r>
        <w:t xml:space="preserve"> </w:t>
      </w:r>
      <w:r>
        <w:t xml:space="preserve">good examples about how these methodologies and approaches are already implemented (187).</w:t>
      </w:r>
    </w:p>
    <w:p>
      <w:pPr>
        <w:pStyle w:val="Compact"/>
        <w:numPr>
          <w:ilvl w:val="0"/>
          <w:numId w:val="1055"/>
        </w:numPr>
      </w:pPr>
      <w:r>
        <w:t xml:space="preserve">Romain Pirard, 2012, Market-based instruments for biodiversity and ecosystem services: A lexicon,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Science</w:t>
      </w:r>
      <w:r>
        <w:t xml:space="preserve"> </w:t>
      </w:r>
      <w:r>
        <w:t xml:space="preserve">&amp;</w:t>
      </w:r>
      <w:r>
        <w:t xml:space="preserve"> </w:t>
      </w:r>
      <w:r>
        <w:t xml:space="preserve">Policy,</w:t>
      </w:r>
      <w:r>
        <w:t xml:space="preserve"> </w:t>
      </w:r>
      <w:r>
        <w:t xml:space="preserve">Volumes</w:t>
      </w:r>
      <w:r>
        <w:t xml:space="preserve"> </w:t>
      </w:r>
      <w:r>
        <w:t xml:space="preserve">19–20,</w:t>
      </w:r>
      <w:r>
        <w:t xml:space="preserve"> </w:t>
      </w:r>
      <w:r>
        <w:t xml:space="preserve">Pages</w:t>
      </w:r>
      <w:r>
        <w:t xml:space="preserve"> </w:t>
      </w:r>
      <w:r>
        <w:t xml:space="preserve">59-68,</w:t>
      </w:r>
      <w:r>
        <w:t xml:space="preserve"> </w:t>
      </w:r>
      <w:r>
        <w:t xml:space="preserve">ISSN</w:t>
      </w:r>
      <w:r>
        <w:t xml:space="preserve"> </w:t>
      </w:r>
      <w:r>
        <w:t xml:space="preserve">1462-9011,</w:t>
      </w:r>
      <w:r>
        <w:t xml:space="preserve"> </w:t>
      </w:r>
      <w:r>
        <w:t xml:space="preserve">https://doi.org/10.1016/j.envsci.2012.02.001.</w:t>
      </w:r>
    </w:p>
    <w:p>
      <w:pPr>
        <w:pStyle w:val="Compact"/>
        <w:numPr>
          <w:ilvl w:val="0"/>
          <w:numId w:val="1055"/>
        </w:numPr>
      </w:pPr>
      <w:r>
        <w:t xml:space="preserve">The EIB partnered with the NBI Global Resource Centre of IISD and provided funding for project</w:t>
      </w:r>
      <w:r>
        <w:t xml:space="preserve"> </w:t>
      </w:r>
      <w:r>
        <w:t xml:space="preserve">preparation activities and will probably provide financing for implementation. The EIB used these results to</w:t>
      </w:r>
      <w:r>
        <w:t xml:space="preserve"> </w:t>
      </w:r>
      <w:r>
        <w:t xml:space="preserve">understand the value of NBS compared to grey infrastructure, particularly regarding environmental impacts,</w:t>
      </w:r>
      <w:r>
        <w:t xml:space="preserve"> </w:t>
      </w:r>
      <w:r>
        <w:t xml:space="preserve">such as reduced erosion, carbon storage, and improved habitat quality/biodiversity.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ANNEX 10: State of play of GHG emissions and the energy system</w:t>
      </w:r>
      <w:r>
        <w:t xml:space="preserve"> </w:t>
      </w:r>
      <w:r>
        <w:t xml:space="preserve">1</w:t>
      </w:r>
      <w:r>
        <w:t xml:space="preserve"> </w:t>
      </w:r>
      <w:r>
        <w:t xml:space="preserve">TOTAL GHG EMISSIONS IN THE EU</w:t>
      </w:r>
      <w:r>
        <w:br/>
      </w:r>
      <w:r>
        <w:t xml:space="preserve">After the 2021 strong rebound in greenhouse gas (GHG) emissions following the</w:t>
      </w:r>
      <w:r>
        <w:t xml:space="preserve"> </w:t>
      </w:r>
      <w:r>
        <w:t xml:space="preserve">unprecedented fall in 2020 due to the COVID-19 pandemic, EU emissions in 2022 are</w:t>
      </w:r>
      <w:r>
        <w:t xml:space="preserve"> </w:t>
      </w:r>
      <w:r>
        <w:t xml:space="preserve">expected to be back in line with its 30-years descending trend. According to provisional data,</w:t>
      </w:r>
      <w:r>
        <w:t xml:space="preserve"> </w:t>
      </w:r>
      <w:r>
        <w:t xml:space="preserve">total EU domestic GHG emissions (i.e., excluding LULUCF and international aviation)</w:t>
      </w:r>
      <w:r>
        <w:t xml:space="preserve"> </w:t>
      </w:r>
      <w:r>
        <w:t xml:space="preserve">decreased by 2.4% in 2022 compared to 2021, whilst EU GDP grew by 3.5% in the same</w:t>
      </w:r>
      <w:r>
        <w:t xml:space="preserve"> </w:t>
      </w:r>
      <w:r>
        <w:t xml:space="preserve">year. This translates into a reduction in GHG emissions of 30.4% compared to the 1990 base</w:t>
      </w:r>
      <w:r>
        <w:t xml:space="preserve"> </w:t>
      </w:r>
      <w:r>
        <w:t xml:space="preserve">year (or 29% when international aviation is included). Over the same period, there is an</w:t>
      </w:r>
      <w:r>
        <w:t xml:space="preserve"> </w:t>
      </w:r>
      <w:r>
        <w:t xml:space="preserve">approximated increase in reported GHG net removals from land use, land use change, and</w:t>
      </w:r>
      <w:r>
        <w:t xml:space="preserve"> </w:t>
      </w:r>
      <w:r>
        <w:t xml:space="preserve">forestry (LULUCF) of 14 million tonnes of CO2 equivalent compared to 2021(188). As a</w:t>
      </w:r>
      <w:r>
        <w:t xml:space="preserve"> </w:t>
      </w:r>
      <w:r>
        <w:t xml:space="preserve">result, net GHG emissions for 2022 (i.e., including LULUCF) are expected to be 32.5% below</w:t>
      </w:r>
      <w:r>
        <w:t xml:space="preserve"> </w:t>
      </w:r>
      <w:r>
        <w:t xml:space="preserve">the 1990 level (or 31.1% when international aviation is included).</w:t>
      </w:r>
      <w:r>
        <w:t xml:space="preserve"> </w:t>
      </w:r>
      <w:r>
        <w:t xml:space="preserve">Figure 12: Historical EU GHG emissions</w:t>
      </w:r>
    </w:p>
    <w:p>
      <w:pPr>
        <w:pStyle w:val="BodyText"/>
      </w:pPr>
      <w:r>
        <w:t xml:space="preserve">Source: EEA GHG data viewer (extracted 20/6/2023).</w:t>
      </w:r>
      <w:r>
        <w:t xml:space="preserve"> </w:t>
      </w:r>
      <w:r>
        <w:t xml:space="preserve">Emission reductions in the last three decades (1990-2021) were significant in the energy</w:t>
      </w:r>
      <w:r>
        <w:t xml:space="preserve"> </w:t>
      </w:r>
      <w:r>
        <w:t xml:space="preserve">industry (e.g., electricity and heat production, -42%), in the manufacturing industry (e.g., iron</w:t>
      </w:r>
      <w:r>
        <w:t xml:space="preserve"> </w:t>
      </w:r>
      <w:r>
        <w:t xml:space="preserve">and steel production, -48%) and in the industrial processes and product use industries (e.g.,</w:t>
      </w:r>
      <w:r>
        <w:t xml:space="preserve"> </w:t>
      </w:r>
      <w:r>
        <w:t xml:space="preserve">chemical industry, -65%; metal industry, -44%). Conversely, emissions in the transport sector</w:t>
      </w:r>
      <w:r>
        <w:t xml:space="preserve"> </w:t>
      </w:r>
      <w:r>
        <w:t xml:space="preserve">have increased, especially in road transportation (+16%) although they have been slightly</w:t>
      </w:r>
      <w:r>
        <w:t xml:space="preserve"> </w:t>
      </w:r>
      <w:r>
        <w:t xml:space="preserve">decreasing since 2010. While the agriculture sector has reduced emissions over 1990-2010</w:t>
      </w:r>
      <w:r>
        <w:t xml:space="preserve"> </w:t>
      </w:r>
      <w:r>
        <w:t xml:space="preserve">(by 22%), emissions since have stabilized or even very slightly increased. Finally, natural CO2</w:t>
      </w:r>
    </w:p>
    <w:p>
      <w:pPr>
        <w:pStyle w:val="BodyText"/>
      </w:pPr>
      <w:r>
        <w:t xml:space="preserve">188 Approximated 2022 data could suggest a break to the declining trend in the LULUCF sink observed in recent</w:t>
      </w:r>
      <w:r>
        <w:t xml:space="preserve"> </w:t>
      </w:r>
      <w:r>
        <w:t xml:space="preserve">years. However, the assessment takes into consideration the large uncertainty of these data and as it will</w:t>
      </w:r>
      <w:r>
        <w:t xml:space="preserve"> </w:t>
      </w:r>
      <w:r>
        <w:t xml:space="preserve">possibly be subject to revisions.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sink role of land use, land use change, and forestry sector (LULUCF) has declined at a</w:t>
      </w:r>
      <w:r>
        <w:t xml:space="preserve"> </w:t>
      </w:r>
      <w:r>
        <w:t xml:space="preserve">worrying speed in the last decade, getting back to close to the 1990 level.</w:t>
      </w:r>
      <w:r>
        <w:t xml:space="preserve"> </w:t>
      </w:r>
      <w:r>
        <w:t xml:space="preserve">Policies promoting more efficient energy use, a growing deployment of renewable energy</w:t>
      </w:r>
      <w:r>
        <w:t xml:space="preserve"> </w:t>
      </w:r>
      <w:r>
        <w:t xml:space="preserve">supply and the use of less carbon intensive fossil fuels have played a key role in driving the</w:t>
      </w:r>
      <w:r>
        <w:t xml:space="preserve"> </w:t>
      </w:r>
      <w:r>
        <w:t xml:space="preserve">decarbonisation process so far. This has allowed continued decoupling of emissions and</w:t>
      </w:r>
      <w:r>
        <w:t xml:space="preserve"> </w:t>
      </w:r>
      <w:r>
        <w:t xml:space="preserve">economic growth, with the GHG emission intensity of GDP falling to 229 gCO2-eq/EUR in</w:t>
      </w:r>
      <w:r>
        <w:t xml:space="preserve"> </w:t>
      </w:r>
      <w:r>
        <w:t xml:space="preserve">2022, less than half the 1990 level.</w:t>
      </w:r>
      <w:r>
        <w:t xml:space="preserve"> </w:t>
      </w:r>
      <w:r>
        <w:t xml:space="preserve">Figure 13: GHG emissions and GDP development in the EU (1990 = 100)</w:t>
      </w:r>
    </w:p>
    <w:p>
      <w:pPr>
        <w:pStyle w:val="BodyText"/>
      </w:pPr>
      <w:r>
        <w:t xml:space="preserve">Source: 2023 GHG EEA inventory data, AMECO and WB (189).</w:t>
      </w:r>
      <w:r>
        <w:t xml:space="preserve"> </w:t>
      </w:r>
      <w:r>
        <w:t xml:space="preserve">2</w:t>
      </w:r>
      <w:r>
        <w:t xml:space="preserve"> </w:t>
      </w:r>
      <w:r>
        <w:t xml:space="preserve">EMISSIONS UNDER THE EMISSION TRADING SYSTEM</w:t>
      </w:r>
      <w:r>
        <w:br/>
      </w:r>
      <w:r>
        <w:t xml:space="preserve">By 2022, the EU ETS had helped drive down emissions from power and industry installations</w:t>
      </w:r>
      <w:r>
        <w:t xml:space="preserve"> </w:t>
      </w:r>
      <w:r>
        <w:t xml:space="preserve">by 37.3% compared to 2005 levels.</w:t>
      </w:r>
      <w:r>
        <w:br/>
      </w:r>
      <w:r>
        <w:t xml:space="preserve">Overall EU ETS emissions in 2022 decreased by 0.2% compared to the previous year. (190)</w:t>
      </w:r>
      <w:r>
        <w:t xml:space="preserve"> </w:t>
      </w:r>
      <w:r>
        <w:t xml:space="preserve">This reflects a slight decrease in emissions from power and industry installations and a</w:t>
      </w:r>
      <w:r>
        <w:t xml:space="preserve"> </w:t>
      </w:r>
      <w:r>
        <w:t xml:space="preserve">continued rebound in emissions from aviation after the COVID-19 pandemic. Looking to</w:t>
      </w:r>
      <w:r>
        <w:t xml:space="preserve"> </w:t>
      </w:r>
      <w:r>
        <w:t xml:space="preserve">before COVID-19, however, emissions have remained on the decline. In 2022, emissions</w:t>
      </w:r>
      <w:r>
        <w:t xml:space="preserve"> </w:t>
      </w:r>
      <w:r>
        <w:t xml:space="preserve">were around 8% lower than in 2019.</w:t>
      </w:r>
      <w:r>
        <w:t xml:space="preserve"> </w:t>
      </w:r>
      <w:r>
        <w:t xml:space="preserve">Emissions from the energy sector and manufacturing decreased slightly by 1.8% compared to</w:t>
      </w:r>
      <w:r>
        <w:t xml:space="preserve"> </w:t>
      </w:r>
      <w:r>
        <w:t xml:space="preserve">2021, partially as result of the energy crisis and its impacts. EU verified emissions from</w:t>
      </w:r>
    </w:p>
    <w:p>
      <w:pPr>
        <w:pStyle w:val="Compact"/>
        <w:numPr>
          <w:ilvl w:val="0"/>
          <w:numId w:val="1056"/>
        </w:numPr>
      </w:pPr>
      <w:r>
        <w:t xml:space="preserve">2022 GHG data from approximated GHG EEA inventory estimates. 1995-2022 GDP from AMECO (6-</w:t>
      </w:r>
      <w:r>
        <w:t xml:space="preserve"> </w:t>
      </w:r>
      <w:r>
        <w:t xml:space="preserve">DOMESTIC PRODUCT – 6.1 GROSS DOMESTIC PRODUCT – GDP, at constant prices (OVGD)) and</w:t>
      </w:r>
      <w:r>
        <w:t xml:space="preserve"> </w:t>
      </w:r>
      <w:r>
        <w:t xml:space="preserve">1990-1994 derived from WB (NY.GDP.MKTP.KD | GDP constant 2015 US$) with growth rate applied to</w:t>
      </w:r>
      <w:r>
        <w:t xml:space="preserve"> </w:t>
      </w:r>
      <w:r>
        <w:t xml:space="preserve">AMECO 1995.</w:t>
      </w:r>
    </w:p>
    <w:p>
      <w:pPr>
        <w:pStyle w:val="Compact"/>
        <w:numPr>
          <w:ilvl w:val="0"/>
          <w:numId w:val="1056"/>
        </w:numPr>
      </w:pPr>
      <w:r>
        <w:t xml:space="preserve">Based on data from the EU Registry as of 30 June 2023.</w:t>
      </w:r>
    </w:p>
    <w:p>
      <w:pPr>
        <w:pStyle w:val="FirstParagraph"/>
      </w:pPr>
      <w:r>
        <w:t xml:space="preserve">63</w:t>
      </w:r>
    </w:p>
    <w:p>
      <w:pPr>
        <w:pStyle w:val="BodyText"/>
      </w:pPr>
      <w:r>
        <w:t xml:space="preserve">aircraft operators increased significantly, by 75% compared to 2021, reflecting a continued</w:t>
      </w:r>
      <w:r>
        <w:t xml:space="preserve"> </w:t>
      </w:r>
      <w:r>
        <w:t xml:space="preserve">rebound of air traffic.</w:t>
      </w:r>
      <w:r>
        <w:t xml:space="preserve"> </w:t>
      </w:r>
      <w:r>
        <w:t xml:space="preserve">Figure 14: Historical evolution of ETS emissions</w:t>
      </w:r>
    </w:p>
    <w:p>
      <w:pPr>
        <w:pStyle w:val="BodyText"/>
      </w:pPr>
      <w:r>
        <w:t xml:space="preserve">Note: Verified ETS emissions 2005-2022, Member States projections with existing measures 2021-2030, ETS cap</w:t>
      </w:r>
      <w:r>
        <w:t xml:space="preserve"> </w:t>
      </w:r>
      <w:r>
        <w:t xml:space="preserve">phases 2, 3 and 4, and accumulated surplus of ETS allowances 2008-2021; including UK (Northern Ireland), Norway</w:t>
      </w:r>
      <w:r>
        <w:t xml:space="preserve"> </w:t>
      </w:r>
      <w:r>
        <w:t xml:space="preserve">and Iceland; NB: adjusted for cap phase 4. (191) Legend: bars (cap), light shade bars in 2014-16 (allowances</w:t>
      </w:r>
      <w:r>
        <w:t xml:space="preserve"> </w:t>
      </w:r>
      <w:r>
        <w:t xml:space="preserve">backloaded in phase 3), light shade bars since 2019 (feeds of allowances to the Market Stability Reserve), dash line</w:t>
      </w:r>
      <w:r>
        <w:t xml:space="preserve"> </w:t>
      </w:r>
      <w:r>
        <w:t xml:space="preserve">(verified emissions).</w:t>
      </w:r>
      <w:r>
        <w:t xml:space="preserve"> </w:t>
      </w:r>
      <w:r>
        <w:t xml:space="preserve">Source: Climate Action Progress Report 2023.</w:t>
      </w:r>
      <w:r>
        <w:br/>
      </w:r>
      <w:r>
        <w:t xml:space="preserve">3</w:t>
      </w:r>
      <w:r>
        <w:t xml:space="preserve"> </w:t>
      </w:r>
      <w:r>
        <w:t xml:space="preserve">EMISSIONS UNDER THE EFFORT SHARING LEGISLATION</w:t>
      </w:r>
      <w:r>
        <w:t xml:space="preserve"> </w:t>
      </w:r>
      <w:r>
        <w:t xml:space="preserve">The Effort Sharing legislation covers emissions from domestic transport (excluding CO2</w:t>
      </w:r>
      <w:r>
        <w:t xml:space="preserve"> </w:t>
      </w:r>
      <w:r>
        <w:t xml:space="preserve">emissions from aviation), buildings, agriculture, small industry, and waste which account for</w:t>
      </w:r>
      <w:r>
        <w:t xml:space="preserve"> </w:t>
      </w:r>
      <w:r>
        <w:t xml:space="preserve">around 60% of total domestic EU emissions. The Effort Sharing legislation sets binding</w:t>
      </w:r>
      <w:r>
        <w:t xml:space="preserve"> </w:t>
      </w:r>
      <w:r>
        <w:t xml:space="preserve">national targets to reduce emissions in these sectors compared to 2005 levels, under the Effort</w:t>
      </w:r>
      <w:r>
        <w:t xml:space="preserve"> </w:t>
      </w:r>
      <w:r>
        <w:t xml:space="preserve">Sharing Decision (ESD) (192) for the period 2013-2020 and under the Effort Sharing</w:t>
      </w:r>
      <w:r>
        <w:t xml:space="preserve"> </w:t>
      </w:r>
      <w:r>
        <w:t xml:space="preserve">Regulation (ESR) (193) for the period 2021 to 2030.</w:t>
      </w:r>
      <w:r>
        <w:t xml:space="preserve"> </w:t>
      </w:r>
      <w:r>
        <w:t xml:space="preserve">In the period 2013 to 2020 all Member States met their effort sharing obligations under the</w:t>
      </w:r>
      <w:r>
        <w:t xml:space="preserve"> </w:t>
      </w:r>
      <w:r>
        <w:t xml:space="preserve">ESD in every year. The EU overachieved its 2020 emission reductions target by more than six</w:t>
      </w:r>
      <w:r>
        <w:t xml:space="preserve"> </w:t>
      </w:r>
      <w:r>
        <w:t xml:space="preserve">percentage points. EU-27 emissions covered by the ESD were 16.3% lower in 2020 than they</w:t>
      </w:r>
      <w:r>
        <w:t xml:space="preserve"> </w:t>
      </w:r>
      <w:r>
        <w:t xml:space="preserve">were in 2005. Compared to 2013, the EU-27 emissions were 7.2% lower in 2020. 2020 was</w:t>
      </w:r>
      <w:r>
        <w:t xml:space="preserve"> </w:t>
      </w:r>
      <w:r>
        <w:t xml:space="preserve">the last year covered by the ESD. Member States could not carry-over (bank) AEAs for use in</w:t>
      </w:r>
      <w:r>
        <w:t xml:space="preserve"> </w:t>
      </w:r>
      <w:r>
        <w:t xml:space="preserve">future years under the ESR.</w:t>
      </w:r>
      <w:r>
        <w:t xml:space="preserve"> </w:t>
      </w:r>
      <w:r>
        <w:t xml:space="preserve">Based on approximated data, emissions from the effort sharing sectors in 2022 were 3% lower</w:t>
      </w:r>
      <w:r>
        <w:t xml:space="preserve"> </w:t>
      </w:r>
      <w:r>
        <w:t xml:space="preserve">than in 2021. It followed the rebound of emissions in 2021, after the pandemic. The reduction</w:t>
      </w:r>
    </w:p>
    <w:p>
      <w:pPr>
        <w:pStyle w:val="Compact"/>
        <w:numPr>
          <w:ilvl w:val="0"/>
          <w:numId w:val="1057"/>
        </w:numPr>
      </w:pPr>
      <w:r>
        <w:t xml:space="preserve">Emissions cap in the EU ETS (considering the 2023 revision of the ETS Directive, i.e. rebasing in 2024 and</w:t>
      </w:r>
      <w:r>
        <w:t xml:space="preserve"> </w:t>
      </w:r>
      <w:r>
        <w:t xml:space="preserve">2026, inclusion of the maritime transport sector in 2024, and the linear reduction factor of 4.3% in 2024-27</w:t>
      </w:r>
      <w:r>
        <w:t xml:space="preserve"> </w:t>
      </w:r>
      <w:r>
        <w:t xml:space="preserve">and of 4.4% from 2028), compared with verified emissions. Aviation is not included. Due to scope changes,</w:t>
      </w:r>
      <w:r>
        <w:t xml:space="preserve"> </w:t>
      </w:r>
      <w:r>
        <w:t xml:space="preserve">2005-7 figures are not directly comparable to the latest.</w:t>
      </w:r>
    </w:p>
    <w:p>
      <w:pPr>
        <w:pStyle w:val="Compact"/>
        <w:numPr>
          <w:ilvl w:val="0"/>
          <w:numId w:val="1057"/>
        </w:numPr>
      </w:pPr>
      <w:r>
        <w:t xml:space="preserve">Decision No 406/2009/EC of 23 April 2009</w:t>
      </w:r>
    </w:p>
    <w:p>
      <w:pPr>
        <w:pStyle w:val="Compact"/>
        <w:numPr>
          <w:ilvl w:val="0"/>
          <w:numId w:val="1057"/>
        </w:numPr>
      </w:pPr>
      <w:r>
        <w:t xml:space="preserve">Regulation (EU) 2018/842 of 30 May 2018, as amended by Regulation (EU) 2023/857 of 19 April 2023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in emissions resulted in particular from the buildings sector which showed an emission</w:t>
      </w:r>
      <w:r>
        <w:t xml:space="preserve"> </w:t>
      </w:r>
      <w:r>
        <w:t xml:space="preserve">decrease of more than 9% compared to 2021. Small industry showed the second largest</w:t>
      </w:r>
      <w:r>
        <w:t xml:space="preserve"> </w:t>
      </w:r>
      <w:r>
        <w:t xml:space="preserve">emission reduction with a decrease of almost 6% compared to 2021. The transport sector is</w:t>
      </w:r>
      <w:r>
        <w:t xml:space="preserve"> </w:t>
      </w:r>
      <w:r>
        <w:t xml:space="preserve">the largest sector under the ESR, accounting for over one third of total effort sharing</w:t>
      </w:r>
      <w:r>
        <w:t xml:space="preserve"> </w:t>
      </w:r>
      <w:r>
        <w:t xml:space="preserve">emissions, and the only one that saw its emissions increase, by over 2% from 2021 to 2022.</w:t>
      </w:r>
      <w:r>
        <w:t xml:space="preserve"> </w:t>
      </w:r>
      <w:r>
        <w:t xml:space="preserve">Figure 15: Historical evolution of GHG from ESR sectors</w:t>
      </w:r>
    </w:p>
    <w:p>
      <w:pPr>
        <w:pStyle w:val="BodyText"/>
      </w:pPr>
      <w:r>
        <w:t xml:space="preserve">Note: From GHG inventory data (2005-2021) and approximated GHG inventory data (2022) as reported by Member</w:t>
      </w:r>
      <w:r>
        <w:t xml:space="preserve"> </w:t>
      </w:r>
      <w:r>
        <w:t xml:space="preserve">States under Regulation (EU) 2018/1999, compiled and checked by the EEA. The ESD AEAs are expressed in GWP AR4,</w:t>
      </w:r>
      <w:r>
        <w:t xml:space="preserve"> </w:t>
      </w:r>
      <w:r>
        <w:t xml:space="preserve">all other numbers are in GWP AR5. Figures include EU-27 only.</w:t>
      </w:r>
      <w:r>
        <w:t xml:space="preserve"> </w:t>
      </w:r>
      <w:r>
        <w:t xml:space="preserve">Source: EEA.</w:t>
      </w:r>
      <w:r>
        <w:t xml:space="preserve"> </w:t>
      </w:r>
      <w:r>
        <w:t xml:space="preserve">4</w:t>
      </w:r>
      <w:r>
        <w:t xml:space="preserve"> </w:t>
      </w:r>
      <w:r>
        <w:t xml:space="preserve">EMISSIONS UNDER THE LULUCF REGULATION</w:t>
      </w:r>
      <w:r>
        <w:br/>
      </w:r>
      <w:r>
        <w:t xml:space="preserve">On EU level, the LULUCF sector absorbs more greenhouse gases than it emits, making it a</w:t>
      </w:r>
      <w:r>
        <w:t xml:space="preserve"> </w:t>
      </w:r>
      <w:r>
        <w:t xml:space="preserve">net carbon sink and thereby contributing to achieving the commitment. Nevertheless, carbon</w:t>
      </w:r>
      <w:r>
        <w:t xml:space="preserve"> </w:t>
      </w:r>
      <w:r>
        <w:t xml:space="preserve">removals have significantly decreased in recent years, and the land sink function declined at a</w:t>
      </w:r>
      <w:r>
        <w:t xml:space="preserve"> </w:t>
      </w:r>
      <w:r>
        <w:t xml:space="preserve">worrying speed in the last decade. The decreasing trend is mainly due to a decrease in</w:t>
      </w:r>
      <w:r>
        <w:t xml:space="preserve"> </w:t>
      </w:r>
      <w:r>
        <w:t xml:space="preserve">removals by an increase in harvest rates and to a limited extent, caused by reduced carbon</w:t>
      </w:r>
      <w:r>
        <w:t xml:space="preserve"> </w:t>
      </w:r>
      <w:r>
        <w:t xml:space="preserve">sequestration in ageing forests across certain areas. The increasing frequency of natural</w:t>
      </w:r>
      <w:r>
        <w:t xml:space="preserve"> </w:t>
      </w:r>
      <w:r>
        <w:t xml:space="preserve">disturbances such as windstorms, forest fires, and droughts introduces inter-annual variations</w:t>
      </w:r>
      <w:r>
        <w:t xml:space="preserve"> </w:t>
      </w:r>
      <w:r>
        <w:t xml:space="preserve">and impacts long-term trends (see Figure 16).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Figure 16: Historical evolution of GHG from LULUCF</w:t>
      </w:r>
    </w:p>
    <w:p>
      <w:pPr>
        <w:pStyle w:val="BodyText"/>
      </w:pPr>
      <w:r>
        <w:t xml:space="preserve">Note: Gridded line shows the net LULUCF net removals.</w:t>
      </w:r>
      <w:r>
        <w:t xml:space="preserve"> </w:t>
      </w:r>
      <w:r>
        <w:t xml:space="preserve">Source: UNFCCC 2023.</w:t>
      </w:r>
      <w:r>
        <w:t xml:space="preserve"> </w:t>
      </w:r>
      <w:r>
        <w:t xml:space="preserve">5</w:t>
      </w:r>
      <w:r>
        <w:t xml:space="preserve"> </w:t>
      </w:r>
      <w:r>
        <w:t xml:space="preserve">RENEWABLES DEPLOYMENT UNDER THE RENEWABLE ENERGY DIRECTIVE</w:t>
      </w:r>
      <w:r>
        <w:t xml:space="preserve"> </w:t>
      </w:r>
      <w:r>
        <w:t xml:space="preserve">The Renewable Energy Directive is the legal framework for the development of clean energy</w:t>
      </w:r>
      <w:r>
        <w:t xml:space="preserve"> </w:t>
      </w:r>
      <w:r>
        <w:t xml:space="preserve">across all sectors of the EU economy, supporting cooperation between EU countries towards</w:t>
      </w:r>
      <w:r>
        <w:t xml:space="preserve"> </w:t>
      </w:r>
      <w:r>
        <w:t xml:space="preserve">this goal. The Renewable Energy Directive (2009/28/EC) was adopted in 2009 and set an EU</w:t>
      </w:r>
      <w:r>
        <w:t xml:space="preserve"> </w:t>
      </w:r>
      <w:r>
        <w:t xml:space="preserve">target of 20% renewables by 2020 and national binding targets.</w:t>
      </w:r>
      <w:r>
        <w:t xml:space="preserve"> </w:t>
      </w:r>
      <w:r>
        <w:t xml:space="preserve">Since that, the share of renewable energy sources in EU energy consumption has increased</w:t>
      </w:r>
      <w:r>
        <w:t xml:space="preserve"> </w:t>
      </w:r>
      <w:r>
        <w:t xml:space="preserve">from 12.5% in 2010 to 21.8% in 2021.</w:t>
      </w:r>
      <w:r>
        <w:t xml:space="preserve"> </w:t>
      </w:r>
      <w:r>
        <w:t xml:space="preserve">Given the need to speed up the EU’s clean energy transition, the Directive EU/2018/2001 was</w:t>
      </w:r>
      <w:r>
        <w:t xml:space="preserve"> </w:t>
      </w:r>
      <w:r>
        <w:t xml:space="preserve">revised and entered into force in 2018. It sets an overall European renewable energy target of</w:t>
      </w:r>
      <w:r>
        <w:t xml:space="preserve"> </w:t>
      </w:r>
      <w:r>
        <w:t xml:space="preserve">32% by 2030 and includes rules to ensure the uptake of renewables in the transport sector and</w:t>
      </w:r>
      <w:r>
        <w:t xml:space="preserve"> </w:t>
      </w:r>
      <w:r>
        <w:t xml:space="preserve">in heating and cooling. The directive sets common principles and rules for renewable energy</w:t>
      </w:r>
      <w:r>
        <w:t xml:space="preserve"> </w:t>
      </w:r>
      <w:r>
        <w:t xml:space="preserve">support schemes, sustainability criteria for biomass and the right to produce and consume</w:t>
      </w:r>
      <w:r>
        <w:t xml:space="preserve"> </w:t>
      </w:r>
      <w:r>
        <w:t xml:space="preserve">renewable energy and to establish renewable energy communities. It also establishes rules to</w:t>
      </w:r>
      <w:r>
        <w:t xml:space="preserve"> </w:t>
      </w:r>
      <w:r>
        <w:t xml:space="preserve">remove barriers, stimulate investments and drive cost reductions in renewable energy</w:t>
      </w:r>
      <w:r>
        <w:t xml:space="preserve"> </w:t>
      </w:r>
      <w:r>
        <w:t xml:space="preserve">technologies and empowers citizens and businesses to participate in the clean energy</w:t>
      </w:r>
      <w:r>
        <w:t xml:space="preserve"> </w:t>
      </w:r>
      <w:r>
        <w:t xml:space="preserve">transformation.</w:t>
      </w:r>
      <w:r>
        <w:t xml:space="preserve"> </w:t>
      </w:r>
      <w:r>
        <w:t xml:space="preserve">In July 2021, the Commission proposed another revision of the directive, raising the 2030</w:t>
      </w:r>
      <w:r>
        <w:t xml:space="preserve"> </w:t>
      </w:r>
      <w:r>
        <w:t xml:space="preserve">target to 40% (up from 32%), as part of the ‘Fit for 55’ package.</w:t>
      </w:r>
      <w:r>
        <w:t xml:space="preserve"> </w:t>
      </w:r>
      <w:r>
        <w:t xml:space="preserve">Less than a year later, following Russia’s military aggression against Ukraine and the need to</w:t>
      </w:r>
      <w:r>
        <w:t xml:space="preserve"> </w:t>
      </w:r>
      <w:r>
        <w:t xml:space="preserve">accelerate the EU’s independence from fossil fuels, the Commission proposed to further</w:t>
      </w:r>
      <w:r>
        <w:t xml:space="preserve"> </w:t>
      </w:r>
      <w:r>
        <w:t xml:space="preserve">increase the target to 45% by 2030.</w:t>
      </w:r>
      <w:r>
        <w:t xml:space="preserve"> </w:t>
      </w:r>
      <w:r>
        <w:t xml:space="preserve">On 30 March 2023, a provisional agreement was reached for a binding target of at least 42.5%</w:t>
      </w:r>
      <w:r>
        <w:t xml:space="preserve"> </w:t>
      </w:r>
      <w:r>
        <w:t xml:space="preserve">by 2030, but aiming for 45%. Building on the 2009 and 2018 directives, the current proposal</w:t>
      </w:r>
      <w:r>
        <w:t xml:space="preserve"> </w:t>
      </w:r>
      <w:r>
        <w:t xml:space="preserve">introduces stronger measures to ensure that all possibilities for the further development and</w:t>
      </w:r>
      <w:r>
        <w:t xml:space="preserve"> </w:t>
      </w:r>
      <w:r>
        <w:t xml:space="preserve">uptake of renewables are fully utilized. This will be key to achieving the EU’s objective of</w:t>
      </w:r>
      <w:r>
        <w:t xml:space="preserve"> </w:t>
      </w:r>
      <w:r>
        <w:t xml:space="preserve">- 600</w:t>
      </w:r>
      <w:r>
        <w:t xml:space="preserve"> </w:t>
      </w:r>
      <w:r>
        <w:t xml:space="preserve">- 500</w:t>
      </w:r>
      <w:r>
        <w:t xml:space="preserve"> </w:t>
      </w:r>
      <w:r>
        <w:t xml:space="preserve">- 400</w:t>
      </w:r>
      <w:r>
        <w:t xml:space="preserve"> </w:t>
      </w:r>
      <w:r>
        <w:t xml:space="preserve">- 300</w:t>
      </w:r>
      <w:r>
        <w:t xml:space="preserve"> </w:t>
      </w:r>
      <w:r>
        <w:t xml:space="preserve">- 200</w:t>
      </w:r>
      <w:r>
        <w:t xml:space="preserve"> </w:t>
      </w:r>
      <w:r>
        <w:t xml:space="preserve">- 100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MtCO2-eq</w:t>
      </w:r>
      <w:r>
        <w:t xml:space="preserve"> </w:t>
      </w:r>
      <w:r>
        <w:t xml:space="preserve">Grassland</w:t>
      </w:r>
      <w:r>
        <w:t xml:space="preserve"> </w:t>
      </w:r>
      <w:r>
        <w:t xml:space="preserve">Cropland</w:t>
      </w:r>
      <w:r>
        <w:t xml:space="preserve"> </w:t>
      </w:r>
      <w:r>
        <w:t xml:space="preserve">Wetland</w:t>
      </w:r>
      <w:r>
        <w:t xml:space="preserve"> </w:t>
      </w:r>
      <w:r>
        <w:t xml:space="preserve">Settlements and</w:t>
      </w:r>
      <w:r>
        <w:t xml:space="preserve"> </w:t>
      </w:r>
      <w:r>
        <w:t xml:space="preserve">Other land</w:t>
      </w:r>
      <w:r>
        <w:t xml:space="preserve"> </w:t>
      </w:r>
      <w:r>
        <w:t xml:space="preserve">Harvested Wood</w:t>
      </w:r>
      <w:r>
        <w:t xml:space="preserve"> </w:t>
      </w:r>
      <w:r>
        <w:t xml:space="preserve">Products</w:t>
      </w:r>
      <w:r>
        <w:t xml:space="preserve"> </w:t>
      </w:r>
      <w:r>
        <w:t xml:space="preserve">Forest land</w:t>
      </w:r>
      <w:r>
        <w:t xml:space="preserve"> </w:t>
      </w:r>
      <w:r>
        <w:t xml:space="preserve">Net LULUCF Sink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climate neutrality by 2050. To support renewables uptake in transport and heating and</w:t>
      </w:r>
      <w:r>
        <w:t xml:space="preserve"> </w:t>
      </w:r>
      <w:r>
        <w:t xml:space="preserve">cooling, the proposal seeks to convert into EU law some of the concepts outlined in the</w:t>
      </w:r>
      <w:r>
        <w:t xml:space="preserve"> </w:t>
      </w:r>
      <w:r>
        <w:t xml:space="preserve">energy system integration and hydrogen strategies, published in 2020. These concepts aim at</w:t>
      </w:r>
      <w:r>
        <w:t xml:space="preserve"> </w:t>
      </w:r>
      <w:r>
        <w:t xml:space="preserve">creating an energy-efficient, circular, and renewable energy system that facilitates</w:t>
      </w:r>
      <w:r>
        <w:t xml:space="preserve"> </w:t>
      </w:r>
      <w:r>
        <w:t xml:space="preserve">renewables-based electrification and promotes the use of renewable and low-carbon fuels,</w:t>
      </w:r>
      <w:r>
        <w:t xml:space="preserve"> </w:t>
      </w:r>
      <w:r>
        <w:t xml:space="preserve">including hydrogen, in sectors like transport where electrification is not yet a feasible option.</w:t>
      </w:r>
      <w:r>
        <w:br/>
      </w:r>
      <w:r>
        <w:t xml:space="preserve">This new legislation is likely to be formally adopted in October (vote in EP schedule on 12</w:t>
      </w:r>
      <w:r>
        <w:t xml:space="preserve"> </w:t>
      </w:r>
      <w:r>
        <w:t xml:space="preserve">September, and adoption at the Council on 9 October).</w:t>
      </w:r>
      <w:r>
        <w:t xml:space="preserve"> </w:t>
      </w:r>
      <w:r>
        <w:t xml:space="preserve">6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First adopted in 2012, the Energy Efficiency Directive (EED, Directive 2012/27/EU) (194),</w:t>
      </w:r>
      <w:r>
        <w:t xml:space="preserve"> </w:t>
      </w:r>
      <w:r>
        <w:t xml:space="preserve">setting rules and obligations for achieving the EU’s ambitious energy efficiency targets, was</w:t>
      </w:r>
      <w:r>
        <w:t xml:space="preserve"> </w:t>
      </w:r>
      <w:r>
        <w:t xml:space="preserve">updated in 2018 and 2023 to reflect the increased targets and to adapt the measures to deliver</w:t>
      </w:r>
      <w:r>
        <w:t xml:space="preserve"> </w:t>
      </w:r>
      <w:r>
        <w:t xml:space="preserve">them.</w:t>
      </w:r>
      <w:r>
        <w:br/>
      </w:r>
      <w:r>
        <w:t xml:space="preserve">The 2012 EED quantified the 20% energy efficiency target by 2020 and established a set of</w:t>
      </w:r>
      <w:r>
        <w:t xml:space="preserve"> </w:t>
      </w:r>
      <w:r>
        <w:t xml:space="preserve">binding measures to help the EU reach it.</w:t>
      </w:r>
      <w:r>
        <w:t xml:space="preserve"> </w:t>
      </w:r>
      <w:r>
        <w:t xml:space="preserve">In 2018, the</w:t>
      </w:r>
      <w:r>
        <w:t xml:space="preserve"> </w:t>
      </w:r>
      <w:r>
        <w:t xml:space="preserve">‘Clean energy for all Europeans package’</w:t>
      </w:r>
      <w:r>
        <w:t xml:space="preserve"> </w:t>
      </w:r>
      <w:r>
        <w:t xml:space="preserve">(195) introduced the revised EED</w:t>
      </w:r>
      <w:r>
        <w:t xml:space="preserve"> </w:t>
      </w:r>
      <w:r>
        <w:t xml:space="preserve">(Directive 2018/2002) (196) to update the policy framework to the 2030, having already in</w:t>
      </w:r>
      <w:r>
        <w:t xml:space="preserve"> </w:t>
      </w:r>
      <w:r>
        <w:t xml:space="preserve">mind the 2050 decarbonistion objective. The central feature was the establishment of a</w:t>
      </w:r>
      <w:r>
        <w:t xml:space="preserve"> </w:t>
      </w:r>
      <w:r>
        <w:t xml:space="preserve">prominent energy efficiency target for 2030, set at a minimum of 32.5% improvement</w:t>
      </w:r>
      <w:r>
        <w:t xml:space="preserve"> </w:t>
      </w:r>
      <w:r>
        <w:t xml:space="preserve">compared to the 2007 projections for the same timeframe, which translated into indicative</w:t>
      </w:r>
      <w:r>
        <w:t xml:space="preserve"> </w:t>
      </w:r>
      <w:r>
        <w:t xml:space="preserve">targets of 1,128 Mtoe of primary energy and 846 Mtoe for final energy consumption for the</w:t>
      </w:r>
      <w:r>
        <w:t xml:space="preserve"> </w:t>
      </w:r>
      <w:r>
        <w:t xml:space="preserve">whole EU by 2030 (197).</w:t>
      </w:r>
      <w:r>
        <w:t xml:space="preserve"> </w:t>
      </w:r>
      <w:r>
        <w:t xml:space="preserve">In 2021, primary energy consumption in the EU reached 1,309 Mtoe, a 5.9% increase</w:t>
      </w:r>
      <w:r>
        <w:t xml:space="preserve"> </w:t>
      </w:r>
      <w:r>
        <w:t xml:space="preserve">compared with 2020, but still below the 2019 level (1,354 Mtoe). Data (198) show that the EU</w:t>
      </w:r>
      <w:r>
        <w:t xml:space="preserve"> </w:t>
      </w:r>
      <w:r>
        <w:t xml:space="preserve">had a distance to reach the 2030 target of 16.0% in 2021 (Figure 17).</w:t>
      </w:r>
    </w:p>
    <w:p>
      <w:pPr>
        <w:pStyle w:val="Compact"/>
        <w:numPr>
          <w:ilvl w:val="0"/>
          <w:numId w:val="1058"/>
        </w:numPr>
      </w:pPr>
      <w:r>
        <w:t xml:space="preserve">https://eur-lex.europa.eu/legal-content/EN/TXT/?qid=1399375464230&amp;uri=CELEX:32012L0027</w:t>
      </w:r>
    </w:p>
    <w:p>
      <w:pPr>
        <w:pStyle w:val="Compact"/>
        <w:numPr>
          <w:ilvl w:val="0"/>
          <w:numId w:val="1058"/>
        </w:numPr>
      </w:pPr>
      <w:r>
        <w:t xml:space="preserve">https://energy.ec.europa.eu/topics/energy-strategy/clean-energy-all-europeans-package_en</w:t>
      </w:r>
    </w:p>
    <w:p>
      <w:pPr>
        <w:pStyle w:val="Compact"/>
        <w:numPr>
          <w:ilvl w:val="0"/>
          <w:numId w:val="1058"/>
        </w:numPr>
      </w:pPr>
      <w:r>
        <w:t xml:space="preserve">https://eur-lex.europa.eu/legal-content/EN/TXT/?uri=uriserv:OJ.L_.2018.328.01.0210.01.ENG</w:t>
      </w:r>
    </w:p>
    <w:p>
      <w:pPr>
        <w:pStyle w:val="Compact"/>
        <w:numPr>
          <w:ilvl w:val="0"/>
          <w:numId w:val="1058"/>
        </w:numPr>
      </w:pPr>
      <w:r>
        <w:t xml:space="preserve">Both targets refer to the post BrexitEU27. The initial EU28 targets were talking of 1,273 Mtoe of primary</w:t>
      </w:r>
      <w:r>
        <w:t xml:space="preserve"> </w:t>
      </w:r>
      <w:r>
        <w:t xml:space="preserve">energy and 956 Mtoe of final energy consumption.</w:t>
      </w:r>
    </w:p>
    <w:p>
      <w:pPr>
        <w:pStyle w:val="Compact"/>
        <w:numPr>
          <w:ilvl w:val="0"/>
          <w:numId w:val="1058"/>
        </w:numPr>
      </w:pPr>
      <w:r>
        <w:t xml:space="preserve">https://ec.europa.eu/eurostat/web/products-eurostat-news/w/ddn-20221219-4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Figure 17: Primary energy consumption in the EU, distance to 2030 target</w:t>
      </w:r>
    </w:p>
    <w:p>
      <w:pPr>
        <w:pStyle w:val="BodyText"/>
      </w:pPr>
      <w:r>
        <w:t xml:space="preserve">Unit: Mtoe</w:t>
      </w:r>
      <w:r>
        <w:t xml:space="preserve"> </w:t>
      </w:r>
      <w:r>
        <w:t xml:space="preserve">Source: Eurostat.</w:t>
      </w:r>
      <w:r>
        <w:t xml:space="preserve"> </w:t>
      </w:r>
      <w:r>
        <w:t xml:space="preserve">Final energy consumption reached 968 Mtoe in 2021, a 6.8% increase compared with 2020</w:t>
      </w:r>
      <w:r>
        <w:t xml:space="preserve"> </w:t>
      </w:r>
      <w:r>
        <w:t xml:space="preserve">and a 1.8% decrease compared with 2019. In 2021, final energy consumption was 14.4%</w:t>
      </w:r>
      <w:r>
        <w:t xml:space="preserve"> </w:t>
      </w:r>
      <w:r>
        <w:t xml:space="preserve">away from the 2030 target (Figure 18).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18: Final energy consumption in the EU, distance to 2030 target</w:t>
      </w:r>
    </w:p>
    <w:p>
      <w:pPr>
        <w:pStyle w:val="BodyText"/>
      </w:pPr>
      <w:r>
        <w:t xml:space="preserve">Unit: Mtoe</w:t>
      </w:r>
      <w:r>
        <w:t xml:space="preserve"> </w:t>
      </w:r>
      <w:r>
        <w:t xml:space="preserve">Source: Eurostat.</w:t>
      </w:r>
      <w:r>
        <w:t xml:space="preserve"> </w:t>
      </w:r>
      <w:r>
        <w:t xml:space="preserve">To achieve the 2030 climate target, as set by the 2030 Climate Target Plan, and contribute to</w:t>
      </w:r>
      <w:r>
        <w:t xml:space="preserve"> </w:t>
      </w:r>
      <w:r>
        <w:t xml:space="preserve">ensuring energy security within the EU, the EED recast formally agreed on 24 July 2023 (199)</w:t>
      </w:r>
      <w:r>
        <w:t xml:space="preserve"> </w:t>
      </w:r>
      <w:r>
        <w:t xml:space="preserve">significantly raises the EU’s ambition, by making it binding for EU countries to collectively</w:t>
      </w:r>
      <w:r>
        <w:t xml:space="preserve"> </w:t>
      </w:r>
      <w:r>
        <w:t xml:space="preserve">achieve an additional 11.7% reduction of final energy consumption by 2030, compared to the</w:t>
      </w:r>
      <w:r>
        <w:t xml:space="preserve"> </w:t>
      </w:r>
      <w:r>
        <w:t xml:space="preserve">2020 reference scenario projections (200). This translates into an idicative target of 992.5 Mtoe</w:t>
      </w:r>
      <w:r>
        <w:t xml:space="preserve"> </w:t>
      </w:r>
      <w:r>
        <w:t xml:space="preserve">of primary energy and a binding target of 763 Mtoe for final energy consumption for the</w:t>
      </w:r>
      <w:r>
        <w:t xml:space="preserve"> </w:t>
      </w:r>
      <w:r>
        <w:t xml:space="preserve">whole EU by 2030. Furthermore, the EED reacst establishes ‘energy efficiency first’ as a</w:t>
      </w:r>
      <w:r>
        <w:t xml:space="preserve"> </w:t>
      </w:r>
      <w:r>
        <w:t xml:space="preserve">fundamental principle of EU energy policy, recognising its vital role in practical policy</w:t>
      </w:r>
      <w:r>
        <w:t xml:space="preserve"> </w:t>
      </w:r>
      <w:r>
        <w:t xml:space="preserve">applications and investment decision-making beyond the energy sector.</w:t>
      </w:r>
    </w:p>
    <w:p>
      <w:pPr>
        <w:pStyle w:val="Compact"/>
        <w:numPr>
          <w:ilvl w:val="0"/>
          <w:numId w:val="1059"/>
        </w:numPr>
      </w:pPr>
      <w:r>
        <w:t xml:space="preserve">https://energy.ec.europa.eu/news/european-green-deal-energy-efficiency-directive-adopted-helping-make-</w:t>
      </w:r>
      <w:r>
        <w:t xml:space="preserve"> </w:t>
      </w:r>
      <w:r>
        <w:t xml:space="preserve">eu-fit-55-2023-07-25_en</w:t>
      </w:r>
    </w:p>
    <w:p>
      <w:pPr>
        <w:pStyle w:val="Compact"/>
        <w:numPr>
          <w:ilvl w:val="0"/>
          <w:numId w:val="1059"/>
        </w:numPr>
      </w:pPr>
      <w:r>
        <w:t xml:space="preserve">https://energy.ec.europa.eu/topics/energy-efficiency/energy-efficiency-targets-directive-and-rules/energy-</w:t>
      </w:r>
      <w:r>
        <w:t xml:space="preserve"> </w:t>
      </w:r>
      <w:r>
        <w:t xml:space="preserve">efficiency-targets_en</w:t>
      </w:r>
    </w:p>
    <w:p>
      <w:pPr>
        <w:pStyle w:val="FirstParagraph"/>
      </w:pPr>
      <w:r>
        <w:t xml:space="preserve">69</w:t>
      </w:r>
    </w:p>
    <w:p>
      <w:pPr>
        <w:pStyle w:val="BodyText"/>
      </w:pPr>
      <w:r>
        <w:t xml:space="preserve">Annex 11: The climate policy framework considered for the</w:t>
      </w:r>
      <w:r>
        <w:t xml:space="preserve"> </w:t>
      </w:r>
      <w:r>
        <w:t xml:space="preserve">analysis</w:t>
      </w:r>
      <w:r>
        <w:t xml:space="preserve"> </w:t>
      </w:r>
      <w:r>
        <w:t xml:space="preserve">The list of EU policies considered is presented in the tables below, organised by sector. This</w:t>
      </w:r>
      <w:r>
        <w:t xml:space="preserve"> </w:t>
      </w:r>
      <w:r>
        <w:t xml:space="preserve">list of EU policies is an updated version of the list of policies presented in Annex I of the EU</w:t>
      </w:r>
      <w:r>
        <w:t xml:space="preserve"> </w:t>
      </w:r>
      <w:r>
        <w:t xml:space="preserve">Reference Scenario 2020 report (201). Some of the most recent policies mentioned in the list</w:t>
      </w:r>
      <w:r>
        <w:t xml:space="preserve"> </w:t>
      </w:r>
      <w:r>
        <w:t xml:space="preserve">have been proposed by the European Commission but have not been formally adopted</w:t>
      </w:r>
      <w:r>
        <w:t xml:space="preserve"> </w:t>
      </w:r>
      <w:r>
        <w:t xml:space="preserve">(negotiations are underway).</w:t>
      </w:r>
      <w:r>
        <w:t xml:space="preserve"> </w:t>
      </w:r>
      <w:r>
        <w:t xml:space="preserve">1</w:t>
      </w:r>
      <w:r>
        <w:t xml:space="preserve"> </w:t>
      </w:r>
      <w:r>
        <w:t xml:space="preserve">ENERGY EFFICIENCY POLICIES</w:t>
      </w:r>
      <w:r>
        <w:t xml:space="preserve"> </w:t>
      </w:r>
      <w:r>
        <w:t xml:space="preserve">Energy Efficiency</w:t>
      </w:r>
      <w:r>
        <w:t xml:space="preserve"> </w:t>
      </w:r>
      <w:r>
        <w:t xml:space="preserve">1</w:t>
      </w:r>
      <w:r>
        <w:t xml:space="preserve"> </w:t>
      </w:r>
      <w:r>
        <w:t xml:space="preserve">Ecodesign Framework Directive</w:t>
      </w:r>
      <w:r>
        <w:br/>
      </w:r>
      <w:r>
        <w:t xml:space="preserve">Directive 2009/125/EC</w:t>
      </w:r>
      <w:r>
        <w:t xml:space="preserve"> </w:t>
      </w:r>
      <w:r>
        <w:t xml:space="preserve">Stand-by Regulation</w:t>
      </w:r>
      <w:r>
        <w:t xml:space="preserve"> </w:t>
      </w:r>
      <w:r>
        <w:t xml:space="preserve">Commission Regulation (EC) No 1275/2008 as amended by</w:t>
      </w:r>
      <w:r>
        <w:t xml:space="preserve"> </w:t>
      </w:r>
      <w:r>
        <w:t xml:space="preserve">Commission Regulation (EU) No 801/2013</w:t>
      </w:r>
      <w:r>
        <w:t xml:space="preserve"> </w:t>
      </w:r>
      <w:r>
        <w:t xml:space="preserve">Office/street lighting Regulation</w:t>
      </w:r>
      <w:r>
        <w:t xml:space="preserve"> </w:t>
      </w:r>
      <w:r>
        <w:t xml:space="preserve">Commission Regulation (EC) No 347/2010</w:t>
      </w:r>
      <w:r>
        <w:br/>
      </w:r>
      <w:r>
        <w:t xml:space="preserve">Lighting Products in the domestic and Tertiary</w:t>
      </w:r>
      <w:r>
        <w:t xml:space="preserve"> </w:t>
      </w:r>
      <w:r>
        <w:t xml:space="preserve">Sectors Regulations</w:t>
      </w:r>
      <w:r>
        <w:t xml:space="preserve"> </w:t>
      </w:r>
      <w:r>
        <w:t xml:space="preserve">Commission Regulation (EU) 2019/2020</w:t>
      </w:r>
      <w:r>
        <w:t xml:space="preserve"> </w:t>
      </w:r>
      <w:r>
        <w:t xml:space="preserve">Commission Regulation (EC) No 244/2009</w:t>
      </w:r>
      <w:r>
        <w:t xml:space="preserve"> </w:t>
      </w:r>
      <w:r>
        <w:t xml:space="preserve">Commission Regulation (EC) No 245/2009</w:t>
      </w:r>
      <w:r>
        <w:t xml:space="preserve"> </w:t>
      </w:r>
      <w:r>
        <w:t xml:space="preserve">Commission Regulation (EU) No 1194/2012</w:t>
      </w:r>
      <w:r>
        <w:t xml:space="preserve"> </w:t>
      </w:r>
      <w:r>
        <w:t xml:space="preserve">External power supplies Regulation</w:t>
      </w:r>
      <w:r>
        <w:t xml:space="preserve"> </w:t>
      </w:r>
      <w:r>
        <w:t xml:space="preserve">Commission Regulation (EU) 2019/1782</w:t>
      </w:r>
      <w:r>
        <w:t xml:space="preserve"> </w:t>
      </w:r>
      <w:r>
        <w:t xml:space="preserve">TVs Regulation (+labelling) Regulation</w:t>
      </w:r>
      <w:r>
        <w:t xml:space="preserve"> </w:t>
      </w:r>
      <w:r>
        <w:t xml:space="preserve">Commission Regulation (EU) 2019/2021</w:t>
      </w:r>
      <w:r>
        <w:t xml:space="preserve"> </w:t>
      </w:r>
      <w:r>
        <w:t xml:space="preserve">Electric motors Regulation</w:t>
      </w:r>
      <w:r>
        <w:t xml:space="preserve"> </w:t>
      </w:r>
      <w:r>
        <w:t xml:space="preserve">Commission Regulation (EC)No 640/2009</w:t>
      </w:r>
      <w:r>
        <w:br/>
      </w:r>
      <w:r>
        <w:t xml:space="preserve">Freezers/refrigerators Regulation</w:t>
      </w:r>
      <w:r>
        <w:br/>
      </w:r>
      <w:r>
        <w:t xml:space="preserve">Commission Regulation (EU) 2015/1095</w:t>
      </w:r>
      <w:r>
        <w:t xml:space="preserve"> </w:t>
      </w:r>
      <w:r>
        <w:t xml:space="preserve">Commission Regulation (EU) 2019/2019</w:t>
      </w:r>
      <w:r>
        <w:t xml:space="preserve"> </w:t>
      </w:r>
      <w:r>
        <w:t xml:space="preserve">Commission Regulation (EU) 2019/2024</w:t>
      </w:r>
      <w:r>
        <w:t xml:space="preserve"> </w:t>
      </w:r>
      <w:r>
        <w:t xml:space="preserve">Household washing machines Regulation</w:t>
      </w:r>
      <w:r>
        <w:t xml:space="preserve"> </w:t>
      </w:r>
      <w:r>
        <w:t xml:space="preserve">Commission Regulation (EU) 2019/2023</w:t>
      </w:r>
      <w:r>
        <w:t xml:space="preserve"> </w:t>
      </w:r>
      <w:r>
        <w:t xml:space="preserve">Household dishwashers Regulations</w:t>
      </w:r>
      <w:r>
        <w:t xml:space="preserve"> </w:t>
      </w:r>
      <w:r>
        <w:t xml:space="preserve">Commission Regulation (EU) 2019/2022</w:t>
      </w:r>
      <w:r>
        <w:t xml:space="preserve"> </w:t>
      </w:r>
      <w:r>
        <w:t xml:space="preserve">Air conditioners</w:t>
      </w:r>
      <w:r>
        <w:t xml:space="preserve"> </w:t>
      </w:r>
      <w:r>
        <w:t xml:space="preserve">Commission Regulation (EU) No 206/2012</w:t>
      </w:r>
      <w:r>
        <w:t xml:space="preserve"> </w:t>
      </w:r>
      <w:r>
        <w:t xml:space="preserve">Commission Regulation (EU) Regulation No 327/2011</w:t>
      </w:r>
      <w:r>
        <w:t xml:space="preserve"> </w:t>
      </w:r>
      <w:r>
        <w:t xml:space="preserve">Commission Regulation (EU) No 1253/2014</w:t>
      </w:r>
      <w:r>
        <w:t xml:space="preserve"> </w:t>
      </w:r>
      <w:r>
        <w:t xml:space="preserve">Commission Regulation (EU) 2016/2281</w:t>
      </w:r>
      <w:r>
        <w:t xml:space="preserve"> </w:t>
      </w:r>
      <w:r>
        <w:t xml:space="preserve">Circulators Regulation</w:t>
      </w:r>
      <w:r>
        <w:t xml:space="preserve"> </w:t>
      </w:r>
      <w:r>
        <w:t xml:space="preserve">Commission Regulation (EC) No 641/2009 as amended by</w:t>
      </w:r>
      <w:r>
        <w:t xml:space="preserve"> </w:t>
      </w:r>
      <w:r>
        <w:t xml:space="preserve">Commission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No</w:t>
      </w:r>
      <w:r>
        <w:t xml:space="preserve"> </w:t>
      </w:r>
      <w:r>
        <w:t xml:space="preserve">622/2012</w:t>
      </w:r>
      <w:r>
        <w:t xml:space="preserve"> </w:t>
      </w:r>
      <w:r>
        <w:t xml:space="preserve">and</w:t>
      </w:r>
      <w:r>
        <w:t xml:space="preserve"> </w:t>
      </w:r>
      <w:r>
        <w:t xml:space="preserve">Commission Regulation (EU) 2019/1781</w:t>
      </w:r>
      <w:r>
        <w:t xml:space="preserve"> </w:t>
      </w:r>
      <w:r>
        <w:t xml:space="preserve">Water pumps</w:t>
      </w:r>
      <w:r>
        <w:t xml:space="preserve"> </w:t>
      </w:r>
      <w:r>
        <w:t xml:space="preserve">Commission Regulation (EU) No 547/2012</w:t>
      </w:r>
      <w:r>
        <w:t xml:space="preserve"> </w:t>
      </w:r>
      <w:r>
        <w:t xml:space="preserve">Tumble driers</w:t>
      </w:r>
      <w:r>
        <w:t xml:space="preserve"> </w:t>
      </w:r>
      <w:r>
        <w:t xml:space="preserve">Commission Regulation (EU) No 932/2012</w:t>
      </w:r>
      <w:r>
        <w:t xml:space="preserve"> </w:t>
      </w:r>
      <w:r>
        <w:t xml:space="preserve">Computers and servers</w:t>
      </w:r>
      <w:r>
        <w:t xml:space="preserve"> </w:t>
      </w:r>
      <w:r>
        <w:t xml:space="preserve">Commission Regulation (EU) No 617/2013</w:t>
      </w:r>
      <w:r>
        <w:t xml:space="preserve"> </w:t>
      </w:r>
      <w:r>
        <w:t xml:space="preserve">Commission Regulation (EU) 2019/424</w:t>
      </w:r>
      <w:r>
        <w:t xml:space="preserve"> </w:t>
      </w:r>
      <w:r>
        <w:t xml:space="preserve">Vacuum cleaners</w:t>
      </w:r>
      <w:r>
        <w:t xml:space="preserve"> </w:t>
      </w:r>
      <w:r>
        <w:t xml:space="preserve">Commission Regulation (EU) No 666/2013</w:t>
      </w:r>
    </w:p>
    <w:p>
      <w:pPr>
        <w:pStyle w:val="Compact"/>
        <w:numPr>
          <w:ilvl w:val="0"/>
          <w:numId w:val="1060"/>
        </w:numPr>
      </w:pPr>
      <w:r>
        <w:t xml:space="preserve">European Commission, DG for Climate Action, DG for Energy, DG for Mobility and Transport, De Vita,</w:t>
      </w:r>
      <w:r>
        <w:t xml:space="preserve"> </w:t>
      </w:r>
      <w:r>
        <w:t xml:space="preserve">A., Capros, P., Paroussos, L., et al. (2021), EU Reference Scenario 2020: Energy, transport and GHG</w:t>
      </w:r>
      <w:r>
        <w:t xml:space="preserve"> </w:t>
      </w:r>
      <w:r>
        <w:t xml:space="preserve">emissions - Trends to 2050.</w:t>
      </w:r>
    </w:p>
    <w:p>
      <w:pPr>
        <w:pStyle w:val="FirstParagraph"/>
      </w:pPr>
      <w:r>
        <w:t xml:space="preserve">70</w:t>
      </w:r>
    </w:p>
    <w:p>
      <w:pPr>
        <w:pStyle w:val="BodyText"/>
      </w:pPr>
      <w:r>
        <w:t xml:space="preserve">Cooking appliances</w:t>
      </w:r>
      <w:r>
        <w:t xml:space="preserve"> </w:t>
      </w:r>
      <w:r>
        <w:t xml:space="preserve">Commission Regulation (EU) No 66/2014</w:t>
      </w:r>
      <w:r>
        <w:t xml:space="preserve"> </w:t>
      </w:r>
      <w:r>
        <w:t xml:space="preserve">Power transformers</w:t>
      </w:r>
      <w:r>
        <w:t xml:space="preserve"> </w:t>
      </w:r>
      <w:r>
        <w:t xml:space="preserve">Commission Regulation (EU) No 548/2014</w:t>
      </w:r>
      <w:r>
        <w:t xml:space="preserve"> </w:t>
      </w:r>
      <w:r>
        <w:t xml:space="preserve">Commission Regulation (EU) 2019/1783</w:t>
      </w:r>
      <w:r>
        <w:t xml:space="preserve"> </w:t>
      </w:r>
      <w:r>
        <w:t xml:space="preserve">Heaters Regulation</w:t>
      </w:r>
      <w:r>
        <w:t xml:space="preserve"> </w:t>
      </w:r>
      <w:r>
        <w:t xml:space="preserve">Council Directive 92/42/EEC</w:t>
      </w:r>
      <w:r>
        <w:br/>
      </w:r>
      <w:r>
        <w:t xml:space="preserve">Commission Regulation (EU) No 813/2013</w:t>
      </w:r>
      <w:r>
        <w:br/>
      </w:r>
      <w:r>
        <w:t xml:space="preserve">Commission Regulation (EU) No 814/2013</w:t>
      </w:r>
      <w:r>
        <w:br/>
      </w:r>
      <w:r>
        <w:t xml:space="preserve">Commission Regulation (EU) 2015/1185</w:t>
      </w:r>
      <w:r>
        <w:br/>
      </w:r>
      <w:r>
        <w:t xml:space="preserve">Commission Regulation (EU) 2015/1189</w:t>
      </w:r>
      <w:r>
        <w:br/>
      </w:r>
      <w:r>
        <w:t xml:space="preserve">Commission Regulation (EU) 2016/2281</w:t>
      </w:r>
      <w:r>
        <w:t xml:space="preserve"> </w:t>
      </w:r>
      <w:r>
        <w:t xml:space="preserve">Welding equipment</w:t>
      </w:r>
      <w:r>
        <w:t xml:space="preserve"> </w:t>
      </w:r>
      <w:r>
        <w:t xml:space="preserve">Commission Regulation (EU) 2019/1784</w:t>
      </w:r>
      <w:r>
        <w:t xml:space="preserve"> </w:t>
      </w:r>
      <w:r>
        <w:t xml:space="preserve">Omnibus</w:t>
      </w:r>
      <w:r>
        <w:t xml:space="preserve"> </w:t>
      </w:r>
      <w:r>
        <w:t xml:space="preserve">Commission Regulation (EU) 2021/341</w:t>
      </w:r>
      <w:r>
        <w:t xml:space="preserve"> </w:t>
      </w:r>
      <w:r>
        <w:t xml:space="preserve">Imaging equipment</w:t>
      </w:r>
      <w:r>
        <w:t xml:space="preserve"> </w:t>
      </w:r>
      <w:r>
        <w:t xml:space="preserve">Voluntary agreement – Report from the Commission to the</w:t>
      </w:r>
      <w:r>
        <w:t xml:space="preserve"> </w:t>
      </w:r>
      <w:r>
        <w:t xml:space="preserve">European Parliament and the Council on the voluntary</w:t>
      </w:r>
      <w:r>
        <w:t xml:space="preserve"> </w:t>
      </w:r>
      <w:r>
        <w:t xml:space="preserve">ecodesign scheme for imaging equipment</w:t>
      </w:r>
      <w:r>
        <w:br/>
      </w:r>
      <w:r>
        <w:t xml:space="preserve">COM/2013/023 final</w:t>
      </w:r>
      <w:r>
        <w:t xml:space="preserve"> </w:t>
      </w:r>
      <w:r>
        <w:t xml:space="preserve">Game consoles</w:t>
      </w:r>
      <w:r>
        <w:t xml:space="preserve"> </w:t>
      </w:r>
      <w:r>
        <w:t xml:space="preserve">Voluntary agreement - Report from the Commission to the</w:t>
      </w:r>
      <w:r>
        <w:t xml:space="preserve"> </w:t>
      </w:r>
      <w:r>
        <w:t xml:space="preserve">European Parliament and the Council on the voluntary</w:t>
      </w:r>
      <w:r>
        <w:t xml:space="preserve"> </w:t>
      </w:r>
      <w:r>
        <w:t xml:space="preserve">ecodesign scheme for games consoles</w:t>
      </w:r>
      <w:r>
        <w:t xml:space="preserve"> </w:t>
      </w:r>
      <w:r>
        <w:t xml:space="preserve">COM/2015/0178 final</w:t>
      </w:r>
      <w:r>
        <w:t xml:space="preserve"> </w:t>
      </w:r>
      <w:r>
        <w:t xml:space="preserve">2</w:t>
      </w:r>
      <w:r>
        <w:t xml:space="preserve"> </w:t>
      </w:r>
      <w:r>
        <w:t xml:space="preserve">Energy Labelling Directive</w:t>
      </w:r>
      <w:r>
        <w:br/>
      </w:r>
      <w:r>
        <w:t xml:space="preserve">and delegated Regulations covering: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lamps and luminaires,</w:t>
      </w:r>
      <w:r>
        <w:t xml:space="preserve"> </w:t>
      </w:r>
      <w:r>
        <w:t xml:space="preserve">•</w:t>
      </w:r>
      <w:r>
        <w:t xml:space="preserve"> </w:t>
      </w:r>
      <w:r>
        <w:t xml:space="preserve">air conditioners</w:t>
      </w:r>
      <w:r>
        <w:t xml:space="preserve"> </w:t>
      </w:r>
      <w:r>
        <w:t xml:space="preserve">•</w:t>
      </w:r>
      <w:r>
        <w:t xml:space="preserve"> </w:t>
      </w:r>
      <w:r>
        <w:t xml:space="preserve">Electronic displays</w:t>
      </w:r>
      <w:r>
        <w:t xml:space="preserve"> </w:t>
      </w:r>
      <w:r>
        <w:t xml:space="preserve">•</w:t>
      </w:r>
      <w:r>
        <w:t xml:space="preserve"> </w:t>
      </w:r>
      <w:r>
        <w:t xml:space="preserve">household washing machines</w:t>
      </w:r>
      <w:r>
        <w:t xml:space="preserve"> </w:t>
      </w:r>
      <w:r>
        <w:t xml:space="preserve">•</w:t>
      </w:r>
      <w:r>
        <w:t xml:space="preserve"> </w:t>
      </w:r>
      <w:r>
        <w:t xml:space="preserve">household refrigerating appliances</w:t>
      </w:r>
      <w:r>
        <w:t xml:space="preserve"> </w:t>
      </w:r>
      <w:r>
        <w:t xml:space="preserve">•</w:t>
      </w:r>
      <w:r>
        <w:t xml:space="preserve"> </w:t>
      </w:r>
      <w:r>
        <w:t xml:space="preserve">household dishwashers</w:t>
      </w:r>
      <w:r>
        <w:t xml:space="preserve"> </w:t>
      </w:r>
      <w:r>
        <w:t xml:space="preserve">•</w:t>
      </w:r>
      <w:r>
        <w:t xml:space="preserve"> </w:t>
      </w:r>
      <w:r>
        <w:t xml:space="preserve">household electric tumble-driers</w:t>
      </w:r>
      <w:r>
        <w:t xml:space="preserve"> </w:t>
      </w:r>
      <w:r>
        <w:t xml:space="preserve">•</w:t>
      </w:r>
      <w:r>
        <w:t xml:space="preserve"> </w:t>
      </w:r>
      <w:r>
        <w:t xml:space="preserve">Labelling of tyres Regulations</w:t>
      </w:r>
      <w:r>
        <w:t xml:space="preserve"> </w:t>
      </w:r>
      <w:r>
        <w:t xml:space="preserve">•</w:t>
      </w:r>
      <w:r>
        <w:t xml:space="preserve"> </w:t>
      </w:r>
      <w:r>
        <w:t xml:space="preserve">Cooking appliances</w:t>
      </w:r>
    </w:p>
    <w:p>
      <w:pPr>
        <w:pStyle w:val="BodyText"/>
      </w:pPr>
      <w:r>
        <w:t xml:space="preserve">Omnibus</w:t>
      </w:r>
      <w:r>
        <w:t xml:space="preserve"> </w:t>
      </w:r>
      <w:r>
        <w:t xml:space="preserve">Regulation (EU) 2017/1369</w:t>
      </w:r>
      <w:r>
        <w:br/>
      </w:r>
      <w:r>
        <w:t xml:space="preserve">supplemented by Delegated Regulations and Commission</w:t>
      </w:r>
      <w:r>
        <w:t xml:space="preserve"> </w:t>
      </w:r>
      <w:r>
        <w:t xml:space="preserve">Directives</w:t>
      </w:r>
      <w:r>
        <w:t xml:space="preserve"> </w:t>
      </w:r>
      <w:r>
        <w:t xml:space="preserve">Commission Delegated Regulation (EU) No 874/2012</w:t>
      </w:r>
      <w:r>
        <w:t xml:space="preserve"> </w:t>
      </w:r>
      <w:r>
        <w:t xml:space="preserve">Commission Delegated Regulation (EU) No 626/2011</w:t>
      </w:r>
      <w:r>
        <w:t xml:space="preserve"> </w:t>
      </w:r>
      <w:r>
        <w:t xml:space="preserve">Commission Delegated Regulation (EU) No 1254/2014</w:t>
      </w:r>
      <w:r>
        <w:t xml:space="preserve"> </w:t>
      </w:r>
      <w:r>
        <w:t xml:space="preserve">Commission Delegated Regulation (EU) 2019/2013</w:t>
      </w:r>
      <w:r>
        <w:t xml:space="preserve"> </w:t>
      </w:r>
      <w:r>
        <w:t xml:space="preserve">Commission Delegated Regulation (EU) 2019/2014</w:t>
      </w:r>
      <w:r>
        <w:t xml:space="preserve"> </w:t>
      </w:r>
      <w:r>
        <w:t xml:space="preserve">Commission Delegated Regulation (EU) 2015/1094</w:t>
      </w:r>
      <w:r>
        <w:t xml:space="preserve"> </w:t>
      </w:r>
      <w:r>
        <w:t xml:space="preserve">Commission Delegated Regulation (EU) 2019/2016</w:t>
      </w:r>
      <w:r>
        <w:t xml:space="preserve"> </w:t>
      </w:r>
      <w:r>
        <w:t xml:space="preserve">Commission Delegated Regulation (EU) 2019/2018</w:t>
      </w:r>
      <w:r>
        <w:t xml:space="preserve"> </w:t>
      </w:r>
      <w:r>
        <w:t xml:space="preserve">Commission Delegated Regulation (EU) 2019/2017</w:t>
      </w:r>
      <w:r>
        <w:t xml:space="preserve"> </w:t>
      </w:r>
      <w:r>
        <w:t xml:space="preserve">Commission Delegated Regulation (EU) No 392/2012</w:t>
      </w:r>
      <w:r>
        <w:t xml:space="preserve"> </w:t>
      </w:r>
      <w:r>
        <w:t xml:space="preserve">Regulation (EU) 2020/740</w:t>
      </w:r>
      <w:r>
        <w:br/>
      </w:r>
      <w:r>
        <w:t xml:space="preserve">Commission Delegated Regulation (EU) 2015/1186</w:t>
      </w:r>
      <w:r>
        <w:t xml:space="preserve"> </w:t>
      </w:r>
      <w:r>
        <w:t xml:space="preserve">Commission Delegated Regulation (EU) No 811/2013</w:t>
      </w:r>
      <w:r>
        <w:t xml:space="preserve"> </w:t>
      </w:r>
      <w:r>
        <w:t xml:space="preserve">Commission Delegated Regulation (EU) No 812/2013</w:t>
      </w:r>
      <w:r>
        <w:t xml:space="preserve"> </w:t>
      </w:r>
      <w:r>
        <w:t xml:space="preserve">Commission Delegated Regulation (EU) 2015/1187</w:t>
      </w:r>
      <w:r>
        <w:t xml:space="preserve"> </w:t>
      </w:r>
      <w:r>
        <w:t xml:space="preserve">Commission Delegated Regulation (EU) No 65/2014</w:t>
      </w:r>
      <w:r>
        <w:t xml:space="preserve"> </w:t>
      </w:r>
      <w:r>
        <w:t xml:space="preserve">Commission Delegated Regulation (EU) 2021/340 of 17</w:t>
      </w:r>
      <w:r>
        <w:t xml:space="preserve"> </w:t>
      </w:r>
      <w:r>
        <w:t xml:space="preserve">December 2020 amending Delegated Regulations (EU)</w:t>
      </w:r>
      <w:r>
        <w:t xml:space="preserve"> </w:t>
      </w:r>
      <w:r>
        <w:t xml:space="preserve">2019/2013, (EU) 2019/2014, (EU) 2019/2015, (EU)</w:t>
      </w:r>
      <w:r>
        <w:t xml:space="preserve"> </w:t>
      </w:r>
      <w:r>
        <w:t xml:space="preserve">2019/2016, (EU) 2019/2017 and (EU) 2019/2018</w:t>
      </w:r>
      <w:r>
        <w:t xml:space="preserve"> </w:t>
      </w:r>
      <w:r>
        <w:t xml:space="preserve">3</w:t>
      </w:r>
      <w:r>
        <w:t xml:space="preserve"> </w:t>
      </w:r>
      <w:r>
        <w:t xml:space="preserve">Energy Performance of Buildings Directive</w:t>
      </w:r>
      <w:r>
        <w:t xml:space="preserve"> </w:t>
      </w:r>
      <w:r>
        <w:t xml:space="preserve">Directive 2010/31/EU, as amended by Directive (EU)</w:t>
      </w:r>
      <w:r>
        <w:t xml:space="preserve"> </w:t>
      </w:r>
      <w:r>
        <w:t xml:space="preserve">2018/844, and Proposal for a revision of this directive</w:t>
      </w:r>
      <w:r>
        <w:t xml:space="preserve"> </w:t>
      </w:r>
      <w:r>
        <w:t xml:space="preserve">(COM(2021) 802 final)</w:t>
      </w:r>
      <w:r>
        <w:t xml:space="preserve"> </w:t>
      </w:r>
      <w:r>
        <w:t xml:space="preserve">4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Directive (EU) 2023/1791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POWER GENERATION AND ENERGY MARKETS</w:t>
      </w:r>
      <w:r>
        <w:t xml:space="preserve"> </w:t>
      </w:r>
      <w:r>
        <w:t xml:space="preserve">Power generation and energy markets</w:t>
      </w:r>
      <w:r>
        <w:t xml:space="preserve"> </w:t>
      </w:r>
      <w:r>
        <w:t xml:space="preserve">1</w:t>
      </w:r>
      <w:r>
        <w:t xml:space="preserve"> </w:t>
      </w:r>
      <w:r>
        <w:t xml:space="preserve">Completion of the internal energy market</w:t>
      </w:r>
      <w:r>
        <w:t xml:space="preserve"> </w:t>
      </w:r>
      <w:r>
        <w:t xml:space="preserve">(including provisions of the 3rd package).</w:t>
      </w:r>
      <w:r>
        <w:t xml:space="preserve"> </w:t>
      </w:r>
      <w:r>
        <w:t xml:space="preserve">Directive 2009/73/EC</w:t>
      </w:r>
      <w:r>
        <w:t xml:space="preserve"> </w:t>
      </w:r>
      <w:r>
        <w:t xml:space="preserve">Since March 2011, the Gas and Electricity</w:t>
      </w:r>
      <w:r>
        <w:t xml:space="preserve"> </w:t>
      </w:r>
      <w:r>
        <w:t xml:space="preserve">Directives of the 3rd package for an internal EU</w:t>
      </w:r>
      <w:r>
        <w:t xml:space="preserve"> </w:t>
      </w:r>
      <w:r>
        <w:t xml:space="preserve">gas and electricity market are transposed into</w:t>
      </w:r>
      <w:r>
        <w:t xml:space="preserve"> </w:t>
      </w:r>
      <w:r>
        <w:t xml:space="preserve">national law by Members States and the three</w:t>
      </w:r>
      <w:r>
        <w:t xml:space="preserve"> </w:t>
      </w:r>
      <w:r>
        <w:t xml:space="preserve">Regulations:</w:t>
      </w:r>
      <w:r>
        <w:t xml:space="preserve"> </w:t>
      </w:r>
      <w:r>
        <w:t xml:space="preserve">Directive (EU) 2019/944</w:t>
      </w:r>
    </w:p>
    <w:p>
      <w:pPr>
        <w:pStyle w:val="BodyText"/>
      </w:pPr>
      <w:r>
        <w:t xml:space="preserve">71</w:t>
      </w:r>
    </w:p>
    <w:p>
      <w:pPr>
        <w:pStyle w:val="Compact"/>
        <w:numPr>
          <w:ilvl w:val="0"/>
          <w:numId w:val="1061"/>
        </w:numPr>
      </w:pPr>
      <w:r>
        <w:t xml:space="preserve">on conditions for access to the natural gas</w:t>
      </w:r>
      <w:r>
        <w:t xml:space="preserve"> </w:t>
      </w:r>
      <w:r>
        <w:t xml:space="preserve">transmission networks</w:t>
      </w:r>
      <w:r>
        <w:br/>
      </w:r>
      <w:r>
        <w:t xml:space="preserve">Regulation (EC) No 715/2009</w:t>
      </w:r>
    </w:p>
    <w:p>
      <w:pPr>
        <w:pStyle w:val="Compact"/>
        <w:numPr>
          <w:ilvl w:val="0"/>
          <w:numId w:val="1061"/>
        </w:numPr>
      </w:pPr>
      <w:r>
        <w:t xml:space="preserve">on conditions for access to the network for</w:t>
      </w:r>
      <w:r>
        <w:t xml:space="preserve"> </w:t>
      </w:r>
      <w:r>
        <w:t xml:space="preserve">cross-border exchange of electricity</w:t>
      </w:r>
      <w:r>
        <w:br/>
      </w:r>
      <w:r>
        <w:t xml:space="preserve">Regulation (EU) 2019/943</w:t>
      </w:r>
    </w:p>
    <w:p>
      <w:pPr>
        <w:pStyle w:val="Compact"/>
        <w:numPr>
          <w:ilvl w:val="0"/>
          <w:numId w:val="1061"/>
        </w:numPr>
      </w:pPr>
      <w:r>
        <w:t xml:space="preserve">on the establishment of the Agency for the</w:t>
      </w:r>
      <w:r>
        <w:t xml:space="preserve"> </w:t>
      </w:r>
      <w:r>
        <w:t xml:space="preserve">Cooperation of Energy Regulators (ACER)</w:t>
      </w:r>
      <w:r>
        <w:t xml:space="preserve"> </w:t>
      </w:r>
      <w:r>
        <w:t xml:space="preserve">Regulation (EU) 2019/942</w:t>
      </w:r>
      <w:r>
        <w:t xml:space="preserve"> </w:t>
      </w:r>
      <w:r>
        <w:t xml:space="preserve">2</w:t>
      </w:r>
      <w:r>
        <w:t xml:space="preserve"> </w:t>
      </w:r>
      <w:r>
        <w:t xml:space="preserve">Energy Taxation Directive</w:t>
      </w:r>
      <w:r>
        <w:t xml:space="preserve"> </w:t>
      </w:r>
      <w:r>
        <w:t xml:space="preserve">Directive 2003/96/EC, and Proposal for recasting (COM(2021) 563</w:t>
      </w:r>
      <w:r>
        <w:t xml:space="preserve"> </w:t>
      </w:r>
      <w:r>
        <w:t xml:space="preserve">final)</w:t>
      </w:r>
      <w:r>
        <w:t xml:space="preserve"> </w:t>
      </w:r>
      <w:r>
        <w:t xml:space="preserve">3</w:t>
      </w:r>
      <w:r>
        <w:t xml:space="preserve"> </w:t>
      </w:r>
      <w:r>
        <w:t xml:space="preserve">Regulation on security of gas supply</w:t>
      </w:r>
      <w:r>
        <w:t xml:space="preserve"> </w:t>
      </w:r>
      <w:r>
        <w:t xml:space="preserve">Regulation (EU) 2017/1938</w:t>
      </w:r>
      <w:r>
        <w:t xml:space="preserve"> </w:t>
      </w:r>
      <w:r>
        <w:t xml:space="preserve">4</w:t>
      </w:r>
      <w:r>
        <w:t xml:space="preserve"> </w:t>
      </w:r>
      <w:r>
        <w:t xml:space="preserve">Regulation on market integrity and transparency</w:t>
      </w:r>
      <w:r>
        <w:t xml:space="preserve"> </w:t>
      </w:r>
      <w:r>
        <w:t xml:space="preserve">(REMIT)</w:t>
      </w:r>
      <w:r>
        <w:t xml:space="preserve"> </w:t>
      </w:r>
      <w:r>
        <w:t xml:space="preserve">Regulation (EU) 1227/2011</w:t>
      </w:r>
      <w:r>
        <w:br/>
      </w:r>
      <w:r>
        <w:t xml:space="preserve">5</w:t>
      </w:r>
      <w:r>
        <w:t xml:space="preserve"> </w:t>
      </w:r>
      <w:r>
        <w:t xml:space="preserve">Nuclear Safety Directive</w:t>
      </w:r>
      <w:r>
        <w:t xml:space="preserve"> </w:t>
      </w:r>
      <w:r>
        <w:t xml:space="preserve">Council Directive 2009/71/Euratom</w:t>
      </w:r>
      <w:r>
        <w:t xml:space="preserve"> </w:t>
      </w:r>
      <w:r>
        <w:t xml:space="preserve">6</w:t>
      </w:r>
      <w:r>
        <w:t xml:space="preserve"> </w:t>
      </w:r>
      <w:r>
        <w:t xml:space="preserve">Nuclear Waste Management Directive</w:t>
      </w:r>
      <w:r>
        <w:t xml:space="preserve"> </w:t>
      </w:r>
      <w:r>
        <w:t xml:space="preserve">Council Directive 2011/70/Euratom</w:t>
      </w:r>
      <w:r>
        <w:t xml:space="preserve"> </w:t>
      </w:r>
      <w:r>
        <w:t xml:space="preserve">7</w:t>
      </w:r>
      <w:r>
        <w:t xml:space="preserve"> </w:t>
      </w:r>
      <w:r>
        <w:t xml:space="preserve">Basic safety standards Directive</w:t>
      </w:r>
      <w:r>
        <w:t xml:space="preserve"> </w:t>
      </w:r>
      <w:r>
        <w:t xml:space="preserve">Council Directive 2013/59/Euratom</w:t>
      </w:r>
      <w:r>
        <w:br/>
      </w:r>
      <w:r>
        <w:t xml:space="preserve">8</w:t>
      </w:r>
      <w:r>
        <w:t xml:space="preserve"> </w:t>
      </w:r>
      <w:r>
        <w:t xml:space="preserve">Directive on the promotion of the use of energy</w:t>
      </w:r>
      <w:r>
        <w:t xml:space="preserve"> </w:t>
      </w:r>
      <w:r>
        <w:t xml:space="preserve">from renewable sources</w:t>
      </w:r>
      <w:r>
        <w:br/>
      </w:r>
      <w:r>
        <w:t xml:space="preserve">Directive (EU) 2018/2001, as amended by Directive (EU)</w:t>
      </w:r>
      <w:r>
        <w:t xml:space="preserve"> </w:t>
      </w:r>
      <w:r>
        <w:t xml:space="preserve">2023/2413.</w:t>
      </w:r>
      <w:r>
        <w:t xml:space="preserve"> </w:t>
      </w:r>
      <w:r>
        <w:t xml:space="preserve">9</w:t>
      </w:r>
      <w:r>
        <w:t xml:space="preserve"> </w:t>
      </w:r>
      <w:r>
        <w:t xml:space="preserve">Guidelines on State aid for environmental</w:t>
      </w:r>
      <w:r>
        <w:t xml:space="preserve"> </w:t>
      </w:r>
      <w:r>
        <w:t xml:space="preserve">protection and energy 2014-20</w:t>
      </w:r>
      <w:r>
        <w:br/>
      </w:r>
      <w:r>
        <w:t xml:space="preserve">2014/C 200/01</w:t>
      </w:r>
    </w:p>
    <w:p>
      <w:pPr>
        <w:pStyle w:val="FirstParagraph"/>
      </w:pP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for</w:t>
      </w:r>
      <w:r>
        <w:t xml:space="preserve"> </w:t>
      </w:r>
      <w:r>
        <w:t xml:space="preserve">climate,</w:t>
      </w:r>
      <w:r>
        <w:t xml:space="preserve"> </w:t>
      </w:r>
      <w:r>
        <w:t xml:space="preserve">environmental protection and energy 2022</w:t>
      </w:r>
      <w:r>
        <w:t xml:space="preserve"> </w:t>
      </w:r>
      <w:r>
        <w:t xml:space="preserve">C/2022/481</w:t>
      </w:r>
      <w:r>
        <w:t xml:space="preserve"> </w:t>
      </w:r>
      <w:r>
        <w:t xml:space="preserve">10</w:t>
      </w:r>
      <w:r>
        <w:t xml:space="preserve"> </w:t>
      </w:r>
      <w:r>
        <w:t xml:space="preserve">Hydrogen and decarbonised gas market package</w:t>
      </w:r>
      <w:r>
        <w:t xml:space="preserve"> </w:t>
      </w:r>
      <w:r>
        <w:t xml:space="preserve">Proposal for a directive (COM(2021) 803 final), and Proposal for a</w:t>
      </w:r>
      <w:r>
        <w:t xml:space="preserve"> </w:t>
      </w:r>
      <w:r>
        <w:t xml:space="preserve">regulation (COM(2021) 804 final).</w:t>
      </w:r>
      <w:r>
        <w:t xml:space="preserve"> </w:t>
      </w:r>
      <w:r>
        <w:t xml:space="preserve">11</w:t>
      </w:r>
      <w:r>
        <w:t xml:space="preserve"> </w:t>
      </w:r>
      <w:r>
        <w:t xml:space="preserve">REPowerEU plan</w:t>
      </w:r>
      <w:r>
        <w:t xml:space="preserve"> </w:t>
      </w:r>
      <w:r>
        <w:t xml:space="preserve">Regulation (EU) 2023/435 amending Regulation (EU) 2021/241 as</w:t>
      </w:r>
      <w:r>
        <w:t xml:space="preserve"> </w:t>
      </w:r>
      <w:r>
        <w:t xml:space="preserve">regards REPowerEU chapters in recovery and resilience plans and</w:t>
      </w:r>
      <w:r>
        <w:t xml:space="preserve"> </w:t>
      </w:r>
      <w:r>
        <w:t xml:space="preserve">amending Regulations (EU) No 1303/2013, (EU) 2021/1060 and</w:t>
      </w:r>
      <w:r>
        <w:t xml:space="preserve"> </w:t>
      </w:r>
      <w:r>
        <w:t xml:space="preserve">(EU) 2021/1755, and Directive 2003/87/EC.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CLIMATE POLICIES</w:t>
      </w:r>
      <w:r>
        <w:t xml:space="preserve"> </w:t>
      </w:r>
      <w:r>
        <w:t xml:space="preserve">(Cross-sectorial) Climate policies</w:t>
      </w:r>
      <w:r>
        <w:t xml:space="preserve"> </w:t>
      </w:r>
      <w:r>
        <w:t xml:space="preserve">1</w:t>
      </w:r>
      <w:r>
        <w:t xml:space="preserve"> </w:t>
      </w:r>
      <w:r>
        <w:t xml:space="preserve">EU ETS Directive</w:t>
      </w:r>
      <w:r>
        <w:br/>
      </w:r>
      <w:r>
        <w:t xml:space="preserve">Directive 2003/87/EC, as amended notably by Directive</w:t>
      </w:r>
      <w:r>
        <w:t xml:space="preserve"> </w:t>
      </w:r>
      <w:r>
        <w:t xml:space="preserve">2008/101/EC (aviation), Decision (EU) 2015/1814 (Market</w:t>
      </w:r>
      <w:r>
        <w:t xml:space="preserve"> </w:t>
      </w:r>
      <w:r>
        <w:t xml:space="preserve">Stability Reserve), Regulation (EU) 2017/2392 (aviation “stop</w:t>
      </w:r>
      <w:r>
        <w:t xml:space="preserve"> </w:t>
      </w:r>
      <w:r>
        <w:t xml:space="preserve">the clock” derogation), Directive 2018/410 (revision for 2030</w:t>
      </w:r>
      <w:r>
        <w:t xml:space="preserve"> </w:t>
      </w:r>
      <w:r>
        <w:t xml:space="preserve">climate and energy framework), Regulation (EU) 2023/435</w:t>
      </w:r>
      <w:r>
        <w:t xml:space="preserve"> </w:t>
      </w:r>
      <w:r>
        <w:t xml:space="preserve">(REPowerEU), Directive (EU) 2023/958 (aviation) and</w:t>
      </w:r>
      <w:r>
        <w:t xml:space="preserve"> </w:t>
      </w:r>
      <w:r>
        <w:t xml:space="preserve">Directive (EU) 2023/959.</w:t>
      </w:r>
      <w:r>
        <w:br/>
      </w:r>
      <w:r>
        <w:t xml:space="preserve">2</w:t>
      </w:r>
      <w:r>
        <w:t xml:space="preserve"> </w:t>
      </w:r>
      <w:r>
        <w:t xml:space="preserve">Directive on the geological storage of CO2</w:t>
      </w:r>
      <w:r>
        <w:t xml:space="preserve"> </w:t>
      </w:r>
      <w:r>
        <w:t xml:space="preserve">Directive 2009/31/EC</w:t>
      </w:r>
      <w:r>
        <w:br/>
      </w:r>
      <w:r>
        <w:t xml:space="preserve">3</w:t>
      </w:r>
      <w:r>
        <w:t xml:space="preserve"> </w:t>
      </w:r>
      <w:r>
        <w:t xml:space="preserve">GHG Effort Sharing Regulation</w:t>
      </w:r>
      <w:r>
        <w:t xml:space="preserve"> </w:t>
      </w:r>
      <w:r>
        <w:t xml:space="preserve">Regulation (EU) 2018/842, as amended by Regulation (EU)</w:t>
      </w:r>
      <w:r>
        <w:t xml:space="preserve"> </w:t>
      </w:r>
      <w:r>
        <w:t xml:space="preserve">2023/857.</w:t>
      </w:r>
      <w:r>
        <w:t xml:space="preserve"> </w:t>
      </w:r>
      <w:r>
        <w:t xml:space="preserve">4</w:t>
      </w:r>
      <w:r>
        <w:t xml:space="preserve"> </w:t>
      </w:r>
      <w:r>
        <w:t xml:space="preserve">European Commission proposal to revise the F-gas</w:t>
      </w:r>
      <w:r>
        <w:t xml:space="preserve"> </w:t>
      </w:r>
      <w:r>
        <w:t xml:space="preserve">Regulation</w:t>
      </w:r>
      <w:r>
        <w:br/>
      </w:r>
      <w:r>
        <w:t xml:space="preserve">Proposal COM (2022) 150 final, to amend Directive (EU)</w:t>
      </w:r>
      <w:r>
        <w:t xml:space="preserve"> </w:t>
      </w:r>
      <w:r>
        <w:t xml:space="preserve">2019/1937 and repeal Regulation (EU) No 517/2014</w:t>
      </w:r>
      <w:r>
        <w:t xml:space="preserve"> </w:t>
      </w:r>
      <w:r>
        <w:t xml:space="preserve">(provisionally agreed by co-legislators in October 2023).</w:t>
      </w:r>
      <w:r>
        <w:t xml:space="preserve"> </w:t>
      </w:r>
      <w:r>
        <w:t xml:space="preserve">5</w:t>
      </w:r>
      <w:r>
        <w:t xml:space="preserve"> </w:t>
      </w:r>
      <w:r>
        <w:t xml:space="preserve">LULUCF Regulation</w:t>
      </w:r>
      <w:r>
        <w:t xml:space="preserve"> </w:t>
      </w:r>
      <w:r>
        <w:t xml:space="preserve">Regulation (EU) 2018/841, as amended by Regulation (EU)</w:t>
      </w:r>
      <w:r>
        <w:t xml:space="preserve"> </w:t>
      </w:r>
      <w:r>
        <w:t xml:space="preserve">2023/839.</w:t>
      </w:r>
    </w:p>
    <w:p>
      <w:pPr>
        <w:pStyle w:val="BodyText"/>
      </w:pPr>
      <w:r>
        <w:t xml:space="preserve">Carbon Border Adjustment Mechanism (CBAM)</w:t>
      </w:r>
      <w:r>
        <w:t xml:space="preserve"> </w:t>
      </w:r>
      <w:r>
        <w:t xml:space="preserve">Regulation (EU) 2023/956.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Communication from the Commission Guidelines on</w:t>
      </w:r>
      <w:r>
        <w:t xml:space="preserve"> </w:t>
      </w:r>
      <w:r>
        <w:t xml:space="preserve">certain State aid measures in the context of the</w:t>
      </w:r>
      <w:r>
        <w:t xml:space="preserve"> </w:t>
      </w:r>
      <w:r>
        <w:t xml:space="preserve">system for greenhouse gas emission allowance</w:t>
      </w:r>
      <w:r>
        <w:t xml:space="preserve"> </w:t>
      </w:r>
      <w:r>
        <w:t xml:space="preserve">trading post-2021.</w:t>
      </w:r>
      <w:r>
        <w:t xml:space="preserve"> </w:t>
      </w:r>
      <w:r>
        <w:t xml:space="preserve">2020/C 317/04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TRANSPORT-RELATED POLICIES</w:t>
      </w:r>
      <w:r>
        <w:t xml:space="preserve"> </w:t>
      </w:r>
      <w:r>
        <w:t xml:space="preserve">Transport-related policies</w:t>
      </w:r>
      <w:r>
        <w:t xml:space="preserve"> </w:t>
      </w:r>
      <w:r>
        <w:t xml:space="preserve">1</w:t>
      </w:r>
      <w:r>
        <w:t xml:space="preserve"> </w:t>
      </w:r>
      <w:r>
        <w:t xml:space="preserve">CO2 emission performance standards for new passenger cars</w:t>
      </w:r>
      <w:r>
        <w:t xml:space="preserve"> </w:t>
      </w:r>
      <w:r>
        <w:t xml:space="preserve">and light commercial vehicles</w:t>
      </w:r>
      <w:r>
        <w:br/>
      </w:r>
      <w:r>
        <w:t xml:space="preserve">Regulation (EU) 2019/631, as amended by Regulation</w:t>
      </w:r>
      <w:r>
        <w:t xml:space="preserve"> </w:t>
      </w:r>
      <w:r>
        <w:t xml:space="preserve">(EU) 2023/851.</w:t>
      </w:r>
      <w:r>
        <w:t xml:space="preserve"> </w:t>
      </w:r>
      <w:r>
        <w:t xml:space="preserve">2</w:t>
      </w:r>
      <w:r>
        <w:t xml:space="preserve"> </w:t>
      </w:r>
      <w:r>
        <w:t xml:space="preserve">CO2 emission performance standards for heavy-duty</w:t>
      </w:r>
      <w:r>
        <w:t xml:space="preserve"> </w:t>
      </w:r>
      <w:r>
        <w:t xml:space="preserve">vehicles</w:t>
      </w:r>
      <w:r>
        <w:t xml:space="preserve"> </w:t>
      </w:r>
      <w:r>
        <w:t xml:space="preserve">Regulation (EU) 2019/1242, amending Regulations</w:t>
      </w:r>
      <w:r>
        <w:t xml:space="preserve"> </w:t>
      </w:r>
      <w:r>
        <w:t xml:space="preserve">(EC) No 595/2009 and (EU) 2018/956.</w:t>
      </w:r>
      <w:r>
        <w:t xml:space="preserve"> </w:t>
      </w:r>
      <w:r>
        <w:t xml:space="preserve">Proposal to amend Regulation (EU) 2019/1242 (COM</w:t>
      </w:r>
      <w:r>
        <w:t xml:space="preserve"> </w:t>
      </w:r>
      <w:r>
        <w:t xml:space="preserve">(2023) 88 final)</w:t>
      </w:r>
      <w:r>
        <w:t xml:space="preserve"> </w:t>
      </w:r>
      <w:r>
        <w:t xml:space="preserve">3</w:t>
      </w:r>
      <w:r>
        <w:t xml:space="preserve"> </w:t>
      </w:r>
      <w:r>
        <w:t xml:space="preserve">Improving testing procedures - real driving conditions (</w:t>
      </w:r>
      <w:r>
        <w:t xml:space="preserve">‘Real</w:t>
      </w:r>
      <w:r>
        <w:t xml:space="preserve"> </w:t>
      </w:r>
      <w:r>
        <w:t xml:space="preserve">Driving Emissions’</w:t>
      </w:r>
      <w:r>
        <w:t xml:space="preserve"> </w:t>
      </w:r>
      <w:r>
        <w:t xml:space="preserve">– RDE) and improved laboratory test</w:t>
      </w:r>
      <w:r>
        <w:t xml:space="preserve"> </w:t>
      </w:r>
      <w:r>
        <w:t xml:space="preserve">(</w:t>
      </w:r>
      <w:r>
        <w:t xml:space="preserve">‘World Harmonised Light Vehicle Test Procedure’</w:t>
      </w:r>
      <w:r>
        <w:t xml:space="preserve"> </w:t>
      </w:r>
      <w:r>
        <w:t xml:space="preserve">– WLTP)</w:t>
      </w:r>
      <w:r>
        <w:t xml:space="preserve"> </w:t>
      </w:r>
      <w:r>
        <w:t xml:space="preserve">Commission Regulation (EU) 2018/1832</w:t>
      </w:r>
      <w:r>
        <w:br/>
      </w:r>
      <w:r>
        <w:t xml:space="preserve">Commission Regulation (EU) 2017/1151</w:t>
      </w:r>
      <w:r>
        <w:br/>
      </w:r>
      <w:r>
        <w:t xml:space="preserve">Commission Regulation (EU) 2017/1154</w:t>
      </w:r>
      <w:r>
        <w:t xml:space="preserve"> </w:t>
      </w:r>
      <w:r>
        <w:t xml:space="preserve">Commission Regulation (EU) 2016/646</w:t>
      </w:r>
      <w:r>
        <w:t xml:space="preserve"> </w:t>
      </w:r>
      <w:r>
        <w:t xml:space="preserve">Commission Regulation (EU) 2016/427</w:t>
      </w:r>
      <w:r>
        <w:t xml:space="preserve"> </w:t>
      </w:r>
      <w:r>
        <w:t xml:space="preserve">4</w:t>
      </w:r>
      <w:r>
        <w:t xml:space="preserve"> </w:t>
      </w:r>
      <w:r>
        <w:t xml:space="preserve">Regulation EURO 5 and 6, and EURO 7 standard proposal</w:t>
      </w:r>
      <w:r>
        <w:t xml:space="preserve"> </w:t>
      </w:r>
      <w:r>
        <w:t xml:space="preserve">Regulation (EC) No 715/2007, implemented by</w:t>
      </w:r>
      <w:r>
        <w:t xml:space="preserve"> </w:t>
      </w:r>
      <w:r>
        <w:t xml:space="preserve">Commission Regulation (EU) 2017/1151</w:t>
      </w:r>
      <w:r>
        <w:t xml:space="preserve"> </w:t>
      </w:r>
      <w:r>
        <w:t xml:space="preserve">Commission Proposal COM(2022) 586</w:t>
      </w:r>
      <w:r>
        <w:t xml:space="preserve"> </w:t>
      </w:r>
      <w:r>
        <w:t xml:space="preserve">5</w:t>
      </w:r>
      <w:r>
        <w:t xml:space="preserve"> </w:t>
      </w:r>
      <w:r>
        <w:t xml:space="preserve">Directive on the promotion of the use of energy from</w:t>
      </w:r>
      <w:r>
        <w:t xml:space="preserve"> </w:t>
      </w:r>
      <w:r>
        <w:t xml:space="preserve">renewable sources</w:t>
      </w:r>
      <w:r>
        <w:br/>
      </w:r>
      <w:r>
        <w:t xml:space="preserve">Directive (EU) 2018/2001, as amended by Directive</w:t>
      </w:r>
      <w:r>
        <w:t xml:space="preserve"> </w:t>
      </w:r>
      <w:r>
        <w:t xml:space="preserve">(EU) 2023/2413.</w:t>
      </w:r>
      <w:r>
        <w:t xml:space="preserve"> </w:t>
      </w:r>
      <w:r>
        <w:t xml:space="preserve">6</w:t>
      </w:r>
      <w:r>
        <w:t xml:space="preserve"> </w:t>
      </w:r>
      <w:r>
        <w:t xml:space="preserve">Fuel Quality Directive</w:t>
      </w:r>
      <w:r>
        <w:t xml:space="preserve"> </w:t>
      </w:r>
      <w:r>
        <w:t xml:space="preserve">Directive 98/70/EC, as amended by Directive (EU)</w:t>
      </w:r>
      <w:r>
        <w:t xml:space="preserve"> </w:t>
      </w:r>
      <w:r>
        <w:t xml:space="preserve">2015/1513</w:t>
      </w:r>
      <w:r>
        <w:t xml:space="preserve"> </w:t>
      </w:r>
      <w:r>
        <w:t xml:space="preserve">7</w:t>
      </w:r>
      <w:r>
        <w:t xml:space="preserve"> </w:t>
      </w:r>
      <w:r>
        <w:t xml:space="preserve">Regulation Euro VI for heavy duty vehicles</w:t>
      </w:r>
      <w:r>
        <w:t xml:space="preserve"> </w:t>
      </w:r>
      <w:r>
        <w:t xml:space="preserve">Regulation (EC) No 595/2009, implemented by</w:t>
      </w:r>
      <w:r>
        <w:t xml:space="preserve"> </w:t>
      </w:r>
      <w:r>
        <w:t xml:space="preserve">Commission Regulation (EU) 582/2011</w:t>
      </w:r>
      <w:r>
        <w:br/>
      </w:r>
      <w:r>
        <w:t xml:space="preserve">8</w:t>
      </w:r>
      <w:r>
        <w:t xml:space="preserve"> </w:t>
      </w:r>
      <w:r>
        <w:t xml:space="preserve">Eurovignette Directive on road infrastructure charging</w:t>
      </w:r>
      <w:r>
        <w:t xml:space="preserve"> </w:t>
      </w:r>
      <w:r>
        <w:t xml:space="preserve">Directive 1999/62/EC, as amended by Directives</w:t>
      </w:r>
      <w:r>
        <w:t xml:space="preserve"> </w:t>
      </w:r>
      <w:r>
        <w:t xml:space="preserve">2011/76/EU and (EU) 2022/362.</w:t>
      </w:r>
      <w:r>
        <w:t xml:space="preserve"> </w:t>
      </w:r>
      <w:r>
        <w:t xml:space="preserve">9</w:t>
      </w:r>
      <w:r>
        <w:t xml:space="preserve"> </w:t>
      </w:r>
      <w:r>
        <w:t xml:space="preserve">Directive on the Promotion of Clean and Energy Efficient</w:t>
      </w:r>
      <w:r>
        <w:t xml:space="preserve"> </w:t>
      </w:r>
      <w:r>
        <w:t xml:space="preserve">Road Transport Vehicles (in public procurement)</w:t>
      </w:r>
      <w:r>
        <w:t xml:space="preserve"> </w:t>
      </w:r>
      <w:r>
        <w:t xml:space="preserve">Directive 2009/33/EC, as amended by Directive (EU)</w:t>
      </w:r>
      <w:r>
        <w:t xml:space="preserve"> </w:t>
      </w:r>
      <w:r>
        <w:t xml:space="preserve">2019/1161</w:t>
      </w:r>
      <w:r>
        <w:t xml:space="preserve"> </w:t>
      </w:r>
      <w:r>
        <w:t xml:space="preserve">10</w:t>
      </w:r>
      <w:r>
        <w:t xml:space="preserve"> </w:t>
      </w:r>
      <w:r>
        <w:t xml:space="preserve">Regulation on the deployment of alternative fuels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Regulation (EU) 2023/1804, repealing Directive</w:t>
      </w:r>
      <w:r>
        <w:t xml:space="preserve"> </w:t>
      </w:r>
      <w:r>
        <w:t xml:space="preserve">2014/94/EU.</w:t>
      </w:r>
      <w:r>
        <w:t xml:space="preserve"> </w:t>
      </w:r>
      <w:r>
        <w:t xml:space="preserve">11</w:t>
      </w:r>
      <w:r>
        <w:t xml:space="preserve"> </w:t>
      </w:r>
      <w:r>
        <w:t xml:space="preserve">Directive on weights &amp; dimensions</w:t>
      </w:r>
      <w:r>
        <w:t xml:space="preserve"> </w:t>
      </w:r>
      <w:r>
        <w:t xml:space="preserve">Council Directive 96/53/EC, as amended by Directive</w:t>
      </w:r>
      <w:r>
        <w:t xml:space="preserve"> </w:t>
      </w:r>
      <w:r>
        <w:t xml:space="preserve">2015/719/EU,</w:t>
      </w:r>
      <w:r>
        <w:t xml:space="preserve"> </w:t>
      </w:r>
      <w:r>
        <w:t xml:space="preserve">Decision</w:t>
      </w:r>
      <w:r>
        <w:t xml:space="preserve"> </w:t>
      </w:r>
      <w:r>
        <w:t xml:space="preserve">(EU)</w:t>
      </w:r>
      <w:r>
        <w:t xml:space="preserve"> </w:t>
      </w:r>
      <w:r>
        <w:t xml:space="preserve">2019/894</w:t>
      </w:r>
      <w:r>
        <w:t xml:space="preserve"> </w:t>
      </w:r>
      <w:r>
        <w:t xml:space="preserve">and</w:t>
      </w:r>
      <w:r>
        <w:t xml:space="preserve"> </w:t>
      </w:r>
      <w:r>
        <w:t xml:space="preserve">Regulation (EU) 2019/1242.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Transport-related policies</w:t>
      </w:r>
      <w:r>
        <w:t xml:space="preserve"> </w:t>
      </w:r>
      <w:r>
        <w:t xml:space="preserve">Proposal to amend Council Directive 96/53/EC</w:t>
      </w:r>
      <w:r>
        <w:t xml:space="preserve"> </w:t>
      </w:r>
      <w:r>
        <w:t xml:space="preserve">(COM(2023) 445 final)</w:t>
      </w:r>
      <w:r>
        <w:t xml:space="preserve"> </w:t>
      </w:r>
      <w:r>
        <w:t xml:space="preserve">12</w:t>
      </w:r>
      <w:r>
        <w:t xml:space="preserve"> </w:t>
      </w:r>
      <w:r>
        <w:t xml:space="preserve">End of Life Vehicles Directive</w:t>
      </w:r>
      <w:r>
        <w:t xml:space="preserve"> </w:t>
      </w:r>
      <w:r>
        <w:t xml:space="preserve">Directive 2000/53/EC, as amended by Directive (EU)</w:t>
      </w:r>
      <w:r>
        <w:t xml:space="preserve"> </w:t>
      </w:r>
      <w:r>
        <w:t xml:space="preserve">2018/849</w:t>
      </w:r>
      <w:r>
        <w:t xml:space="preserve"> </w:t>
      </w:r>
      <w:r>
        <w:t xml:space="preserve">13</w:t>
      </w:r>
      <w:r>
        <w:t xml:space="preserve"> </w:t>
      </w:r>
      <w:r>
        <w:t xml:space="preserve">Mobile Air Conditioning in motor vehicles Directive</w:t>
      </w:r>
      <w:r>
        <w:br/>
      </w:r>
      <w:r>
        <w:t xml:space="preserve">Directive 2006/40/EC</w:t>
      </w:r>
      <w:r>
        <w:t xml:space="preserve"> </w:t>
      </w:r>
      <w:r>
        <w:t xml:space="preserve">14</w:t>
      </w:r>
      <w:r>
        <w:t xml:space="preserve"> </w:t>
      </w:r>
      <w:r>
        <w:t xml:space="preserve">Directive on the sound level of motor vehicles</w:t>
      </w:r>
    </w:p>
    <w:p>
      <w:pPr>
        <w:pStyle w:val="BodyText"/>
      </w:pPr>
      <w:r>
        <w:t xml:space="preserve">Regulation (EU) No 540/2014 as amended by</w:t>
      </w:r>
      <w:r>
        <w:t xml:space="preserve"> </w:t>
      </w:r>
      <w:r>
        <w:t xml:space="preserve">Regulation (EU) 2019/839</w:t>
      </w:r>
      <w:r>
        <w:t xml:space="preserve"> </w:t>
      </w:r>
      <w:r>
        <w:t xml:space="preserve">15</w:t>
      </w:r>
      <w:r>
        <w:t xml:space="preserve"> </w:t>
      </w:r>
      <w:r>
        <w:t xml:space="preserve">Roadworthiness Package</w:t>
      </w:r>
      <w:r>
        <w:t xml:space="preserve"> </w:t>
      </w:r>
      <w:r>
        <w:t xml:space="preserve">Directive 2014/45/EU, Directive 2014/46/EU,</w:t>
      </w:r>
      <w:r>
        <w:t xml:space="preserve"> </w:t>
      </w:r>
      <w:r>
        <w:t xml:space="preserve">Directive 2014/47/EU</w:t>
      </w:r>
      <w:r>
        <w:t xml:space="preserve"> </w:t>
      </w:r>
      <w:r>
        <w:t xml:space="preserve">16</w:t>
      </w:r>
      <w:r>
        <w:t xml:space="preserve"> </w:t>
      </w:r>
      <w:r>
        <w:t xml:space="preserve">Road infrastructure safety management</w:t>
      </w:r>
      <w:r>
        <w:t xml:space="preserve"> </w:t>
      </w:r>
      <w:r>
        <w:t xml:space="preserve">Directive (EU) 2019/1936</w:t>
      </w:r>
      <w:r>
        <w:t xml:space="preserve"> </w:t>
      </w:r>
      <w:r>
        <w:t xml:space="preserve">17</w:t>
      </w:r>
      <w:r>
        <w:t xml:space="preserve"> </w:t>
      </w:r>
      <w:r>
        <w:t xml:space="preserve">General safety regulation</w:t>
      </w:r>
      <w:r>
        <w:t xml:space="preserve"> </w:t>
      </w:r>
      <w:r>
        <w:t xml:space="preserve">Regulation (EU) 2019/2144</w:t>
      </w:r>
      <w:r>
        <w:t xml:space="preserve"> </w:t>
      </w:r>
      <w:r>
        <w:t xml:space="preserve">18</w:t>
      </w:r>
      <w:r>
        <w:t xml:space="preserve"> </w:t>
      </w:r>
      <w:r>
        <w:t xml:space="preserve">Intelligent Transport Systems Directive</w:t>
      </w:r>
      <w:r>
        <w:br/>
      </w:r>
      <w:r>
        <w:t xml:space="preserve">Directive 2010/40/EU, as amended by Directive (EU)</w:t>
      </w:r>
      <w:r>
        <w:t xml:space="preserve"> </w:t>
      </w:r>
      <w:r>
        <w:t xml:space="preserve">2023/2661</w:t>
      </w:r>
      <w:r>
        <w:t xml:space="preserve"> </w:t>
      </w:r>
      <w:r>
        <w:t xml:space="preserve">19</w:t>
      </w:r>
      <w:r>
        <w:t xml:space="preserve"> </w:t>
      </w:r>
      <w:r>
        <w:t xml:space="preserve">Regulation concerning type-approval requirements for the</w:t>
      </w:r>
      <w:r>
        <w:t xml:space="preserve"> </w:t>
      </w:r>
      <w:r>
        <w:t xml:space="preserve">deployment of the eCall in-vehicle system</w:t>
      </w:r>
      <w:r>
        <w:t xml:space="preserve"> </w:t>
      </w:r>
      <w:r>
        <w:t xml:space="preserve">Regulation (EU) 2015/758</w:t>
      </w:r>
      <w:r>
        <w:t xml:space="preserve"> </w:t>
      </w:r>
      <w:r>
        <w:t xml:space="preserve">20</w:t>
      </w:r>
      <w:r>
        <w:t xml:space="preserve"> </w:t>
      </w:r>
      <w:r>
        <w:t xml:space="preserve">Fourth railway package</w:t>
      </w:r>
      <w:r>
        <w:t xml:space="preserve"> </w:t>
      </w:r>
      <w:r>
        <w:t xml:space="preserve">Directives (EU) 2016/798 on railway safety, Directive</w:t>
      </w:r>
      <w:r>
        <w:t xml:space="preserve"> </w:t>
      </w:r>
      <w:r>
        <w:t xml:space="preserve">(EU) 2016/797 on railway interoperability and the</w:t>
      </w:r>
      <w:r>
        <w:t xml:space="preserve"> </w:t>
      </w:r>
      <w:r>
        <w:t xml:space="preserve">Directive 2016/2370/EU regarding the opening of the</w:t>
      </w:r>
      <w:r>
        <w:t xml:space="preserve"> </w:t>
      </w:r>
      <w:r>
        <w:t xml:space="preserve">market for domestic passenger transport services by</w:t>
      </w:r>
      <w:r>
        <w:t xml:space="preserve"> </w:t>
      </w:r>
      <w:r>
        <w:t xml:space="preserve">rail and the governance of the railway infrastructure</w:t>
      </w:r>
      <w:r>
        <w:t xml:space="preserve"> </w:t>
      </w:r>
      <w:r>
        <w:t xml:space="preserve">21</w:t>
      </w:r>
      <w:r>
        <w:t xml:space="preserve"> </w:t>
      </w:r>
      <w:r>
        <w:t xml:space="preserve">Directive establishing a single European railway area</w:t>
      </w:r>
      <w:r>
        <w:t xml:space="preserve"> </w:t>
      </w:r>
      <w:r>
        <w:t xml:space="preserve">(Recast)</w:t>
      </w:r>
      <w:r>
        <w:t xml:space="preserve"> </w:t>
      </w:r>
      <w:r>
        <w:t xml:space="preserve">Directive 2012/34/EU</w:t>
      </w:r>
      <w:r>
        <w:t xml:space="preserve"> </w:t>
      </w:r>
      <w:r>
        <w:t xml:space="preserve">22</w:t>
      </w:r>
      <w:r>
        <w:t xml:space="preserve"> </w:t>
      </w:r>
      <w:r>
        <w:t xml:space="preserve">European Rail Traffic Management System European</w:t>
      </w:r>
      <w:r>
        <w:t xml:space="preserve"> </w:t>
      </w:r>
      <w:r>
        <w:t xml:space="preserve">deployment plan</w:t>
      </w:r>
      <w:r>
        <w:t xml:space="preserve"> </w:t>
      </w:r>
      <w:r>
        <w:t xml:space="preserve">Commission Implementing Regulation (EU) 2017/6</w:t>
      </w:r>
      <w:r>
        <w:t xml:space="preserve"> </w:t>
      </w:r>
      <w:r>
        <w:t xml:space="preserve">23</w:t>
      </w:r>
      <w:r>
        <w:t xml:space="preserve"> </w:t>
      </w:r>
      <w:r>
        <w:t xml:space="preserve">Regulation on electronic freight transport information</w:t>
      </w:r>
      <w:r>
        <w:t xml:space="preserve"> </w:t>
      </w:r>
      <w:r>
        <w:t xml:space="preserve">Regulation (EU) 2020/1056</w:t>
      </w:r>
      <w:r>
        <w:t xml:space="preserve"> </w:t>
      </w:r>
      <w:r>
        <w:t xml:space="preserve">24</w:t>
      </w:r>
      <w:r>
        <w:t xml:space="preserve"> </w:t>
      </w:r>
      <w:r>
        <w:t xml:space="preserve">Regulation on noise-related operating restrictions at Union</w:t>
      </w:r>
      <w:r>
        <w:t xml:space="preserve"> </w:t>
      </w:r>
      <w:r>
        <w:t xml:space="preserve">airports</w:t>
      </w:r>
      <w:r>
        <w:br/>
      </w:r>
      <w:r>
        <w:t xml:space="preserve">Regulation (EU) No 598/2014</w:t>
      </w:r>
      <w:r>
        <w:t xml:space="preserve"> </w:t>
      </w:r>
      <w:r>
        <w:t xml:space="preserve">25</w:t>
      </w:r>
      <w:r>
        <w:t xml:space="preserve"> </w:t>
      </w:r>
      <w:r>
        <w:t xml:space="preserve">Regulations governing the performance and charging</w:t>
      </w:r>
      <w:r>
        <w:t xml:space="preserve"> </w:t>
      </w:r>
      <w:r>
        <w:t xml:space="preserve">schemes as well as the network functions of the Single</w:t>
      </w:r>
      <w:r>
        <w:t xml:space="preserve"> </w:t>
      </w:r>
      <w:r>
        <w:t xml:space="preserve">European Sky</w:t>
      </w:r>
      <w:r>
        <w:br/>
      </w:r>
      <w:r>
        <w:t xml:space="preserve">Commission Implementing Regulations (EU) No</w:t>
      </w:r>
      <w:r>
        <w:t xml:space="preserve"> </w:t>
      </w:r>
      <w:r>
        <w:t xml:space="preserve">390/2013, 391/2013 and 677/2011; later replaced by</w:t>
      </w:r>
      <w:r>
        <w:t xml:space="preserve"> </w:t>
      </w:r>
      <w:r>
        <w:t xml:space="preserve">Regulations (EU) 2019/317 and 2019/123</w:t>
      </w:r>
      <w:r>
        <w:t xml:space="preserve"> </w:t>
      </w:r>
      <w:r>
        <w:t xml:space="preserve">26</w:t>
      </w:r>
      <w:r>
        <w:t xml:space="preserve"> </w:t>
      </w:r>
      <w:r>
        <w:t xml:space="preserve">Inland waterways and port services</w:t>
      </w:r>
      <w:r>
        <w:br/>
      </w:r>
      <w:r>
        <w:t xml:space="preserve">Directive 2016/1629/EU on technical requirements for</w:t>
      </w:r>
      <w:r>
        <w:t xml:space="preserve"> </w:t>
      </w:r>
      <w:r>
        <w:t xml:space="preserve">inland waterway vessels and the Regulation on non-</w:t>
      </w:r>
      <w:r>
        <w:t xml:space="preserve"> </w:t>
      </w:r>
      <w:r>
        <w:t xml:space="preserve">road mobile machinery (NRMM)</w:t>
      </w:r>
      <w:r>
        <w:t xml:space="preserve"> </w:t>
      </w:r>
      <w:r>
        <w:t xml:space="preserve">Regulation (EU) 2017/352 establishing a framework</w:t>
      </w:r>
      <w:r>
        <w:t xml:space="preserve"> </w:t>
      </w:r>
      <w:r>
        <w:t xml:space="preserve">for the provision of port services</w:t>
      </w:r>
      <w:r>
        <w:t xml:space="preserve"> </w:t>
      </w:r>
      <w:r>
        <w:t xml:space="preserve">27</w:t>
      </w:r>
      <w:r>
        <w:t xml:space="preserve"> </w:t>
      </w:r>
      <w:r>
        <w:t xml:space="preserve">Provision of port services</w:t>
      </w:r>
      <w:r>
        <w:t xml:space="preserve"> </w:t>
      </w:r>
      <w:r>
        <w:t xml:space="preserve">Regulation (EU) 2017/352</w:t>
      </w:r>
      <w:r>
        <w:t xml:space="preserve"> </w:t>
      </w:r>
      <w:r>
        <w:t xml:space="preserve">28</w:t>
      </w:r>
      <w:r>
        <w:t xml:space="preserve"> </w:t>
      </w:r>
      <w:r>
        <w:t xml:space="preserve">European Maritime Single Window</w:t>
      </w:r>
      <w:r>
        <w:t xml:space="preserve"> </w:t>
      </w:r>
      <w:r>
        <w:t xml:space="preserve">Regulation (EU) 2019/1239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Transport-related policies</w:t>
      </w:r>
      <w:r>
        <w:t xml:space="preserve"> </w:t>
      </w:r>
      <w:r>
        <w:t xml:space="preserve">29</w:t>
      </w:r>
      <w:r>
        <w:t xml:space="preserve"> </w:t>
      </w:r>
      <w:r>
        <w:t xml:space="preserve">Directive on the sulphur content of marine fuels</w:t>
      </w:r>
      <w:r>
        <w:t xml:space="preserve"> </w:t>
      </w:r>
      <w:r>
        <w:t xml:space="preserve">Directive 2012/33/EU</w:t>
      </w:r>
      <w:r>
        <w:br/>
      </w:r>
      <w:r>
        <w:t xml:space="preserve">30</w:t>
      </w:r>
      <w:r>
        <w:t xml:space="preserve"> </w:t>
      </w:r>
      <w:r>
        <w:t xml:space="preserve">Monitoring, reporting and verification of greenhouse gas</w:t>
      </w:r>
      <w:r>
        <w:t xml:space="preserve"> </w:t>
      </w:r>
      <w:r>
        <w:t xml:space="preserve">emissions from maritime transport</w:t>
      </w:r>
      <w:r>
        <w:t xml:space="preserve"> </w:t>
      </w:r>
      <w:r>
        <w:t xml:space="preserve">Regulation (EU) 2015/757</w:t>
      </w:r>
      <w:r>
        <w:t xml:space="preserve"> </w:t>
      </w:r>
      <w:r>
        <w:t xml:space="preserve">31</w:t>
      </w:r>
      <w:r>
        <w:t xml:space="preserve"> </w:t>
      </w:r>
      <w:r>
        <w:t xml:space="preserve">Regulation on ensuring a level playing field for sustainable</w:t>
      </w:r>
      <w:r>
        <w:t xml:space="preserve"> </w:t>
      </w:r>
      <w:r>
        <w:t xml:space="preserve">air transport – ReFuelEU Aviation</w:t>
      </w:r>
      <w:r>
        <w:t xml:space="preserve"> </w:t>
      </w:r>
      <w:r>
        <w:t xml:space="preserve">Regulation (EU) 2023/2405</w:t>
      </w:r>
      <w:r>
        <w:t xml:space="preserve"> </w:t>
      </w:r>
      <w:r>
        <w:t xml:space="preserve">32</w:t>
      </w:r>
      <w:r>
        <w:t xml:space="preserve"> </w:t>
      </w:r>
      <w:r>
        <w:t xml:space="preserve">Regulation on the use of renewable and low-carbon fuels in</w:t>
      </w:r>
      <w:r>
        <w:t xml:space="preserve"> </w:t>
      </w:r>
      <w:r>
        <w:t xml:space="preserve">maritime transport and amending Directive 2009/16/EC –</w:t>
      </w:r>
      <w:r>
        <w:t xml:space="preserve"> </w:t>
      </w:r>
      <w:r>
        <w:t xml:space="preserve">FuelEU Maritime</w:t>
      </w:r>
      <w:r>
        <w:t xml:space="preserve"> </w:t>
      </w:r>
      <w:r>
        <w:t xml:space="preserve">Regulation (EU) 2023/1805</w:t>
      </w:r>
      <w:r>
        <w:t xml:space="preserve"> </w:t>
      </w:r>
      <w:r>
        <w:t xml:space="preserve">33</w:t>
      </w:r>
      <w:r>
        <w:t xml:space="preserve"> </w:t>
      </w:r>
      <w:r>
        <w:t xml:space="preserve">Action Plan to boost long-distance and cross-border</w:t>
      </w:r>
      <w:r>
        <w:t xml:space="preserve"> </w:t>
      </w:r>
      <w:r>
        <w:t xml:space="preserve">passenger rail</w:t>
      </w:r>
      <w:r>
        <w:t xml:space="preserve"> </w:t>
      </w:r>
      <w:r>
        <w:t xml:space="preserve">Commission Proposal COM(2021) 810</w:t>
      </w:r>
      <w:r>
        <w:t xml:space="preserve"> </w:t>
      </w:r>
      <w:r>
        <w:t xml:space="preserve">34</w:t>
      </w:r>
      <w:r>
        <w:t xml:space="preserve"> </w:t>
      </w:r>
      <w:r>
        <w:t xml:space="preserve">Proposal for a Regulation on the accounting of greenhouse</w:t>
      </w:r>
      <w:r>
        <w:t xml:space="preserve"> </w:t>
      </w:r>
      <w:r>
        <w:t xml:space="preserve">gas emissions of transport services</w:t>
      </w:r>
      <w:r>
        <w:br/>
      </w:r>
      <w:r>
        <w:t xml:space="preserve">Commission Proposal COM(2023) 441</w:t>
      </w:r>
      <w:r>
        <w:t xml:space="preserve"> </w:t>
      </w:r>
      <w:r>
        <w:t xml:space="preserve">35</w:t>
      </w:r>
      <w:r>
        <w:t xml:space="preserve"> </w:t>
      </w:r>
      <w:r>
        <w:t xml:space="preserve">Proposal for a Regulation on the use of railway</w:t>
      </w:r>
      <w:r>
        <w:t xml:space="preserve"> </w:t>
      </w:r>
      <w:r>
        <w:t xml:space="preserve">infrastructure capacity in the single European railway area</w:t>
      </w:r>
      <w:r>
        <w:t xml:space="preserve"> </w:t>
      </w:r>
      <w:r>
        <w:t xml:space="preserve">Commission Proposal COM(2023) 443</w:t>
      </w:r>
      <w:r>
        <w:t xml:space="preserve"> </w:t>
      </w:r>
      <w:r>
        <w:t xml:space="preserve">36</w:t>
      </w:r>
      <w:r>
        <w:t xml:space="preserve"> </w:t>
      </w:r>
      <w:r>
        <w:t xml:space="preserve">Proposal for a revision of the Combined Transport Directive</w:t>
      </w:r>
      <w:r>
        <w:t xml:space="preserve"> </w:t>
      </w:r>
      <w:r>
        <w:t xml:space="preserve">Commission Proposal COM(2023)702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INFRASTRUCTURE, INNOVATION AND RTD FUNDING</w:t>
      </w:r>
      <w:r>
        <w:t xml:space="preserve"> </w:t>
      </w:r>
      <w:r>
        <w:t xml:space="preserve">Infrastructure, innovation and RTD funding</w:t>
      </w:r>
      <w:r>
        <w:t xml:space="preserve"> </w:t>
      </w:r>
      <w:r>
        <w:t xml:space="preserve">1</w:t>
      </w:r>
      <w:r>
        <w:br/>
      </w:r>
      <w:r>
        <w:t xml:space="preserve">TEN-E guidelines</w:t>
      </w:r>
      <w:r>
        <w:t xml:space="preserve"> </w:t>
      </w:r>
      <w:r>
        <w:t xml:space="preserve">Regulation (EU) 347/2013</w:t>
      </w:r>
      <w:r>
        <w:t xml:space="preserve"> </w:t>
      </w:r>
      <w:r>
        <w:t xml:space="preserve">2</w:t>
      </w:r>
      <w:r>
        <w:br/>
      </w:r>
      <w:r>
        <w:t xml:space="preserve">Regulation establishing the Connecting Europe Facility</w:t>
      </w:r>
      <w:r>
        <w:t xml:space="preserve"> </w:t>
      </w:r>
      <w:r>
        <w:t xml:space="preserve">Regulation (EU) 1316/2013</w:t>
      </w:r>
      <w:r>
        <w:t xml:space="preserve"> </w:t>
      </w:r>
      <w:r>
        <w:t xml:space="preserve">3</w:t>
      </w:r>
      <w:r>
        <w:br/>
      </w:r>
      <w:r>
        <w:t xml:space="preserve">EEPR (European Energy Programme for Recovery) and</w:t>
      </w:r>
      <w:r>
        <w:t xml:space="preserve"> </w:t>
      </w:r>
      <w:r>
        <w:t xml:space="preserve">NER 300 (New entrants reserve) CCS and innovative</w:t>
      </w:r>
      <w:r>
        <w:t xml:space="preserve"> </w:t>
      </w:r>
      <w:r>
        <w:t xml:space="preserve">renewables funding programme</w:t>
      </w:r>
      <w:r>
        <w:t xml:space="preserve"> </w:t>
      </w:r>
      <w:r>
        <w:t xml:space="preserve">Regulation (EC) No 663/2009, ETS Directive 2009/29/EC</w:t>
      </w:r>
      <w:r>
        <w:t xml:space="preserve"> </w:t>
      </w:r>
      <w:r>
        <w:t xml:space="preserve">Article 10a (8), further developed through Commission</w:t>
      </w:r>
      <w:r>
        <w:t xml:space="preserve"> </w:t>
      </w:r>
      <w:r>
        <w:t xml:space="preserve">Decision 2010/670/EU and implementing decisions, e.g. </w:t>
      </w:r>
      <w:r>
        <w:t xml:space="preserve"> </w:t>
      </w:r>
      <w:r>
        <w:t xml:space="preserve">EC(2014) 4493 and C(2015) 6882</w:t>
      </w:r>
      <w:r>
        <w:t xml:space="preserve"> </w:t>
      </w:r>
      <w:r>
        <w:t xml:space="preserve">4</w:t>
      </w:r>
      <w:r>
        <w:br/>
      </w:r>
      <w:r>
        <w:t xml:space="preserve">Horizon 2020 support to energy research and innovation</w:t>
      </w:r>
      <w:r>
        <w:t xml:space="preserve"> </w:t>
      </w:r>
      <w:r>
        <w:t xml:space="preserve">Energy research under H2020: info available here:</w:t>
      </w:r>
      <w:r>
        <w:t xml:space="preserve"> </w:t>
      </w:r>
      <w:r>
        <w:t xml:space="preserve">http://ec.europa.eu/programmes/horizon2020/en/area/ener</w:t>
      </w:r>
      <w:r>
        <w:t xml:space="preserve"> </w:t>
      </w:r>
      <w:r>
        <w:t xml:space="preserve">gy</w:t>
      </w:r>
      <w:r>
        <w:br/>
      </w:r>
      <w:r>
        <w:t xml:space="preserve">5</w:t>
      </w:r>
      <w:r>
        <w:br/>
      </w:r>
      <w:r>
        <w:t xml:space="preserve">European Structural and Investment Funds (202):</w:t>
      </w:r>
      <w:r>
        <w:br/>
      </w:r>
      <w:r>
        <w:t xml:space="preserve">European Regional Development Fund (ERDF)</w:t>
      </w:r>
      <w:r>
        <w:t xml:space="preserve"> </w:t>
      </w:r>
      <w:r>
        <w:t xml:space="preserve">Regulation (EU) No 1303/2013</w:t>
      </w:r>
      <w:r>
        <w:br/>
      </w:r>
      <w:r>
        <w:t xml:space="preserve">European Social Fund (ESF)</w:t>
      </w:r>
      <w:r>
        <w:t xml:space="preserve"> </w:t>
      </w:r>
      <w:r>
        <w:t xml:space="preserve">Regulation (EU) No 1301/2013</w:t>
      </w:r>
      <w:r>
        <w:br/>
      </w:r>
      <w:r>
        <w:t xml:space="preserve">Cohesion Fund (CF)</w:t>
      </w:r>
      <w:r>
        <w:t xml:space="preserve"> </w:t>
      </w:r>
      <w:r>
        <w:t xml:space="preserve">Regulation (EU) No 1304/2013</w:t>
      </w:r>
      <w:r>
        <w:br/>
      </w:r>
      <w:r>
        <w:t xml:space="preserve">European Agricultural Fund for Rural Development</w:t>
      </w:r>
      <w:r>
        <w:t xml:space="preserve"> </w:t>
      </w:r>
      <w:r>
        <w:t xml:space="preserve">(EAFRD)</w:t>
      </w:r>
      <w:r>
        <w:t xml:space="preserve"> </w:t>
      </w:r>
      <w:r>
        <w:t xml:space="preserve">Regulation (EU) No 1305/2013</w:t>
      </w:r>
      <w:r>
        <w:t xml:space="preserve"> </w:t>
      </w:r>
      <w:r>
        <w:t xml:space="preserve">European Maritime &amp; Fisheries Fund (EMFF)</w:t>
      </w:r>
    </w:p>
    <w:p>
      <w:pPr>
        <w:pStyle w:val="BodyText"/>
      </w:pPr>
      <w:r>
        <w:t xml:space="preserve">Regulation (EU) No 508/2014</w:t>
      </w:r>
    </w:p>
    <w:p>
      <w:pPr>
        <w:pStyle w:val="Compact"/>
        <w:numPr>
          <w:ilvl w:val="0"/>
          <w:numId w:val="1062"/>
        </w:numPr>
      </w:pPr>
      <w:r>
        <w:t xml:space="preserve">As of May 2021, a revision of the regulations of the European Structural and Investment Funds has been</w:t>
      </w:r>
      <w:r>
        <w:t xml:space="preserve"> </w:t>
      </w:r>
      <w:r>
        <w:t xml:space="preserve">agreed and is planned for publication.</w:t>
      </w:r>
    </w:p>
    <w:p>
      <w:pPr>
        <w:pStyle w:val="FirstParagraph"/>
      </w:pPr>
      <w:r>
        <w:t xml:space="preserve">75</w:t>
      </w:r>
    </w:p>
    <w:p>
      <w:pPr>
        <w:pStyle w:val="BodyText"/>
      </w:pPr>
      <w:r>
        <w:t xml:space="preserve">Infrastructure, innovation and RTD funding</w:t>
      </w:r>
      <w:r>
        <w:t xml:space="preserve"> </w:t>
      </w:r>
      <w:r>
        <w:t xml:space="preserve">Social Climate Fund</w:t>
      </w:r>
      <w:r>
        <w:t xml:space="preserve"> </w:t>
      </w:r>
      <w:r>
        <w:t xml:space="preserve">Regulation (EU) 2023/955</w:t>
      </w:r>
      <w:r>
        <w:t xml:space="preserve"> </w:t>
      </w:r>
      <w:r>
        <w:t xml:space="preserve">6</w:t>
      </w:r>
      <w:r>
        <w:t xml:space="preserve"> </w:t>
      </w:r>
      <w:r>
        <w:t xml:space="preserve">TEN-T guidelines</w:t>
      </w:r>
      <w:r>
        <w:t xml:space="preserve"> </w:t>
      </w:r>
      <w:r>
        <w:t xml:space="preserve">Commission Proposal COM(2021) 812 final.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ENVIRONMENTAL POLICIES</w:t>
      </w:r>
      <w:r>
        <w:t xml:space="preserve"> </w:t>
      </w:r>
      <w:r>
        <w:t xml:space="preserve">Environment and other related policies</w:t>
      </w:r>
      <w:r>
        <w:br/>
      </w:r>
      <w:r>
        <w:t xml:space="preserve">1</w:t>
      </w:r>
      <w:r>
        <w:t xml:space="preserve"> </w:t>
      </w:r>
      <w:r>
        <w:t xml:space="preserve">General block exemption Regulation</w:t>
      </w:r>
      <w:r>
        <w:t xml:space="preserve"> </w:t>
      </w:r>
      <w:r>
        <w:t xml:space="preserve">Commission Regulation (EU) 2014/651, Commission Regulation</w:t>
      </w:r>
      <w:r>
        <w:t xml:space="preserve"> </w:t>
      </w:r>
      <w:r>
        <w:t xml:space="preserve">(EU) 2017/1084, Commission Regulation (EU) 2023/1315</w:t>
      </w:r>
      <w:r>
        <w:t xml:space="preserve"> </w:t>
      </w:r>
      <w:r>
        <w:t xml:space="preserve">2</w:t>
      </w:r>
      <w:r>
        <w:t xml:space="preserve"> </w:t>
      </w:r>
      <w:r>
        <w:t xml:space="preserve">Landfill Directive</w:t>
      </w:r>
      <w:r>
        <w:br/>
      </w:r>
      <w:r>
        <w:t xml:space="preserve">Directive 99/31/EC</w:t>
      </w:r>
      <w:r>
        <w:t xml:space="preserve"> </w:t>
      </w:r>
      <w:r>
        <w:t xml:space="preserve">3</w:t>
      </w:r>
      <w:r>
        <w:t xml:space="preserve"> </w:t>
      </w:r>
      <w:r>
        <w:t xml:space="preserve">Urban Wastewater Treatment Directive</w:t>
      </w:r>
      <w:r>
        <w:br/>
      </w:r>
      <w:r>
        <w:t xml:space="preserve">Directive 91/271/EEC, Directive 98/15/EEC, Implementing</w:t>
      </w:r>
      <w:r>
        <w:t xml:space="preserve"> </w:t>
      </w:r>
      <w:r>
        <w:t xml:space="preserve">Decision 2014/431/EU, Revision proposal COM(2022) 541 final</w:t>
      </w:r>
      <w:r>
        <w:t xml:space="preserve"> </w:t>
      </w:r>
      <w:r>
        <w:t xml:space="preserve">4</w:t>
      </w:r>
      <w:r>
        <w:t xml:space="preserve"> </w:t>
      </w:r>
      <w:r>
        <w:t xml:space="preserve">Waste Management Framework Directive</w:t>
      </w:r>
      <w:r>
        <w:br/>
      </w:r>
      <w:r>
        <w:t xml:space="preserve">Directive 2008/98/EC</w:t>
      </w:r>
      <w:r>
        <w:t xml:space="preserve"> </w:t>
      </w:r>
      <w:r>
        <w:t xml:space="preserve">5</w:t>
      </w:r>
      <w:r>
        <w:t xml:space="preserve"> </w:t>
      </w:r>
      <w:r>
        <w:t xml:space="preserve">Nitrate Directive</w:t>
      </w:r>
      <w:r>
        <w:br/>
      </w:r>
      <w:r>
        <w:t xml:space="preserve">Directive 91/676/EEC</w:t>
      </w:r>
      <w:r>
        <w:t xml:space="preserve"> </w:t>
      </w:r>
      <w:r>
        <w:t xml:space="preserve">6</w:t>
      </w:r>
      <w:r>
        <w:t xml:space="preserve"> </w:t>
      </w:r>
      <w:r>
        <w:t xml:space="preserve">Common Agricultural Policy (CAP)</w:t>
      </w:r>
      <w:r>
        <w:br/>
      </w:r>
      <w:r>
        <w:t xml:space="preserve">e.g. Council Regulations (EC) No 1290/2005, No 1698/2005, No</w:t>
      </w:r>
      <w:r>
        <w:t xml:space="preserve"> </w:t>
      </w:r>
      <w:r>
        <w:t xml:space="preserve">1234/2007, No. 73/2009, Regulations (EU) No 1305-1308/2013,</w:t>
      </w:r>
      <w:r>
        <w:t xml:space="preserve"> </w:t>
      </w:r>
      <w:r>
        <w:t xml:space="preserve">Regulation (EU) 2020/2220</w:t>
      </w:r>
      <w:r>
        <w:t xml:space="preserve"> </w:t>
      </w:r>
      <w:r>
        <w:t xml:space="preserve">7</w:t>
      </w:r>
      <w:r>
        <w:t xml:space="preserve"> </w:t>
      </w:r>
      <w:r>
        <w:t xml:space="preserve">Industrial emissions (Recast of Integrated</w:t>
      </w:r>
      <w:r>
        <w:t xml:space="preserve"> </w:t>
      </w:r>
      <w:r>
        <w:t xml:space="preserve">Pollution and Prevention Control Directive</w:t>
      </w:r>
      <w:r>
        <w:t xml:space="preserve"> </w:t>
      </w:r>
      <w:r>
        <w:t xml:space="preserve">2008/1/EC and Large Combustion Plant Directive</w:t>
      </w:r>
      <w:r>
        <w:t xml:space="preserve"> </w:t>
      </w:r>
      <w:r>
        <w:t xml:space="preserve">2001/80/EC)</w:t>
      </w:r>
      <w:r>
        <w:t xml:space="preserve"> </w:t>
      </w:r>
      <w:r>
        <w:t xml:space="preserve">Directive 2010/75/EU, and revision proposal COM/2022/156</w:t>
      </w:r>
      <w:r>
        <w:t xml:space="preserve"> </w:t>
      </w:r>
      <w:r>
        <w:t xml:space="preserve">final/3</w:t>
      </w:r>
      <w:r>
        <w:br/>
      </w:r>
      <w:r>
        <w:t xml:space="preserve">8</w:t>
      </w:r>
      <w:r>
        <w:t xml:space="preserve"> </w:t>
      </w:r>
      <w:r>
        <w:t xml:space="preserve">Directive on national emissions’ ceilings for</w:t>
      </w:r>
      <w:r>
        <w:t xml:space="preserve"> </w:t>
      </w:r>
      <w:r>
        <w:t xml:space="preserve">certain pollutants</w:t>
      </w:r>
      <w:r>
        <w:t xml:space="preserve"> </w:t>
      </w:r>
      <w:r>
        <w:t xml:space="preserve">Directive 2001/81/EC, Directive (EU) 2016/2284</w:t>
      </w:r>
      <w:r>
        <w:t xml:space="preserve"> </w:t>
      </w:r>
      <w:r>
        <w:t xml:space="preserve">9</w:t>
      </w:r>
      <w:r>
        <w:t xml:space="preserve"> </w:t>
      </w:r>
      <w:r>
        <w:t xml:space="preserve">Water Framework Directive</w:t>
      </w:r>
      <w:r>
        <w:br/>
      </w:r>
      <w:r>
        <w:t xml:space="preserve">Directive 2000/60/EC</w:t>
      </w:r>
      <w:r>
        <w:t xml:space="preserve"> </w:t>
      </w:r>
      <w:r>
        <w:t xml:space="preserve">10</w:t>
      </w:r>
      <w:r>
        <w:t xml:space="preserve"> </w:t>
      </w:r>
      <w:r>
        <w:t xml:space="preserve">Substances that deplete the ozone layer</w:t>
      </w:r>
      <w:r>
        <w:t xml:space="preserve"> </w:t>
      </w:r>
      <w:r>
        <w:t xml:space="preserve">Relevant EU legislation implementing the Montreal protocol, e.g.,</w:t>
      </w:r>
      <w:r>
        <w:t xml:space="preserve"> </w:t>
      </w:r>
      <w:r>
        <w:t xml:space="preserve">Regulation (EC) No 1005/2009 as amended by Commission</w:t>
      </w:r>
      <w:r>
        <w:t xml:space="preserve"> </w:t>
      </w:r>
      <w:r>
        <w:t xml:space="preserve">Regulation (EU) 744/2010, Regulation (EU) No 517/2014,</w:t>
      </w:r>
      <w:r>
        <w:t xml:space="preserve"> </w:t>
      </w:r>
      <w:r>
        <w:t xml:space="preserve">Council Decision (EU) 2017/1541.</w:t>
      </w:r>
      <w:r>
        <w:t xml:space="preserve"> </w:t>
      </w:r>
      <w:r>
        <w:t xml:space="preserve">Commission proposal to revise the Ozone Depleting Substances</w:t>
      </w:r>
      <w:r>
        <w:t xml:space="preserve"> </w:t>
      </w:r>
      <w:r>
        <w:t xml:space="preserve">(ODS) Regulation (COM(2022) 151 final), provisionally agreed</w:t>
      </w:r>
      <w:r>
        <w:t xml:space="preserve"> </w:t>
      </w:r>
      <w:r>
        <w:t xml:space="preserve">by co-legislators in October 2023.</w:t>
      </w:r>
      <w:r>
        <w:t xml:space="preserve"> </w:t>
      </w:r>
      <w:r>
        <w:t xml:space="preserve">11</w:t>
      </w:r>
      <w:r>
        <w:t xml:space="preserve"> </w:t>
      </w:r>
      <w:r>
        <w:t xml:space="preserve">Nature Restoration Law</w:t>
      </w:r>
      <w:r>
        <w:t xml:space="preserve"> </w:t>
      </w:r>
      <w:r>
        <w:t xml:space="preserve">Proposal COM/2022/304 final.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INTERNATIONAL POLICIES</w:t>
      </w:r>
      <w:r>
        <w:t xml:space="preserve"> </w:t>
      </w:r>
      <w:r>
        <w:t xml:space="preserve">Other policies at international level</w:t>
      </w:r>
      <w:r>
        <w:t xml:space="preserve"> </w:t>
      </w:r>
      <w:r>
        <w:t xml:space="preserve">1</w:t>
      </w:r>
      <w:r>
        <w:t xml:space="preserve"> </w:t>
      </w:r>
      <w:r>
        <w:t xml:space="preserve">International Maritime Organisation (IMO) International</w:t>
      </w:r>
      <w:r>
        <w:t xml:space="preserve"> </w:t>
      </w:r>
      <w:r>
        <w:t xml:space="preserve">convention for the prevention of pollution from ships</w:t>
      </w:r>
      <w:r>
        <w:t xml:space="preserve"> </w:t>
      </w:r>
      <w:r>
        <w:t xml:space="preserve">(MARPOL), Annex VI</w:t>
      </w:r>
      <w:r>
        <w:br/>
      </w:r>
      <w:r>
        <w:t xml:space="preserve">2008 amendments - revised Annex VI (Prevention</w:t>
      </w:r>
      <w:r>
        <w:t xml:space="preserve"> </w:t>
      </w:r>
      <w:r>
        <w:t xml:space="preserve">of Air Pollution from ships)</w:t>
      </w:r>
    </w:p>
    <w:p>
      <w:pPr>
        <w:pStyle w:val="BodyText"/>
      </w:pPr>
      <w:r>
        <w:t xml:space="preserve">Energy Efficiency Design Index (EEDI) and the</w:t>
      </w:r>
      <w:r>
        <w:t xml:space="preserve"> </w:t>
      </w:r>
      <w:r>
        <w:t xml:space="preserve">Ship Energy Efficiency Management Plan</w:t>
      </w:r>
      <w:r>
        <w:t xml:space="preserve"> </w:t>
      </w:r>
      <w:r>
        <w:t xml:space="preserve">(SEEMP), IMO Resolution MEPC.203(62)</w:t>
      </w:r>
    </w:p>
    <w:p>
      <w:pPr>
        <w:pStyle w:val="BodyText"/>
      </w:pPr>
      <w:r>
        <w:t xml:space="preserve">GHG emission reduction targets agreed on in July</w:t>
      </w:r>
      <w:r>
        <w:t xml:space="preserve"> </w:t>
      </w:r>
      <w:r>
        <w:t xml:space="preserve">2023 as per MEPC 80/WP.12.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Other policies at international level</w:t>
      </w:r>
      <w:r>
        <w:t xml:space="preserve"> </w:t>
      </w:r>
      <w:r>
        <w:t xml:space="preserve">2</w:t>
      </w:r>
      <w:r>
        <w:t xml:space="preserve"> </w:t>
      </w:r>
      <w:r>
        <w:t xml:space="preserve">Voluntary agreement to reduce PFC (perfluorocarbons, potent</w:t>
      </w:r>
      <w:r>
        <w:t xml:space="preserve"> </w:t>
      </w:r>
      <w:r>
        <w:t xml:space="preserve">GHG) emissions in the semiconductor industry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International Civil Aviation Organisation (ICAO), Convention</w:t>
      </w:r>
      <w:r>
        <w:t xml:space="preserve"> </w:t>
      </w:r>
      <w:r>
        <w:t xml:space="preserve">on International Civil Aviation, Annex 16, Volume II (Aircraft</w:t>
      </w:r>
      <w:r>
        <w:t xml:space="preserve"> </w:t>
      </w:r>
      <w:r>
        <w:t xml:space="preserve">engine emissions) and Volume III (CO2 emissions standard for</w:t>
      </w:r>
      <w:r>
        <w:t xml:space="preserve"> </w:t>
      </w:r>
      <w:r>
        <w:t xml:space="preserve">aircraft)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IMPLEMENTATION OF POLICIES TO REDUCE NON-CO2 GHG EMISSIONS</w:t>
      </w:r>
      <w:r>
        <w:t xml:space="preserve"> </w:t>
      </w:r>
      <w:r>
        <w:t xml:space="preserve">Sector</w:t>
      </w:r>
      <w:r>
        <w:t xml:space="preserve"> </w:t>
      </w:r>
      <w:r>
        <w:t xml:space="preserve">Gas</w:t>
      </w:r>
      <w:r>
        <w:t xml:space="preserve"> </w:t>
      </w:r>
      <w:r>
        <w:t xml:space="preserve">Policy</w:t>
      </w:r>
      <w:r>
        <w:t xml:space="preserve"> </w:t>
      </w:r>
      <w:r>
        <w:t xml:space="preserve">Regional</w:t>
      </w:r>
      <w:r>
        <w:t xml:space="preserve"> </w:t>
      </w:r>
      <w:r>
        <w:t xml:space="preserve">coverage</w:t>
      </w:r>
      <w:r>
        <w:t xml:space="preserve"> </w:t>
      </w:r>
      <w:r>
        <w:t xml:space="preserve">Policy description and implementation in</w:t>
      </w:r>
      <w:r>
        <w:t xml:space="preserve"> </w:t>
      </w:r>
      <w:r>
        <w:t xml:space="preserve">GAINS</w:t>
      </w:r>
      <w:r>
        <w:t xml:space="preserve"> </w:t>
      </w:r>
      <w:r>
        <w:t xml:space="preserve">Agriculture</w:t>
      </w:r>
      <w:r>
        <w:t xml:space="preserve"> </w:t>
      </w:r>
      <w:r>
        <w:t xml:space="preserve">CH4</w:t>
      </w:r>
      <w:r>
        <w:t xml:space="preserve"> </w:t>
      </w:r>
      <w:r>
        <w:t xml:space="preserve">Feed-in tariffs or</w:t>
      </w:r>
      <w:r>
        <w:t xml:space="preserve"> </w:t>
      </w:r>
      <w:r>
        <w:t xml:space="preserve">other subsidies to</w:t>
      </w:r>
      <w:r>
        <w:t xml:space="preserve"> </w:t>
      </w:r>
      <w:r>
        <w:t xml:space="preserve">stimulate co-</w:t>
      </w:r>
      <w:r>
        <w:t xml:space="preserve"> </w:t>
      </w:r>
      <w:r>
        <w:t xml:space="preserve">digestion of manure</w:t>
      </w:r>
      <w:r>
        <w:t xml:space="preserve"> </w:t>
      </w:r>
      <w:r>
        <w:t xml:space="preserve">on farms</w:t>
      </w:r>
      <w:r>
        <w:t xml:space="preserve"> </w:t>
      </w:r>
      <w:r>
        <w:t xml:space="preserve">Italy, Netherlands,</w:t>
      </w:r>
      <w:r>
        <w:t xml:space="preserve"> </w:t>
      </w:r>
      <w:r>
        <w:t xml:space="preserve">Latvia, Sweden,</w:t>
      </w:r>
      <w:r>
        <w:t xml:space="preserve"> </w:t>
      </w:r>
      <w:r>
        <w:t xml:space="preserve">Cyprus, Austria,</w:t>
      </w:r>
      <w:r>
        <w:t xml:space="preserve"> </w:t>
      </w:r>
      <w:r>
        <w:t xml:space="preserve">Croatia, Germany</w:t>
      </w:r>
      <w:r>
        <w:br/>
      </w:r>
      <w:r>
        <w:t xml:space="preserve">Reflected via assumptions on uptake of farm-</w:t>
      </w:r>
      <w:r>
        <w:t xml:space="preserve"> </w:t>
      </w:r>
      <w:r>
        <w:t xml:space="preserve">scale biogas technology consistent with</w:t>
      </w:r>
      <w:r>
        <w:t xml:space="preserve"> </w:t>
      </w:r>
      <w:r>
        <w:t xml:space="preserve">information from EurObserv’ER (2020) on</w:t>
      </w:r>
      <w:r>
        <w:t xml:space="preserve"> </w:t>
      </w:r>
      <w:r>
        <w:t xml:space="preserve">installed capacity. Future uptake follows trend</w:t>
      </w:r>
      <w:r>
        <w:t xml:space="preserve"> </w:t>
      </w:r>
      <w:r>
        <w:t xml:space="preserve">in biogas production from anaerobic digestion</w:t>
      </w:r>
      <w:r>
        <w:t xml:space="preserve"> </w:t>
      </w:r>
      <w:r>
        <w:t xml:space="preserve">as projected in the PRIMES model Reference</w:t>
      </w:r>
      <w:r>
        <w:t xml:space="preserve"> </w:t>
      </w:r>
      <w:r>
        <w:t xml:space="preserve">scenario.</w:t>
      </w:r>
      <w:r>
        <w:t xml:space="preserve"> </w:t>
      </w:r>
      <w:r>
        <w:t xml:space="preserve">CH4</w:t>
      </w:r>
      <w:r>
        <w:t xml:space="preserve"> </w:t>
      </w:r>
      <w:r>
        <w:t xml:space="preserve">&amp;</w:t>
      </w:r>
      <w:r>
        <w:t xml:space="preserve"> </w:t>
      </w:r>
      <w:r>
        <w:t xml:space="preserve">N2O</w:t>
      </w:r>
      <w:r>
        <w:t xml:space="preserve"> </w:t>
      </w:r>
      <w:r>
        <w:t xml:space="preserve">EU Common</w:t>
      </w:r>
      <w:r>
        <w:t xml:space="preserve"> </w:t>
      </w:r>
      <w:r>
        <w:t xml:space="preserve">Agricultural Policy</w:t>
      </w:r>
      <w:r>
        <w:t xml:space="preserve"> </w:t>
      </w:r>
      <w:r>
        <w:t xml:space="preserve">(CAP) and EU</w:t>
      </w:r>
      <w:r>
        <w:t xml:space="preserve"> </w:t>
      </w:r>
      <w:r>
        <w:t xml:space="preserve">Nitrate Directive</w:t>
      </w:r>
      <w:r>
        <w:t xml:space="preserve"> </w:t>
      </w:r>
      <w:r>
        <w:t xml:space="preserve">(EEC/676/1991)</w:t>
      </w:r>
      <w:r>
        <w:t xml:space="preserve"> </w:t>
      </w:r>
      <w:r>
        <w:t xml:space="preserve">with revisions</w:t>
      </w:r>
      <w:r>
        <w:t xml:space="preserve"> </w:t>
      </w:r>
      <w:r>
        <w:t xml:space="preserve">EU-wide</w:t>
      </w:r>
      <w:r>
        <w:t xml:space="preserve"> </w:t>
      </w:r>
      <w:r>
        <w:t xml:space="preserve">Reflected in GAINS through input of CAPRI</w:t>
      </w:r>
      <w:r>
        <w:t xml:space="preserve"> </w:t>
      </w:r>
      <w:r>
        <w:t xml:space="preserve">model data on trends in livestock numbers,</w:t>
      </w:r>
      <w:r>
        <w:t xml:space="preserve"> </w:t>
      </w:r>
      <w:r>
        <w:t xml:space="preserve">milk yield and fertilizer use.</w:t>
      </w:r>
      <w:r>
        <w:br/>
      </w:r>
      <w:r>
        <w:t xml:space="preserve">CH4</w:t>
      </w:r>
      <w:r>
        <w:t xml:space="preserve"> </w:t>
      </w:r>
      <w:r>
        <w:t xml:space="preserve">Ban on burning of</w:t>
      </w:r>
      <w:r>
        <w:t xml:space="preserve"> </w:t>
      </w:r>
      <w:r>
        <w:t xml:space="preserve">crop residues</w:t>
      </w:r>
      <w:r>
        <w:t xml:space="preserve"> </w:t>
      </w:r>
      <w:r>
        <w:t xml:space="preserve">EU-wide</w:t>
      </w:r>
      <w:r>
        <w:t xml:space="preserve"> </w:t>
      </w:r>
      <w:r>
        <w:t xml:space="preserve">Assumed not fully enforced. GAINS uses</w:t>
      </w:r>
      <w:r>
        <w:t xml:space="preserve"> </w:t>
      </w:r>
      <w:r>
        <w:t xml:space="preserve">information derived from satellite images</w:t>
      </w:r>
      <w:r>
        <w:t xml:space="preserve"> </w:t>
      </w:r>
      <w:r>
        <w:t xml:space="preserve">(e.g., MODIS) as approximate estimates of</w:t>
      </w:r>
      <w:r>
        <w:t xml:space="preserve"> </w:t>
      </w:r>
      <w:r>
        <w:t xml:space="preserve">the mass of crop burned on fields.</w:t>
      </w:r>
      <w:r>
        <w:br/>
      </w:r>
      <w:r>
        <w:t xml:space="preserve">Waste &amp;</w:t>
      </w:r>
      <w:r>
        <w:t xml:space="preserve"> </w:t>
      </w:r>
      <w:r>
        <w:t xml:space="preserve">wastewater</w:t>
      </w:r>
      <w:r>
        <w:t xml:space="preserve"> </w:t>
      </w:r>
      <w:r>
        <w:t xml:space="preserve">CH4</w:t>
      </w:r>
      <w:r>
        <w:t xml:space="preserve"> </w:t>
      </w:r>
      <w:r>
        <w:t xml:space="preserve">EU Landfill</w:t>
      </w:r>
      <w:r>
        <w:t xml:space="preserve"> </w:t>
      </w:r>
      <w:r>
        <w:t xml:space="preserve">Directive</w:t>
      </w:r>
      <w:r>
        <w:t xml:space="preserve"> </w:t>
      </w:r>
      <w:r>
        <w:t xml:space="preserve">(EC/31/1999) with</w:t>
      </w:r>
      <w:r>
        <w:t xml:space="preserve"> </w:t>
      </w:r>
      <w:r>
        <w:t xml:space="preserve">amendment</w:t>
      </w:r>
      <w:r>
        <w:t xml:space="preserve"> </w:t>
      </w:r>
      <w:r>
        <w:t xml:space="preserve">(EC/850/2018) and</w:t>
      </w:r>
      <w:r>
        <w:t xml:space="preserve"> </w:t>
      </w:r>
      <w:r>
        <w:t xml:space="preserve">EU Waste and</w:t>
      </w:r>
      <w:r>
        <w:t xml:space="preserve"> </w:t>
      </w:r>
      <w:r>
        <w:t xml:space="preserve">Packaging</w:t>
      </w:r>
      <w:r>
        <w:t xml:space="preserve"> </w:t>
      </w:r>
      <w:r>
        <w:t xml:space="preserve">Directives</w:t>
      </w:r>
      <w:r>
        <w:t xml:space="preserve"> </w:t>
      </w:r>
      <w:r>
        <w:t xml:space="preserve">(EC/851/2018,</w:t>
      </w:r>
      <w:r>
        <w:t xml:space="preserve"> </w:t>
      </w:r>
      <w:r>
        <w:t xml:space="preserve">EC/852/2018)</w:t>
      </w:r>
      <w:r>
        <w:t xml:space="preserve"> </w:t>
      </w:r>
      <w:r>
        <w:t xml:space="preserve">EU-wide</w:t>
      </w:r>
      <w:r>
        <w:t xml:space="preserve"> </w:t>
      </w:r>
      <w:r>
        <w:t xml:space="preserve">Biodegradable waste diverted away from</w:t>
      </w:r>
      <w:r>
        <w:t xml:space="preserve"> </w:t>
      </w:r>
      <w:r>
        <w:t xml:space="preserve">landfills (relative 1990 by -25% in 2006, -</w:t>
      </w:r>
      <w:r>
        <w:t xml:space="preserve"> </w:t>
      </w:r>
      <w:r>
        <w:t xml:space="preserve">50% in 2009 and -65% in 2016). All landfill</w:t>
      </w:r>
      <w:r>
        <w:t xml:space="preserve"> </w:t>
      </w:r>
      <w:r>
        <w:t xml:space="preserve">sites equipped with gas recovery by 2009. By</w:t>
      </w:r>
      <w:r>
        <w:t xml:space="preserve"> </w:t>
      </w:r>
      <w:r>
        <w:t xml:space="preserve">2035, countries must not landfill more than</w:t>
      </w:r>
      <w:r>
        <w:t xml:space="preserve"> </w:t>
      </w:r>
      <w:r>
        <w:t xml:space="preserve">10% of MSW generated. Member states that</w:t>
      </w:r>
      <w:r>
        <w:t xml:space="preserve"> </w:t>
      </w:r>
      <w:r>
        <w:t xml:space="preserve">landfill more than 60% of MSW in 2013 are</w:t>
      </w:r>
      <w:r>
        <w:t xml:space="preserve"> </w:t>
      </w:r>
      <w:r>
        <w:t xml:space="preserve">given a 5 years grace period but must not</w:t>
      </w:r>
      <w:r>
        <w:t xml:space="preserve"> </w:t>
      </w:r>
      <w:r>
        <w:t xml:space="preserve">landfill more than 25% in 2035. GAINS</w:t>
      </w:r>
      <w:r>
        <w:t xml:space="preserve"> </w:t>
      </w:r>
      <w:r>
        <w:t xml:space="preserve">Reference scenario assumes future targets will</w:t>
      </w:r>
      <w:r>
        <w:t xml:space="preserve"> </w:t>
      </w:r>
      <w:r>
        <w:t xml:space="preserve">be met.</w:t>
      </w:r>
      <w:r>
        <w:t xml:space="preserve"> </w:t>
      </w:r>
      <w:r>
        <w:t xml:space="preserve">CH4</w:t>
      </w:r>
      <w:r>
        <w:t xml:space="preserve"> </w:t>
      </w:r>
      <w:r>
        <w:t xml:space="preserve">EU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Framework</w:t>
      </w:r>
      <w:r>
        <w:t xml:space="preserve"> </w:t>
      </w:r>
      <w:r>
        <w:t xml:space="preserve">Directive</w:t>
      </w:r>
      <w:r>
        <w:t xml:space="preserve"> </w:t>
      </w:r>
      <w:r>
        <w:t xml:space="preserve">(EC/98/2008)</w:t>
      </w:r>
      <w:r>
        <w:br/>
      </w:r>
      <w:r>
        <w:t xml:space="preserve">EU-wide</w:t>
      </w:r>
      <w:r>
        <w:t xml:space="preserve"> </w:t>
      </w:r>
      <w:r>
        <w:t xml:space="preserve">The following hierarchy is to be respected in</w:t>
      </w:r>
      <w:r>
        <w:t xml:space="preserve"> </w:t>
      </w:r>
      <w:r>
        <w:t xml:space="preserve">waste treatment: recycling and composting</w:t>
      </w:r>
      <w:r>
        <w:t xml:space="preserve"> </w:t>
      </w:r>
      <w:r>
        <w:t xml:space="preserve">preferred to incineration/energy recovery,</w:t>
      </w:r>
      <w:r>
        <w:t xml:space="preserve"> </w:t>
      </w:r>
      <w:r>
        <w:t xml:space="preserve">which in turn is preferred to landfill disposal.</w:t>
      </w:r>
      <w:r>
        <w:t xml:space="preserve"> </w:t>
      </w:r>
      <w:r>
        <w:t xml:space="preserve">Considered in GAINS when simulating</w:t>
      </w:r>
      <w:r>
        <w:t xml:space="preserve"> </w:t>
      </w:r>
      <w:r>
        <w:t xml:space="preserve">pathway for compliance with the Landfill</w:t>
      </w:r>
      <w:r>
        <w:t xml:space="preserve"> </w:t>
      </w:r>
      <w:r>
        <w:t xml:space="preserve">Directive target.</w:t>
      </w:r>
      <w:r>
        <w:t xml:space="preserve"> </w:t>
      </w:r>
      <w:r>
        <w:t xml:space="preserve">CH4</w:t>
      </w:r>
      <w:r>
        <w:t xml:space="preserve"> </w:t>
      </w:r>
      <w:r>
        <w:t xml:space="preserve">Decree on waste</w:t>
      </w:r>
      <w:r>
        <w:t xml:space="preserve"> </w:t>
      </w:r>
      <w:r>
        <w:t xml:space="preserve">landfill</w:t>
      </w:r>
      <w:r>
        <w:t xml:space="preserve"> </w:t>
      </w:r>
      <w:r>
        <w:t xml:space="preserve">Slovenia</w:t>
      </w:r>
      <w:r>
        <w:t xml:space="preserve"> </w:t>
      </w:r>
      <w:r>
        <w:t xml:space="preserve">Decree on landfill of waste beyond EU</w:t>
      </w:r>
      <w:r>
        <w:t xml:space="preserve"> </w:t>
      </w:r>
      <w:r>
        <w:t xml:space="preserve">Landfill Directive. Includes partial ban on</w:t>
      </w:r>
      <w:r>
        <w:t xml:space="preserve"> </w:t>
      </w:r>
      <w:r>
        <w:t xml:space="preserve">landfill of biodegradable waste.</w:t>
      </w:r>
      <w:r>
        <w:t xml:space="preserve"> </w:t>
      </w:r>
      <w:r>
        <w:t xml:space="preserve">CH4 &amp;</w:t>
      </w:r>
      <w:r>
        <w:t xml:space="preserve"> </w:t>
      </w:r>
      <w:r>
        <w:t xml:space="preserve">N2O</w:t>
      </w:r>
      <w:r>
        <w:t xml:space="preserve"> </w:t>
      </w:r>
      <w:r>
        <w:t xml:space="preserve">Legislation to</w:t>
      </w:r>
      <w:r>
        <w:t xml:space="preserve"> </w:t>
      </w:r>
      <w:r>
        <w:t xml:space="preserve">replace current</w:t>
      </w:r>
      <w:r>
        <w:t xml:space="preserve"> </w:t>
      </w:r>
      <w:r>
        <w:t xml:space="preserve">composting with</w:t>
      </w:r>
      <w:r>
        <w:t xml:space="preserve"> </w:t>
      </w:r>
      <w:r>
        <w:t xml:space="preserve">anaerobic digestion</w:t>
      </w:r>
      <w:r>
        <w:t xml:space="preserve"> </w:t>
      </w:r>
      <w:r>
        <w:t xml:space="preserve">of food waste</w:t>
      </w:r>
      <w:r>
        <w:br/>
      </w:r>
      <w:r>
        <w:t xml:space="preserve">Germany</w:t>
      </w:r>
      <w:r>
        <w:t xml:space="preserve"> </w:t>
      </w:r>
      <w:r>
        <w:t xml:space="preserve">In GAINS, the current composting of organic</w:t>
      </w:r>
      <w:r>
        <w:t xml:space="preserve"> </w:t>
      </w:r>
      <w:r>
        <w:t xml:space="preserve">waste is phased-out linearly and replaced with</w:t>
      </w:r>
      <w:r>
        <w:t xml:space="preserve"> </w:t>
      </w:r>
      <w:r>
        <w:t xml:space="preserve">anaerobic digestion between 2020 and 2050.</w:t>
      </w:r>
      <w:r>
        <w:t xml:space="preserve"> </w:t>
      </w:r>
      <w:r>
        <w:t xml:space="preserve">CH4</w:t>
      </w:r>
      <w:r>
        <w:t xml:space="preserve"> </w:t>
      </w:r>
      <w:r>
        <w:t xml:space="preserve">Ban on landfill of</w:t>
      </w:r>
      <w:r>
        <w:t xml:space="preserve"> </w:t>
      </w:r>
      <w:r>
        <w:t xml:space="preserve">biodegradable</w:t>
      </w:r>
      <w:r>
        <w:t xml:space="preserve"> </w:t>
      </w:r>
      <w:r>
        <w:t xml:space="preserve">waste.</w:t>
      </w:r>
      <w:r>
        <w:br/>
      </w:r>
      <w:r>
        <w:t xml:space="preserve">Austria, Belgium,</w:t>
      </w:r>
      <w:r>
        <w:t xml:space="preserve"> </w:t>
      </w:r>
      <w:r>
        <w:t xml:space="preserve">Denmark,</w:t>
      </w:r>
      <w:r>
        <w:t xml:space="preserve"> </w:t>
      </w:r>
      <w:r>
        <w:t xml:space="preserve">Germany,</w:t>
      </w:r>
      <w:r>
        <w:t xml:space="preserve"> </w:t>
      </w:r>
      <w:r>
        <w:t xml:space="preserve">Netherlands,</w:t>
      </w:r>
      <w:r>
        <w:t xml:space="preserve"> </w:t>
      </w:r>
      <w:r>
        <w:t xml:space="preserve">Sweden</w:t>
      </w:r>
      <w:r>
        <w:t xml:space="preserve"> </w:t>
      </w:r>
      <w:r>
        <w:t xml:space="preserve">Complete ban on landfill of untreated</w:t>
      </w:r>
      <w:r>
        <w:t xml:space="preserve"> </w:t>
      </w:r>
      <w:r>
        <w:t xml:space="preserve">biodegradable waste. Reflected in GAINS.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CH4</w:t>
      </w:r>
      <w:r>
        <w:t xml:space="preserve"> </w:t>
      </w:r>
      <w:r>
        <w:t xml:space="preserve">EU urban</w:t>
      </w:r>
      <w:r>
        <w:t xml:space="preserve"> </w:t>
      </w:r>
      <w:r>
        <w:t xml:space="preserve">wastewater</w:t>
      </w:r>
      <w:r>
        <w:t xml:space="preserve"> </w:t>
      </w:r>
      <w:r>
        <w:t xml:space="preserve">treatment directive</w:t>
      </w:r>
      <w:r>
        <w:t xml:space="preserve"> </w:t>
      </w:r>
      <w:r>
        <w:t xml:space="preserve">(EEC/271/1991)</w:t>
      </w:r>
      <w:r>
        <w:t xml:space="preserve"> </w:t>
      </w:r>
      <w:r>
        <w:t xml:space="preserve">EU-wide</w:t>
      </w:r>
      <w:r>
        <w:t xml:space="preserve"> </w:t>
      </w:r>
      <w:r>
        <w:t xml:space="preserve">GAINS reflects an</w:t>
      </w:r>
      <w:r>
        <w:t xml:space="preserve"> </w:t>
      </w:r>
      <w:r>
        <w:t xml:space="preserve">“appropriate treatment”</w:t>
      </w:r>
      <w:r>
        <w:t xml:space="preserve"> </w:t>
      </w:r>
      <w:r>
        <w:t xml:space="preserve">of</w:t>
      </w:r>
      <w:r>
        <w:t xml:space="preserve"> </w:t>
      </w:r>
      <w:r>
        <w:t xml:space="preserve">wastewater from urban households (all</w:t>
      </w:r>
      <w:r>
        <w:t xml:space="preserve"> </w:t>
      </w:r>
      <w:r>
        <w:t xml:space="preserve">agglomerations &gt; 2000 people) and food</w:t>
      </w:r>
      <w:r>
        <w:t xml:space="preserve"> </w:t>
      </w:r>
      <w:r>
        <w:t xml:space="preserve">industry must be in place latest by end of</w:t>
      </w:r>
      <w:r>
        <w:t xml:space="preserve"> </w:t>
      </w:r>
      <w:r>
        <w:t xml:space="preserve">2005. This means discharge must ensure</w:t>
      </w:r>
      <w:r>
        <w:t xml:space="preserve"> </w:t>
      </w:r>
      <w:r>
        <w:t xml:space="preserve">receiving waters meet relevant quality</w:t>
      </w:r>
      <w:r>
        <w:t xml:space="preserve"> </w:t>
      </w:r>
      <w:r>
        <w:t xml:space="preserve">objectives.</w:t>
      </w:r>
      <w:r>
        <w:br/>
      </w:r>
      <w:r>
        <w:t xml:space="preserve">Industry</w:t>
      </w:r>
      <w:r>
        <w:t xml:space="preserve"> </w:t>
      </w:r>
      <w:r>
        <w:t xml:space="preserve">N2O,</w:t>
      </w:r>
      <w:r>
        <w:t xml:space="preserve"> </w:t>
      </w:r>
      <w:r>
        <w:t xml:space="preserve">PFCs</w:t>
      </w:r>
      <w:r>
        <w:t xml:space="preserve"> </w:t>
      </w:r>
      <w:r>
        <w:t xml:space="preserve">EU ETS Directive</w:t>
      </w:r>
      <w:r>
        <w:t xml:space="preserve"> </w:t>
      </w:r>
      <w:r>
        <w:t xml:space="preserve">(EC/29/2009):</w:t>
      </w:r>
      <w:r>
        <w:t xml:space="preserve"> </w:t>
      </w:r>
      <w:r>
        <w:t xml:space="preserve">Primary aluminum</w:t>
      </w:r>
      <w:r>
        <w:t xml:space="preserve"> </w:t>
      </w:r>
      <w:r>
        <w:t xml:space="preserve">production and</w:t>
      </w:r>
      <w:r>
        <w:t xml:space="preserve"> </w:t>
      </w:r>
      <w:r>
        <w:t xml:space="preserve">production of nitric</w:t>
      </w:r>
      <w:r>
        <w:t xml:space="preserve"> </w:t>
      </w:r>
      <w:r>
        <w:t xml:space="preserve">acid, adipic acid,</w:t>
      </w:r>
      <w:r>
        <w:t xml:space="preserve"> </w:t>
      </w:r>
      <w:r>
        <w:t xml:space="preserve">glyoxal and</w:t>
      </w:r>
      <w:r>
        <w:t xml:space="preserve"> </w:t>
      </w:r>
      <w:r>
        <w:t xml:space="preserve">glyoxylic acid.</w:t>
      </w:r>
      <w:r>
        <w:br/>
      </w:r>
      <w:r>
        <w:t xml:space="preserve">EU-wide</w:t>
      </w:r>
      <w:r>
        <w:t xml:space="preserve"> </w:t>
      </w:r>
      <w:r>
        <w:t xml:space="preserve">Industry needs to aquire tradable emission</w:t>
      </w:r>
      <w:r>
        <w:t xml:space="preserve"> </w:t>
      </w:r>
      <w:r>
        <w:t xml:space="preserve">permits under the EU emission trading system</w:t>
      </w:r>
      <w:r>
        <w:t xml:space="preserve"> </w:t>
      </w:r>
      <w:r>
        <w:t xml:space="preserve">(EU-ETS).</w:t>
      </w:r>
      <w:r>
        <w:br/>
      </w:r>
      <w:r>
        <w:t xml:space="preserve">PFCs</w:t>
      </w:r>
      <w:r>
        <w:t xml:space="preserve"> </w:t>
      </w:r>
      <w:r>
        <w:t xml:space="preserve">Voluntary</w:t>
      </w:r>
      <w:r>
        <w:t xml:space="preserve"> </w:t>
      </w:r>
      <w:r>
        <w:t xml:space="preserve">agreement in</w:t>
      </w:r>
      <w:r>
        <w:t xml:space="preserve"> </w:t>
      </w:r>
      <w:r>
        <w:t xml:space="preserve">semiconductor</w:t>
      </w:r>
      <w:r>
        <w:t xml:space="preserve"> </w:t>
      </w:r>
      <w:r>
        <w:t xml:space="preserve">industry</w:t>
      </w:r>
      <w:r>
        <w:t xml:space="preserve"> </w:t>
      </w:r>
      <w:r>
        <w:t xml:space="preserve">EU-wide</w:t>
      </w:r>
      <w:r>
        <w:t xml:space="preserve"> </w:t>
      </w:r>
      <w:r>
        <w:t xml:space="preserve">Semiconductor producers to reduce PFC</w:t>
      </w:r>
      <w:r>
        <w:t xml:space="preserve"> </w:t>
      </w:r>
      <w:r>
        <w:t xml:space="preserve">emissions by 2010 to a level at 10 percent of</w:t>
      </w:r>
      <w:r>
        <w:t xml:space="preserve"> </w:t>
      </w:r>
      <w:r>
        <w:t xml:space="preserve">1995 emissions. Accounted for in GAINS to</w:t>
      </w:r>
      <w:r>
        <w:t xml:space="preserve"> </w:t>
      </w:r>
      <w:r>
        <w:t xml:space="preserve">the extent it is reflected in national emission</w:t>
      </w:r>
      <w:r>
        <w:t xml:space="preserve"> </w:t>
      </w:r>
      <w:r>
        <w:t xml:space="preserve">inventories to the UNFCCC.</w:t>
      </w:r>
      <w:r>
        <w:t xml:space="preserve"> </w:t>
      </w:r>
      <w:r>
        <w:t xml:space="preserve">F-gases</w:t>
      </w:r>
      <w:r>
        <w:t xml:space="preserve"> </w:t>
      </w:r>
      <w:r>
        <w:t xml:space="preserve">HFCs,</w:t>
      </w:r>
      <w:r>
        <w:t xml:space="preserve"> </w:t>
      </w:r>
      <w:r>
        <w:t xml:space="preserve">PFCs,</w:t>
      </w:r>
      <w:r>
        <w:t xml:space="preserve"> </w:t>
      </w:r>
      <w:r>
        <w:t xml:space="preserve">SF6</w:t>
      </w:r>
      <w:r>
        <w:t xml:space="preserve"> </w:t>
      </w:r>
      <w:r>
        <w:t xml:space="preserve">EU F-gas regulation</w:t>
      </w:r>
      <w:r>
        <w:t xml:space="preserve"> </w:t>
      </w:r>
      <w:r>
        <w:t xml:space="preserve">(EC 517/2014)</w:t>
      </w:r>
      <w:r>
        <w:t xml:space="preserve"> </w:t>
      </w:r>
      <w:r>
        <w:t xml:space="preserve">EU-wide</w:t>
      </w:r>
      <w:r>
        <w:t xml:space="preserve"> </w:t>
      </w:r>
      <w:r>
        <w:t xml:space="preserve">Phase-down of F-gas sold on the market,</w:t>
      </w:r>
      <w:r>
        <w:t xml:space="preserve"> </w:t>
      </w:r>
      <w:r>
        <w:t xml:space="preserve">banning of use in applications where</w:t>
      </w:r>
      <w:r>
        <w:t xml:space="preserve"> </w:t>
      </w:r>
      <w:r>
        <w:t xml:space="preserve">alternatives to F-gases are readily available,</w:t>
      </w:r>
      <w:r>
        <w:t xml:space="preserve"> </w:t>
      </w:r>
      <w:r>
        <w:t xml:space="preserve">and preventing emissions from existing use of</w:t>
      </w:r>
      <w:r>
        <w:t xml:space="preserve"> </w:t>
      </w:r>
      <w:r>
        <w:t xml:space="preserve">F-gases through leakage control and end-of-</w:t>
      </w:r>
      <w:r>
        <w:t xml:space="preserve"> </w:t>
      </w:r>
      <w:r>
        <w:t xml:space="preserve">life recovery.</w:t>
      </w:r>
      <w:r>
        <w:br/>
      </w:r>
      <w:r>
        <w:t xml:space="preserve">HFCs</w:t>
      </w:r>
      <w:r>
        <w:t xml:space="preserve"> </w:t>
      </w:r>
      <w:r>
        <w:t xml:space="preserve">EU MAC Directive</w:t>
      </w:r>
      <w:r>
        <w:t xml:space="preserve"> </w:t>
      </w:r>
      <w:r>
        <w:t xml:space="preserve">(EC 40/2006)</w:t>
      </w:r>
      <w:r>
        <w:t xml:space="preserve"> </w:t>
      </w:r>
      <w:r>
        <w:t xml:space="preserve">EU-wide</w:t>
      </w:r>
      <w:r>
        <w:t xml:space="preserve"> </w:t>
      </w:r>
      <w:r>
        <w:t xml:space="preserve">Mobile air conditioners: replacing the use of</w:t>
      </w:r>
      <w:r>
        <w:t xml:space="preserve"> </w:t>
      </w:r>
      <w:r>
        <w:t xml:space="preserve">high GWP HFCs with cooling agents</w:t>
      </w:r>
      <w:r>
        <w:t xml:space="preserve"> </w:t>
      </w:r>
      <w:r>
        <w:t xml:space="preserve">GWP100 &lt; 150 in all new vehicle models</w:t>
      </w:r>
      <w:r>
        <w:t xml:space="preserve"> </w:t>
      </w:r>
      <w:r>
        <w:t xml:space="preserve">placed on the market.</w:t>
      </w:r>
      <w:r>
        <w:t xml:space="preserve"> </w:t>
      </w:r>
      <w:r>
        <w:t xml:space="preserve">HFCs</w:t>
      </w:r>
      <w:r>
        <w:t xml:space="preserve"> </w:t>
      </w:r>
      <w:r>
        <w:t xml:space="preserve">EU Directive on</w:t>
      </w:r>
      <w:r>
        <w:t xml:space="preserve"> </w:t>
      </w:r>
      <w:r>
        <w:t xml:space="preserve">end-of-life vehicles</w:t>
      </w:r>
      <w:r>
        <w:t xml:space="preserve"> </w:t>
      </w:r>
      <w:r>
        <w:t xml:space="preserve">(EC 53/2000)</w:t>
      </w:r>
      <w:r>
        <w:t xml:space="preserve"> </w:t>
      </w:r>
      <w:r>
        <w:t xml:space="preserve">EU-wide</w:t>
      </w:r>
      <w:r>
        <w:t xml:space="preserve"> </w:t>
      </w:r>
      <w:r>
        <w:t xml:space="preserve">Scrapped mobile air conditioners: recovery</w:t>
      </w:r>
      <w:r>
        <w:t xml:space="preserve"> </w:t>
      </w:r>
      <w:r>
        <w:t xml:space="preserve">and proper handling</w:t>
      </w:r>
      <w:r>
        <w:t xml:space="preserve"> </w:t>
      </w:r>
      <w:r>
        <w:t xml:space="preserve">HFCs,</w:t>
      </w:r>
      <w:r>
        <w:t xml:space="preserve"> </w:t>
      </w:r>
      <w:r>
        <w:t xml:space="preserve">PFCs,</w:t>
      </w:r>
      <w:r>
        <w:t xml:space="preserve"> </w:t>
      </w:r>
      <w:r>
        <w:t xml:space="preserve">SF6</w:t>
      </w:r>
      <w:r>
        <w:t xml:space="preserve"> </w:t>
      </w:r>
      <w:r>
        <w:t xml:space="preserve">National F-gas</w:t>
      </w:r>
      <w:r>
        <w:t xml:space="preserve"> </w:t>
      </w:r>
      <w:r>
        <w:t xml:space="preserve">regulations more</w:t>
      </w:r>
      <w:r>
        <w:t xml:space="preserve"> </w:t>
      </w:r>
      <w:r>
        <w:t xml:space="preserve">stringent than EU</w:t>
      </w:r>
      <w:r>
        <w:t xml:space="preserve"> </w:t>
      </w:r>
      <w:r>
        <w:t xml:space="preserve">regulation</w:t>
      </w:r>
      <w:r>
        <w:t xml:space="preserve"> </w:t>
      </w:r>
      <w:r>
        <w:t xml:space="preserve">Austria (</w:t>
      </w:r>
      <w:r>
        <w:t xml:space="preserve">“HFKW-FKW-SF6-Verordnung”</w:t>
      </w:r>
      <w:r>
        <w:t xml:space="preserve">), Belgium (end-of-life</w:t>
      </w:r>
      <w:r>
        <w:t xml:space="preserve"> </w:t>
      </w:r>
      <w:r>
        <w:t xml:space="preserve">regulation from 2005 for large-scale refrigeration), Denmark</w:t>
      </w:r>
      <w:r>
        <w:t xml:space="preserve"> </w:t>
      </w:r>
      <w:r>
        <w:t xml:space="preserve">(deposit-refund scheme since 1992, tax since 2001 and ban on</w:t>
      </w:r>
      <w:r>
        <w:t xml:space="preserve"> </w:t>
      </w:r>
      <w:r>
        <w:t xml:space="preserve">import, sale and use since 2002), Germany (</w:t>
      </w:r>
      <w:r>
        <w:t xml:space="preserve">“Chemikalien-</w:t>
      </w:r>
      <w:r>
        <w:t xml:space="preserve"> </w:t>
      </w:r>
      <w:r>
        <w:t xml:space="preserve">Klimaschutzverordnung”</w:t>
      </w:r>
      <w:r>
        <w:t xml:space="preserve"> </w:t>
      </w:r>
      <w:r>
        <w:t xml:space="preserve">specify maximum leakage rates),</w:t>
      </w:r>
      <w:r>
        <w:t xml:space="preserve"> </w:t>
      </w:r>
      <w:r>
        <w:t xml:space="preserve">Netherlands (</w:t>
      </w:r>
      <w:r>
        <w:t xml:space="preserve">“STEK”</w:t>
      </w:r>
      <w:r>
        <w:t xml:space="preserve"> </w:t>
      </w:r>
      <w:r>
        <w:t xml:space="preserve">since 1992), Sweden (envirionmental fees</w:t>
      </w:r>
      <w:r>
        <w:t xml:space="preserve"> </w:t>
      </w:r>
      <w:r>
        <w:t xml:space="preserve">since 1998, specific regulation since 2007)</w:t>
      </w:r>
      <w:r>
        <w:t xml:space="preserve"> </w:t>
      </w:r>
      <w:r>
        <w:t xml:space="preserve">Energy</w:t>
      </w:r>
      <w:r>
        <w:t xml:space="preserve"> </w:t>
      </w:r>
      <w:r>
        <w:t xml:space="preserve">CH4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Proposal</w:t>
      </w:r>
      <w:r>
        <w:t xml:space="preserve"> </w:t>
      </w:r>
      <w:r>
        <w:t xml:space="preserve">COM(2021) 805</w:t>
      </w:r>
      <w:r>
        <w:t xml:space="preserve"> </w:t>
      </w:r>
      <w:r>
        <w:t xml:space="preserve">final, for a</w:t>
      </w:r>
      <w:r>
        <w:t xml:space="preserve"> </w:t>
      </w:r>
      <w:r>
        <w:t xml:space="preserve">Regulation on</w:t>
      </w:r>
      <w:r>
        <w:t xml:space="preserve"> </w:t>
      </w:r>
      <w:r>
        <w:t xml:space="preserve">methane emissions</w:t>
      </w:r>
      <w:r>
        <w:t xml:space="preserve"> </w:t>
      </w:r>
      <w:r>
        <w:t xml:space="preserve">reduction in the</w:t>
      </w:r>
      <w:r>
        <w:t xml:space="preserve"> </w:t>
      </w:r>
      <w:r>
        <w:t xml:space="preserve">energy sector,</w:t>
      </w:r>
      <w:r>
        <w:t xml:space="preserve"> </w:t>
      </w:r>
      <w:r>
        <w:t xml:space="preserve">amending</w:t>
      </w:r>
      <w:r>
        <w:t xml:space="preserve"> </w:t>
      </w:r>
      <w:r>
        <w:t xml:space="preserve">Regulation (EU)</w:t>
      </w:r>
      <w:r>
        <w:t xml:space="preserve"> </w:t>
      </w:r>
      <w:r>
        <w:t xml:space="preserve">2019/942</w:t>
      </w:r>
      <w:r>
        <w:t xml:space="preserve"> </w:t>
      </w:r>
      <w:r>
        <w:t xml:space="preserve">EU-wide</w:t>
      </w:r>
      <w:r>
        <w:t xml:space="preserve"> </w:t>
      </w:r>
      <w:r>
        <w:t xml:space="preserve">Improved measurement, reporting and</w:t>
      </w:r>
      <w:r>
        <w:t xml:space="preserve"> </w:t>
      </w:r>
      <w:r>
        <w:t xml:space="preserve">verification of energy sector methane</w:t>
      </w:r>
      <w:r>
        <w:t xml:space="preserve"> </w:t>
      </w:r>
      <w:r>
        <w:t xml:space="preserve">emissions. Leak detection and repair and a</w:t>
      </w:r>
      <w:r>
        <w:t xml:space="preserve"> </w:t>
      </w:r>
      <w:r>
        <w:t xml:space="preserve">ban on venting and flaring practices. A</w:t>
      </w:r>
      <w:r>
        <w:t xml:space="preserve"> </w:t>
      </w:r>
      <w:r>
        <w:t xml:space="preserve">methane transparency requirement on imports.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12: Non-CO2 climate impacts of the navigation and</w:t>
      </w:r>
      <w:r>
        <w:t xml:space="preserve"> </w:t>
      </w:r>
      <w:r>
        <w:t xml:space="preserve">aviation sectors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AVIATION</w:t>
      </w:r>
      <w:r>
        <w:t xml:space="preserve"> </w:t>
      </w:r>
      <w:r>
        <w:t xml:space="preserve">1.1</w:t>
      </w:r>
      <w:r>
        <w:t xml:space="preserve"> </w:t>
      </w:r>
      <w:r>
        <w:t xml:space="preserve">Scientific evidence</w:t>
      </w:r>
      <w:r>
        <w:t xml:space="preserve"> </w:t>
      </w:r>
      <w:r>
        <w:t xml:space="preserve">In its 1999 special report on aviation, IPCC (203) explored the sector’s impacts on climate.</w:t>
      </w:r>
      <w:r>
        <w:t xml:space="preserve"> </w:t>
      </w:r>
      <w:r>
        <w:t xml:space="preserve">Since then, updated assessments and studies (204) have been regularly published, improving</w:t>
      </w:r>
      <w:r>
        <w:t xml:space="preserve"> </w:t>
      </w:r>
      <w:r>
        <w:t xml:space="preserve">the understanding of non-CO2 aviation effects.</w:t>
      </w:r>
      <w:r>
        <w:br/>
      </w:r>
      <w:r>
        <w:t xml:space="preserve">In the scientific literature, those effects are mostly expressed in terms of “Effective Radiative</w:t>
      </w:r>
      <w:r>
        <w:t xml:space="preserve"> </w:t>
      </w:r>
      <w:r>
        <w:t xml:space="preserve">Forcing” (ERF) (205) (Figure 19). The ERF from the sum of non-CO2 aviation impacts yields</w:t>
      </w:r>
      <w:r>
        <w:t xml:space="preserve"> </w:t>
      </w:r>
      <w:r>
        <w:t xml:space="preserve">a net positive (warming) that is at least as large as those of CO2 alone. Despite uncertainties</w:t>
      </w:r>
      <w:r>
        <w:t xml:space="preserve"> </w:t>
      </w:r>
      <w:r>
        <w:t xml:space="preserve">regarding the scientific knowledge on non-CO2 aviation effects, its contribution to global</w:t>
      </w:r>
      <w:r>
        <w:t xml:space="preserve"> </w:t>
      </w:r>
      <w:r>
        <w:t xml:space="preserve">warming is clear.</w:t>
      </w:r>
      <w:r>
        <w:br/>
      </w:r>
      <w:r>
        <w:t xml:space="preserve">It must also be noted that the non-CO2 ERF ratios in Figure 19 are not fixed in time and the</w:t>
      </w:r>
      <w:r>
        <w:t xml:space="preserve"> </w:t>
      </w:r>
      <w:r>
        <w:t xml:space="preserve">non-CO2 forcing from aviation is sensitive to the rate of growth of CO2, such that it grows</w:t>
      </w:r>
      <w:r>
        <w:t xml:space="preserve"> </w:t>
      </w:r>
      <w:r>
        <w:t xml:space="preserve">faster under a scenario of increasing CO2 emissions, but equally, falls more quickly if CO2</w:t>
      </w:r>
      <w:r>
        <w:t xml:space="preserve"> </w:t>
      </w:r>
      <w:r>
        <w:t xml:space="preserve">emissions are reduced (Figure 20). Therefore, the growth of the sector in coming years and</w:t>
      </w:r>
      <w:r>
        <w:t xml:space="preserve"> </w:t>
      </w:r>
      <w:r>
        <w:t xml:space="preserve">the fuels used will be determinant to the warming caused by the non-CO2 emissions.</w:t>
      </w:r>
    </w:p>
    <w:p>
      <w:pPr>
        <w:pStyle w:val="Compact"/>
        <w:numPr>
          <w:ilvl w:val="0"/>
          <w:numId w:val="1063"/>
        </w:numPr>
      </w:pPr>
      <w:r>
        <w:t xml:space="preserve">IPCC (1999), Special Report Aviation and the global atmosphere</w:t>
      </w:r>
    </w:p>
    <w:p>
      <w:pPr>
        <w:pStyle w:val="Compact"/>
        <w:numPr>
          <w:ilvl w:val="0"/>
          <w:numId w:val="1063"/>
        </w:numPr>
      </w:pPr>
      <w:r>
        <w:t xml:space="preserve">Sausen et al (2005), Aviation radiative forcing in 2000: An update on IPCC (1999); D.S. Lee et al (2009),</w:t>
      </w:r>
      <w:r>
        <w:t xml:space="preserve"> </w:t>
      </w:r>
      <w:r>
        <w:t xml:space="preserve">Aviation and global climate change in the 21st century; D.S. Lee et al (2020), The contribution of global</w:t>
      </w:r>
      <w:r>
        <w:t xml:space="preserve"> </w:t>
      </w:r>
      <w:r>
        <w:t xml:space="preserve">aviation to anthropogenic climate forcing for 2000 to 2018; Klower et al (2021), Quantifying aviation’s</w:t>
      </w:r>
      <w:r>
        <w:t xml:space="preserve"> </w:t>
      </w:r>
      <w:r>
        <w:t xml:space="preserve">contribution to global warming.</w:t>
      </w:r>
    </w:p>
    <w:p>
      <w:pPr>
        <w:pStyle w:val="Compact"/>
        <w:numPr>
          <w:ilvl w:val="0"/>
          <w:numId w:val="1063"/>
        </w:numPr>
      </w:pPr>
      <w:r>
        <w:t xml:space="preserve">The “Radiative Forcing” (RF) metric stands for stratosphere-adjusted radiative forcing and it has been used</w:t>
      </w:r>
      <w:r>
        <w:t xml:space="preserve"> </w:t>
      </w:r>
      <w:r>
        <w:t xml:space="preserve">as a proxy for predicting global mean surface temperature change. It represents the instantaneous change in</w:t>
      </w:r>
      <w:r>
        <w:t xml:space="preserve"> </w:t>
      </w:r>
      <w:r>
        <w:t xml:space="preserve">total irradiation due to incoming short wave solar radiation minus the outgoing long wave terrestrial</w:t>
      </w:r>
      <w:r>
        <w:t xml:space="preserve"> </w:t>
      </w:r>
      <w:r>
        <w:t xml:space="preserve">radiation (difference between sunlight energy received by the Earth and the energy Earth radiates back to</w:t>
      </w:r>
      <w:r>
        <w:t xml:space="preserve"> </w:t>
      </w:r>
      <w:r>
        <w:t xml:space="preserve">space). In the Fifth Assessment Report (2013), in order to better take into account the complexities of</w:t>
      </w:r>
      <w:r>
        <w:t xml:space="preserve"> </w:t>
      </w:r>
      <w:r>
        <w:t xml:space="preserve">heterogeneous distribution of certain forcing agents, the IPCC introduced the “Effective Radiative Forcing”</w:t>
      </w:r>
      <w:r>
        <w:t xml:space="preserve"> </w:t>
      </w:r>
      <w:r>
        <w:t xml:space="preserve">(ERF) metric. ERF is considered to be a good predictor of the long-term change in global surface</w:t>
      </w:r>
      <w:r>
        <w:t xml:space="preserve"> </w:t>
      </w:r>
      <w:r>
        <w:t xml:space="preserve">temperature caused through rapid adjustments in the atmosphere (e.g., thermal structure of the atmosphere,</w:t>
      </w:r>
      <w:r>
        <w:t xml:space="preserve"> </w:t>
      </w:r>
      <w:r>
        <w:t xml:space="preserve">clouds, aerosols, etc.), while maintaining sea surface temperatures constant.</w:t>
      </w:r>
    </w:p>
    <w:p>
      <w:pPr>
        <w:pStyle w:val="FirstParagraph"/>
      </w:pPr>
      <w:r>
        <w:t xml:space="preserve">80</w:t>
      </w:r>
    </w:p>
    <w:p>
      <w:pPr>
        <w:pStyle w:val="BodyText"/>
      </w:pPr>
      <w:r>
        <w:t xml:space="preserve">Figure 19: Global aviation contribution to anthropogenic climate forcing for 2000 to 2018</w:t>
      </w:r>
    </w:p>
    <w:p>
      <w:pPr>
        <w:pStyle w:val="BodyText"/>
      </w:pPr>
      <w:r>
        <w:t xml:space="preserve">Source: Lee et al., 2020.</w:t>
      </w:r>
      <w:r>
        <w:t xml:space="preserve"> </w:t>
      </w:r>
      <w:r>
        <w:t xml:space="preserve">Figure 20: Quantifying aviation’s contribution to global warming</w:t>
      </w:r>
    </w:p>
    <w:p>
      <w:pPr>
        <w:pStyle w:val="BodyText"/>
      </w:pPr>
      <w:r>
        <w:t xml:space="preserve">Source: Klöwer et al., 2021.</w:t>
      </w:r>
      <w:r>
        <w:t xml:space="preserve"> </w:t>
      </w:r>
      <w:r>
        <w:t xml:space="preserve">The main aviation non-CO2 climate agents are water vapour (H2O), nitrogen oxides (NOx),</w:t>
      </w:r>
      <w:r>
        <w:t xml:space="preserve"> </w:t>
      </w:r>
      <w:r>
        <w:t xml:space="preserve">sulphur dioxide (SO2), and soot particles, as well as the atmospheric processes caused by such</w:t>
      </w:r>
      <w:r>
        <w:t xml:space="preserve"> </w:t>
      </w:r>
      <w:r>
        <w:t xml:space="preserve">emissions, for example the formation of ozone (O3) and contrail cirrus.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As shown in Figure 19 the best estimates about the largest aviation non-CO2 impacts are</w:t>
      </w:r>
      <w:r>
        <w:t xml:space="preserve"> </w:t>
      </w:r>
      <w:r>
        <w:t xml:space="preserve">those from NOx and contrails. The effects on climate of NOx emissions (“net-NOx effect”)</w:t>
      </w:r>
      <w:r>
        <w:t xml:space="preserve"> </w:t>
      </w:r>
      <w:r>
        <w:t xml:space="preserve">depends largely on their interaction with background emissions (206) and the location of the</w:t>
      </w:r>
      <w:r>
        <w:t xml:space="preserve"> </w:t>
      </w:r>
      <w:r>
        <w:t xml:space="preserve">emissions. NOx contributes to the production of ozone (O3) and at the same time to the</w:t>
      </w:r>
      <w:r>
        <w:t xml:space="preserve"> </w:t>
      </w:r>
      <w:r>
        <w:t xml:space="preserve">destruction of methane (CH4). This results generally in a net warming effect. Minimizing</w:t>
      </w:r>
      <w:r>
        <w:t xml:space="preserve"> </w:t>
      </w:r>
      <w:r>
        <w:t xml:space="preserve">NOx can increase CO2 (decreased fuel efficiency via increased fuel burn), while optimising</w:t>
      </w:r>
      <w:r>
        <w:t xml:space="preserve"> </w:t>
      </w:r>
      <w:r>
        <w:t xml:space="preserve">engines could lead to higher combustion temperatures and to more NOx emissions, which</w:t>
      </w:r>
      <w:r>
        <w:t xml:space="preserve"> </w:t>
      </w:r>
      <w:r>
        <w:t xml:space="preserve">implies finding a balance between CO2 and NOx emissions.</w:t>
      </w:r>
      <w:r>
        <w:t xml:space="preserve"> </w:t>
      </w:r>
      <w:r>
        <w:t xml:space="preserve">Water vapour emissions resulting from hydrocarbon combustion have small direct climate</w:t>
      </w:r>
      <w:r>
        <w:t xml:space="preserve"> </w:t>
      </w:r>
      <w:r>
        <w:t xml:space="preserve">effect for subsonic aircrafts at current cruise altitudes (up to 12-13 km), but they contribute to</w:t>
      </w:r>
      <w:r>
        <w:t xml:space="preserve"> </w:t>
      </w:r>
      <w:r>
        <w:t xml:space="preserve">the formation of contrails (condensation trails). Contrail cirrus clouds are artificial clouds</w:t>
      </w:r>
      <w:r>
        <w:t xml:space="preserve"> </w:t>
      </w:r>
      <w:r>
        <w:t xml:space="preserve">composed of ice crystals that form behind jet engines when the relative humidity in the engine</w:t>
      </w:r>
      <w:r>
        <w:t xml:space="preserve"> </w:t>
      </w:r>
      <w:r>
        <w:t xml:space="preserve">plume increases reaching saturation. They occur at cold ambient temperatures between -35°C</w:t>
      </w:r>
      <w:r>
        <w:t xml:space="preserve"> </w:t>
      </w:r>
      <w:r>
        <w:t xml:space="preserve">and -60°C. Water vapour condenses on condensation nuclei, with soot particles (207) being the</w:t>
      </w:r>
      <w:r>
        <w:t xml:space="preserve"> </w:t>
      </w:r>
      <w:r>
        <w:t xml:space="preserve">effective nuclei. The water droplets freeze and grow as ice crystals until the humidity with</w:t>
      </w:r>
      <w:r>
        <w:t xml:space="preserve"> </w:t>
      </w:r>
      <w:r>
        <w:t xml:space="preserve">respect to ice drops below saturation. Contrails generally cool during the day and always</w:t>
      </w:r>
      <w:r>
        <w:t xml:space="preserve"> </w:t>
      </w:r>
      <w:r>
        <w:t xml:space="preserve">warm at night (208).</w:t>
      </w:r>
      <w:r>
        <w:t xml:space="preserve"> </w:t>
      </w:r>
      <w:r>
        <w:t xml:space="preserve">When it comes to hydrogen-powered aircrafts, the climate effect of water vapour (main</w:t>
      </w:r>
      <w:r>
        <w:t xml:space="preserve"> </w:t>
      </w:r>
      <w:r>
        <w:t xml:space="preserve">exhaust product) needs to be further investigated and the warming effect will increase in the</w:t>
      </w:r>
      <w:r>
        <w:t xml:space="preserve"> </w:t>
      </w:r>
      <w:r>
        <w:t xml:space="preserve">case of higher altitudes (e.g., supersonic) where water vapour is emitted into the drier</w:t>
      </w:r>
      <w:r>
        <w:t xml:space="preserve"> </w:t>
      </w:r>
      <w:r>
        <w:t xml:space="preserve">stratosphere.</w:t>
      </w:r>
    </w:p>
    <w:p>
      <w:pPr>
        <w:pStyle w:val="Compact"/>
        <w:numPr>
          <w:ilvl w:val="0"/>
          <w:numId w:val="1064"/>
        </w:numPr>
      </w:pPr>
      <w:r>
        <w:t xml:space="preserve">Background emissions refer to the levels of NOx and other emissions that already exist in the atmosphere</w:t>
      </w:r>
      <w:r>
        <w:t xml:space="preserve"> </w:t>
      </w:r>
      <w:r>
        <w:t xml:space="preserve">from various sources unrelated to aviation.</w:t>
      </w:r>
    </w:p>
    <w:p>
      <w:pPr>
        <w:pStyle w:val="Compact"/>
        <w:numPr>
          <w:ilvl w:val="0"/>
          <w:numId w:val="1064"/>
        </w:numPr>
      </w:pPr>
      <w:r>
        <w:t xml:space="preserve">The non-volatile particulate matter (nvPM) often referred to as</w:t>
      </w:r>
      <w:r>
        <w:t xml:space="preserve"> </w:t>
      </w:r>
      <w:r>
        <w:t xml:space="preserve">“soot”</w:t>
      </w:r>
      <w:r>
        <w:t xml:space="preserve"> </w:t>
      </w:r>
      <w:r>
        <w:t xml:space="preserve">(or</w:t>
      </w:r>
      <w:r>
        <w:t xml:space="preserve"> </w:t>
      </w:r>
      <w:r>
        <w:t xml:space="preserve">“black carbon”</w:t>
      </w:r>
      <w:r>
        <w:t xml:space="preserve">), represents the</w:t>
      </w:r>
      <w:r>
        <w:t xml:space="preserve"> </w:t>
      </w:r>
      <w:r>
        <w:t xml:space="preserve">inorganic and organic carbon in engine exhaust and plume. Soot emissions from aircraft engines contribute</w:t>
      </w:r>
      <w:r>
        <w:t xml:space="preserve"> </w:t>
      </w:r>
      <w:r>
        <w:t xml:space="preserve">to contrail formation, where the number and size of ice crystals depend on soot concentration. The aromatic,</w:t>
      </w:r>
      <w:r>
        <w:t xml:space="preserve"> </w:t>
      </w:r>
      <w:r>
        <w:t xml:space="preserve">and more precisely naphthalene content of jet fuel is associated with the production of soot particles. When</w:t>
      </w:r>
      <w:r>
        <w:t xml:space="preserve"> </w:t>
      </w:r>
      <w:r>
        <w:t xml:space="preserve">it comes to vPM, sulphate particles originate from sulphur (S) in aviation kerosene fuel, which is oxidised to</w:t>
      </w:r>
      <w:r>
        <w:t xml:space="preserve"> </w:t>
      </w:r>
      <w:r>
        <w:t xml:space="preserve">sulphur dioxide (SO2) during the combustion process and then to sulphuric acid to a minor extent in the</w:t>
      </w:r>
      <w:r>
        <w:t xml:space="preserve"> </w:t>
      </w:r>
      <w:r>
        <w:t xml:space="preserve">combustor and to a major part, in the ambient atmosphere. Sulphuric acid can form, or coat pre-existing</w:t>
      </w:r>
      <w:r>
        <w:t xml:space="preserve"> </w:t>
      </w:r>
      <w:r>
        <w:t xml:space="preserve">particles. These particles reflect solar radiation back to space as a “direct effect” and thus have a negative</w:t>
      </w:r>
      <w:r>
        <w:t xml:space="preserve"> </w:t>
      </w:r>
      <w:r>
        <w:t xml:space="preserve">radiative forcing (cooling). This effect is small but needs to be noted as hydrotreatment (treating with</w:t>
      </w:r>
      <w:r>
        <w:t xml:space="preserve"> </w:t>
      </w:r>
      <w:r>
        <w:t xml:space="preserve">hydrogen) of fuels to remove the impurities, and clean further the fuels, implies reduction of sulphur as well</w:t>
      </w:r>
      <w:r>
        <w:t xml:space="preserve"> </w:t>
      </w:r>
      <w:r>
        <w:t xml:space="preserve">(sulphur particles, particularly those generated from combustion processes, can have detrimental effects on</w:t>
      </w:r>
      <w:r>
        <w:t xml:space="preserve"> </w:t>
      </w:r>
      <w:r>
        <w:t xml:space="preserve">human health).</w:t>
      </w:r>
    </w:p>
    <w:p>
      <w:pPr>
        <w:pStyle w:val="Compact"/>
        <w:numPr>
          <w:ilvl w:val="0"/>
          <w:numId w:val="1064"/>
        </w:numPr>
      </w:pPr>
      <w:r>
        <w:t xml:space="preserve">During the day, contrails clouds mostly reflect sunlight back into space, exerting a cooling effect. However,</w:t>
      </w:r>
      <w:r>
        <w:t xml:space="preserve"> </w:t>
      </w:r>
      <w:r>
        <w:t xml:space="preserve">at night, the Earth’s surface emits thermal radiation, and contrails act as a barrier, trapping some of this</w:t>
      </w:r>
      <w:r>
        <w:t xml:space="preserve"> </w:t>
      </w:r>
      <w:r>
        <w:t xml:space="preserve">radiation within the atmosphere.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Policy context at global and EU level</w:t>
      </w:r>
      <w:r>
        <w:t xml:space="preserve"> </w:t>
      </w:r>
      <w:r>
        <w:t xml:space="preserve">At global level, in 2022 the IPCC (209) stated that current sectoral levels of ambition vary,</w:t>
      </w:r>
      <w:r>
        <w:t xml:space="preserve"> </w:t>
      </w:r>
      <w:r>
        <w:t xml:space="preserve">with emission reduction aspirations in international aviation and shipping lower than in many</w:t>
      </w:r>
      <w:r>
        <w:t xml:space="preserve"> </w:t>
      </w:r>
      <w:r>
        <w:t xml:space="preserve">other sectors.</w:t>
      </w:r>
      <w:r>
        <w:br/>
      </w:r>
      <w:r>
        <w:t xml:space="preserve">At the same time, the IPCC report noted that between 2010 and 2019, aviation grew</w:t>
      </w:r>
      <w:r>
        <w:t xml:space="preserve"> </w:t>
      </w:r>
      <w:r>
        <w:t xml:space="preserve">particularly quickly (on average, 3.3% per annum). With the end of the COVID-related travel</w:t>
      </w:r>
      <w:r>
        <w:t xml:space="preserve"> </w:t>
      </w:r>
      <w:r>
        <w:t xml:space="preserve">restrictions this trend is returning quickly (210).</w:t>
      </w:r>
      <w:r>
        <w:br/>
      </w:r>
      <w:r>
        <w:t xml:space="preserve">In October 2022, the 41st ICAO Assembly adopted a long-term global aspirational goal</w:t>
      </w:r>
      <w:r>
        <w:t xml:space="preserve"> </w:t>
      </w:r>
      <w:r>
        <w:t xml:space="preserve">(LTAG) for international aviation of net-zero carbon emissions by 2050 in support of the</w:t>
      </w:r>
      <w:r>
        <w:t xml:space="preserve"> </w:t>
      </w:r>
      <w:r>
        <w:t xml:space="preserve">UNFCCC Paris Agreement’s temperature goal (211). The ICAO LTAG does not cover non-</w:t>
      </w:r>
      <w:r>
        <w:t xml:space="preserve"> </w:t>
      </w:r>
      <w:r>
        <w:t xml:space="preserve">CO2 aviation effects.</w:t>
      </w:r>
      <w:r>
        <w:br/>
      </w:r>
      <w:r>
        <w:t xml:space="preserve">At EU level, the 2006 Commission’s Impact Assessment (212) on the inclusion of aviation in</w:t>
      </w:r>
      <w:r>
        <w:t xml:space="preserve"> </w:t>
      </w:r>
      <w:r>
        <w:t xml:space="preserve">the EU greenhouse gas Emissions Trading System (EU ETS), as well as Directive</w:t>
      </w:r>
      <w:r>
        <w:t xml:space="preserve"> </w:t>
      </w:r>
      <w:r>
        <w:t xml:space="preserve">2008/101/EC recognised that aviation has an impact on the global climate through the release</w:t>
      </w:r>
      <w:r>
        <w:t xml:space="preserve"> </w:t>
      </w:r>
      <w:r>
        <w:t xml:space="preserve">of non-CO2 emissions.</w:t>
      </w:r>
      <w:r>
        <w:br/>
      </w:r>
      <w:r>
        <w:t xml:space="preserve">Article 30(4) of Directive 2003/87/EC, as amended by Directive (EU) 2018/410, required the</w:t>
      </w:r>
      <w:r>
        <w:t xml:space="preserve"> </w:t>
      </w:r>
      <w:r>
        <w:t xml:space="preserve">Commission to present an updated analysis of the non-CO2 effects of aviation, accompanied,</w:t>
      </w:r>
      <w:r>
        <w:t xml:space="preserve"> </w:t>
      </w:r>
      <w:r>
        <w:t xml:space="preserve">where appropriate, by a proposal on how to best address those effects. To fulfil that</w:t>
      </w:r>
      <w:r>
        <w:t xml:space="preserve"> </w:t>
      </w:r>
      <w:r>
        <w:t xml:space="preserve">requirement, the European Union Aviation Safety Agency (EASA) conducted an updated</w:t>
      </w:r>
      <w:r>
        <w:t xml:space="preserve"> </w:t>
      </w:r>
      <w:r>
        <w:t xml:space="preserve">analysis of the non-CO2 effects of aviation on climate change and published its study (213) in</w:t>
      </w:r>
      <w:r>
        <w:t xml:space="preserve"> </w:t>
      </w:r>
      <w:r>
        <w:t xml:space="preserve">November 2020. The findings confirmed what had been previously estimated, namely that the</w:t>
      </w:r>
      <w:r>
        <w:t xml:space="preserve"> </w:t>
      </w:r>
      <w:r>
        <w:t xml:space="preserve">non-CO2 climate impacts of aviation activities are, in total, at least as significant as those of</w:t>
      </w:r>
      <w:r>
        <w:t xml:space="preserve"> </w:t>
      </w:r>
      <w:r>
        <w:t xml:space="preserve">CO2 alone.</w:t>
      </w:r>
      <w:r>
        <w:t xml:space="preserve"> </w:t>
      </w:r>
      <w:r>
        <w:t xml:space="preserve">The revised EU ETS Directive (214), which concerns aviation’s contribution to the Union’s</w:t>
      </w:r>
      <w:r>
        <w:t xml:space="preserve"> </w:t>
      </w:r>
      <w:r>
        <w:t xml:space="preserve">economy-wide emission reduction target and implementing a global market-based measure,</w:t>
      </w:r>
      <w:r>
        <w:t xml:space="preserve"> </w:t>
      </w:r>
      <w:r>
        <w:t xml:space="preserve">concludes that non-CO2 aviation effects can no longer be ignored in line with the</w:t>
      </w:r>
      <w:r>
        <w:t xml:space="preserve"> </w:t>
      </w:r>
      <w:r>
        <w:t xml:space="preserve">precautionary principle. Regulatory measures are thus needed to achieve reductions of non-</w:t>
      </w:r>
      <w:r>
        <w:t xml:space="preserve"> </w:t>
      </w:r>
      <w:r>
        <w:t xml:space="preserve">CO2 emissions in line with the Paris Agreement.</w:t>
      </w:r>
    </w:p>
    <w:p>
      <w:pPr>
        <w:pStyle w:val="Compact"/>
        <w:numPr>
          <w:ilvl w:val="0"/>
          <w:numId w:val="1065"/>
        </w:numPr>
      </w:pPr>
      <w:r>
        <w:t xml:space="preserve">IPCC (2022), Special Report Global Warming of 1.5°C</w:t>
      </w:r>
    </w:p>
    <w:p>
      <w:pPr>
        <w:pStyle w:val="Compact"/>
        <w:numPr>
          <w:ilvl w:val="0"/>
          <w:numId w:val="1065"/>
        </w:numPr>
      </w:pPr>
      <w:r>
        <w:t xml:space="preserve">ICAO forecasts complete and sustainable recovery and growth of air passenger demand in 2023</w:t>
      </w:r>
    </w:p>
    <w:p>
      <w:pPr>
        <w:pStyle w:val="Compact"/>
        <w:numPr>
          <w:ilvl w:val="0"/>
          <w:numId w:val="1065"/>
        </w:numPr>
      </w:pPr>
      <w:r>
        <w:t xml:space="preserve">By applying the goal to hold the increase in the global average temperature to well below 2 degrees Celsius</w:t>
      </w:r>
      <w:r>
        <w:t xml:space="preserve"> </w:t>
      </w:r>
      <w:r>
        <w:t xml:space="preserve">above pre-industrial levels, and to pursue efforts to limit the temperature increase to 1.5 degrees Celsius, the</w:t>
      </w:r>
      <w:r>
        <w:t xml:space="preserve"> </w:t>
      </w:r>
      <w:r>
        <w:t xml:space="preserve">Paris Agreement encompasses de facto all anthropogenic activities contributing to the warming of climate,</w:t>
      </w:r>
      <w:r>
        <w:t xml:space="preserve"> </w:t>
      </w:r>
      <w:r>
        <w:t xml:space="preserve">aviation included.</w:t>
      </w:r>
    </w:p>
    <w:p>
      <w:pPr>
        <w:pStyle w:val="Compact"/>
        <w:numPr>
          <w:ilvl w:val="0"/>
          <w:numId w:val="1065"/>
        </w:numPr>
      </w:pPr>
      <w:r>
        <w:t xml:space="preserve">COM(2006) 818 final</w:t>
      </w:r>
    </w:p>
    <w:p>
      <w:pPr>
        <w:pStyle w:val="Compact"/>
        <w:numPr>
          <w:ilvl w:val="0"/>
          <w:numId w:val="1065"/>
        </w:numPr>
      </w:pPr>
      <w:r>
        <w:t xml:space="preserve">SWD(2020) 277 final</w:t>
      </w:r>
      <w:r>
        <w:br/>
      </w:r>
    </w:p>
    <w:p>
      <w:pPr>
        <w:pStyle w:val="Compact"/>
        <w:numPr>
          <w:ilvl w:val="0"/>
          <w:numId w:val="1065"/>
        </w:numPr>
      </w:pPr>
      <w:r>
        <w:t xml:space="preserve">Directive (EU) 2023/958</w:t>
      </w:r>
    </w:p>
    <w:p>
      <w:pPr>
        <w:pStyle w:val="FirstParagraph"/>
      </w:pPr>
      <w:r>
        <w:t xml:space="preserve">83</w:t>
      </w:r>
    </w:p>
    <w:p>
      <w:pPr>
        <w:pStyle w:val="BodyText"/>
      </w:pPr>
      <w:r>
        <w:t xml:space="preserve">Accordingly, from 1 January 2025, Member States shall ensure that each aircraft operator</w:t>
      </w:r>
      <w:r>
        <w:t xml:space="preserve"> </w:t>
      </w:r>
      <w:r>
        <w:t xml:space="preserve">monitors and reports the non-CO2 effects from each aircraft that it operates during each</w:t>
      </w:r>
      <w:r>
        <w:t xml:space="preserve"> </w:t>
      </w:r>
      <w:r>
        <w:t xml:space="preserve">calendar year to the competent authority after the end of each year. For this purpose, the EU</w:t>
      </w:r>
      <w:r>
        <w:t xml:space="preserve"> </w:t>
      </w:r>
      <w:r>
        <w:t xml:space="preserve">ETS aviation revised Directive instructs the Commission to adopt, by 31 August 2024, an</w:t>
      </w:r>
      <w:r>
        <w:t xml:space="preserve"> </w:t>
      </w:r>
      <w:r>
        <w:t xml:space="preserve">implementing act based on the principles for monitoring and reporting set out in Annex IV to</w:t>
      </w:r>
      <w:r>
        <w:t xml:space="preserve"> </w:t>
      </w:r>
      <w:r>
        <w:t xml:space="preserve">the EU ETS revised Directive, to include non-CO2 effects in a monitoring, reporting and</w:t>
      </w:r>
      <w:r>
        <w:t xml:space="preserve"> </w:t>
      </w:r>
      <w:r>
        <w:t xml:space="preserve">verification (hereinafter, MRV) framework. This MRV framework must contain, at a</w:t>
      </w:r>
      <w:r>
        <w:t xml:space="preserve"> </w:t>
      </w:r>
      <w:r>
        <w:t xml:space="preserve">minimum, the three-dimensional aircraft trajectory data available, ambient humidity, and</w:t>
      </w:r>
      <w:r>
        <w:t xml:space="preserve"> </w:t>
      </w:r>
      <w:r>
        <w:t xml:space="preserve">temperature to enable CO2 equivalents per flight to be produced. The EU ETS revised</w:t>
      </w:r>
      <w:r>
        <w:t xml:space="preserve"> </w:t>
      </w:r>
      <w:r>
        <w:t xml:space="preserve">Directive requires the Commission to ensure, subject to available resources, that tools are</w:t>
      </w:r>
      <w:r>
        <w:t xml:space="preserve"> </w:t>
      </w:r>
      <w:r>
        <w:t xml:space="preserve">available to facilitate and, to the extent possible, automatise the monitoring, reporting and</w:t>
      </w:r>
      <w:r>
        <w:t xml:space="preserve"> </w:t>
      </w:r>
      <w:r>
        <w:t xml:space="preserve">verification tasks in order to minimise any administrative burden. From 2026, the</w:t>
      </w:r>
      <w:r>
        <w:t xml:space="preserve"> </w:t>
      </w:r>
      <w:r>
        <w:t xml:space="preserve">Commission will publish the results from the MRV framework once a year. By 31 December</w:t>
      </w:r>
      <w:r>
        <w:t xml:space="preserve"> </w:t>
      </w:r>
      <w:r>
        <w:t xml:space="preserve">2027, based on the results of the application of the EU ETS MRV framework of non-CO2</w:t>
      </w:r>
      <w:r>
        <w:t xml:space="preserve"> </w:t>
      </w:r>
      <w:r>
        <w:t xml:space="preserve">aviation effects (i.e., monitoring, reporting and verifying CO2 equivalents from non-CO2</w:t>
      </w:r>
      <w:r>
        <w:t xml:space="preserve"> </w:t>
      </w:r>
      <w:r>
        <w:t xml:space="preserve">aviation effects), the Commission will submit a report and, where appropriate, a legislative</w:t>
      </w:r>
      <w:r>
        <w:t xml:space="preserve"> </w:t>
      </w:r>
      <w:r>
        <w:t xml:space="preserve">proposal after having first carried out an impact assessment to mitigate such effects by</w:t>
      </w:r>
      <w:r>
        <w:t xml:space="preserve"> </w:t>
      </w:r>
      <w:r>
        <w:t xml:space="preserve">expanding the scope of the EU ETS to include non-CO2 aviation effects.</w:t>
      </w:r>
      <w:r>
        <w:t xml:space="preserve"> </w:t>
      </w:r>
      <w:r>
        <w:t xml:space="preserve">In addition, additional financial support is available to reduce aviation’s non-CO2 climate</w:t>
      </w:r>
      <w:r>
        <w:t xml:space="preserve"> </w:t>
      </w:r>
      <w:r>
        <w:t xml:space="preserve">impacts from the EU ETS-funded Innovation Fund, which specifically provides for support</w:t>
      </w:r>
      <w:r>
        <w:t xml:space="preserve"> </w:t>
      </w:r>
      <w:r>
        <w:t xml:space="preserve">for electrification and to reduce the overall climate impacts from aviation (215).</w:t>
      </w:r>
      <w:r>
        <w:br/>
      </w:r>
      <w:r>
        <w:t xml:space="preserve">The provisional political agreement reached in April 2023 for sustainable aviation fuel</w:t>
      </w:r>
      <w:r>
        <w:t xml:space="preserve"> </w:t>
      </w:r>
      <w:r>
        <w:t xml:space="preserve">mandates for aviation (ReFuelEU Aviation) is another milestone in the direction of reducing</w:t>
      </w:r>
      <w:r>
        <w:t xml:space="preserve"> </w:t>
      </w:r>
      <w:r>
        <w:t xml:space="preserve">the GHG impact of aviation. This measure will reduce the CO2 impact of aviation. If the</w:t>
      </w:r>
      <w:r>
        <w:t xml:space="preserve"> </w:t>
      </w:r>
      <w:r>
        <w:t xml:space="preserve">characteristics of the fossil fuel share of aviation fuels are not modified, the measure will also</w:t>
      </w:r>
      <w:r>
        <w:t xml:space="preserve"> </w:t>
      </w:r>
      <w:r>
        <w:t xml:space="preserve">reduce the non-CO2 impacts of the sector. The agreement also requires monitoring and</w:t>
      </w:r>
      <w:r>
        <w:t xml:space="preserve"> </w:t>
      </w:r>
      <w:r>
        <w:t xml:space="preserve">reporting of aromatics, naphthalene and sulphur content of the aviation fuels supplied, by</w:t>
      </w:r>
      <w:r>
        <w:t xml:space="preserve"> </w:t>
      </w:r>
      <w:r>
        <w:t xml:space="preserve">EASA.</w:t>
      </w:r>
      <w:r>
        <w:t xml:space="preserve"> </w:t>
      </w:r>
      <w:r>
        <w:t xml:space="preserve">In its “Fly the Green Deal” report published in June 2022, the Advisory Council for Aviation</w:t>
      </w:r>
      <w:r>
        <w:t xml:space="preserve"> </w:t>
      </w:r>
      <w:r>
        <w:t xml:space="preserve">Research and innovation in Europe (ACARE) European Technology Platform, defines</w:t>
      </w:r>
      <w:r>
        <w:t xml:space="preserve"> </w:t>
      </w:r>
      <w:r>
        <w:t xml:space="preserve">quantitative targets for aviation non-CO2 effects in Europe:</w:t>
      </w:r>
      <w:r>
        <w:br/>
      </w:r>
      <w:r>
        <w:t xml:space="preserve">-</w:t>
      </w:r>
      <w:r>
        <w:t xml:space="preserve"> </w:t>
      </w:r>
      <w:r>
        <w:t xml:space="preserve">By 2035 new technologies, fuels and operational procedures in service result in a 30%</w:t>
      </w:r>
      <w:r>
        <w:t xml:space="preserve"> </w:t>
      </w:r>
      <w:r>
        <w:t xml:space="preserve">reduction in non-CO2 climate effects of all intra-EU flights and those departing the EU</w:t>
      </w:r>
      <w:r>
        <w:t xml:space="preserve"> </w:t>
      </w:r>
      <w:r>
        <w:t xml:space="preserve">relative to the 1990 baseline.</w:t>
      </w:r>
      <w:r>
        <w:t xml:space="preserve"> </w:t>
      </w:r>
      <w:r>
        <w:t xml:space="preserve">-</w:t>
      </w:r>
      <w:r>
        <w:t xml:space="preserve"> </w:t>
      </w:r>
      <w:r>
        <w:t xml:space="preserve">By 2050 new technologies and operational procedures in service result in a 90%</w:t>
      </w:r>
      <w:r>
        <w:t xml:space="preserve"> </w:t>
      </w:r>
      <w:r>
        <w:t xml:space="preserve">reduction in NOx and non-volatile particulate matter (nvPM) emissions, and warming</w:t>
      </w:r>
      <w:r>
        <w:t xml:space="preserve"> </w:t>
      </w:r>
      <w:r>
        <w:t xml:space="preserve">contrail cirrus, from all intra-EU flights and those departing the EU relative to the year</w:t>
      </w:r>
      <w:r>
        <w:t xml:space="preserve"> </w:t>
      </w:r>
      <w:r>
        <w:t xml:space="preserve">2000.</w:t>
      </w:r>
    </w:p>
    <w:p>
      <w:pPr>
        <w:pStyle w:val="Compact"/>
        <w:numPr>
          <w:ilvl w:val="0"/>
          <w:numId w:val="1066"/>
        </w:numPr>
      </w:pPr>
      <w:r>
        <w:t xml:space="preserve">Innovation Fund (INNOVFUND) Methodology for GHG Emission Avoidance Calculation Version 3.0 01</w:t>
      </w:r>
      <w:r>
        <w:t xml:space="preserve"> </w:t>
      </w:r>
      <w:r>
        <w:t xml:space="preserve">November 2023.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Mitigation technologies</w:t>
      </w:r>
      <w:r>
        <w:t xml:space="preserve"> </w:t>
      </w:r>
      <w:r>
        <w:t xml:space="preserve">A possible mitigation option for mitigation of non-CO2, as a co-benefit of reducing CO2 is</w:t>
      </w:r>
      <w:r>
        <w:t xml:space="preserve"> </w:t>
      </w:r>
      <w:r>
        <w:t xml:space="preserve">the use of sustainable aviation fuels. Nevertheless, their potential to address the climate</w:t>
      </w:r>
      <w:r>
        <w:t xml:space="preserve"> </w:t>
      </w:r>
      <w:r>
        <w:t xml:space="preserve">problem is currently uncertain. As shown by Becken et al (216), further analysis is needed on</w:t>
      </w:r>
      <w:r>
        <w:t xml:space="preserve"> </w:t>
      </w:r>
      <w:r>
        <w:t xml:space="preserve">the level of effectiveness of SAFs in terms of reduced GHG footprint on a life-cycle analysis</w:t>
      </w:r>
      <w:r>
        <w:t xml:space="preserve"> </w:t>
      </w:r>
      <w:r>
        <w:t xml:space="preserve">(LCA) basis and displacement of emissions.</w:t>
      </w:r>
      <w:r>
        <w:br/>
      </w:r>
      <w:r>
        <w:t xml:space="preserve">Other more immediate options to reduce non-CO2 effects relate to operational measures to</w:t>
      </w:r>
      <w:r>
        <w:t xml:space="preserve"> </w:t>
      </w:r>
      <w:r>
        <w:t xml:space="preserve">seek a climate-optimised flights (as the climate impact of non-CO2 emissions depends not</w:t>
      </w:r>
      <w:r>
        <w:t xml:space="preserve"> </w:t>
      </w:r>
      <w:r>
        <w:t xml:space="preserve">only on the amount, but also on the location and time of emission) and the use of lower</w:t>
      </w:r>
      <w:r>
        <w:t xml:space="preserve"> </w:t>
      </w:r>
      <w:r>
        <w:t xml:space="preserve">emissions, alternative kerosene. On the latter, research publications under Horizon 2020</w:t>
      </w:r>
      <w:r>
        <w:t xml:space="preserve"> </w:t>
      </w:r>
      <w:r>
        <w:t xml:space="preserve">projects (217) demonstrated that the use of low-sulphur, low-aromatics and low-naphthalene</w:t>
      </w:r>
      <w:r>
        <w:t xml:space="preserve"> </w:t>
      </w:r>
      <w:r>
        <w:t xml:space="preserve">kerosene would have significant social benefits, as the climate benefits (and also the fuel cost</w:t>
      </w:r>
      <w:r>
        <w:t xml:space="preserve"> </w:t>
      </w:r>
      <w:r>
        <w:t xml:space="preserve">savings and air pollution benefits) exceed the additional production costs and the external</w:t>
      </w:r>
      <w:r>
        <w:t xml:space="preserve"> </w:t>
      </w:r>
      <w:r>
        <w:t xml:space="preserve">effects of emissions from fuel production.</w:t>
      </w:r>
      <w:r>
        <w:br/>
      </w:r>
      <w:r>
        <w:t xml:space="preserve">Additionally, technical measures like improving the design of aircrafts (reducing weight and</w:t>
      </w:r>
      <w:r>
        <w:t xml:space="preserve"> </w:t>
      </w:r>
      <w:r>
        <w:t xml:space="preserve">optimising aerodynamics) and the efficiency and combustion characteristics of aircraft</w:t>
      </w:r>
      <w:r>
        <w:t xml:space="preserve"> </w:t>
      </w:r>
      <w:r>
        <w:t xml:space="preserve">engines, are promising as well, but subject to longer time spans compared to the two previous</w:t>
      </w:r>
      <w:r>
        <w:t xml:space="preserve"> </w:t>
      </w:r>
      <w:r>
        <w:t xml:space="preserve">options.</w:t>
      </w:r>
      <w:r>
        <w:t xml:space="preserve"> </w:t>
      </w:r>
      <w:r>
        <w:t xml:space="preserve">1.4</w:t>
      </w:r>
      <w:r>
        <w:t xml:space="preserve"> </w:t>
      </w:r>
      <w:r>
        <w:t xml:space="preserve">Non-CO2 effects in the context of the 2040 climate target</w:t>
      </w:r>
      <w:r>
        <w:t xml:space="preserve"> </w:t>
      </w:r>
      <w:r>
        <w:t xml:space="preserve">While the 2030 Climate Target Plan did not cover aviation non-CO2 effects, the 2040 Climate</w:t>
      </w:r>
      <w:r>
        <w:t xml:space="preserve"> </w:t>
      </w:r>
      <w:r>
        <w:t xml:space="preserve">Target Plan needs to explore those, in line with the latest scientific findings and agreement on</w:t>
      </w:r>
      <w:r>
        <w:t xml:space="preserve"> </w:t>
      </w:r>
      <w:r>
        <w:t xml:space="preserve">the EU ETS Directive. A qualitative approach is complimentary to a quantitative one when it</w:t>
      </w:r>
      <w:r>
        <w:t xml:space="preserve"> </w:t>
      </w:r>
      <w:r>
        <w:t xml:space="preserve">comes to reducing the non-CO2 effects from aviation. In this regard, identifying cost-effective</w:t>
      </w:r>
      <w:r>
        <w:t xml:space="preserve"> </w:t>
      </w:r>
      <w:r>
        <w:t xml:space="preserve">mitigation actions (218) that reduce the overall climate impact from both CO2 and non-CO2</w:t>
      </w:r>
      <w:r>
        <w:t xml:space="preserve"> </w:t>
      </w:r>
      <w:r>
        <w:t xml:space="preserve">aviation emissions, whilst also accounting for the uncertainties surrounding non-CO2 effects,</w:t>
      </w:r>
      <w:r>
        <w:t xml:space="preserve"> </w:t>
      </w:r>
      <w:r>
        <w:t xml:space="preserve">will be required. Qualitative and quantitative considerations for reducing aviation non-CO2</w:t>
      </w:r>
      <w:r>
        <w:t xml:space="preserve"> </w:t>
      </w:r>
      <w:r>
        <w:t xml:space="preserve">effects will be further informed by the deliverables under the EU ETS Directive (see above),</w:t>
      </w:r>
      <w:r>
        <w:t xml:space="preserve"> </w:t>
      </w:r>
      <w:r>
        <w:t xml:space="preserve">expected on 31 December 2027.</w:t>
      </w:r>
      <w:r>
        <w:br/>
      </w:r>
      <w:r>
        <w:t xml:space="preserve">Modelling tools supporting the definition of the current EU climate targets do not refer to</w:t>
      </w:r>
      <w:r>
        <w:t xml:space="preserve"> </w:t>
      </w:r>
      <w:r>
        <w:t xml:space="preserve">aviation non-CO2 effects. Nevertheless, a number of already existing modelling tools</w:t>
      </w:r>
      <w:r>
        <w:t xml:space="preserve"> </w:t>
      </w:r>
      <w:r>
        <w:t xml:space="preserve">demonstrate functions for producing figures on CO2 equivalence of aviation non-CO2 effects</w:t>
      </w:r>
      <w:r>
        <w:t xml:space="preserve"> </w:t>
      </w:r>
      <w:r>
        <w:t xml:space="preserve">(e.g., AirClim model assesses the climate impact of aircraft emissions (i.e., altitude, longitude,</w:t>
      </w:r>
      <w:r>
        <w:t xml:space="preserve"> </w:t>
      </w:r>
      <w:r>
        <w:t xml:space="preserve">and latitude of emissions) for a variety of previously calculated aviation scenarios over short-</w:t>
      </w:r>
      <w:r>
        <w:t xml:space="preserve"> </w:t>
      </w:r>
      <w:r>
        <w:t xml:space="preserve">and long-time horizons, including different routings and technological options. Other models</w:t>
      </w:r>
    </w:p>
    <w:p>
      <w:pPr>
        <w:pStyle w:val="Compact"/>
        <w:numPr>
          <w:ilvl w:val="0"/>
          <w:numId w:val="1067"/>
        </w:numPr>
      </w:pPr>
      <w:r>
        <w:t xml:space="preserve">Becken et al (2023), Implications of preferential access to land and clean energy for Sustainable Aviation</w:t>
      </w:r>
      <w:r>
        <w:t xml:space="preserve"> </w:t>
      </w:r>
      <w:r>
        <w:t xml:space="preserve">Fuels, Science of The Total Environment 886, 163883. https://doi.org/10.1016/j.scitotenv.2023.163883</w:t>
      </w:r>
    </w:p>
    <w:p>
      <w:pPr>
        <w:pStyle w:val="Compact"/>
        <w:numPr>
          <w:ilvl w:val="0"/>
          <w:numId w:val="1067"/>
        </w:numPr>
      </w:pPr>
      <w:r>
        <w:t xml:space="preserve">JET Fuel SCREENing and Optimization</w:t>
      </w:r>
    </w:p>
    <w:p>
      <w:pPr>
        <w:pStyle w:val="Compact"/>
        <w:numPr>
          <w:ilvl w:val="0"/>
          <w:numId w:val="1067"/>
        </w:numPr>
      </w:pPr>
      <w:r>
        <w:t xml:space="preserve">Such actions need to take into account the uncertainties in non-CO2 effects as part of a risk-based</w:t>
      </w:r>
      <w:r>
        <w:t xml:space="preserve"> </w:t>
      </w:r>
      <w:r>
        <w:t xml:space="preserve">assessment in order to ensure confidence in robust mitigation gains.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exist as well (CoCIP, LinClim, OSCAR, etc.) and further analysis and eventual</w:t>
      </w:r>
      <w:r>
        <w:t xml:space="preserve"> </w:t>
      </w:r>
      <w:r>
        <w:t xml:space="preserve">intercomparison of those would inform the work on mitigation of aviation non-CO2 effects.</w:t>
      </w:r>
      <w:r>
        <w:t xml:space="preserve"> </w:t>
      </w:r>
      <w:r>
        <w:t xml:space="preserve">2</w:t>
      </w:r>
      <w:r>
        <w:t xml:space="preserve"> </w:t>
      </w:r>
      <w:r>
        <w:t xml:space="preserve">NAVIGATION</w:t>
      </w:r>
      <w:r>
        <w:t xml:space="preserve"> </w:t>
      </w:r>
      <w:r>
        <w:t xml:space="preserve">2.1</w:t>
      </w:r>
      <w:r>
        <w:t xml:space="preserve"> </w:t>
      </w:r>
      <w:r>
        <w:t xml:space="preserve">Scientific evidence</w:t>
      </w:r>
      <w:r>
        <w:t xml:space="preserve"> </w:t>
      </w:r>
      <w:r>
        <w:t xml:space="preserve">Maritime transport remains today heavily reliant on fossil fuels (219), which, once combusted,</w:t>
      </w:r>
      <w:r>
        <w:t xml:space="preserve"> </w:t>
      </w:r>
      <w:r>
        <w:t xml:space="preserve">produce emissions of various greenhouse gases (GHG), including carbon dioxide (CO2) but</w:t>
      </w:r>
      <w:r>
        <w:t xml:space="preserve"> </w:t>
      </w:r>
      <w:r>
        <w:t xml:space="preserve">also methane (CH4) and nitrous oxide (N2O) which have global warming potentials much</w:t>
      </w:r>
      <w:r>
        <w:t xml:space="preserve"> </w:t>
      </w:r>
      <w:r>
        <w:t xml:space="preserve">higher than CO2 (220).The amount of emissions produced is primarily a function of the amount</w:t>
      </w:r>
      <w:r>
        <w:t xml:space="preserve"> </w:t>
      </w:r>
      <w:r>
        <w:t xml:space="preserve">of fuel consumed, the characteristics of the fuel, the engine technology employed and its</w:t>
      </w:r>
      <w:r>
        <w:t xml:space="preserve"> </w:t>
      </w:r>
      <w:r>
        <w:t xml:space="preserve">operation, and any post-combustion emission controls in place (221).</w:t>
      </w:r>
      <w:r>
        <w:br/>
      </w:r>
      <w:r>
        <w:t xml:space="preserve">Other GHGs which might be associated to maritime transport activities, as fugitive emissions,</w:t>
      </w:r>
      <w:r>
        <w:t xml:space="preserve"> </w:t>
      </w:r>
      <w:r>
        <w:t xml:space="preserve">include Hydro Fluorocarbons (HFCs), Perfluorocarbons (PFCs), Sulphur Hexafluoride (SF6)</w:t>
      </w:r>
      <w:r>
        <w:t xml:space="preserve"> </w:t>
      </w:r>
      <w:r>
        <w:t xml:space="preserve">and Nitrogen trifluoride (NF3). These are mostly used on-board ships as refrigerants in</w:t>
      </w:r>
      <w:r>
        <w:t xml:space="preserve"> </w:t>
      </w:r>
      <w:r>
        <w:t xml:space="preserve">various types of machinery, including for air conditioning and cargo cooling processes (222).</w:t>
      </w:r>
      <w:r>
        <w:br/>
      </w:r>
      <w:r>
        <w:t xml:space="preserve">Furthermore, maritime transport activities produce other air pollutants such as carbon</w:t>
      </w:r>
      <w:r>
        <w:t xml:space="preserve"> </w:t>
      </w:r>
      <w:r>
        <w:t xml:space="preserve">monoxide (CO), oxides of nitrogen (NOx), non-methane volatile organic compounds</w:t>
      </w:r>
      <w:r>
        <w:t xml:space="preserve"> </w:t>
      </w:r>
      <w:r>
        <w:t xml:space="preserve">(NMVOCs), particulate matter (PM10 and PM2.5, commonly known as “black carbon”), and</w:t>
      </w:r>
      <w:r>
        <w:t xml:space="preserve"> </w:t>
      </w:r>
      <w:r>
        <w:t xml:space="preserve">sulphur dioxide (SO2). Although these latter pollutants are not direct greenhouse gases, some</w:t>
      </w:r>
      <w:r>
        <w:t xml:space="preserve"> </w:t>
      </w:r>
      <w:r>
        <w:t xml:space="preserve">of them (CO, NOx, NMVOCs, PM2.5) do contribute to climate change.</w:t>
      </w:r>
      <w:r>
        <w:br/>
      </w:r>
      <w:r>
        <w:t xml:space="preserve">Methane</w:t>
      </w:r>
      <w:r>
        <w:t xml:space="preserve"> </w:t>
      </w:r>
      <w:r>
        <w:t xml:space="preserve">Small quantities of methane (CH4) are emitted to the atmosphere as a result of the combustion</w:t>
      </w:r>
      <w:r>
        <w:t xml:space="preserve"> </w:t>
      </w:r>
      <w:r>
        <w:t xml:space="preserve">of marine hydrocarbons fuels, as by-product of their incomplete combustion. Additional</w:t>
      </w:r>
      <w:r>
        <w:t xml:space="preserve"> </w:t>
      </w:r>
      <w:r>
        <w:t xml:space="preserve">amounts of methane can be released into the atmosphere as fugitive and slipped emissions,</w:t>
      </w:r>
      <w:r>
        <w:t xml:space="preserve"> </w:t>
      </w:r>
      <w:r>
        <w:t xml:space="preserve">when certain fuels and technologies are used on-board. This might occur when gas or dual</w:t>
      </w:r>
      <w:r>
        <w:t xml:space="preserve"> </w:t>
      </w:r>
      <w:r>
        <w:t xml:space="preserve">fuel engines are on-board or from the cargo tanks in Liquified Natural Gas (LNG) carriers.</w:t>
      </w:r>
      <w:r>
        <w:br/>
      </w:r>
      <w:r>
        <w:t xml:space="preserve">Nitrous oxide</w:t>
      </w:r>
      <w:r>
        <w:t xml:space="preserve"> </w:t>
      </w:r>
      <w:r>
        <w:t xml:space="preserve">Nitrous oxide (N2O) is produced in small quantities during fossil fuel combustion when</w:t>
      </w:r>
      <w:r>
        <w:t xml:space="preserve"> </w:t>
      </w:r>
      <w:r>
        <w:t xml:space="preserve">nitrogen in the air or fuel is oxidized in the high temperature environment of the engine. N2O</w:t>
      </w:r>
      <w:r>
        <w:t xml:space="preserve"> </w:t>
      </w:r>
      <w:r>
        <w:t xml:space="preserve">is also produced as a by-product of the combustion of ammonia in ammonia-fuelled vessels.</w:t>
      </w:r>
    </w:p>
    <w:p>
      <w:pPr>
        <w:pStyle w:val="Compact"/>
        <w:numPr>
          <w:ilvl w:val="0"/>
          <w:numId w:val="1068"/>
        </w:numPr>
      </w:pPr>
      <w:r>
        <w:t xml:space="preserve">The use of alternative, renewable fuels, remains today extremely low, see IMO Report of fuel oil</w:t>
      </w:r>
      <w:r>
        <w:t xml:space="preserve"> </w:t>
      </w:r>
      <w:r>
        <w:t xml:space="preserve">consumption data submitted to the IMO Ship Fuel Oil Consumption Database in GISIS (Reporting year:</w:t>
      </w:r>
      <w:r>
        <w:t xml:space="preserve"> </w:t>
      </w:r>
      <w:r>
        <w:t xml:space="preserve">2021), MEPC 79/6/1.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IPCC AR5 reports the global warming potential of methane as 28 and of nitrous oxide of 265.</w:t>
      </w:r>
    </w:p>
    <w:p>
      <w:pPr>
        <w:pStyle w:val="Compact"/>
        <w:numPr>
          <w:ilvl w:val="0"/>
          <w:numId w:val="1068"/>
        </w:numPr>
      </w:pPr>
      <w:r>
        <w:t xml:space="preserve">CO2, CH4, and N2O emissions from transportation water borne navigation, in Good Practice Guidance and</w:t>
      </w:r>
      <w:r>
        <w:t xml:space="preserve"> </w:t>
      </w:r>
      <w:r>
        <w:t xml:space="preserve">Uncertainty Management in National Greenhouse Gas Inventories.</w:t>
      </w:r>
      <w:r>
        <w:br/>
      </w:r>
    </w:p>
    <w:p>
      <w:pPr>
        <w:pStyle w:val="Compact"/>
        <w:numPr>
          <w:ilvl w:val="0"/>
          <w:numId w:val="1068"/>
        </w:numPr>
      </w:pPr>
      <w:r>
        <w:t xml:space="preserve">The impact of such other GHGs is not accounted for in the figures reported above (IMO, 2020) as deemed</w:t>
      </w:r>
      <w:r>
        <w:t xml:space="preserve"> </w:t>
      </w:r>
      <w:r>
        <w:t xml:space="preserve">negligible.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Black Carbon</w:t>
      </w:r>
      <w:r>
        <w:t xml:space="preserve"> </w:t>
      </w:r>
      <w:r>
        <w:t xml:space="preserve">As one component of fine particulate matter (PM2.5), black carbon is a small, strongly light-</w:t>
      </w:r>
      <w:r>
        <w:t xml:space="preserve"> </w:t>
      </w:r>
      <w:r>
        <w:t xml:space="preserve">absorbing dark particle which deteriorates air quality and causes health and environmental</w:t>
      </w:r>
      <w:r>
        <w:t xml:space="preserve"> </w:t>
      </w:r>
      <w:r>
        <w:t xml:space="preserve">issues. At global level, black carbon is the second largest cause of climate impacts from the</w:t>
      </w:r>
      <w:r>
        <w:t xml:space="preserve"> </w:t>
      </w:r>
      <w:r>
        <w:t xml:space="preserve">maritime sector and is contributing to the rapid decline in Arctic Sea ice (223). Black carbon</w:t>
      </w:r>
      <w:r>
        <w:t xml:space="preserve"> </w:t>
      </w:r>
      <w:r>
        <w:t xml:space="preserve">emissions are mostly associated with the incomplete combustion of residual fuel oil, which</w:t>
      </w:r>
      <w:r>
        <w:t xml:space="preserve"> </w:t>
      </w:r>
      <w:r>
        <w:t xml:space="preserve">leads to higher black carbon emissions compared to distillate fuels. As a result of its dark</w:t>
      </w:r>
      <w:r>
        <w:t xml:space="preserve"> </w:t>
      </w:r>
      <w:r>
        <w:t xml:space="preserve">colour, black carbon absorbs a high proportion of incoming solar radiation and directly warms</w:t>
      </w:r>
      <w:r>
        <w:t xml:space="preserve"> </w:t>
      </w:r>
      <w:r>
        <w:t xml:space="preserve">the atmosphere. Black carbon has a relatively short atmospheric lifetime, depositing on the</w:t>
      </w:r>
      <w:r>
        <w:t xml:space="preserve"> </w:t>
      </w:r>
      <w:r>
        <w:t xml:space="preserve">Earth’s surface a few days up to a few weeks after emission. However, when black carbon</w:t>
      </w:r>
      <w:r>
        <w:t xml:space="preserve"> </w:t>
      </w:r>
      <w:r>
        <w:t xml:space="preserve">deposits onto light-covered surfaces, such as snow or ice, it reduces the albedo of the surface</w:t>
      </w:r>
      <w:r>
        <w:t xml:space="preserve"> </w:t>
      </w:r>
      <w:r>
        <w:t xml:space="preserve">leading to a warming effect. The largest sources of black carbon emissions from maritime</w:t>
      </w:r>
      <w:r>
        <w:t xml:space="preserve"> </w:t>
      </w:r>
      <w:r>
        <w:t xml:space="preserve">transport are from fossil fuel, biomass and biofuel combustion and its release by ships is</w:t>
      </w:r>
      <w:r>
        <w:t xml:space="preserve"> </w:t>
      </w:r>
      <w:r>
        <w:t xml:space="preserve">mainly influenced by the type of fuel used, engine characteristics and load. (224)</w:t>
      </w:r>
      <w:r>
        <w:br/>
      </w:r>
      <w:r>
        <w:t xml:space="preserve">Emissions trends</w:t>
      </w:r>
      <w:r>
        <w:t xml:space="preserve"> </w:t>
      </w:r>
      <w:r>
        <w:t xml:space="preserve">While the bulk of greenhouse gases (GHGs) emissions from maritime transport are CO2,</w:t>
      </w:r>
      <w:r>
        <w:t xml:space="preserve"> </w:t>
      </w:r>
      <w:r>
        <w:t xml:space="preserve">when black carbon is included in the calculation of CO2-equivalents (225), black carbon</w:t>
      </w:r>
      <w:r>
        <w:t xml:space="preserve"> </w:t>
      </w:r>
      <w:r>
        <w:t xml:space="preserve">becomes the second most significant contributor at 6.85%, while the share of CO2, CH4 and</w:t>
      </w:r>
      <w:r>
        <w:t xml:space="preserve"> </w:t>
      </w:r>
      <w:r>
        <w:t xml:space="preserve">N2O go down to 91.32%, 0.48% and 1.35%, respectively (226).</w:t>
      </w:r>
      <w:r>
        <w:br/>
      </w:r>
      <w:r>
        <w:t xml:space="preserve">Figure 21: Composition of non-CO2 GHG gases in the maritime sector</w:t>
      </w:r>
    </w:p>
    <w:p>
      <w:pPr>
        <w:pStyle w:val="Compact"/>
        <w:numPr>
          <w:ilvl w:val="0"/>
          <w:numId w:val="1069"/>
        </w:numPr>
      </w:pPr>
      <w:r>
        <w:t xml:space="preserve">Comer, B., Olmer, N., Mao, X., Roy, B. &amp; Rutherford, D., ‘Black carbon emissions and fuel use in global</w:t>
      </w:r>
      <w:r>
        <w:t xml:space="preserve"> </w:t>
      </w:r>
      <w:r>
        <w:t xml:space="preserve">shipping’, International Council on Clean Transportation, 2015</w:t>
      </w:r>
    </w:p>
    <w:p>
      <w:pPr>
        <w:pStyle w:val="Compact"/>
        <w:numPr>
          <w:ilvl w:val="0"/>
          <w:numId w:val="1069"/>
        </w:numPr>
      </w:pPr>
      <w:r>
        <w:t xml:space="preserve">The European Maritime Transport Environmental Report (EMTER).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Using a 100- year GWP of 900.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Fourth IMO GHG Study, 2020. The impact of other GHGs is not accounted for in the figures reported as</w:t>
      </w:r>
      <w:r>
        <w:t xml:space="preserve"> </w:t>
      </w:r>
      <w:r>
        <w:t xml:space="preserve">deemed negligible.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Source: Fourth IMO GHG Study (2020).</w:t>
      </w:r>
      <w:r>
        <w:t xml:space="preserve"> </w:t>
      </w:r>
      <w:r>
        <w:t xml:space="preserve">Over the period 2012-2018, CO2 emissions from international shipping increased by 5.6%.</w:t>
      </w:r>
      <w:r>
        <w:t xml:space="preserve"> </w:t>
      </w:r>
      <w:r>
        <w:t xml:space="preserve">Methane emissions increased by 150%, far more than the 28-30% increase in the use of LNG</w:t>
      </w:r>
      <w:r>
        <w:t xml:space="preserve"> </w:t>
      </w:r>
      <w:r>
        <w:t xml:space="preserve">as a marine fuel. This occurred as the LNG carrier fleet shifted from mostly using LNG as a</w:t>
      </w:r>
      <w:r>
        <w:t xml:space="preserve"> </w:t>
      </w:r>
      <w:r>
        <w:t xml:space="preserve">fuel in steam turbine combustion engines to a larger share of the fleet using LNG-powered</w:t>
      </w:r>
      <w:r>
        <w:t xml:space="preserve"> </w:t>
      </w:r>
      <w:r>
        <w:t xml:space="preserve">injection engines, which emit more unburnt methane. Black carbon emissions increased by</w:t>
      </w:r>
      <w:r>
        <w:t xml:space="preserve"> </w:t>
      </w:r>
      <w:r>
        <w:t xml:space="preserve">11.6% for total shipping (i.e., from 59 to 62 kilo tonnes) (227). An increase in the emissions of</w:t>
      </w:r>
      <w:r>
        <w:t xml:space="preserve"> </w:t>
      </w:r>
      <w:r>
        <w:t xml:space="preserve">methane and nitrous oxide might be driven in the coming years by the deployment of dual</w:t>
      </w:r>
      <w:r>
        <w:t xml:space="preserve"> </w:t>
      </w:r>
      <w:r>
        <w:t xml:space="preserve">fuel and Liquified-Natural-Gas-powered ships (for methane) and by the growing use of new</w:t>
      </w:r>
      <w:r>
        <w:t xml:space="preserve"> </w:t>
      </w:r>
      <w:r>
        <w:t xml:space="preserve">fuels such as ammonia (for nitrous oxide) (228).</w:t>
      </w:r>
      <w:r>
        <w:t xml:space="preserve"> </w:t>
      </w:r>
      <w:r>
        <w:t xml:space="preserve">2.2</w:t>
      </w:r>
      <w:r>
        <w:t xml:space="preserve"> </w:t>
      </w:r>
      <w:r>
        <w:t xml:space="preserve">Policy context at EU and global level</w:t>
      </w:r>
      <w:r>
        <w:t xml:space="preserve"> </w:t>
      </w:r>
      <w:r>
        <w:t xml:space="preserve">The “Fit for 55” Package included several proposals to address maritime transport’s climate</w:t>
      </w:r>
      <w:r>
        <w:t xml:space="preserve"> </w:t>
      </w:r>
      <w:r>
        <w:t xml:space="preserve">impact, thus ensuring that the sector would contribute to the EU overall climate ambition. In</w:t>
      </w:r>
      <w:r>
        <w:t xml:space="preserve"> </w:t>
      </w:r>
      <w:r>
        <w:t xml:space="preserve">this context, amendments to the EU Maritime MRV Regulation have been adopted in May</w:t>
      </w:r>
      <w:r>
        <w:t xml:space="preserve"> </w:t>
      </w:r>
      <w:r>
        <w:t xml:space="preserve">2023 (229), parallel to the inclusion of the maritime sector in the European Emission Trading</w:t>
      </w:r>
      <w:r>
        <w:t xml:space="preserve"> </w:t>
      </w:r>
      <w:r>
        <w:t xml:space="preserve">System. The amended EU Maritime MRV Regulation recognises the increasing importance of</w:t>
      </w:r>
      <w:r>
        <w:t xml:space="preserve"> </w:t>
      </w:r>
      <w:r>
        <w:t xml:space="preserve">climate impacts from non-CO2 emissions by updating monitoring and reporting rules to allow</w:t>
      </w:r>
      <w:r>
        <w:t xml:space="preserve"> </w:t>
      </w:r>
      <w:r>
        <w:t xml:space="preserve">the inclusion of methane and nitrous oxide emissions already from the year 2024, in a tank-to-</w:t>
      </w:r>
      <w:r>
        <w:t xml:space="preserve"> </w:t>
      </w:r>
      <w:r>
        <w:t xml:space="preserve">wake logic (which accounts for emissions from both combustion and tank-to-wake slippage).</w:t>
      </w:r>
      <w:r>
        <w:t xml:space="preserve"> </w:t>
      </w:r>
      <w:r>
        <w:t xml:space="preserve">This will allow for an extension of the scope to methane and nitrous oxides (in addition to</w:t>
      </w:r>
      <w:r>
        <w:t xml:space="preserve"> </w:t>
      </w:r>
      <w:r>
        <w:t xml:space="preserve">CO2) under the ETS Directive as applied to the maritime sector from 2026 onwards.</w:t>
      </w:r>
      <w:r>
        <w:t xml:space="preserve"> </w:t>
      </w:r>
      <w:r>
        <w:t xml:space="preserve">Furthermore, the Commission will continue to assess every two years the overall impact of</w:t>
      </w:r>
      <w:r>
        <w:t xml:space="preserve"> </w:t>
      </w:r>
      <w:r>
        <w:t xml:space="preserve">shipping activities on the global climate, including through non-CO2 emissions or effects and</w:t>
      </w:r>
      <w:r>
        <w:t xml:space="preserve"> </w:t>
      </w:r>
      <w:r>
        <w:t xml:space="preserve">now also particulate matter with a global warming potential, not covered by the regulation.</w:t>
      </w:r>
      <w:r>
        <w:t xml:space="preserve"> </w:t>
      </w:r>
      <w:r>
        <w:t xml:space="preserve">Additional support to the decarbonisation of the maritime sector will be provided by the EU</w:t>
      </w:r>
      <w:r>
        <w:t xml:space="preserve"> </w:t>
      </w:r>
      <w:r>
        <w:t xml:space="preserve">ETS-funded Innovation Fund, where the Commission has stated that 20 million allowances</w:t>
      </w:r>
      <w:r>
        <w:t xml:space="preserve"> </w:t>
      </w:r>
      <w:r>
        <w:t xml:space="preserve">(i.e., about €1.6 billion with a price of €80 per allowance) should be used to reduce climate</w:t>
      </w:r>
      <w:r>
        <w:t xml:space="preserve"> </w:t>
      </w:r>
      <w:r>
        <w:t xml:space="preserve">impacts from maritime up to 2030. Special attention is given in the Innovation Fund to</w:t>
      </w:r>
      <w:r>
        <w:t xml:space="preserve"> </w:t>
      </w:r>
      <w:r>
        <w:t xml:space="preserve">addressing the maritime sector’s full climate impact, including from black carbon emissions.</w:t>
      </w:r>
      <w:r>
        <w:t xml:space="preserve"> </w:t>
      </w:r>
      <w:r>
        <w:t xml:space="preserve">In addition, the FuelEU Maritime Regulation, (230) aims at boosting demand for renewable</w:t>
      </w:r>
      <w:r>
        <w:t xml:space="preserve"> </w:t>
      </w:r>
      <w:r>
        <w:t xml:space="preserve">and low-carbon fuels by setting targets for the annual GHG intensity of the energy used on</w:t>
      </w:r>
      <w:r>
        <w:t xml:space="preserve"> </w:t>
      </w:r>
      <w:r>
        <w:t xml:space="preserve">board ships (using a well-to-wake logic and accounting for the methane and nitrous oxides</w:t>
      </w:r>
      <w:r>
        <w:t xml:space="preserve"> </w:t>
      </w:r>
      <w:r>
        <w:t xml:space="preserve">emissions), and by encouraging zero-emission technology when ships are at berth in ports.</w:t>
      </w:r>
    </w:p>
    <w:p>
      <w:pPr>
        <w:pStyle w:val="Compact"/>
        <w:numPr>
          <w:ilvl w:val="0"/>
          <w:numId w:val="1070"/>
        </w:numPr>
      </w:pPr>
      <w:r>
        <w:t xml:space="preserve">Fourth IMO GHG Study, 2020.</w:t>
      </w:r>
    </w:p>
    <w:p>
      <w:pPr>
        <w:pStyle w:val="Compact"/>
        <w:numPr>
          <w:ilvl w:val="0"/>
          <w:numId w:val="1070"/>
        </w:numPr>
      </w:pPr>
      <w:r>
        <w:t xml:space="preserve">Study on EU ETS for maritime transport and possible alternative options of combinations to reduce</w:t>
      </w:r>
      <w:r>
        <w:t xml:space="preserve"> </w:t>
      </w:r>
      <w:r>
        <w:t xml:space="preserve">greenhouse gas emissions.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Regulation (EU) 2023/957 amending Regulation (EU) 2015/757 in order to provide for the inclusion of</w:t>
      </w:r>
      <w:r>
        <w:t xml:space="preserve"> </w:t>
      </w:r>
      <w:r>
        <w:t xml:space="preserve">maritime transport activities in the EU Emissions Trading System and for the monitoring, reporting and</w:t>
      </w:r>
      <w:r>
        <w:t xml:space="preserve"> </w:t>
      </w:r>
      <w:r>
        <w:t xml:space="preserve">verification of emissions of additional greenhouse gases and emissions from additional ship types.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Regulation (EU) 2023/1805 on the use of renewable and low-carbon fuels in maritime transport.</w:t>
      </w:r>
    </w:p>
    <w:p>
      <w:pPr>
        <w:pStyle w:val="FirstParagraph"/>
      </w:pPr>
      <w:r>
        <w:t xml:space="preserve">88</w:t>
      </w:r>
    </w:p>
    <w:p>
      <w:pPr>
        <w:pStyle w:val="BodyText"/>
      </w:pPr>
      <w:r>
        <w:t xml:space="preserve">At the UN level, the EU is supporting the work at the International Maritime Organisation</w:t>
      </w:r>
      <w:r>
        <w:t xml:space="preserve"> </w:t>
      </w:r>
      <w:r>
        <w:t xml:space="preserve">(IMO) for the development of guidelines on life cycle GHG intensity of marine fuels, which</w:t>
      </w:r>
      <w:r>
        <w:t xml:space="preserve"> </w:t>
      </w:r>
      <w:r>
        <w:t xml:space="preserve">will allow for the calculation of emissions default values for fuels in a well-to-wake logic,</w:t>
      </w:r>
      <w:r>
        <w:t xml:space="preserve"> </w:t>
      </w:r>
      <w:r>
        <w:t xml:space="preserve">including methane and nitrous oxide emissions in addition to carbon dioxide. Furthermore,</w:t>
      </w:r>
      <w:r>
        <w:t xml:space="preserve"> </w:t>
      </w:r>
      <w:r>
        <w:t xml:space="preserve">the EU is supporting the work for the development of the IMO’s mid-term decarbonisation</w:t>
      </w:r>
      <w:r>
        <w:t xml:space="preserve"> </w:t>
      </w:r>
      <w:r>
        <w:t xml:space="preserve">measures, which will take the form of a global fuel standard and a global economic measure</w:t>
      </w:r>
      <w:r>
        <w:t xml:space="preserve"> </w:t>
      </w:r>
      <w:r>
        <w:t xml:space="preserve">and are to be adopted by 2025 and enter into force by 2027. Those measures should deliver on</w:t>
      </w:r>
      <w:r>
        <w:t xml:space="preserve"> </w:t>
      </w:r>
      <w:r>
        <w:t xml:space="preserve">the GHG reduction objectives of the 2023 IMO GHG Strategy (notably to reach net-zero</w:t>
      </w:r>
      <w:r>
        <w:t xml:space="preserve"> </w:t>
      </w:r>
      <w:r>
        <w:t xml:space="preserve">well-to-wake GHG emissions by or around 2050). The EU is also supporting the revision of</w:t>
      </w:r>
      <w:r>
        <w:t xml:space="preserve"> </w:t>
      </w:r>
      <w:r>
        <w:t xml:space="preserve">the IMO’s short-term decarbonisation measures, which should also support the attainment of</w:t>
      </w:r>
      <w:r>
        <w:t xml:space="preserve"> </w:t>
      </w:r>
      <w:r>
        <w:t xml:space="preserve">the 2023 IMO GHG Strategy goals.</w:t>
      </w:r>
      <w:r>
        <w:t xml:space="preserve"> </w:t>
      </w:r>
      <w:r>
        <w:t xml:space="preserve">Black carbon emissions are currently not directly regulated at international level. However,</w:t>
      </w:r>
      <w:r>
        <w:t xml:space="preserve"> </w:t>
      </w:r>
      <w:r>
        <w:t xml:space="preserve">both the Arctic Council and the IMO are considering the impacts of black carbon in the</w:t>
      </w:r>
      <w:r>
        <w:t xml:space="preserve"> </w:t>
      </w:r>
      <w:r>
        <w:t xml:space="preserve">Arctic. As part of these activities, the IMO agreed a reporting protocol and measurement</w:t>
      </w:r>
      <w:r>
        <w:t xml:space="preserve"> </w:t>
      </w:r>
      <w:r>
        <w:t xml:space="preserve">methods for black carbon emissions with a view to investigating policy options. In 2021, the</w:t>
      </w:r>
      <w:r>
        <w:t xml:space="preserve"> </w:t>
      </w:r>
      <w:r>
        <w:t xml:space="preserve">IMO approved a ban (with waivers) on the use of Heavy Fuel Oil and its carriage for use by</w:t>
      </w:r>
      <w:r>
        <w:t xml:space="preserve"> </w:t>
      </w:r>
      <w:r>
        <w:t xml:space="preserve">ships in Arctic waters after 1 July 2024 (231) and adopted a resolution which urges Member</w:t>
      </w:r>
      <w:r>
        <w:t xml:space="preserve"> </w:t>
      </w:r>
      <w:r>
        <w:t xml:space="preserve">States and ship operators to voluntarily use distillate or other cleaner alternative fuels or</w:t>
      </w:r>
      <w:r>
        <w:t xml:space="preserve"> </w:t>
      </w:r>
      <w:r>
        <w:t xml:space="preserve">methods of propulsion that could contribute to the reduction of black carbon emissions from</w:t>
      </w:r>
      <w:r>
        <w:t xml:space="preserve"> </w:t>
      </w:r>
      <w:r>
        <w:t xml:space="preserve">ships when operating in or near the Arctic.</w:t>
      </w:r>
      <w:r>
        <w:t xml:space="preserve"> </w:t>
      </w:r>
      <w:r>
        <w:t xml:space="preserve">2.3</w:t>
      </w:r>
      <w:r>
        <w:t xml:space="preserve"> </w:t>
      </w:r>
      <w:r>
        <w:t xml:space="preserve">Mitigation options and technologies</w:t>
      </w:r>
      <w:r>
        <w:br/>
      </w:r>
      <w:r>
        <w:t xml:space="preserve">The reduction of non-CO2 emissions from maritime transport can be pursued through</w:t>
      </w:r>
      <w:r>
        <w:t xml:space="preserve"> </w:t>
      </w:r>
      <w:r>
        <w:t xml:space="preserve">technologies already available in the market, while additional ones are currently under</w:t>
      </w:r>
      <w:r>
        <w:t xml:space="preserve"> </w:t>
      </w:r>
      <w:r>
        <w:t xml:space="preserve">development.</w:t>
      </w:r>
      <w:r>
        <w:t xml:space="preserve"> </w:t>
      </w:r>
      <w:r>
        <w:t xml:space="preserve">The application of currently available high-pressure dual-fuel injection engines could reduce</w:t>
      </w:r>
      <w:r>
        <w:t xml:space="preserve"> </w:t>
      </w:r>
      <w:r>
        <w:t xml:space="preserve">methane emissions compared to low pressure engines, as thanks to the resulting combustion</w:t>
      </w:r>
      <w:r>
        <w:t xml:space="preserve"> </w:t>
      </w:r>
      <w:r>
        <w:t xml:space="preserve">being nearly complete, methane slip is reduced to nearly zero (232). Additional methane</w:t>
      </w:r>
      <w:r>
        <w:t xml:space="preserve"> </w:t>
      </w:r>
      <w:r>
        <w:t xml:space="preserve">emissions reduction technologies applied to the engine include exhaust gas recirculation</w:t>
      </w:r>
      <w:r>
        <w:t xml:space="preserve"> </w:t>
      </w:r>
      <w:r>
        <w:t xml:space="preserve">(EGR), engine tuning and control software, and engine component design optimization. (233)</w:t>
      </w:r>
      <w:r>
        <w:br/>
      </w:r>
      <w:r>
        <w:t xml:space="preserve">Nitrous oxide emissions can be reduced by using catalytic emission treatment technologies</w:t>
      </w:r>
      <w:r>
        <w:t xml:space="preserve"> </w:t>
      </w:r>
      <w:r>
        <w:t xml:space="preserve">that are well-known and commercially available. A wide range of different catalysts can be</w:t>
      </w:r>
      <w:r>
        <w:t xml:space="preserve"> </w:t>
      </w:r>
      <w:r>
        <w:t xml:space="preserve">used, in different temperature and gas conditions, with or without reducing agents. (234)</w:t>
      </w:r>
      <w:r>
        <w:t xml:space="preserve"> </w:t>
      </w:r>
      <w:r>
        <w:t xml:space="preserve">Plasma reduction systems (PRS) are currently being developed and could potentially be</w:t>
      </w:r>
      <w:r>
        <w:t xml:space="preserve"> </w:t>
      </w:r>
      <w:r>
        <w:t xml:space="preserve">applied to reduce both methane and ammonia slip emissions. PRS systems, still in the early</w:t>
      </w:r>
    </w:p>
    <w:p>
      <w:pPr>
        <w:pStyle w:val="Compact"/>
        <w:numPr>
          <w:ilvl w:val="0"/>
          <w:numId w:val="1071"/>
        </w:numPr>
      </w:pPr>
      <w:r>
        <w:t xml:space="preserve">See https://www.reuters.com/article/shipping-arctic-imo-idUKL8N2HY5IS.</w:t>
      </w:r>
    </w:p>
    <w:p>
      <w:pPr>
        <w:pStyle w:val="Compact"/>
        <w:numPr>
          <w:ilvl w:val="0"/>
          <w:numId w:val="1071"/>
        </w:numPr>
      </w:pPr>
      <w:r>
        <w:t xml:space="preserve">Decarbonizing Maritime Transport: The Importance of Engine Technology and Regulations for LNG to</w:t>
      </w:r>
      <w:r>
        <w:t xml:space="preserve"> </w:t>
      </w:r>
      <w:r>
        <w:t xml:space="preserve">Serve as a Transition Fuel, Lindstad, 2020.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Reducing methane emissions onboard vessels, The Mærsk Mc-Kinney Møller Center for Zero Carbon</w:t>
      </w:r>
      <w:r>
        <w:t xml:space="preserve"> </w:t>
      </w:r>
      <w:r>
        <w:t xml:space="preserve">Shipping, October, 2022.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Managing emissions from ammonia-fueled vessels, The Mærsk Mc-Kinney Møller Center for Zero Carbon</w:t>
      </w:r>
      <w:r>
        <w:t xml:space="preserve"> </w:t>
      </w:r>
      <w:r>
        <w:t xml:space="preserve">Shipping, March, 2023.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stages of development, consist of a catalyst and an absorbent-free after-treatment technology</w:t>
      </w:r>
      <w:r>
        <w:t xml:space="preserve"> </w:t>
      </w:r>
      <w:r>
        <w:t xml:space="preserve">aimed at producing a non-thermal plasma. The processing of the exhaust gas by means of</w:t>
      </w:r>
      <w:r>
        <w:t xml:space="preserve"> </w:t>
      </w:r>
      <w:r>
        <w:t xml:space="preserve">plasma results in the conversion of pollutants in harmless molecules via a chain of chemical-</w:t>
      </w:r>
      <w:r>
        <w:t xml:space="preserve"> </w:t>
      </w:r>
      <w:r>
        <w:t xml:space="preserve">kinetic reactions.</w:t>
      </w:r>
      <w:r>
        <w:br/>
      </w:r>
      <w:r>
        <w:t xml:space="preserve">As black carbon emissions are largely influenced by the type of fuel used and engine</w:t>
      </w:r>
      <w:r>
        <w:t xml:space="preserve"> </w:t>
      </w:r>
      <w:r>
        <w:t xml:space="preserve">characteristics, key available abatement technologies include fuel type selection (e.g., low-</w:t>
      </w:r>
      <w:r>
        <w:t xml:space="preserve"> </w:t>
      </w:r>
      <w:r>
        <w:t xml:space="preserve">sulphur distillate fuels) and fuel treatment, better engine maintenance, better fuel combustion,</w:t>
      </w:r>
      <w:r>
        <w:t xml:space="preserve"> </w:t>
      </w:r>
      <w:r>
        <w:t xml:space="preserve">and exhaust treatment systems. Operational practices aiming at improving fuel efficiency such</w:t>
      </w:r>
      <w:r>
        <w:t xml:space="preserve"> </w:t>
      </w:r>
      <w:r>
        <w:t xml:space="preserve">as slow-steaming and de-rating can further contribute to black carbon emissions</w:t>
      </w:r>
      <w:r>
        <w:t xml:space="preserve"> </w:t>
      </w:r>
      <w:r>
        <w:t xml:space="preserve">reduction (235).</w:t>
      </w:r>
      <w:r>
        <w:br/>
      </w:r>
      <w:r>
        <w:t xml:space="preserve">2.4</w:t>
      </w:r>
      <w:r>
        <w:t xml:space="preserve"> </w:t>
      </w:r>
      <w:r>
        <w:t xml:space="preserve">Non-CO2 effects in the context of the 2040 climate target</w:t>
      </w:r>
      <w:r>
        <w:br/>
      </w:r>
      <w:r>
        <w:t xml:space="preserve">Modelling tools supporting the definition of the current EU climate targets refer to non-CO2</w:t>
      </w:r>
      <w:r>
        <w:t xml:space="preserve"> </w:t>
      </w:r>
      <w:r>
        <w:t xml:space="preserve">emissions from the maritime sector only in relation to N2O and CH4.</w:t>
      </w:r>
      <w:r>
        <w:br/>
      </w:r>
      <w:r>
        <w:t xml:space="preserve">Black carbon from international maritime transport is estimated to account for about 2% of</w:t>
      </w:r>
      <w:r>
        <w:t xml:space="preserve"> </w:t>
      </w:r>
      <w:r>
        <w:t xml:space="preserve">total global black carbon emissions (236) and between 8% to 13% of all black carbon diesel</w:t>
      </w:r>
      <w:r>
        <w:t xml:space="preserve"> </w:t>
      </w:r>
      <w:r>
        <w:t xml:space="preserve">emissions. (237) Projections on the future impact of maritime black carbon emissions are</w:t>
      </w:r>
      <w:r>
        <w:t xml:space="preserve"> </w:t>
      </w:r>
      <w:r>
        <w:t xml:space="preserve">subject to considerable uncertainty but suggest the marine sector will maintain and even</w:t>
      </w:r>
      <w:r>
        <w:t xml:space="preserve"> </w:t>
      </w:r>
      <w:r>
        <w:t xml:space="preserve">increase (up to 35%) its share in total diesel black carbon emissions by 2030 compared to</w:t>
      </w:r>
      <w:r>
        <w:t xml:space="preserve"> </w:t>
      </w:r>
      <w:r>
        <w:t xml:space="preserve">2010 level (238).</w:t>
      </w:r>
      <w:r>
        <w:t xml:space="preserve"> </w:t>
      </w:r>
      <w:r>
        <w:t xml:space="preserve">While maritime transport has traditionally relied on the use of conventional fossil fuels, today</w:t>
      </w:r>
      <w:r>
        <w:t xml:space="preserve"> </w:t>
      </w:r>
      <w:r>
        <w:t xml:space="preserve">several alternative fuels and energy technologies have the potential to decarbonise shipping,</w:t>
      </w:r>
      <w:r>
        <w:t xml:space="preserve"> </w:t>
      </w:r>
      <w:r>
        <w:t xml:space="preserve">including biofuels and biogas, e-fuels and e-gas, ethyl and methyl alcohols, hydrogen,</w:t>
      </w:r>
      <w:r>
        <w:t xml:space="preserve"> </w:t>
      </w:r>
      <w:r>
        <w:t xml:space="preserve">ammonia, and electricity. At present it remains unclear which of these will play the biggest</w:t>
      </w:r>
      <w:r>
        <w:t xml:space="preserve"> </w:t>
      </w:r>
      <w:r>
        <w:t xml:space="preserve">share in the energy transition of the sector but the composition of the future fuel mix of the</w:t>
      </w:r>
      <w:r>
        <w:t xml:space="preserve"> </w:t>
      </w:r>
      <w:r>
        <w:t xml:space="preserve">global fleet will affect the relative impact of the different greenhouse gases on total emissions</w:t>
      </w:r>
      <w:r>
        <w:t xml:space="preserve"> </w:t>
      </w:r>
      <w:r>
        <w:t xml:space="preserve">from maritime. Overall, the uptake of alternative fuels will reduce CO2 emissions and, to a</w:t>
      </w:r>
      <w:r>
        <w:t xml:space="preserve"> </w:t>
      </w:r>
      <w:r>
        <w:t xml:space="preserve">certain extent, non-CO2 emissions as well. In parallel, the decrease of CO2 emissions from</w:t>
      </w:r>
      <w:r>
        <w:t xml:space="preserve"> </w:t>
      </w:r>
      <w:r>
        <w:t xml:space="preserve">fossil fuel combustion will also increase the relative importance of non-CO2 emissions, such</w:t>
      </w:r>
      <w:r>
        <w:t xml:space="preserve"> </w:t>
      </w:r>
      <w:r>
        <w:t xml:space="preserve">as N2O emissions from ammonia combustion, CH4 from incomplete hydrocarbons combustion</w:t>
      </w:r>
      <w:r>
        <w:t xml:space="preserve"> </w:t>
      </w:r>
      <w:r>
        <w:t xml:space="preserve">(irrespective of their origin), or black carbon from biofuels. Wind assist technology also has a</w:t>
      </w:r>
      <w:r>
        <w:t xml:space="preserve"> </w:t>
      </w:r>
      <w:r>
        <w:t xml:space="preserve">significant potential to reduce GHG emissions from shipping.</w:t>
      </w:r>
      <w:r>
        <w:t xml:space="preserve"> </w:t>
      </w:r>
      <w:r>
        <w:t xml:space="preserve">The further reduction of non-CO2 emissions will be possible both through the deployment of</w:t>
      </w:r>
      <w:r>
        <w:t xml:space="preserve"> </w:t>
      </w:r>
      <w:r>
        <w:t xml:space="preserve">existing abatement technologies but also through regulatory measures incentivising the</w:t>
      </w:r>
    </w:p>
    <w:p>
      <w:pPr>
        <w:pStyle w:val="Compact"/>
        <w:numPr>
          <w:ilvl w:val="0"/>
          <w:numId w:val="1072"/>
        </w:numPr>
      </w:pPr>
      <w:r>
        <w:t xml:space="preserve">Comer, B., et al., 2017, Black carbon emissions and fuel use in global shipping, 2015, International Council</w:t>
      </w:r>
      <w:r>
        <w:t xml:space="preserve"> </w:t>
      </w:r>
      <w:r>
        <w:t xml:space="preserve">on Clean Transportation.</w:t>
      </w:r>
    </w:p>
    <w:p>
      <w:pPr>
        <w:pStyle w:val="Compact"/>
        <w:numPr>
          <w:ilvl w:val="0"/>
          <w:numId w:val="1072"/>
        </w:numPr>
      </w:pPr>
      <w:r>
        <w:t xml:space="preserve">Bounding the role of black carbon in the climate system: A scientific assessment, Bond et al., 2013, Journal</w:t>
      </w:r>
      <w:r>
        <w:t xml:space="preserve"> </w:t>
      </w:r>
      <w:r>
        <w:t xml:space="preserve">of Geophysical Research: Atmospheres, 118(11).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This share refers to the year 2010.</w:t>
      </w:r>
      <w:r>
        <w:br/>
      </w:r>
    </w:p>
    <w:p>
      <w:pPr>
        <w:pStyle w:val="Compact"/>
        <w:numPr>
          <w:ilvl w:val="0"/>
          <w:numId w:val="1072"/>
        </w:numPr>
      </w:pPr>
      <w:r>
        <w:t xml:space="preserve">Azzara et al., 2015. Needs and opportunities to reduce black carbon emissions from maritime shipping. The</w:t>
      </w:r>
      <w:r>
        <w:t xml:space="preserve"> </w:t>
      </w:r>
      <w:r>
        <w:t xml:space="preserve">International Council on Clean Transportation. Working Paper 2015–2.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reductions. The upcoming inclusion of CH4 and N2O emissions into the ETS for the maritime</w:t>
      </w:r>
      <w:r>
        <w:t xml:space="preserve"> </w:t>
      </w:r>
      <w:r>
        <w:t xml:space="preserve">sector will create an incentive for their reduction, while regulatory developments on black</w:t>
      </w:r>
      <w:r>
        <w:t xml:space="preserve"> </w:t>
      </w:r>
      <w:r>
        <w:t xml:space="preserve">carbon are ongoing and further action may need to be considered.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13: Literature review of 2040 net GHG reductions</w:t>
      </w:r>
      <w:r>
        <w:br/>
      </w:r>
      <w:r>
        <w:t xml:space="preserve">This annex provides a review of recent analyses (published or in preprint in 2023) of GHG</w:t>
      </w:r>
      <w:r>
        <w:t xml:space="preserve"> </w:t>
      </w:r>
      <w:r>
        <w:t xml:space="preserve">pathways to climate neutrality looking at the level of emissions in 2040.</w:t>
      </w:r>
      <w:r>
        <w:br/>
      </w:r>
      <w:r>
        <w:t xml:space="preserve">Table 1 shows a range of reductions of net GHGs in 2040 compared to 1990 of around 85-</w:t>
      </w:r>
      <w:r>
        <w:t xml:space="preserve"> </w:t>
      </w:r>
      <w:r>
        <w:t xml:space="preserve">95%. To be noticed that the scope considered in the analyses varies from “domestic” to</w:t>
      </w:r>
      <w:r>
        <w:t xml:space="preserve"> </w:t>
      </w:r>
      <w:r>
        <w:t xml:space="preserve">“including international bunker fuels”.</w:t>
      </w:r>
      <w:r>
        <w:br/>
      </w:r>
      <w:r>
        <w:t xml:space="preserve">The different analyses highlight how achieving 90% or more requires managing scale-up</w:t>
      </w:r>
      <w:r>
        <w:t xml:space="preserve"> </w:t>
      </w:r>
      <w:r>
        <w:t xml:space="preserve">challenges, such as the sustainable use of biomass for bioenergy, the large-scale development</w:t>
      </w:r>
      <w:r>
        <w:t xml:space="preserve"> </w:t>
      </w:r>
      <w:r>
        <w:t xml:space="preserve">of carbon capture or the supply of raw materials, but still lies within the feasibility limits of</w:t>
      </w:r>
      <w:r>
        <w:t xml:space="preserve"> </w:t>
      </w:r>
      <w:r>
        <w:t xml:space="preserve">fast technological development (239). More sustainable lifestyles can contribute positively to</w:t>
      </w:r>
      <w:r>
        <w:t xml:space="preserve"> </w:t>
      </w:r>
      <w:r>
        <w:t xml:space="preserve">overcoming such challenges.</w:t>
      </w:r>
    </w:p>
    <w:p>
      <w:pPr>
        <w:pStyle w:val="Compact"/>
        <w:numPr>
          <w:ilvl w:val="0"/>
          <w:numId w:val="1073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Table 1. 2040 GHG level in recent analyses of 2040 climate targets for the EU</w:t>
      </w:r>
      <w:r>
        <w:br/>
      </w:r>
      <w:r>
        <w:t xml:space="preserve">Projections</w:t>
      </w:r>
      <w:r>
        <w:t xml:space="preserve"> </w:t>
      </w:r>
      <w:r>
        <w:t xml:space="preserve">Approach</w:t>
      </w:r>
      <w:r>
        <w:t xml:space="preserve"> </w:t>
      </w:r>
      <w:r>
        <w:t xml:space="preserve">Level of net GHGs 2040 vs 1990</w:t>
      </w:r>
      <w:r>
        <w:t xml:space="preserve"> </w:t>
      </w:r>
      <w:r>
        <w:t xml:space="preserve">Scope</w:t>
      </w:r>
      <w:r>
        <w:t xml:space="preserve"> </w:t>
      </w:r>
      <w:r>
        <w:t xml:space="preserve">ESABCC (240)</w:t>
      </w:r>
      <w:r>
        <w:t xml:space="preserve"> </w:t>
      </w:r>
      <w:r>
        <w:t xml:space="preserve">Analysis of IPCC AR6 + more</w:t>
      </w:r>
      <w:r>
        <w:t xml:space="preserve"> </w:t>
      </w:r>
      <w:r>
        <w:t xml:space="preserve">recent scenarios</w:t>
      </w:r>
      <w:r>
        <w:t xml:space="preserve"> </w:t>
      </w:r>
      <w:r>
        <w:t xml:space="preserve">88-92% considering environmental risk and</w:t>
      </w:r>
      <w:r>
        <w:t xml:space="preserve"> </w:t>
      </w:r>
      <w:r>
        <w:t xml:space="preserve">technological challenge</w:t>
      </w:r>
      <w:r>
        <w:t xml:space="preserve"> </w:t>
      </w:r>
      <w:r>
        <w:t xml:space="preserve">Intra-EU</w:t>
      </w:r>
      <w:r>
        <w:t xml:space="preserve"> </w:t>
      </w:r>
      <w:r>
        <w:t xml:space="preserve">88-95% if technological challenge by 2030 can be</w:t>
      </w:r>
      <w:r>
        <w:t xml:space="preserve"> </w:t>
      </w:r>
      <w:r>
        <w:t xml:space="preserve">overcome</w:t>
      </w:r>
      <w:r>
        <w:t xml:space="preserve"> </w:t>
      </w:r>
      <w:r>
        <w:t xml:space="preserve">PBL (241)</w:t>
      </w:r>
      <w:r>
        <w:t xml:space="preserve"> </w:t>
      </w:r>
      <w:r>
        <w:t xml:space="preserve">Analysis of IPCC AR6</w:t>
      </w:r>
      <w:r>
        <w:t xml:space="preserve"> </w:t>
      </w:r>
      <w:r>
        <w:t xml:space="preserve">scenarios</w:t>
      </w:r>
      <w:r>
        <w:t xml:space="preserve"> </w:t>
      </w:r>
      <w:r>
        <w:t xml:space="preserve">86% for climate category C1</w:t>
      </w:r>
      <w:r>
        <w:t xml:space="preserve"> </w:t>
      </w:r>
      <w:r>
        <w:t xml:space="preserve">92% if selecting only trajectories meeting climate</w:t>
      </w:r>
      <w:r>
        <w:t xml:space="preserve"> </w:t>
      </w:r>
      <w:r>
        <w:t xml:space="preserve">neutrality by 2050</w:t>
      </w:r>
      <w:r>
        <w:t xml:space="preserve"> </w:t>
      </w:r>
      <w:r>
        <w:t xml:space="preserve">Intra-EU</w:t>
      </w:r>
      <w:r>
        <w:t xml:space="preserve"> </w:t>
      </w:r>
      <w:r>
        <w:t xml:space="preserve">ECEMF (242)*</w:t>
      </w:r>
      <w:r>
        <w:t xml:space="preserve"> </w:t>
      </w:r>
      <w:r>
        <w:t xml:space="preserve">Multi-model analysis based</w:t>
      </w:r>
      <w:r>
        <w:t xml:space="preserve"> </w:t>
      </w:r>
      <w:r>
        <w:t xml:space="preserve">on integrated assessment</w:t>
      </w:r>
      <w:r>
        <w:t xml:space="preserve"> </w:t>
      </w:r>
      <w:r>
        <w:t xml:space="preserve">models</w:t>
      </w:r>
      <w:r>
        <w:t xml:space="preserve"> </w:t>
      </w:r>
      <w:r>
        <w:t xml:space="preserve">84-89%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bunker fuels</w:t>
      </w:r>
      <w:r>
        <w:t xml:space="preserve"> </w:t>
      </w:r>
      <w:r>
        <w:t xml:space="preserve">86-92%</w:t>
      </w:r>
      <w:r>
        <w:t xml:space="preserve"> </w:t>
      </w:r>
      <w:r>
        <w:t xml:space="preserve">Intra-EU</w:t>
      </w:r>
      <w:r>
        <w:t xml:space="preserve"> </w:t>
      </w:r>
      <w:r>
        <w:t xml:space="preserve">PIK (243)*</w:t>
      </w:r>
      <w:r>
        <w:t xml:space="preserve"> </w:t>
      </w:r>
      <w:r>
        <w:t xml:space="preserve">Integrated assessment</w:t>
      </w:r>
      <w:r>
        <w:t xml:space="preserve"> </w:t>
      </w:r>
      <w:r>
        <w:t xml:space="preserve">model, under different</w:t>
      </w:r>
      <w:r>
        <w:t xml:space="preserve"> </w:t>
      </w:r>
      <w:r>
        <w:t xml:space="preserve">assumptions</w:t>
      </w:r>
      <w:r>
        <w:t xml:space="preserve"> </w:t>
      </w:r>
      <w:r>
        <w:t xml:space="preserve">87-91%</w:t>
      </w:r>
      <w:r>
        <w:t xml:space="preserve"> </w:t>
      </w:r>
      <w:r>
        <w:t xml:space="preserve">Including</w:t>
      </w:r>
      <w:r>
        <w:t xml:space="preserve"> </w:t>
      </w:r>
      <w:r>
        <w:t xml:space="preserve">intra-EU</w:t>
      </w:r>
      <w:r>
        <w:t xml:space="preserve"> </w:t>
      </w:r>
      <w:r>
        <w:t xml:space="preserve">aviation</w:t>
      </w:r>
      <w:r>
        <w:t xml:space="preserve"> </w:t>
      </w:r>
      <w:r>
        <w:t xml:space="preserve">Strategic</w:t>
      </w:r>
      <w:r>
        <w:t xml:space="preserve"> </w:t>
      </w:r>
      <w:r>
        <w:t xml:space="preserve">Perspectives (244)</w:t>
      </w:r>
      <w:r>
        <w:t xml:space="preserve"> </w:t>
      </w:r>
      <w:r>
        <w:t xml:space="preserve">CLIMACT “2050 Pathways</w:t>
      </w:r>
      <w:r>
        <w:t xml:space="preserve"> </w:t>
      </w:r>
      <w:r>
        <w:t xml:space="preserve">Explorer”</w:t>
      </w:r>
      <w:r>
        <w:t xml:space="preserve"> </w:t>
      </w:r>
      <w:r>
        <w:t xml:space="preserve">85-95%</w:t>
      </w:r>
      <w:r>
        <w:t xml:space="preserve"> </w:t>
      </w:r>
      <w:r>
        <w:t xml:space="preserve">Including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bunker fuels</w:t>
      </w:r>
      <w:r>
        <w:t xml:space="preserve"> </w:t>
      </w:r>
      <w:r>
        <w:t xml:space="preserve">CLEVER (245)</w:t>
      </w:r>
      <w:r>
        <w:t xml:space="preserve"> </w:t>
      </w:r>
      <w:r>
        <w:t xml:space="preserve">Sufficiency scenario, sectoral</w:t>
      </w:r>
      <w:r>
        <w:t xml:space="preserve"> </w:t>
      </w:r>
      <w:r>
        <w:t xml:space="preserve">approach</w:t>
      </w:r>
      <w:r>
        <w:t xml:space="preserve"> </w:t>
      </w:r>
      <w:r>
        <w:t xml:space="preserve">93%</w:t>
      </w:r>
      <w:r>
        <w:t xml:space="preserve"> </w:t>
      </w:r>
      <w:r>
        <w:t xml:space="preserve">Domestic</w:t>
      </w:r>
      <w:r>
        <w:br/>
      </w:r>
      <w:r>
        <w:t xml:space="preserve">Agora</w:t>
      </w:r>
      <w:r>
        <w:t xml:space="preserve"> </w:t>
      </w:r>
      <w:r>
        <w:t xml:space="preserve">Energiewende (246)</w:t>
      </w:r>
      <w:r>
        <w:t xml:space="preserve"> </w:t>
      </w:r>
      <w:r>
        <w:t xml:space="preserve">Sectoral modelling</w:t>
      </w:r>
      <w:r>
        <w:t xml:space="preserve"> </w:t>
      </w:r>
      <w:r>
        <w:t xml:space="preserve">89%</w:t>
      </w:r>
      <w:r>
        <w:t xml:space="preserve"> </w:t>
      </w:r>
      <w:r>
        <w:t xml:space="preserve">Domestic</w:t>
      </w:r>
      <w:r>
        <w:t xml:space="preserve"> </w:t>
      </w:r>
      <w:r>
        <w:t xml:space="preserve">Note: *These publications are undergoing a scientific peer-review process.</w:t>
      </w:r>
    </w:p>
    <w:p>
      <w:pPr>
        <w:pStyle w:val="BodyText"/>
      </w:pPr>
      <w:r>
        <w:t xml:space="preserve">The ESABCC analyses a large number of scenarios and excludes a vast majority of them on</w:t>
      </w:r>
      <w:r>
        <w:t xml:space="preserve"> </w:t>
      </w:r>
      <w:r>
        <w:t xml:space="preserve">the basis of concerns on data quality and plausibility, consistency with EU and global climate</w:t>
      </w:r>
      <w:r>
        <w:t xml:space="preserve"> </w:t>
      </w:r>
      <w:r>
        <w:t xml:space="preserve">goal and geophysical, technological and sociocultural feasibility criteria. 36 “filtered”</w:t>
      </w:r>
      <w:r>
        <w:t xml:space="preserve"> </w:t>
      </w:r>
      <w:r>
        <w:t xml:space="preserve">scenarios projecting a wide range of emission reduction outcomes are selected and further</w:t>
      </w:r>
      <w:r>
        <w:t xml:space="preserve"> </w:t>
      </w:r>
      <w:r>
        <w:t xml:space="preserve">assessed according to their environmental risk and technological deployment challenges. The</w:t>
      </w:r>
    </w:p>
    <w:p>
      <w:pPr>
        <w:pStyle w:val="Compact"/>
        <w:numPr>
          <w:ilvl w:val="0"/>
          <w:numId w:val="1074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</w:t>
      </w:r>
      <w:r>
        <w:t xml:space="preserve"> </w:t>
      </w:r>
      <w:r>
        <w:t xml:space="preserve">gas</w:t>
      </w:r>
      <w:r>
        <w:t xml:space="preserve"> </w:t>
      </w:r>
      <w:r>
        <w:t xml:space="preserve">budget</w:t>
      </w:r>
      <w:r>
        <w:t xml:space="preserve"> </w:t>
      </w:r>
      <w:r>
        <w:t xml:space="preserve">for</w:t>
      </w:r>
      <w:r>
        <w:t xml:space="preserve"> </w:t>
      </w:r>
      <w:r>
        <w:t xml:space="preserve">2030–2050.</w:t>
      </w:r>
      <w:r>
        <w:t xml:space="preserve"> </w:t>
      </w:r>
      <w:r>
        <w:t xml:space="preserve">DOI:</w:t>
      </w:r>
      <w:r>
        <w:t xml:space="preserve"> </w:t>
      </w:r>
      <w:r>
        <w:t xml:space="preserve">10.2800/609405.</w:t>
      </w:r>
      <w:r>
        <w:t xml:space="preserve"> </w:t>
      </w:r>
      <w:r>
        <w:t xml:space="preserve">Scenario</w:t>
      </w:r>
      <w:r>
        <w:t xml:space="preserve"> </w:t>
      </w:r>
      <w:r>
        <w:t xml:space="preserve">database:</w:t>
      </w:r>
      <w:r>
        <w:t xml:space="preserve"> </w:t>
      </w:r>
      <w:r>
        <w:t xml:space="preserve">https://data.ece.iiasa.ac.at/eu-climate-advisory-board/#/login?redirect=%2Fworkspaces</w:t>
      </w:r>
    </w:p>
    <w:p>
      <w:pPr>
        <w:pStyle w:val="Compact"/>
        <w:numPr>
          <w:ilvl w:val="0"/>
          <w:numId w:val="1074"/>
        </w:numPr>
      </w:pPr>
      <w:r>
        <w:t xml:space="preserve">Hooijschuur, E, den Elzen, M.G.J., Dafnomilis, I. and van Vuuren, D.P. (2023), Analysis of cost-effective</w:t>
      </w:r>
      <w:r>
        <w:t xml:space="preserve"> </w:t>
      </w:r>
      <w:r>
        <w:t xml:space="preserve">reduction pathways for major emitting countries to achieve the Paris Agreement climate goal, The Hague:</w:t>
      </w:r>
      <w:r>
        <w:t xml:space="preserve"> </w:t>
      </w:r>
      <w:r>
        <w:t xml:space="preserve">PBL Netherlands Environmental Assessment Agency.</w:t>
      </w:r>
    </w:p>
    <w:p>
      <w:pPr>
        <w:pStyle w:val="Compact"/>
        <w:numPr>
          <w:ilvl w:val="0"/>
          <w:numId w:val="1074"/>
        </w:numPr>
      </w:pPr>
      <w:r>
        <w:t xml:space="preserve">ECEMF, ECEMF Policy Brief: Insights on EU2040 targets based on a model intercomparison exercise of</w:t>
      </w:r>
      <w:r>
        <w:t xml:space="preserve"> </w:t>
      </w:r>
      <w:r>
        <w:t xml:space="preserve">EU Climate Neutrality Pathways, 2023. DOI 10.5281/zenodo.8337667 https://zenodo.org/record/8337668</w:t>
      </w:r>
    </w:p>
    <w:p>
      <w:pPr>
        <w:pStyle w:val="Compact"/>
        <w:numPr>
          <w:ilvl w:val="0"/>
          <w:numId w:val="1074"/>
        </w:numPr>
      </w:pPr>
      <w:r>
        <w:t xml:space="preserve">Rodrigues et al: “2040 greenhouse gas reduction targets and energy transitions in line with the EU Green</w:t>
      </w:r>
      <w:r>
        <w:t xml:space="preserve"> </w:t>
      </w:r>
      <w:r>
        <w:t xml:space="preserve">Deal”, Nature Communication, 2023. Under Review.</w:t>
      </w:r>
    </w:p>
    <w:p>
      <w:pPr>
        <w:pStyle w:val="Compact"/>
        <w:numPr>
          <w:ilvl w:val="0"/>
          <w:numId w:val="1074"/>
        </w:numPr>
      </w:pPr>
      <w:r>
        <w:t xml:space="preserve">Kalcher, L. et al., (2023). The post-2030 climate target debate starts now, Strategic Perspectives and</w:t>
      </w:r>
      <w:r>
        <w:t xml:space="preserve"> </w:t>
      </w:r>
      <w:r>
        <w:t xml:space="preserve">Climact. https://strategicperspectives.eu/the-post-2030-climate-target-debate-starts-now/</w:t>
      </w:r>
    </w:p>
    <w:p>
      <w:pPr>
        <w:pStyle w:val="Compact"/>
        <w:numPr>
          <w:ilvl w:val="0"/>
          <w:numId w:val="1074"/>
        </w:numPr>
      </w:pPr>
      <w:r>
        <w:t xml:space="preserve">CLEVER, Climate neutrality, Energy security and Sustainability: A pathway to bridge the gap through</w:t>
      </w:r>
      <w:r>
        <w:t xml:space="preserve"> </w:t>
      </w:r>
      <w:r>
        <w:t xml:space="preserve">Sufficiency, Efficiency and Renewables – Final Report, 2023. https://clever-energy-scenario.eu/wp-</w:t>
      </w:r>
      <w:r>
        <w:t xml:space="preserve"> </w:t>
      </w:r>
      <w:r>
        <w:t xml:space="preserve">content/uploads/2023/08/CLEVER_final-report.pdf</w:t>
      </w:r>
    </w:p>
    <w:p>
      <w:pPr>
        <w:pStyle w:val="Compact"/>
        <w:numPr>
          <w:ilvl w:val="0"/>
          <w:numId w:val="1074"/>
        </w:numPr>
      </w:pPr>
      <w:r>
        <w:t xml:space="preserve">Graf, A., et al. (2023). Breaking free from fossil gas. A new path to a climate-neutral Europe. Agora</w:t>
      </w:r>
      <w:r>
        <w:t xml:space="preserve"> </w:t>
      </w:r>
      <w:r>
        <w:t xml:space="preserve">Energiewende. A-EW_292_Breaking_free_WEB.pdf (agora-energiewende.de)</w:t>
      </w:r>
    </w:p>
    <w:p>
      <w:pPr>
        <w:pStyle w:val="FirstParagraph"/>
      </w:pPr>
      <w:r>
        <w:t xml:space="preserve">93</w:t>
      </w:r>
    </w:p>
    <w:p>
      <w:pPr>
        <w:pStyle w:val="BodyText"/>
      </w:pPr>
      <w:r>
        <w:t xml:space="preserve">environmental risk considers the extent to which scenarios count on large-scale uses of carbon</w:t>
      </w:r>
      <w:r>
        <w:t xml:space="preserve"> </w:t>
      </w:r>
      <w:r>
        <w:t xml:space="preserve">capture (including removals) and bioenergy. Technological deployment challenges consider</w:t>
      </w:r>
      <w:r>
        <w:t xml:space="preserve"> </w:t>
      </w:r>
      <w:r>
        <w:t xml:space="preserve">the implication of conservative estimates for the deployment potential of PV and wind energy,</w:t>
      </w:r>
      <w:r>
        <w:t xml:space="preserve"> </w:t>
      </w:r>
      <w:r>
        <w:t xml:space="preserve">and hydrogen technologies. In the document, the levels at which the use or deployment of</w:t>
      </w:r>
      <w:r>
        <w:t xml:space="preserve"> </w:t>
      </w:r>
      <w:r>
        <w:t xml:space="preserve">certain mitigation options can represent an environmental risk or a technological challenges</w:t>
      </w:r>
      <w:r>
        <w:t xml:space="preserve"> </w:t>
      </w:r>
      <w:r>
        <w:t xml:space="preserve">are not defined as “hard” values, therefore examples from the literature are used. Out of the</w:t>
      </w:r>
      <w:r>
        <w:t xml:space="preserve"> </w:t>
      </w:r>
      <w:r>
        <w:t xml:space="preserve">36 filtered scenarios, 5 stays within the environmental risk and technological deployment</w:t>
      </w:r>
      <w:r>
        <w:t xml:space="preserve"> </w:t>
      </w:r>
      <w:r>
        <w:t xml:space="preserve">challenge levels, leading to a range of 88-92% emission reductions in 2040 (vs 1990). If the</w:t>
      </w:r>
      <w:r>
        <w:t xml:space="preserve"> </w:t>
      </w:r>
      <w:r>
        <w:t xml:space="preserve">challenges of deploying renewable energy can be overcome(247), while still remaining within</w:t>
      </w:r>
      <w:r>
        <w:t xml:space="preserve"> </w:t>
      </w:r>
      <w:r>
        <w:t xml:space="preserve">the environmental risk boundaries, the numbers of possible scenarios increases to 7, leading to</w:t>
      </w:r>
      <w:r>
        <w:t xml:space="preserve"> </w:t>
      </w:r>
      <w:r>
        <w:t xml:space="preserve">a range of 88-95% emission reductions in 2040.</w:t>
      </w:r>
      <w:r>
        <w:br/>
      </w:r>
      <w:r>
        <w:t xml:space="preserve">PBL shows a range of 76%-96% of domestic emission reductions for the EU for 2040 for</w:t>
      </w:r>
      <w:r>
        <w:t xml:space="preserve"> </w:t>
      </w:r>
      <w:r>
        <w:t xml:space="preserve">climate category C1 (248), with a median value of 86%. The analysis follows a very similar</w:t>
      </w:r>
      <w:r>
        <w:t xml:space="preserve"> </w:t>
      </w:r>
      <w:r>
        <w:t xml:space="preserve">approach to the one taken by the ESABCC, since the values are based on all IAM scenarios</w:t>
      </w:r>
      <w:r>
        <w:t xml:space="preserve"> </w:t>
      </w:r>
      <w:r>
        <w:t xml:space="preserve">used in the IPCC AR6 report and its chapter on mitigation pathways compatible with long-</w:t>
      </w:r>
      <w:r>
        <w:t xml:space="preserve"> </w:t>
      </w:r>
      <w:r>
        <w:t xml:space="preserve">term temperature goal and following least-cost consideration. The PBL study complements</w:t>
      </w:r>
      <w:r>
        <w:t xml:space="preserve"> </w:t>
      </w:r>
      <w:r>
        <w:t xml:space="preserve">the ESABCC study since it also includes projections that do not reach net-zero in EU by</w:t>
      </w:r>
      <w:r>
        <w:t xml:space="preserve"> </w:t>
      </w:r>
      <w:r>
        <w:t xml:space="preserve">2050. Considering only scenarios in line with the EU climate target, hence reaching net-zero</w:t>
      </w:r>
      <w:r>
        <w:t xml:space="preserve"> </w:t>
      </w:r>
      <w:r>
        <w:t xml:space="preserve">in 2050, the range of net GHG emission reductions in 2040 is 84-97%.</w:t>
      </w:r>
      <w:r>
        <w:t xml:space="preserve"> </w:t>
      </w:r>
      <w:r>
        <w:t xml:space="preserve">PIK provides a range of emission reduction of 87-91% (including intra-EU aviation),</w:t>
      </w:r>
      <w:r>
        <w:t xml:space="preserve"> </w:t>
      </w:r>
      <w:r>
        <w:t xml:space="preserve">depending on emission levels and energy efficiency attained in 2030, availability of biomass</w:t>
      </w:r>
      <w:r>
        <w:t xml:space="preserve"> </w:t>
      </w:r>
      <w:r>
        <w:t xml:space="preserve">and development of CCS in the long run. The study indicates the challenges related to the</w:t>
      </w:r>
      <w:r>
        <w:t xml:space="preserve"> </w:t>
      </w:r>
      <w:r>
        <w:t xml:space="preserve">achievement of a highly electrified energy systems, including the need to invest significantly</w:t>
      </w:r>
      <w:r>
        <w:t xml:space="preserve"> </w:t>
      </w:r>
      <w:r>
        <w:t xml:space="preserve">on grid infrastructure, to implement a large amount of flexibility solutions, and to address the</w:t>
      </w:r>
      <w:r>
        <w:t xml:space="preserve"> </w:t>
      </w:r>
      <w:r>
        <w:t xml:space="preserve">strong contraction of gas network usage. It also mentions the requirements to limit the use of</w:t>
      </w:r>
      <w:r>
        <w:t xml:space="preserve"> </w:t>
      </w:r>
      <w:r>
        <w:t xml:space="preserve">bioenergy according to sustainability constraints and the uncertainty on the development of</w:t>
      </w:r>
      <w:r>
        <w:t xml:space="preserve"> </w:t>
      </w:r>
      <w:r>
        <w:t xml:space="preserve">carbon capture and carbon removal related to the creation of a robust regulatory framework</w:t>
      </w:r>
      <w:r>
        <w:t xml:space="preserve"> </w:t>
      </w:r>
      <w:r>
        <w:t xml:space="preserve">that covers permits, monitoring, cross-border collaboration, local storage acceptance,</w:t>
      </w:r>
      <w:r>
        <w:t xml:space="preserve"> </w:t>
      </w:r>
      <w:r>
        <w:t xml:space="preserve">remuneration and long-term liability across different EU countries.</w:t>
      </w:r>
      <w:r>
        <w:br/>
      </w:r>
      <w:r>
        <w:t xml:space="preserve">ECEMF performs a multi-model intercomparison using 9 different models and provides a</w:t>
      </w:r>
      <w:r>
        <w:t xml:space="preserve"> </w:t>
      </w:r>
      <w:r>
        <w:t xml:space="preserve">range of 84-89% (including international bunker fuels) and 86-92% (including only intra-EU</w:t>
      </w:r>
    </w:p>
    <w:p>
      <w:pPr>
        <w:pStyle w:val="Compact"/>
        <w:numPr>
          <w:ilvl w:val="0"/>
          <w:numId w:val="1075"/>
        </w:numPr>
      </w:pPr>
      <w:r>
        <w:t xml:space="preserve">ESABCC, Table 6, defines such technological challenges as installed capacities in 2030 of solar (900 GW),</w:t>
      </w:r>
      <w:r>
        <w:t xml:space="preserve"> </w:t>
      </w:r>
      <w:r>
        <w:t xml:space="preserve">wind (623 GW) and hydrogen (50 GW). In 2022, the total installed capacity of PV and wind in the EU were</w:t>
      </w:r>
      <w:r>
        <w:t xml:space="preserve"> </w:t>
      </w:r>
      <w:r>
        <w:t xml:space="preserve">both close to 200 GW, including newly installed capacity that year of about 40 GW for PV and 15 GW for</w:t>
      </w:r>
      <w:r>
        <w:t xml:space="preserve"> </w:t>
      </w:r>
      <w:r>
        <w:t xml:space="preserve">wind (source: Eurostat, Solar Power Europe, WindEurope).</w:t>
      </w:r>
    </w:p>
    <w:p>
      <w:pPr>
        <w:pStyle w:val="Compact"/>
        <w:numPr>
          <w:ilvl w:val="0"/>
          <w:numId w:val="1075"/>
        </w:numPr>
      </w:pPr>
      <w:r>
        <w:t xml:space="preserve">Limit 1.5 °C with at least 50% probability, with limited or no overshoot. As per in Riahi, K., R.</w:t>
      </w:r>
      <w:r>
        <w:t xml:space="preserve"> </w:t>
      </w:r>
      <w:r>
        <w:t xml:space="preserve">Schaeffer, J. Arango, K. Calvin, C. Guivarch, T. Hasegawa, K. Jiang, E. Kriegler, R. Matthews, G.P. Peters,</w:t>
      </w:r>
      <w:r>
        <w:t xml:space="preserve"> </w:t>
      </w:r>
      <w:r>
        <w:t xml:space="preserve">A. Rao, S. Robertson, A.M. Sebbit, J. Steinberger, M. Tavoni, D.P. van Vuuren, 2022: Mitigation pathways</w:t>
      </w:r>
      <w:r>
        <w:t xml:space="preserve"> </w:t>
      </w:r>
      <w:r>
        <w:t xml:space="preserve">compatible with long-term goals. In IPCC, 2022: Climate Change 2022: Mitigation of Climate Change.</w:t>
      </w:r>
      <w:r>
        <w:t xml:space="preserve"> </w:t>
      </w:r>
      <w:r>
        <w:t xml:space="preserve">Contribution of Working Group III to the Sixth Assessment Report of the Intergovernmental Panel on</w:t>
      </w:r>
      <w:r>
        <w:t xml:space="preserve"> </w:t>
      </w:r>
      <w:r>
        <w:t xml:space="preserve">Climate Change [P.R. Shukla, J. Skea, R. Slade, A. Al Khourdajie, R. van Diemen, D. McCollum, M.</w:t>
      </w:r>
      <w:r>
        <w:t xml:space="preserve"> </w:t>
      </w:r>
      <w:r>
        <w:t xml:space="preserve">Pathak, S. Some, P. Vyas, R. Fradera, M. Belkacemi, A. Hasija, G. Lisboa, S. Luz, J. Malley, (eds.)].</w:t>
      </w:r>
      <w:r>
        <w:t xml:space="preserve"> </w:t>
      </w:r>
      <w:r>
        <w:t xml:space="preserve">Cambridge University Press, Cambridge, UK and New York, NY, USA. doi: 10.1017/9781009157926.005.</w:t>
      </w:r>
      <w:r>
        <w:t xml:space="preserve"> </w:t>
      </w:r>
      <w:r>
        <w:t xml:space="preserve">Table 3.2. Limited overshoot refers to exceeding 1.5°C global warming by up to about 0.1°C, high overshoot by</w:t>
      </w:r>
      <w:r>
        <w:t xml:space="preserve"> </w:t>
      </w:r>
      <w:r>
        <w:t xml:space="preserve">0.1°C-0.3°C, in both cases for up to several decades.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emissions). According to the paper, achieving such a level of ambitions requires a large effort</w:t>
      </w:r>
      <w:r>
        <w:t xml:space="preserve"> </w:t>
      </w:r>
      <w:r>
        <w:t xml:space="preserve">to scale up carbon capture up by 2040 up to an average of 305 MtCO2, and a fast scale up of</w:t>
      </w:r>
      <w:r>
        <w:t xml:space="preserve"> </w:t>
      </w:r>
      <w:r>
        <w:t xml:space="preserve">wind, solar, electric vehicles, and heat pumps.</w:t>
      </w:r>
      <w:r>
        <w:br/>
      </w:r>
      <w:r>
        <w:t xml:space="preserve">Strategic Perspective analyses a 2040 net reduction between 85% and 95% (including</w:t>
      </w:r>
      <w:r>
        <w:t xml:space="preserve"> </w:t>
      </w:r>
      <w:r>
        <w:t xml:space="preserve">international bunkers). This is achieved with a strong contribution of nature-based removals</w:t>
      </w:r>
      <w:r>
        <w:t xml:space="preserve"> </w:t>
      </w:r>
      <w:r>
        <w:t xml:space="preserve">(i.e., around 470 MtCO2-eq of LULUCF in the case of a 95% reduction, i.e., above the</w:t>
      </w:r>
      <w:r>
        <w:t xml:space="preserve"> </w:t>
      </w:r>
      <w:r>
        <w:t xml:space="preserve">environmental risk threshold of 400 MtCO2 identified by the ESABCC and above the levels</w:t>
      </w:r>
      <w:r>
        <w:t xml:space="preserve"> </w:t>
      </w:r>
      <w:r>
        <w:t xml:space="preserve">considered in this impact assessment) and complemented by industrial based removals</w:t>
      </w:r>
      <w:r>
        <w:t xml:space="preserve"> </w:t>
      </w:r>
      <w:r>
        <w:t xml:space="preserve">(between 35 and 60 MtCO2), mostly from BECCS. The scenarios discussed also project</w:t>
      </w:r>
      <w:r>
        <w:t xml:space="preserve"> </w:t>
      </w:r>
      <w:r>
        <w:t xml:space="preserve">behavioural change trends: demand reduction plays a major role in decarbonisation of the</w:t>
      </w:r>
      <w:r>
        <w:t xml:space="preserve"> </w:t>
      </w:r>
      <w:r>
        <w:t xml:space="preserve">industry and is responsible for 15% of the sectoral emissions reductions in 2040; a shift to</w:t>
      </w:r>
      <w:r>
        <w:t xml:space="preserve"> </w:t>
      </w:r>
      <w:r>
        <w:t xml:space="preserve">other modes of transport, with public transport and “mobility as a service” reduces the car</w:t>
      </w:r>
      <w:r>
        <w:t xml:space="preserve"> </w:t>
      </w:r>
      <w:r>
        <w:t xml:space="preserve">fleet by 20% while increasing mobility options, and a switch to a healthier and plant-based</w:t>
      </w:r>
      <w:r>
        <w:t xml:space="preserve"> </w:t>
      </w:r>
      <w:r>
        <w:t xml:space="preserve">diet can contribute to reducing food demand by 12%.</w:t>
      </w:r>
      <w:r>
        <w:t xml:space="preserve"> </w:t>
      </w:r>
      <w:r>
        <w:t xml:space="preserve">The CLEVER scenario projects a reduction of 93% of emissions in 2040 vs 1990,</w:t>
      </w:r>
      <w:r>
        <w:t xml:space="preserve"> </w:t>
      </w:r>
      <w:r>
        <w:t xml:space="preserve">implementing a modelling approach based almost exclusively on sufficiency, efficiency, and</w:t>
      </w:r>
      <w:r>
        <w:t xml:space="preserve"> </w:t>
      </w:r>
      <w:r>
        <w:t xml:space="preserve">renewable energies. In the scenario, sufficency alone can be responsible for reducing final</w:t>
      </w:r>
      <w:r>
        <w:t xml:space="preserve"> </w:t>
      </w:r>
      <w:r>
        <w:t xml:space="preserve">energy consumption (FEC) by 20-30%, through a reduction of total passenger traffic by</w:t>
      </w:r>
      <w:r>
        <w:t xml:space="preserve"> </w:t>
      </w:r>
      <w:r>
        <w:t xml:space="preserve">around 21% in 2050 compared to 2019 through a mobility switch from road and air to active</w:t>
      </w:r>
      <w:r>
        <w:t xml:space="preserve"> </w:t>
      </w:r>
      <w:r>
        <w:t xml:space="preserve">and rail, and a reduction of industrial demand for energy intensive materials such as steel (-</w:t>
      </w:r>
      <w:r>
        <w:t xml:space="preserve"> </w:t>
      </w:r>
      <w:r>
        <w:t xml:space="preserve">15%) and cement (-38%). Additional efficiency measures, an increasing share of renewables</w:t>
      </w:r>
      <w:r>
        <w:t xml:space="preserve"> </w:t>
      </w:r>
      <w:r>
        <w:t xml:space="preserve">in the energy mix to above 50% and reduced meat (-40%) and milk (-20%) consumption,</w:t>
      </w:r>
      <w:r>
        <w:t xml:space="preserve"> </w:t>
      </w:r>
      <w:r>
        <w:t xml:space="preserve">complete a picture that reaches reductions above 90% with very limited carbon capture, and</w:t>
      </w:r>
      <w:r>
        <w:t xml:space="preserve"> </w:t>
      </w:r>
      <w:r>
        <w:t xml:space="preserve">no strong enhancement of the LULUCF net sink. The pathway prioritising these three specific</w:t>
      </w:r>
      <w:r>
        <w:t xml:space="preserve"> </w:t>
      </w:r>
      <w:r>
        <w:t xml:space="preserve">aspects is considered capable to limit the possible challenges and risks associated to the</w:t>
      </w:r>
      <w:r>
        <w:t xml:space="preserve"> </w:t>
      </w:r>
      <w:r>
        <w:t xml:space="preserve">ambitious target, such as: technical feasibility for deep renovation, material and metal</w:t>
      </w:r>
      <w:r>
        <w:t xml:space="preserve"> </w:t>
      </w:r>
      <w:r>
        <w:t xml:space="preserve">resource depletion, sustainability of bioenergy production, adaptation of electricity networks,</w:t>
      </w:r>
      <w:r>
        <w:t xml:space="preserve"> </w:t>
      </w:r>
      <w:r>
        <w:t xml:space="preserve">and timely delivery of large-scale new technologies (e.g., nature-based, and industrial carbon</w:t>
      </w:r>
      <w:r>
        <w:t xml:space="preserve"> </w:t>
      </w:r>
      <w:r>
        <w:t xml:space="preserve">removals, e-fuels and new nuclear).</w:t>
      </w:r>
      <w:r>
        <w:br/>
      </w:r>
      <w:r>
        <w:t xml:space="preserve">Agora Energiewende suggests a domestic 2040 target of 89%, and its analysis focuses on</w:t>
      </w:r>
      <w:r>
        <w:t xml:space="preserve"> </w:t>
      </w:r>
      <w:r>
        <w:t xml:space="preserve">possible pathways to replace existing consumption of fossil gas. They describe uncertainties</w:t>
      </w:r>
      <w:r>
        <w:t xml:space="preserve"> </w:t>
      </w:r>
      <w:r>
        <w:t xml:space="preserve">related to a correct estimation of sustainable and affordable biomethane potential, as well as</w:t>
      </w:r>
      <w:r>
        <w:t xml:space="preserve"> </w:t>
      </w:r>
      <w:r>
        <w:t xml:space="preserve">the need to carefully manage the transition from gas (including LNG) to alternative sources</w:t>
      </w:r>
      <w:r>
        <w:t xml:space="preserve"> </w:t>
      </w:r>
      <w:r>
        <w:t xml:space="preserve">(electricity, hydrogen, and e-fuels) to adapt the corresponding infrastructure and avoid the risk</w:t>
      </w:r>
      <w:r>
        <w:t xml:space="preserve"> </w:t>
      </w:r>
      <w:r>
        <w:t xml:space="preserve">of stranded assets.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TABLE OF FIGURES</w:t>
      </w:r>
      <w:r>
        <w:t xml:space="preserve"> </w:t>
      </w:r>
      <w:r>
        <w:t xml:space="preserve">Figure 1: GHG emissions under different GHG emission accounting methods …………………… 9</w:t>
      </w:r>
      <w:r>
        <w:t xml:space="preserve"> </w:t>
      </w:r>
      <w:r>
        <w:t xml:space="preserve">Figure 2: Major countries in extraction and processing of selected minerals and fossil fuels . 12</w:t>
      </w:r>
      <w:r>
        <w:t xml:space="preserve"> </w:t>
      </w:r>
      <w:r>
        <w:t xml:space="preserve">Figure 3: Issuance of green bonds in the EU ………………………………………………………………… 23</w:t>
      </w:r>
      <w:r>
        <w:t xml:space="preserve"> </w:t>
      </w:r>
      <w:r>
        <w:t xml:space="preserve">Figure 4: Green bond share in total new issuance for EU and non-EU …………………………….. 24</w:t>
      </w:r>
      <w:r>
        <w:t xml:space="preserve"> </w:t>
      </w:r>
      <w:r>
        <w:t xml:space="preserve">Figure 5: Number of patent applications filed under the PCT in the EU by SGC ………………. 31</w:t>
      </w:r>
      <w:r>
        <w:t xml:space="preserve"> </w:t>
      </w:r>
      <w:r>
        <w:t xml:space="preserve">Figure 6: Global patent applications for SGC “Climate and Environment” ………………………. 32</w:t>
      </w:r>
      <w:r>
        <w:t xml:space="preserve"> </w:t>
      </w:r>
      <w:r>
        <w:t xml:space="preserve">Figure 7: Available public funding by stage of the RD &amp; D process ………………………………. 34</w:t>
      </w:r>
      <w:r>
        <w:t xml:space="preserve"> </w:t>
      </w:r>
      <w:r>
        <w:t xml:space="preserve">Figure 9: Investment by fund and category of regions ……………………………………………………. 43</w:t>
      </w:r>
      <w:r>
        <w:t xml:space="preserve"> </w:t>
      </w:r>
      <w:r>
        <w:t xml:space="preserve">Figure 10: ERDF/CF climate expenditure by climate-relevant policy area ……………………….. 44</w:t>
      </w:r>
      <w:r>
        <w:t xml:space="preserve"> </w:t>
      </w:r>
      <w:r>
        <w:t xml:space="preserve">Figure 11: Overview of territories in approved territorial just transition plans (Sept. 2023)… 45</w:t>
      </w:r>
      <w:r>
        <w:t xml:space="preserve"> </w:t>
      </w:r>
      <w:r>
        <w:t xml:space="preserve">Figure 12: Breakdown of expenditure supporting the green transition, by policy area ……….. 46</w:t>
      </w:r>
      <w:r>
        <w:t xml:space="preserve"> </w:t>
      </w:r>
      <w:r>
        <w:t xml:space="preserve">Figure 13: Historical EU GHG emissions …………………………………………………………………….. 61</w:t>
      </w:r>
      <w:r>
        <w:t xml:space="preserve"> </w:t>
      </w:r>
      <w:r>
        <w:t xml:space="preserve">Figure 14: GHG emissions and GDP development in the EU (1990 = 100) ……………………… 62</w:t>
      </w:r>
      <w:r>
        <w:t xml:space="preserve"> </w:t>
      </w:r>
      <w:r>
        <w:t xml:space="preserve">Figure 15: Historical evolution of ETS emissions …………………………………………………………. 63</w:t>
      </w:r>
      <w:r>
        <w:t xml:space="preserve"> </w:t>
      </w:r>
      <w:r>
        <w:t xml:space="preserve">Figure 16: Historical evolution of GHG from ESR sectors …………………………………………….. 64</w:t>
      </w:r>
      <w:r>
        <w:t xml:space="preserve"> </w:t>
      </w:r>
      <w:r>
        <w:t xml:space="preserve">Figure 17: Historical evolution of GHG from LULUCF ………………………………………………… 65</w:t>
      </w:r>
      <w:r>
        <w:t xml:space="preserve"> </w:t>
      </w:r>
      <w:r>
        <w:t xml:space="preserve">Figure 18: Primary energy consumption in the EU, distance to 2030 target ……………………… 67</w:t>
      </w:r>
      <w:r>
        <w:t xml:space="preserve"> </w:t>
      </w:r>
      <w:r>
        <w:t xml:space="preserve">Figure 19: Final energy consumption in the EU, distance to 2030 target ………………………….. 68</w:t>
      </w:r>
      <w:r>
        <w:t xml:space="preserve"> </w:t>
      </w:r>
      <w:r>
        <w:t xml:space="preserve">Figure 20: Global aviation contribution to anthropogenic climate forcing for 2000 to 2018 .. 80</w:t>
      </w:r>
      <w:r>
        <w:t xml:space="preserve"> </w:t>
      </w:r>
      <w:r>
        <w:t xml:space="preserve">Figure 21: Quantifying aviation’s contribution to global warming ………………………………….. 80</w:t>
      </w:r>
      <w:r>
        <w:t xml:space="preserve"> </w:t>
      </w:r>
      <w:r>
        <w:t xml:space="preserve">Figure 22: Composition of non-CO2 GHG gases in the maritime sector ………………………….. 86</w:t>
      </w:r>
    </w:p>
    <w:p>
      <w:pPr>
        <w:pStyle w:val="BodyText"/>
      </w:pPr>
      <w:r>
        <w:t xml:space="preserve">TABLE OF TABLES</w:t>
      </w:r>
    </w:p>
    <w:p>
      <w:pPr>
        <w:pStyle w:val="BodyText"/>
      </w:pPr>
      <w:r>
        <w:t xml:space="preserve">Table 1. 2040 GHG level in recent analyses of 2040 climate targets for the EU ……………….. 92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13">
    <w:nsid w:val="0A994313"/>
    <w:multiLevelType w:val="multilevel"/>
    <w:lvl w:ilvl="0">
      <w:start w:val="13"/>
      <w:numFmt w:val="decimal"/>
      <w:lvlText w:val="(%1)"/>
      <w:lvlJc w:val="left"/>
      <w:pPr>
        <w:ind w:left="720" w:hanging="360"/>
      </w:pPr>
    </w:lvl>
    <w:lvl w:ilvl="1">
      <w:start w:val="13"/>
      <w:numFmt w:val="decimal"/>
      <w:lvlText w:val="(%2)"/>
      <w:lvlJc w:val="left"/>
      <w:pPr>
        <w:ind w:left="1440" w:hanging="360"/>
      </w:pPr>
    </w:lvl>
    <w:lvl w:ilvl="2">
      <w:start w:val="13"/>
      <w:numFmt w:val="decimal"/>
      <w:lvlText w:val="(%3)"/>
      <w:lvlJc w:val="left"/>
      <w:pPr>
        <w:ind w:left="2160" w:hanging="360"/>
      </w:pPr>
    </w:lvl>
    <w:lvl w:ilvl="3">
      <w:start w:val="13"/>
      <w:numFmt w:val="decimal"/>
      <w:lvlText w:val="(%4)"/>
      <w:lvlJc w:val="left"/>
      <w:pPr>
        <w:ind w:left="2880" w:hanging="360"/>
      </w:pPr>
    </w:lvl>
    <w:lvl w:ilvl="4">
      <w:start w:val="13"/>
      <w:numFmt w:val="decimal"/>
      <w:lvlText w:val="(%5)"/>
      <w:lvlJc w:val="left"/>
      <w:pPr>
        <w:ind w:left="3600" w:hanging="360"/>
      </w:pPr>
    </w:lvl>
    <w:lvl w:ilvl="5">
      <w:start w:val="13"/>
      <w:numFmt w:val="decimal"/>
      <w:lvlText w:val="(%6)"/>
      <w:lvlJc w:val="left"/>
      <w:pPr>
        <w:ind w:left="4320" w:hanging="360"/>
      </w:pPr>
    </w:lvl>
    <w:lvl w:ilvl="6">
      <w:start w:val="13"/>
      <w:numFmt w:val="decimal"/>
      <w:lvlText w:val="(%7)"/>
      <w:lvlJc w:val="left"/>
      <w:pPr>
        <w:ind w:left="5040" w:hanging="360"/>
      </w:pPr>
    </w:lvl>
    <w:lvl w:ilvl="7">
      <w:start w:val="13"/>
      <w:numFmt w:val="decimal"/>
      <w:lvlText w:val="(%8)"/>
      <w:lvlJc w:val="left"/>
      <w:pPr>
        <w:ind w:left="5760" w:hanging="360"/>
      </w:pPr>
    </w:lvl>
    <w:lvl w:ilvl="8">
      <w:start w:val="13"/>
      <w:numFmt w:val="decimal"/>
      <w:lvlText w:val="(%9)"/>
      <w:lvlJc w:val="left"/>
      <w:pPr>
        <w:ind w:left="6480" w:hanging="360"/>
      </w:pPr>
    </w:lvl>
  </w:abstractNum>
  <w:abstractNum w:abstractNumId="99412023">
    <w:nsid w:val="A99412023"/>
    <w:multiLevelType w:val="multilevel"/>
    <w:lvl w:ilvl="0">
      <w:start w:val="2023"/>
      <w:numFmt w:val="decimal"/>
      <w:lvlText w:val="%1."/>
      <w:lvlJc w:val="left"/>
      <w:pPr>
        <w:ind w:left="720" w:hanging="360"/>
      </w:pPr>
    </w:lvl>
    <w:lvl w:ilvl="1">
      <w:start w:val="2023"/>
      <w:numFmt w:val="decimal"/>
      <w:lvlText w:val="%2."/>
      <w:lvlJc w:val="left"/>
      <w:pPr>
        <w:ind w:left="1440" w:hanging="360"/>
      </w:pPr>
    </w:lvl>
    <w:lvl w:ilvl="2">
      <w:start w:val="2023"/>
      <w:numFmt w:val="decimal"/>
      <w:lvlText w:val="%3."/>
      <w:lvlJc w:val="left"/>
      <w:pPr>
        <w:ind w:left="2160" w:hanging="360"/>
      </w:pPr>
    </w:lvl>
    <w:lvl w:ilvl="3">
      <w:start w:val="2023"/>
      <w:numFmt w:val="decimal"/>
      <w:lvlText w:val="%4."/>
      <w:lvlJc w:val="left"/>
      <w:pPr>
        <w:ind w:left="2880" w:hanging="360"/>
      </w:pPr>
    </w:lvl>
    <w:lvl w:ilvl="4">
      <w:start w:val="2023"/>
      <w:numFmt w:val="decimal"/>
      <w:lvlText w:val="%5."/>
      <w:lvlJc w:val="left"/>
      <w:pPr>
        <w:ind w:left="3600" w:hanging="360"/>
      </w:pPr>
    </w:lvl>
    <w:lvl w:ilvl="5">
      <w:start w:val="2023"/>
      <w:numFmt w:val="decimal"/>
      <w:lvlText w:val="%6."/>
      <w:lvlJc w:val="left"/>
      <w:pPr>
        <w:ind w:left="4320" w:hanging="360"/>
      </w:pPr>
    </w:lvl>
    <w:lvl w:ilvl="6">
      <w:start w:val="2023"/>
      <w:numFmt w:val="decimal"/>
      <w:lvlText w:val="%7."/>
      <w:lvlJc w:val="left"/>
      <w:pPr>
        <w:ind w:left="5040" w:hanging="360"/>
      </w:pPr>
    </w:lvl>
    <w:lvl w:ilvl="7">
      <w:start w:val="2023"/>
      <w:numFmt w:val="decimal"/>
      <w:lvlText w:val="%8."/>
      <w:lvlJc w:val="left"/>
      <w:pPr>
        <w:ind w:left="5760" w:hanging="360"/>
      </w:pPr>
    </w:lvl>
    <w:lvl w:ilvl="8">
      <w:start w:val="2023"/>
      <w:numFmt w:val="decimal"/>
      <w:lvlText w:val="%9."/>
      <w:lvlJc w:val="left"/>
      <w:pPr>
        <w:ind w:left="6480" w:hanging="360"/>
      </w:pPr>
    </w:lvl>
  </w:abstractNum>
  <w:abstractNum w:abstractNumId="994314">
    <w:nsid w:val="0A994314"/>
    <w:multiLevelType w:val="multilevel"/>
    <w:lvl w:ilvl="0">
      <w:start w:val="14"/>
      <w:numFmt w:val="decimal"/>
      <w:lvlText w:val="(%1)"/>
      <w:lvlJc w:val="left"/>
      <w:pPr>
        <w:ind w:left="720" w:hanging="360"/>
      </w:pPr>
    </w:lvl>
    <w:lvl w:ilvl="1">
      <w:start w:val="14"/>
      <w:numFmt w:val="decimal"/>
      <w:lvlText w:val="(%2)"/>
      <w:lvlJc w:val="left"/>
      <w:pPr>
        <w:ind w:left="1440" w:hanging="360"/>
      </w:pPr>
    </w:lvl>
    <w:lvl w:ilvl="2">
      <w:start w:val="14"/>
      <w:numFmt w:val="decimal"/>
      <w:lvlText w:val="(%3)"/>
      <w:lvlJc w:val="left"/>
      <w:pPr>
        <w:ind w:left="2160" w:hanging="360"/>
      </w:pPr>
    </w:lvl>
    <w:lvl w:ilvl="3">
      <w:start w:val="14"/>
      <w:numFmt w:val="decimal"/>
      <w:lvlText w:val="(%4)"/>
      <w:lvlJc w:val="left"/>
      <w:pPr>
        <w:ind w:left="2880" w:hanging="360"/>
      </w:pPr>
    </w:lvl>
    <w:lvl w:ilvl="4">
      <w:start w:val="14"/>
      <w:numFmt w:val="decimal"/>
      <w:lvlText w:val="(%5)"/>
      <w:lvlJc w:val="left"/>
      <w:pPr>
        <w:ind w:left="3600" w:hanging="360"/>
      </w:pPr>
    </w:lvl>
    <w:lvl w:ilvl="5">
      <w:start w:val="14"/>
      <w:numFmt w:val="decimal"/>
      <w:lvlText w:val="(%6)"/>
      <w:lvlJc w:val="left"/>
      <w:pPr>
        <w:ind w:left="4320" w:hanging="360"/>
      </w:pPr>
    </w:lvl>
    <w:lvl w:ilvl="6">
      <w:start w:val="14"/>
      <w:numFmt w:val="decimal"/>
      <w:lvlText w:val="(%7)"/>
      <w:lvlJc w:val="left"/>
      <w:pPr>
        <w:ind w:left="5040" w:hanging="360"/>
      </w:pPr>
    </w:lvl>
    <w:lvl w:ilvl="7">
      <w:start w:val="14"/>
      <w:numFmt w:val="decimal"/>
      <w:lvlText w:val="(%8)"/>
      <w:lvlJc w:val="left"/>
      <w:pPr>
        <w:ind w:left="5760" w:hanging="360"/>
      </w:pPr>
    </w:lvl>
    <w:lvl w:ilvl="8">
      <w:start w:val="14"/>
      <w:numFmt w:val="decimal"/>
      <w:lvlText w:val="(%9)"/>
      <w:lvlJc w:val="left"/>
      <w:pPr>
        <w:ind w:left="6480" w:hanging="360"/>
      </w:pPr>
    </w:lvl>
  </w:abstractNum>
  <w:abstractNum w:abstractNumId="994319">
    <w:nsid w:val="0A994319"/>
    <w:multiLevelType w:val="multilevel"/>
    <w:lvl w:ilvl="0">
      <w:start w:val="19"/>
      <w:numFmt w:val="decimal"/>
      <w:lvlText w:val="(%1)"/>
      <w:lvlJc w:val="left"/>
      <w:pPr>
        <w:ind w:left="720" w:hanging="360"/>
      </w:pPr>
    </w:lvl>
    <w:lvl w:ilvl="1">
      <w:start w:val="19"/>
      <w:numFmt w:val="decimal"/>
      <w:lvlText w:val="(%2)"/>
      <w:lvlJc w:val="left"/>
      <w:pPr>
        <w:ind w:left="1440" w:hanging="360"/>
      </w:pPr>
    </w:lvl>
    <w:lvl w:ilvl="2">
      <w:start w:val="19"/>
      <w:numFmt w:val="decimal"/>
      <w:lvlText w:val="(%3)"/>
      <w:lvlJc w:val="left"/>
      <w:pPr>
        <w:ind w:left="2160" w:hanging="360"/>
      </w:pPr>
    </w:lvl>
    <w:lvl w:ilvl="3">
      <w:start w:val="19"/>
      <w:numFmt w:val="decimal"/>
      <w:lvlText w:val="(%4)"/>
      <w:lvlJc w:val="left"/>
      <w:pPr>
        <w:ind w:left="2880" w:hanging="360"/>
      </w:pPr>
    </w:lvl>
    <w:lvl w:ilvl="4">
      <w:start w:val="19"/>
      <w:numFmt w:val="decimal"/>
      <w:lvlText w:val="(%5)"/>
      <w:lvlJc w:val="left"/>
      <w:pPr>
        <w:ind w:left="3600" w:hanging="360"/>
      </w:pPr>
    </w:lvl>
    <w:lvl w:ilvl="5">
      <w:start w:val="19"/>
      <w:numFmt w:val="decimal"/>
      <w:lvlText w:val="(%6)"/>
      <w:lvlJc w:val="left"/>
      <w:pPr>
        <w:ind w:left="4320" w:hanging="360"/>
      </w:pPr>
    </w:lvl>
    <w:lvl w:ilvl="6">
      <w:start w:val="19"/>
      <w:numFmt w:val="decimal"/>
      <w:lvlText w:val="(%7)"/>
      <w:lvlJc w:val="left"/>
      <w:pPr>
        <w:ind w:left="5040" w:hanging="360"/>
      </w:pPr>
    </w:lvl>
    <w:lvl w:ilvl="7">
      <w:start w:val="19"/>
      <w:numFmt w:val="decimal"/>
      <w:lvlText w:val="(%8)"/>
      <w:lvlJc w:val="left"/>
      <w:pPr>
        <w:ind w:left="5760" w:hanging="360"/>
      </w:pPr>
    </w:lvl>
    <w:lvl w:ilvl="8">
      <w:start w:val="19"/>
      <w:numFmt w:val="decimal"/>
      <w:lvlText w:val="(%9)"/>
      <w:lvlJc w:val="left"/>
      <w:pPr>
        <w:ind w:left="6480" w:hanging="360"/>
      </w:pPr>
    </w:lvl>
  </w:abstractNum>
  <w:abstractNum w:abstractNumId="994322">
    <w:nsid w:val="0A994322"/>
    <w:multiLevelType w:val="multilevel"/>
    <w:lvl w:ilvl="0">
      <w:start w:val="22"/>
      <w:numFmt w:val="decimal"/>
      <w:lvlText w:val="(%1)"/>
      <w:lvlJc w:val="left"/>
      <w:pPr>
        <w:ind w:left="720" w:hanging="360"/>
      </w:pPr>
    </w:lvl>
    <w:lvl w:ilvl="1">
      <w:start w:val="22"/>
      <w:numFmt w:val="decimal"/>
      <w:lvlText w:val="(%2)"/>
      <w:lvlJc w:val="left"/>
      <w:pPr>
        <w:ind w:left="1440" w:hanging="360"/>
      </w:pPr>
    </w:lvl>
    <w:lvl w:ilvl="2">
      <w:start w:val="22"/>
      <w:numFmt w:val="decimal"/>
      <w:lvlText w:val="(%3)"/>
      <w:lvlJc w:val="left"/>
      <w:pPr>
        <w:ind w:left="2160" w:hanging="360"/>
      </w:pPr>
    </w:lvl>
    <w:lvl w:ilvl="3">
      <w:start w:val="22"/>
      <w:numFmt w:val="decimal"/>
      <w:lvlText w:val="(%4)"/>
      <w:lvlJc w:val="left"/>
      <w:pPr>
        <w:ind w:left="2880" w:hanging="360"/>
      </w:pPr>
    </w:lvl>
    <w:lvl w:ilvl="4">
      <w:start w:val="22"/>
      <w:numFmt w:val="decimal"/>
      <w:lvlText w:val="(%5)"/>
      <w:lvlJc w:val="left"/>
      <w:pPr>
        <w:ind w:left="3600" w:hanging="360"/>
      </w:pPr>
    </w:lvl>
    <w:lvl w:ilvl="5">
      <w:start w:val="22"/>
      <w:numFmt w:val="decimal"/>
      <w:lvlText w:val="(%6)"/>
      <w:lvlJc w:val="left"/>
      <w:pPr>
        <w:ind w:left="4320" w:hanging="360"/>
      </w:pPr>
    </w:lvl>
    <w:lvl w:ilvl="6">
      <w:start w:val="22"/>
      <w:numFmt w:val="decimal"/>
      <w:lvlText w:val="(%7)"/>
      <w:lvlJc w:val="left"/>
      <w:pPr>
        <w:ind w:left="5040" w:hanging="360"/>
      </w:pPr>
    </w:lvl>
    <w:lvl w:ilvl="7">
      <w:start w:val="22"/>
      <w:numFmt w:val="decimal"/>
      <w:lvlText w:val="(%8)"/>
      <w:lvlJc w:val="left"/>
      <w:pPr>
        <w:ind w:left="5760" w:hanging="360"/>
      </w:pPr>
    </w:lvl>
    <w:lvl w:ilvl="8">
      <w:start w:val="22"/>
      <w:numFmt w:val="decimal"/>
      <w:lvlText w:val="(%9)"/>
      <w:lvlJc w:val="left"/>
      <w:pPr>
        <w:ind w:left="6480" w:hanging="360"/>
      </w:pPr>
    </w:lvl>
  </w:abstractNum>
  <w:abstractNum w:abstractNumId="994326">
    <w:nsid w:val="0A994326"/>
    <w:multiLevelType w:val="multilevel"/>
    <w:lvl w:ilvl="0">
      <w:start w:val="26"/>
      <w:numFmt w:val="decimal"/>
      <w:lvlText w:val="(%1)"/>
      <w:lvlJc w:val="left"/>
      <w:pPr>
        <w:ind w:left="720" w:hanging="360"/>
      </w:pPr>
    </w:lvl>
    <w:lvl w:ilvl="1">
      <w:start w:val="26"/>
      <w:numFmt w:val="decimal"/>
      <w:lvlText w:val="(%2)"/>
      <w:lvlJc w:val="left"/>
      <w:pPr>
        <w:ind w:left="1440" w:hanging="360"/>
      </w:pPr>
    </w:lvl>
    <w:lvl w:ilvl="2">
      <w:start w:val="26"/>
      <w:numFmt w:val="decimal"/>
      <w:lvlText w:val="(%3)"/>
      <w:lvlJc w:val="left"/>
      <w:pPr>
        <w:ind w:left="2160" w:hanging="360"/>
      </w:pPr>
    </w:lvl>
    <w:lvl w:ilvl="3">
      <w:start w:val="26"/>
      <w:numFmt w:val="decimal"/>
      <w:lvlText w:val="(%4)"/>
      <w:lvlJc w:val="left"/>
      <w:pPr>
        <w:ind w:left="2880" w:hanging="360"/>
      </w:pPr>
    </w:lvl>
    <w:lvl w:ilvl="4">
      <w:start w:val="26"/>
      <w:numFmt w:val="decimal"/>
      <w:lvlText w:val="(%5)"/>
      <w:lvlJc w:val="left"/>
      <w:pPr>
        <w:ind w:left="3600" w:hanging="360"/>
      </w:pPr>
    </w:lvl>
    <w:lvl w:ilvl="5">
      <w:start w:val="26"/>
      <w:numFmt w:val="decimal"/>
      <w:lvlText w:val="(%6)"/>
      <w:lvlJc w:val="left"/>
      <w:pPr>
        <w:ind w:left="4320" w:hanging="360"/>
      </w:pPr>
    </w:lvl>
    <w:lvl w:ilvl="6">
      <w:start w:val="26"/>
      <w:numFmt w:val="decimal"/>
      <w:lvlText w:val="(%7)"/>
      <w:lvlJc w:val="left"/>
      <w:pPr>
        <w:ind w:left="5040" w:hanging="360"/>
      </w:pPr>
    </w:lvl>
    <w:lvl w:ilvl="7">
      <w:start w:val="26"/>
      <w:numFmt w:val="decimal"/>
      <w:lvlText w:val="(%8)"/>
      <w:lvlJc w:val="left"/>
      <w:pPr>
        <w:ind w:left="5760" w:hanging="360"/>
      </w:pPr>
    </w:lvl>
    <w:lvl w:ilvl="8">
      <w:start w:val="26"/>
      <w:numFmt w:val="decimal"/>
      <w:lvlText w:val="(%9)"/>
      <w:lvlJc w:val="left"/>
      <w:pPr>
        <w:ind w:left="6480" w:hanging="360"/>
      </w:pPr>
    </w:lvl>
  </w:abstractNum>
  <w:abstractNum w:abstractNumId="994331">
    <w:nsid w:val="0A994331"/>
    <w:multiLevelType w:val="multilevel"/>
    <w:lvl w:ilvl="0">
      <w:start w:val="31"/>
      <w:numFmt w:val="decimal"/>
      <w:lvlText w:val="(%1)"/>
      <w:lvlJc w:val="left"/>
      <w:pPr>
        <w:ind w:left="720" w:hanging="360"/>
      </w:pPr>
    </w:lvl>
    <w:lvl w:ilvl="1">
      <w:start w:val="31"/>
      <w:numFmt w:val="decimal"/>
      <w:lvlText w:val="(%2)"/>
      <w:lvlJc w:val="left"/>
      <w:pPr>
        <w:ind w:left="1440" w:hanging="360"/>
      </w:pPr>
    </w:lvl>
    <w:lvl w:ilvl="2">
      <w:start w:val="31"/>
      <w:numFmt w:val="decimal"/>
      <w:lvlText w:val="(%3)"/>
      <w:lvlJc w:val="left"/>
      <w:pPr>
        <w:ind w:left="2160" w:hanging="360"/>
      </w:pPr>
    </w:lvl>
    <w:lvl w:ilvl="3">
      <w:start w:val="31"/>
      <w:numFmt w:val="decimal"/>
      <w:lvlText w:val="(%4)"/>
      <w:lvlJc w:val="left"/>
      <w:pPr>
        <w:ind w:left="2880" w:hanging="360"/>
      </w:pPr>
    </w:lvl>
    <w:lvl w:ilvl="4">
      <w:start w:val="31"/>
      <w:numFmt w:val="decimal"/>
      <w:lvlText w:val="(%5)"/>
      <w:lvlJc w:val="left"/>
      <w:pPr>
        <w:ind w:left="3600" w:hanging="360"/>
      </w:pPr>
    </w:lvl>
    <w:lvl w:ilvl="5">
      <w:start w:val="31"/>
      <w:numFmt w:val="decimal"/>
      <w:lvlText w:val="(%6)"/>
      <w:lvlJc w:val="left"/>
      <w:pPr>
        <w:ind w:left="4320" w:hanging="360"/>
      </w:pPr>
    </w:lvl>
    <w:lvl w:ilvl="6">
      <w:start w:val="31"/>
      <w:numFmt w:val="decimal"/>
      <w:lvlText w:val="(%7)"/>
      <w:lvlJc w:val="left"/>
      <w:pPr>
        <w:ind w:left="5040" w:hanging="360"/>
      </w:pPr>
    </w:lvl>
    <w:lvl w:ilvl="7">
      <w:start w:val="31"/>
      <w:numFmt w:val="decimal"/>
      <w:lvlText w:val="(%8)"/>
      <w:lvlJc w:val="left"/>
      <w:pPr>
        <w:ind w:left="5760" w:hanging="360"/>
      </w:pPr>
    </w:lvl>
    <w:lvl w:ilvl="8">
      <w:start w:val="31"/>
      <w:numFmt w:val="decimal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4336">
    <w:nsid w:val="0A994336"/>
    <w:multiLevelType w:val="multilevel"/>
    <w:lvl w:ilvl="0">
      <w:start w:val="36"/>
      <w:numFmt w:val="decimal"/>
      <w:lvlText w:val="(%1)"/>
      <w:lvlJc w:val="left"/>
      <w:pPr>
        <w:ind w:left="720" w:hanging="360"/>
      </w:pPr>
    </w:lvl>
    <w:lvl w:ilvl="1">
      <w:start w:val="36"/>
      <w:numFmt w:val="decimal"/>
      <w:lvlText w:val="(%2)"/>
      <w:lvlJc w:val="left"/>
      <w:pPr>
        <w:ind w:left="1440" w:hanging="360"/>
      </w:pPr>
    </w:lvl>
    <w:lvl w:ilvl="2">
      <w:start w:val="36"/>
      <w:numFmt w:val="decimal"/>
      <w:lvlText w:val="(%3)"/>
      <w:lvlJc w:val="left"/>
      <w:pPr>
        <w:ind w:left="2160" w:hanging="360"/>
      </w:pPr>
    </w:lvl>
    <w:lvl w:ilvl="3">
      <w:start w:val="36"/>
      <w:numFmt w:val="decimal"/>
      <w:lvlText w:val="(%4)"/>
      <w:lvlJc w:val="left"/>
      <w:pPr>
        <w:ind w:left="2880" w:hanging="360"/>
      </w:pPr>
    </w:lvl>
    <w:lvl w:ilvl="4">
      <w:start w:val="36"/>
      <w:numFmt w:val="decimal"/>
      <w:lvlText w:val="(%5)"/>
      <w:lvlJc w:val="left"/>
      <w:pPr>
        <w:ind w:left="3600" w:hanging="360"/>
      </w:pPr>
    </w:lvl>
    <w:lvl w:ilvl="5">
      <w:start w:val="36"/>
      <w:numFmt w:val="decimal"/>
      <w:lvlText w:val="(%6)"/>
      <w:lvlJc w:val="left"/>
      <w:pPr>
        <w:ind w:left="4320" w:hanging="360"/>
      </w:pPr>
    </w:lvl>
    <w:lvl w:ilvl="6">
      <w:start w:val="36"/>
      <w:numFmt w:val="decimal"/>
      <w:lvlText w:val="(%7)"/>
      <w:lvlJc w:val="left"/>
      <w:pPr>
        <w:ind w:left="5040" w:hanging="360"/>
      </w:pPr>
    </w:lvl>
    <w:lvl w:ilvl="7">
      <w:start w:val="36"/>
      <w:numFmt w:val="decimal"/>
      <w:lvlText w:val="(%8)"/>
      <w:lvlJc w:val="left"/>
      <w:pPr>
        <w:ind w:left="5760" w:hanging="360"/>
      </w:pPr>
    </w:lvl>
    <w:lvl w:ilvl="8">
      <w:start w:val="36"/>
      <w:numFmt w:val="decimal"/>
      <w:lvlText w:val="(%9)"/>
      <w:lvlJc w:val="left"/>
      <w:pPr>
        <w:ind w:left="6480" w:hanging="360"/>
      </w:pPr>
    </w:lvl>
  </w:abstractNum>
  <w:abstractNum w:abstractNumId="994341">
    <w:nsid w:val="0A994341"/>
    <w:multiLevelType w:val="multilevel"/>
    <w:lvl w:ilvl="0">
      <w:start w:val="41"/>
      <w:numFmt w:val="decimal"/>
      <w:lvlText w:val="(%1)"/>
      <w:lvlJc w:val="left"/>
      <w:pPr>
        <w:ind w:left="720" w:hanging="360"/>
      </w:pPr>
    </w:lvl>
    <w:lvl w:ilvl="1">
      <w:start w:val="41"/>
      <w:numFmt w:val="decimal"/>
      <w:lvlText w:val="(%2)"/>
      <w:lvlJc w:val="left"/>
      <w:pPr>
        <w:ind w:left="1440" w:hanging="360"/>
      </w:pPr>
    </w:lvl>
    <w:lvl w:ilvl="2">
      <w:start w:val="41"/>
      <w:numFmt w:val="decimal"/>
      <w:lvlText w:val="(%3)"/>
      <w:lvlJc w:val="left"/>
      <w:pPr>
        <w:ind w:left="2160" w:hanging="360"/>
      </w:pPr>
    </w:lvl>
    <w:lvl w:ilvl="3">
      <w:start w:val="41"/>
      <w:numFmt w:val="decimal"/>
      <w:lvlText w:val="(%4)"/>
      <w:lvlJc w:val="left"/>
      <w:pPr>
        <w:ind w:left="2880" w:hanging="360"/>
      </w:pPr>
    </w:lvl>
    <w:lvl w:ilvl="4">
      <w:start w:val="41"/>
      <w:numFmt w:val="decimal"/>
      <w:lvlText w:val="(%5)"/>
      <w:lvlJc w:val="left"/>
      <w:pPr>
        <w:ind w:left="3600" w:hanging="360"/>
      </w:pPr>
    </w:lvl>
    <w:lvl w:ilvl="5">
      <w:start w:val="41"/>
      <w:numFmt w:val="decimal"/>
      <w:lvlText w:val="(%6)"/>
      <w:lvlJc w:val="left"/>
      <w:pPr>
        <w:ind w:left="4320" w:hanging="360"/>
      </w:pPr>
    </w:lvl>
    <w:lvl w:ilvl="6">
      <w:start w:val="41"/>
      <w:numFmt w:val="decimal"/>
      <w:lvlText w:val="(%7)"/>
      <w:lvlJc w:val="left"/>
      <w:pPr>
        <w:ind w:left="5040" w:hanging="360"/>
      </w:pPr>
    </w:lvl>
    <w:lvl w:ilvl="7">
      <w:start w:val="41"/>
      <w:numFmt w:val="decimal"/>
      <w:lvlText w:val="(%8)"/>
      <w:lvlJc w:val="left"/>
      <w:pPr>
        <w:ind w:left="5760" w:hanging="360"/>
      </w:pPr>
    </w:lvl>
    <w:lvl w:ilvl="8">
      <w:start w:val="41"/>
      <w:numFmt w:val="decimal"/>
      <w:lvlText w:val="(%9)"/>
      <w:lvlJc w:val="left"/>
      <w:pPr>
        <w:ind w:left="6480" w:hanging="360"/>
      </w:pPr>
    </w:lvl>
  </w:abstractNum>
  <w:abstractNum w:abstractNumId="99412015">
    <w:nsid w:val="A99412015"/>
    <w:multiLevelType w:val="multilevel"/>
    <w:lvl w:ilvl="0">
      <w:start w:val="2015"/>
      <w:numFmt w:val="decimal"/>
      <w:lvlText w:val="%1."/>
      <w:lvlJc w:val="left"/>
      <w:pPr>
        <w:ind w:left="720" w:hanging="360"/>
      </w:pPr>
    </w:lvl>
    <w:lvl w:ilvl="1">
      <w:start w:val="2015"/>
      <w:numFmt w:val="decimal"/>
      <w:lvlText w:val="%2."/>
      <w:lvlJc w:val="left"/>
      <w:pPr>
        <w:ind w:left="1440" w:hanging="360"/>
      </w:pPr>
    </w:lvl>
    <w:lvl w:ilvl="2">
      <w:start w:val="2015"/>
      <w:numFmt w:val="decimal"/>
      <w:lvlText w:val="%3."/>
      <w:lvlJc w:val="left"/>
      <w:pPr>
        <w:ind w:left="2160" w:hanging="360"/>
      </w:pPr>
    </w:lvl>
    <w:lvl w:ilvl="3">
      <w:start w:val="2015"/>
      <w:numFmt w:val="decimal"/>
      <w:lvlText w:val="%4."/>
      <w:lvlJc w:val="left"/>
      <w:pPr>
        <w:ind w:left="2880" w:hanging="360"/>
      </w:pPr>
    </w:lvl>
    <w:lvl w:ilvl="4">
      <w:start w:val="2015"/>
      <w:numFmt w:val="decimal"/>
      <w:lvlText w:val="%5."/>
      <w:lvlJc w:val="left"/>
      <w:pPr>
        <w:ind w:left="3600" w:hanging="360"/>
      </w:pPr>
    </w:lvl>
    <w:lvl w:ilvl="5">
      <w:start w:val="2015"/>
      <w:numFmt w:val="decimal"/>
      <w:lvlText w:val="%6."/>
      <w:lvlJc w:val="left"/>
      <w:pPr>
        <w:ind w:left="4320" w:hanging="360"/>
      </w:pPr>
    </w:lvl>
    <w:lvl w:ilvl="6">
      <w:start w:val="2015"/>
      <w:numFmt w:val="decimal"/>
      <w:lvlText w:val="%7."/>
      <w:lvlJc w:val="left"/>
      <w:pPr>
        <w:ind w:left="5040" w:hanging="360"/>
      </w:pPr>
    </w:lvl>
    <w:lvl w:ilvl="7">
      <w:start w:val="2015"/>
      <w:numFmt w:val="decimal"/>
      <w:lvlText w:val="%8."/>
      <w:lvlJc w:val="left"/>
      <w:pPr>
        <w:ind w:left="5760" w:hanging="360"/>
      </w:pPr>
    </w:lvl>
    <w:lvl w:ilvl="8">
      <w:start w:val="2015"/>
      <w:numFmt w:val="decimal"/>
      <w:lvlText w:val="%9."/>
      <w:lvlJc w:val="left"/>
      <w:pPr>
        <w:ind w:left="6480" w:hanging="360"/>
      </w:pPr>
    </w:lvl>
  </w:abstractNum>
  <w:abstractNum w:abstractNumId="994344">
    <w:nsid w:val="0A994344"/>
    <w:multiLevelType w:val="multilevel"/>
    <w:lvl w:ilvl="0">
      <w:start w:val="44"/>
      <w:numFmt w:val="decimal"/>
      <w:lvlText w:val="(%1)"/>
      <w:lvlJc w:val="left"/>
      <w:pPr>
        <w:ind w:left="720" w:hanging="360"/>
      </w:pPr>
    </w:lvl>
    <w:lvl w:ilvl="1">
      <w:start w:val="44"/>
      <w:numFmt w:val="decimal"/>
      <w:lvlText w:val="(%2)"/>
      <w:lvlJc w:val="left"/>
      <w:pPr>
        <w:ind w:left="1440" w:hanging="360"/>
      </w:pPr>
    </w:lvl>
    <w:lvl w:ilvl="2">
      <w:start w:val="44"/>
      <w:numFmt w:val="decimal"/>
      <w:lvlText w:val="(%3)"/>
      <w:lvlJc w:val="left"/>
      <w:pPr>
        <w:ind w:left="2160" w:hanging="360"/>
      </w:pPr>
    </w:lvl>
    <w:lvl w:ilvl="3">
      <w:start w:val="44"/>
      <w:numFmt w:val="decimal"/>
      <w:lvlText w:val="(%4)"/>
      <w:lvlJc w:val="left"/>
      <w:pPr>
        <w:ind w:left="2880" w:hanging="360"/>
      </w:pPr>
    </w:lvl>
    <w:lvl w:ilvl="4">
      <w:start w:val="44"/>
      <w:numFmt w:val="decimal"/>
      <w:lvlText w:val="(%5)"/>
      <w:lvlJc w:val="left"/>
      <w:pPr>
        <w:ind w:left="3600" w:hanging="360"/>
      </w:pPr>
    </w:lvl>
    <w:lvl w:ilvl="5">
      <w:start w:val="44"/>
      <w:numFmt w:val="decimal"/>
      <w:lvlText w:val="(%6)"/>
      <w:lvlJc w:val="left"/>
      <w:pPr>
        <w:ind w:left="4320" w:hanging="360"/>
      </w:pPr>
    </w:lvl>
    <w:lvl w:ilvl="6">
      <w:start w:val="44"/>
      <w:numFmt w:val="decimal"/>
      <w:lvlText w:val="(%7)"/>
      <w:lvlJc w:val="left"/>
      <w:pPr>
        <w:ind w:left="5040" w:hanging="360"/>
      </w:pPr>
    </w:lvl>
    <w:lvl w:ilvl="7">
      <w:start w:val="44"/>
      <w:numFmt w:val="decimal"/>
      <w:lvlText w:val="(%8)"/>
      <w:lvlJc w:val="left"/>
      <w:pPr>
        <w:ind w:left="5760" w:hanging="360"/>
      </w:pPr>
    </w:lvl>
    <w:lvl w:ilvl="8">
      <w:start w:val="44"/>
      <w:numFmt w:val="decimal"/>
      <w:lvlText w:val="(%9)"/>
      <w:lvlJc w:val="left"/>
      <w:pPr>
        <w:ind w:left="6480" w:hanging="360"/>
      </w:pPr>
    </w:lvl>
  </w:abstractNum>
  <w:abstractNum w:abstractNumId="994351">
    <w:nsid w:val="0A994351"/>
    <w:multiLevelType w:val="multilevel"/>
    <w:lvl w:ilvl="0">
      <w:start w:val="51"/>
      <w:numFmt w:val="decimal"/>
      <w:lvlText w:val="(%1)"/>
      <w:lvlJc w:val="left"/>
      <w:pPr>
        <w:ind w:left="720" w:hanging="360"/>
      </w:pPr>
    </w:lvl>
    <w:lvl w:ilvl="1">
      <w:start w:val="51"/>
      <w:numFmt w:val="decimal"/>
      <w:lvlText w:val="(%2)"/>
      <w:lvlJc w:val="left"/>
      <w:pPr>
        <w:ind w:left="1440" w:hanging="360"/>
      </w:pPr>
    </w:lvl>
    <w:lvl w:ilvl="2">
      <w:start w:val="51"/>
      <w:numFmt w:val="decimal"/>
      <w:lvlText w:val="(%3)"/>
      <w:lvlJc w:val="left"/>
      <w:pPr>
        <w:ind w:left="2160" w:hanging="360"/>
      </w:pPr>
    </w:lvl>
    <w:lvl w:ilvl="3">
      <w:start w:val="51"/>
      <w:numFmt w:val="decimal"/>
      <w:lvlText w:val="(%4)"/>
      <w:lvlJc w:val="left"/>
      <w:pPr>
        <w:ind w:left="2880" w:hanging="360"/>
      </w:pPr>
    </w:lvl>
    <w:lvl w:ilvl="4">
      <w:start w:val="51"/>
      <w:numFmt w:val="decimal"/>
      <w:lvlText w:val="(%5)"/>
      <w:lvlJc w:val="left"/>
      <w:pPr>
        <w:ind w:left="3600" w:hanging="360"/>
      </w:pPr>
    </w:lvl>
    <w:lvl w:ilvl="5">
      <w:start w:val="51"/>
      <w:numFmt w:val="decimal"/>
      <w:lvlText w:val="(%6)"/>
      <w:lvlJc w:val="left"/>
      <w:pPr>
        <w:ind w:left="4320" w:hanging="360"/>
      </w:pPr>
    </w:lvl>
    <w:lvl w:ilvl="6">
      <w:start w:val="51"/>
      <w:numFmt w:val="decimal"/>
      <w:lvlText w:val="(%7)"/>
      <w:lvlJc w:val="left"/>
      <w:pPr>
        <w:ind w:left="5040" w:hanging="360"/>
      </w:pPr>
    </w:lvl>
    <w:lvl w:ilvl="7">
      <w:start w:val="51"/>
      <w:numFmt w:val="decimal"/>
      <w:lvlText w:val="(%8)"/>
      <w:lvlJc w:val="left"/>
      <w:pPr>
        <w:ind w:left="5760" w:hanging="360"/>
      </w:pPr>
    </w:lvl>
    <w:lvl w:ilvl="8">
      <w:start w:val="51"/>
      <w:numFmt w:val="decimal"/>
      <w:lvlText w:val="(%9)"/>
      <w:lvlJc w:val="left"/>
      <w:pPr>
        <w:ind w:left="6480" w:hanging="360"/>
      </w:pPr>
    </w:lvl>
  </w:abstractNum>
  <w:abstractNum w:abstractNumId="994355">
    <w:nsid w:val="0A994355"/>
    <w:multiLevelType w:val="multilevel"/>
    <w:lvl w:ilvl="0">
      <w:start w:val="55"/>
      <w:numFmt w:val="decimal"/>
      <w:lvlText w:val="(%1)"/>
      <w:lvlJc w:val="left"/>
      <w:pPr>
        <w:ind w:left="720" w:hanging="360"/>
      </w:pPr>
    </w:lvl>
    <w:lvl w:ilvl="1">
      <w:start w:val="55"/>
      <w:numFmt w:val="decimal"/>
      <w:lvlText w:val="(%2)"/>
      <w:lvlJc w:val="left"/>
      <w:pPr>
        <w:ind w:left="1440" w:hanging="360"/>
      </w:pPr>
    </w:lvl>
    <w:lvl w:ilvl="2">
      <w:start w:val="55"/>
      <w:numFmt w:val="decimal"/>
      <w:lvlText w:val="(%3)"/>
      <w:lvlJc w:val="left"/>
      <w:pPr>
        <w:ind w:left="2160" w:hanging="360"/>
      </w:pPr>
    </w:lvl>
    <w:lvl w:ilvl="3">
      <w:start w:val="55"/>
      <w:numFmt w:val="decimal"/>
      <w:lvlText w:val="(%4)"/>
      <w:lvlJc w:val="left"/>
      <w:pPr>
        <w:ind w:left="2880" w:hanging="360"/>
      </w:pPr>
    </w:lvl>
    <w:lvl w:ilvl="4">
      <w:start w:val="55"/>
      <w:numFmt w:val="decimal"/>
      <w:lvlText w:val="(%5)"/>
      <w:lvlJc w:val="left"/>
      <w:pPr>
        <w:ind w:left="3600" w:hanging="360"/>
      </w:pPr>
    </w:lvl>
    <w:lvl w:ilvl="5">
      <w:start w:val="55"/>
      <w:numFmt w:val="decimal"/>
      <w:lvlText w:val="(%6)"/>
      <w:lvlJc w:val="left"/>
      <w:pPr>
        <w:ind w:left="4320" w:hanging="360"/>
      </w:pPr>
    </w:lvl>
    <w:lvl w:ilvl="6">
      <w:start w:val="55"/>
      <w:numFmt w:val="decimal"/>
      <w:lvlText w:val="(%7)"/>
      <w:lvlJc w:val="left"/>
      <w:pPr>
        <w:ind w:left="5040" w:hanging="360"/>
      </w:pPr>
    </w:lvl>
    <w:lvl w:ilvl="7">
      <w:start w:val="55"/>
      <w:numFmt w:val="decimal"/>
      <w:lvlText w:val="(%8)"/>
      <w:lvlJc w:val="left"/>
      <w:pPr>
        <w:ind w:left="5760" w:hanging="360"/>
      </w:pPr>
    </w:lvl>
    <w:lvl w:ilvl="8">
      <w:start w:val="55"/>
      <w:numFmt w:val="decimal"/>
      <w:lvlText w:val="(%9)"/>
      <w:lvlJc w:val="left"/>
      <w:pPr>
        <w:ind w:left="6480" w:hanging="360"/>
      </w:pPr>
    </w:lvl>
  </w:abstractNum>
  <w:abstractNum w:abstractNumId="994360">
    <w:nsid w:val="0A994360"/>
    <w:multiLevelType w:val="multilevel"/>
    <w:lvl w:ilvl="0">
      <w:start w:val="60"/>
      <w:numFmt w:val="decimal"/>
      <w:lvlText w:val="(%1)"/>
      <w:lvlJc w:val="left"/>
      <w:pPr>
        <w:ind w:left="720" w:hanging="360"/>
      </w:pPr>
    </w:lvl>
    <w:lvl w:ilvl="1">
      <w:start w:val="60"/>
      <w:numFmt w:val="decimal"/>
      <w:lvlText w:val="(%2)"/>
      <w:lvlJc w:val="left"/>
      <w:pPr>
        <w:ind w:left="1440" w:hanging="360"/>
      </w:pPr>
    </w:lvl>
    <w:lvl w:ilvl="2">
      <w:start w:val="60"/>
      <w:numFmt w:val="decimal"/>
      <w:lvlText w:val="(%3)"/>
      <w:lvlJc w:val="left"/>
      <w:pPr>
        <w:ind w:left="2160" w:hanging="360"/>
      </w:pPr>
    </w:lvl>
    <w:lvl w:ilvl="3">
      <w:start w:val="60"/>
      <w:numFmt w:val="decimal"/>
      <w:lvlText w:val="(%4)"/>
      <w:lvlJc w:val="left"/>
      <w:pPr>
        <w:ind w:left="2880" w:hanging="360"/>
      </w:pPr>
    </w:lvl>
    <w:lvl w:ilvl="4">
      <w:start w:val="60"/>
      <w:numFmt w:val="decimal"/>
      <w:lvlText w:val="(%5)"/>
      <w:lvlJc w:val="left"/>
      <w:pPr>
        <w:ind w:left="3600" w:hanging="360"/>
      </w:pPr>
    </w:lvl>
    <w:lvl w:ilvl="5">
      <w:start w:val="60"/>
      <w:numFmt w:val="decimal"/>
      <w:lvlText w:val="(%6)"/>
      <w:lvlJc w:val="left"/>
      <w:pPr>
        <w:ind w:left="4320" w:hanging="360"/>
      </w:pPr>
    </w:lvl>
    <w:lvl w:ilvl="6">
      <w:start w:val="60"/>
      <w:numFmt w:val="decimal"/>
      <w:lvlText w:val="(%7)"/>
      <w:lvlJc w:val="left"/>
      <w:pPr>
        <w:ind w:left="5040" w:hanging="360"/>
      </w:pPr>
    </w:lvl>
    <w:lvl w:ilvl="7">
      <w:start w:val="60"/>
      <w:numFmt w:val="decimal"/>
      <w:lvlText w:val="(%8)"/>
      <w:lvlJc w:val="left"/>
      <w:pPr>
        <w:ind w:left="5760" w:hanging="360"/>
      </w:pPr>
    </w:lvl>
    <w:lvl w:ilvl="8">
      <w:start w:val="60"/>
      <w:numFmt w:val="decimal"/>
      <w:lvlText w:val="(%9)"/>
      <w:lvlJc w:val="left"/>
      <w:pPr>
        <w:ind w:left="6480" w:hanging="360"/>
      </w:pPr>
    </w:lvl>
  </w:abstractNum>
  <w:abstractNum w:abstractNumId="994367">
    <w:nsid w:val="0A994367"/>
    <w:multiLevelType w:val="multilevel"/>
    <w:lvl w:ilvl="0">
      <w:start w:val="67"/>
      <w:numFmt w:val="decimal"/>
      <w:lvlText w:val="(%1)"/>
      <w:lvlJc w:val="left"/>
      <w:pPr>
        <w:ind w:left="720" w:hanging="360"/>
      </w:pPr>
    </w:lvl>
    <w:lvl w:ilvl="1">
      <w:start w:val="67"/>
      <w:numFmt w:val="decimal"/>
      <w:lvlText w:val="(%2)"/>
      <w:lvlJc w:val="left"/>
      <w:pPr>
        <w:ind w:left="1440" w:hanging="360"/>
      </w:pPr>
    </w:lvl>
    <w:lvl w:ilvl="2">
      <w:start w:val="67"/>
      <w:numFmt w:val="decimal"/>
      <w:lvlText w:val="(%3)"/>
      <w:lvlJc w:val="left"/>
      <w:pPr>
        <w:ind w:left="2160" w:hanging="360"/>
      </w:pPr>
    </w:lvl>
    <w:lvl w:ilvl="3">
      <w:start w:val="67"/>
      <w:numFmt w:val="decimal"/>
      <w:lvlText w:val="(%4)"/>
      <w:lvlJc w:val="left"/>
      <w:pPr>
        <w:ind w:left="2880" w:hanging="360"/>
      </w:pPr>
    </w:lvl>
    <w:lvl w:ilvl="4">
      <w:start w:val="67"/>
      <w:numFmt w:val="decimal"/>
      <w:lvlText w:val="(%5)"/>
      <w:lvlJc w:val="left"/>
      <w:pPr>
        <w:ind w:left="3600" w:hanging="360"/>
      </w:pPr>
    </w:lvl>
    <w:lvl w:ilvl="5">
      <w:start w:val="67"/>
      <w:numFmt w:val="decimal"/>
      <w:lvlText w:val="(%6)"/>
      <w:lvlJc w:val="left"/>
      <w:pPr>
        <w:ind w:left="4320" w:hanging="360"/>
      </w:pPr>
    </w:lvl>
    <w:lvl w:ilvl="6">
      <w:start w:val="67"/>
      <w:numFmt w:val="decimal"/>
      <w:lvlText w:val="(%7)"/>
      <w:lvlJc w:val="left"/>
      <w:pPr>
        <w:ind w:left="5040" w:hanging="360"/>
      </w:pPr>
    </w:lvl>
    <w:lvl w:ilvl="7">
      <w:start w:val="67"/>
      <w:numFmt w:val="decimal"/>
      <w:lvlText w:val="(%8)"/>
      <w:lvlJc w:val="left"/>
      <w:pPr>
        <w:ind w:left="5760" w:hanging="360"/>
      </w:pPr>
    </w:lvl>
    <w:lvl w:ilvl="8">
      <w:start w:val="67"/>
      <w:numFmt w:val="decimal"/>
      <w:lvlText w:val="(%9)"/>
      <w:lvlJc w:val="left"/>
      <w:pPr>
        <w:ind w:left="6480" w:hanging="360"/>
      </w:pPr>
    </w:lvl>
  </w:abstractNum>
  <w:abstractNum w:abstractNumId="994368">
    <w:nsid w:val="0A994368"/>
    <w:multiLevelType w:val="multilevel"/>
    <w:lvl w:ilvl="0">
      <w:start w:val="68"/>
      <w:numFmt w:val="decimal"/>
      <w:lvlText w:val="(%1)"/>
      <w:lvlJc w:val="left"/>
      <w:pPr>
        <w:ind w:left="720" w:hanging="360"/>
      </w:pPr>
    </w:lvl>
    <w:lvl w:ilvl="1">
      <w:start w:val="68"/>
      <w:numFmt w:val="decimal"/>
      <w:lvlText w:val="(%2)"/>
      <w:lvlJc w:val="left"/>
      <w:pPr>
        <w:ind w:left="1440" w:hanging="360"/>
      </w:pPr>
    </w:lvl>
    <w:lvl w:ilvl="2">
      <w:start w:val="68"/>
      <w:numFmt w:val="decimal"/>
      <w:lvlText w:val="(%3)"/>
      <w:lvlJc w:val="left"/>
      <w:pPr>
        <w:ind w:left="2160" w:hanging="360"/>
      </w:pPr>
    </w:lvl>
    <w:lvl w:ilvl="3">
      <w:start w:val="68"/>
      <w:numFmt w:val="decimal"/>
      <w:lvlText w:val="(%4)"/>
      <w:lvlJc w:val="left"/>
      <w:pPr>
        <w:ind w:left="2880" w:hanging="360"/>
      </w:pPr>
    </w:lvl>
    <w:lvl w:ilvl="4">
      <w:start w:val="68"/>
      <w:numFmt w:val="decimal"/>
      <w:lvlText w:val="(%5)"/>
      <w:lvlJc w:val="left"/>
      <w:pPr>
        <w:ind w:left="3600" w:hanging="360"/>
      </w:pPr>
    </w:lvl>
    <w:lvl w:ilvl="5">
      <w:start w:val="68"/>
      <w:numFmt w:val="decimal"/>
      <w:lvlText w:val="(%6)"/>
      <w:lvlJc w:val="left"/>
      <w:pPr>
        <w:ind w:left="4320" w:hanging="360"/>
      </w:pPr>
    </w:lvl>
    <w:lvl w:ilvl="6">
      <w:start w:val="68"/>
      <w:numFmt w:val="decimal"/>
      <w:lvlText w:val="(%7)"/>
      <w:lvlJc w:val="left"/>
      <w:pPr>
        <w:ind w:left="5040" w:hanging="360"/>
      </w:pPr>
    </w:lvl>
    <w:lvl w:ilvl="7">
      <w:start w:val="68"/>
      <w:numFmt w:val="decimal"/>
      <w:lvlText w:val="(%8)"/>
      <w:lvlJc w:val="left"/>
      <w:pPr>
        <w:ind w:left="5760" w:hanging="360"/>
      </w:pPr>
    </w:lvl>
    <w:lvl w:ilvl="8">
      <w:start w:val="68"/>
      <w:numFmt w:val="decimal"/>
      <w:lvlText w:val="(%9)"/>
      <w:lvlJc w:val="left"/>
      <w:pPr>
        <w:ind w:left="6480" w:hanging="360"/>
      </w:pPr>
    </w:lvl>
  </w:abstractNum>
  <w:abstractNum w:abstractNumId="994370">
    <w:nsid w:val="0A994370"/>
    <w:multiLevelType w:val="multilevel"/>
    <w:lvl w:ilvl="0">
      <w:start w:val="70"/>
      <w:numFmt w:val="decimal"/>
      <w:lvlText w:val="(%1)"/>
      <w:lvlJc w:val="left"/>
      <w:pPr>
        <w:ind w:left="720" w:hanging="360"/>
      </w:pPr>
    </w:lvl>
    <w:lvl w:ilvl="1">
      <w:start w:val="70"/>
      <w:numFmt w:val="decimal"/>
      <w:lvlText w:val="(%2)"/>
      <w:lvlJc w:val="left"/>
      <w:pPr>
        <w:ind w:left="1440" w:hanging="360"/>
      </w:pPr>
    </w:lvl>
    <w:lvl w:ilvl="2">
      <w:start w:val="70"/>
      <w:numFmt w:val="decimal"/>
      <w:lvlText w:val="(%3)"/>
      <w:lvlJc w:val="left"/>
      <w:pPr>
        <w:ind w:left="2160" w:hanging="360"/>
      </w:pPr>
    </w:lvl>
    <w:lvl w:ilvl="3">
      <w:start w:val="70"/>
      <w:numFmt w:val="decimal"/>
      <w:lvlText w:val="(%4)"/>
      <w:lvlJc w:val="left"/>
      <w:pPr>
        <w:ind w:left="2880" w:hanging="360"/>
      </w:pPr>
    </w:lvl>
    <w:lvl w:ilvl="4">
      <w:start w:val="70"/>
      <w:numFmt w:val="decimal"/>
      <w:lvlText w:val="(%5)"/>
      <w:lvlJc w:val="left"/>
      <w:pPr>
        <w:ind w:left="3600" w:hanging="360"/>
      </w:pPr>
    </w:lvl>
    <w:lvl w:ilvl="5">
      <w:start w:val="70"/>
      <w:numFmt w:val="decimal"/>
      <w:lvlText w:val="(%6)"/>
      <w:lvlJc w:val="left"/>
      <w:pPr>
        <w:ind w:left="4320" w:hanging="360"/>
      </w:pPr>
    </w:lvl>
    <w:lvl w:ilvl="6">
      <w:start w:val="70"/>
      <w:numFmt w:val="decimal"/>
      <w:lvlText w:val="(%7)"/>
      <w:lvlJc w:val="left"/>
      <w:pPr>
        <w:ind w:left="5040" w:hanging="360"/>
      </w:pPr>
    </w:lvl>
    <w:lvl w:ilvl="7">
      <w:start w:val="70"/>
      <w:numFmt w:val="decimal"/>
      <w:lvlText w:val="(%8)"/>
      <w:lvlJc w:val="left"/>
      <w:pPr>
        <w:ind w:left="5760" w:hanging="360"/>
      </w:pPr>
    </w:lvl>
    <w:lvl w:ilvl="8">
      <w:start w:val="70"/>
      <w:numFmt w:val="decimal"/>
      <w:lvlText w:val="(%9)"/>
      <w:lvlJc w:val="left"/>
      <w:pPr>
        <w:ind w:left="6480" w:hanging="360"/>
      </w:pPr>
    </w:lvl>
  </w:abstractNum>
  <w:abstractNum w:abstractNumId="994371">
    <w:nsid w:val="0A994371"/>
    <w:multiLevelType w:val="multilevel"/>
    <w:lvl w:ilvl="0">
      <w:start w:val="71"/>
      <w:numFmt w:val="decimal"/>
      <w:lvlText w:val="(%1)"/>
      <w:lvlJc w:val="left"/>
      <w:pPr>
        <w:ind w:left="720" w:hanging="360"/>
      </w:pPr>
    </w:lvl>
    <w:lvl w:ilvl="1">
      <w:start w:val="71"/>
      <w:numFmt w:val="decimal"/>
      <w:lvlText w:val="(%2)"/>
      <w:lvlJc w:val="left"/>
      <w:pPr>
        <w:ind w:left="1440" w:hanging="360"/>
      </w:pPr>
    </w:lvl>
    <w:lvl w:ilvl="2">
      <w:start w:val="71"/>
      <w:numFmt w:val="decimal"/>
      <w:lvlText w:val="(%3)"/>
      <w:lvlJc w:val="left"/>
      <w:pPr>
        <w:ind w:left="2160" w:hanging="360"/>
      </w:pPr>
    </w:lvl>
    <w:lvl w:ilvl="3">
      <w:start w:val="71"/>
      <w:numFmt w:val="decimal"/>
      <w:lvlText w:val="(%4)"/>
      <w:lvlJc w:val="left"/>
      <w:pPr>
        <w:ind w:left="2880" w:hanging="360"/>
      </w:pPr>
    </w:lvl>
    <w:lvl w:ilvl="4">
      <w:start w:val="71"/>
      <w:numFmt w:val="decimal"/>
      <w:lvlText w:val="(%5)"/>
      <w:lvlJc w:val="left"/>
      <w:pPr>
        <w:ind w:left="3600" w:hanging="360"/>
      </w:pPr>
    </w:lvl>
    <w:lvl w:ilvl="5">
      <w:start w:val="71"/>
      <w:numFmt w:val="decimal"/>
      <w:lvlText w:val="(%6)"/>
      <w:lvlJc w:val="left"/>
      <w:pPr>
        <w:ind w:left="4320" w:hanging="360"/>
      </w:pPr>
    </w:lvl>
    <w:lvl w:ilvl="6">
      <w:start w:val="71"/>
      <w:numFmt w:val="decimal"/>
      <w:lvlText w:val="(%7)"/>
      <w:lvlJc w:val="left"/>
      <w:pPr>
        <w:ind w:left="5040" w:hanging="360"/>
      </w:pPr>
    </w:lvl>
    <w:lvl w:ilvl="7">
      <w:start w:val="71"/>
      <w:numFmt w:val="decimal"/>
      <w:lvlText w:val="(%8)"/>
      <w:lvlJc w:val="left"/>
      <w:pPr>
        <w:ind w:left="5760" w:hanging="360"/>
      </w:pPr>
    </w:lvl>
    <w:lvl w:ilvl="8">
      <w:start w:val="71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5">
    <w:nsid w:val="0A994375"/>
    <w:multiLevelType w:val="multilevel"/>
    <w:lvl w:ilvl="0">
      <w:start w:val="75"/>
      <w:numFmt w:val="decimal"/>
      <w:lvlText w:val="(%1)"/>
      <w:lvlJc w:val="left"/>
      <w:pPr>
        <w:ind w:left="720" w:hanging="360"/>
      </w:pPr>
    </w:lvl>
    <w:lvl w:ilvl="1">
      <w:start w:val="75"/>
      <w:numFmt w:val="decimal"/>
      <w:lvlText w:val="(%2)"/>
      <w:lvlJc w:val="left"/>
      <w:pPr>
        <w:ind w:left="1440" w:hanging="360"/>
      </w:pPr>
    </w:lvl>
    <w:lvl w:ilvl="2">
      <w:start w:val="75"/>
      <w:numFmt w:val="decimal"/>
      <w:lvlText w:val="(%3)"/>
      <w:lvlJc w:val="left"/>
      <w:pPr>
        <w:ind w:left="2160" w:hanging="360"/>
      </w:pPr>
    </w:lvl>
    <w:lvl w:ilvl="3">
      <w:start w:val="75"/>
      <w:numFmt w:val="decimal"/>
      <w:lvlText w:val="(%4)"/>
      <w:lvlJc w:val="left"/>
      <w:pPr>
        <w:ind w:left="2880" w:hanging="360"/>
      </w:pPr>
    </w:lvl>
    <w:lvl w:ilvl="4">
      <w:start w:val="75"/>
      <w:numFmt w:val="decimal"/>
      <w:lvlText w:val="(%5)"/>
      <w:lvlJc w:val="left"/>
      <w:pPr>
        <w:ind w:left="3600" w:hanging="360"/>
      </w:pPr>
    </w:lvl>
    <w:lvl w:ilvl="5">
      <w:start w:val="75"/>
      <w:numFmt w:val="decimal"/>
      <w:lvlText w:val="(%6)"/>
      <w:lvlJc w:val="left"/>
      <w:pPr>
        <w:ind w:left="4320" w:hanging="360"/>
      </w:pPr>
    </w:lvl>
    <w:lvl w:ilvl="6">
      <w:start w:val="75"/>
      <w:numFmt w:val="decimal"/>
      <w:lvlText w:val="(%7)"/>
      <w:lvlJc w:val="left"/>
      <w:pPr>
        <w:ind w:left="5040" w:hanging="360"/>
      </w:pPr>
    </w:lvl>
    <w:lvl w:ilvl="7">
      <w:start w:val="75"/>
      <w:numFmt w:val="decimal"/>
      <w:lvlText w:val="(%8)"/>
      <w:lvlJc w:val="left"/>
      <w:pPr>
        <w:ind w:left="5760" w:hanging="360"/>
      </w:pPr>
    </w:lvl>
    <w:lvl w:ilvl="8">
      <w:start w:val="75"/>
      <w:numFmt w:val="decimal"/>
      <w:lvlText w:val="(%9)"/>
      <w:lvlJc w:val="left"/>
      <w:pPr>
        <w:ind w:left="6480" w:hanging="360"/>
      </w:pPr>
    </w:lvl>
  </w:abstractNum>
  <w:abstractNum w:abstractNumId="994379">
    <w:nsid w:val="0A994379"/>
    <w:multiLevelType w:val="multilevel"/>
    <w:lvl w:ilvl="0">
      <w:start w:val="79"/>
      <w:numFmt w:val="decimal"/>
      <w:lvlText w:val="(%1)"/>
      <w:lvlJc w:val="left"/>
      <w:pPr>
        <w:ind w:left="720" w:hanging="360"/>
      </w:pPr>
    </w:lvl>
    <w:lvl w:ilvl="1">
      <w:start w:val="79"/>
      <w:numFmt w:val="decimal"/>
      <w:lvlText w:val="(%2)"/>
      <w:lvlJc w:val="left"/>
      <w:pPr>
        <w:ind w:left="1440" w:hanging="360"/>
      </w:pPr>
    </w:lvl>
    <w:lvl w:ilvl="2">
      <w:start w:val="79"/>
      <w:numFmt w:val="decimal"/>
      <w:lvlText w:val="(%3)"/>
      <w:lvlJc w:val="left"/>
      <w:pPr>
        <w:ind w:left="2160" w:hanging="360"/>
      </w:pPr>
    </w:lvl>
    <w:lvl w:ilvl="3">
      <w:start w:val="79"/>
      <w:numFmt w:val="decimal"/>
      <w:lvlText w:val="(%4)"/>
      <w:lvlJc w:val="left"/>
      <w:pPr>
        <w:ind w:left="2880" w:hanging="360"/>
      </w:pPr>
    </w:lvl>
    <w:lvl w:ilvl="4">
      <w:start w:val="79"/>
      <w:numFmt w:val="decimal"/>
      <w:lvlText w:val="(%5)"/>
      <w:lvlJc w:val="left"/>
      <w:pPr>
        <w:ind w:left="3600" w:hanging="360"/>
      </w:pPr>
    </w:lvl>
    <w:lvl w:ilvl="5">
      <w:start w:val="79"/>
      <w:numFmt w:val="decimal"/>
      <w:lvlText w:val="(%6)"/>
      <w:lvlJc w:val="left"/>
      <w:pPr>
        <w:ind w:left="4320" w:hanging="360"/>
      </w:pPr>
    </w:lvl>
    <w:lvl w:ilvl="6">
      <w:start w:val="79"/>
      <w:numFmt w:val="decimal"/>
      <w:lvlText w:val="(%7)"/>
      <w:lvlJc w:val="left"/>
      <w:pPr>
        <w:ind w:left="5040" w:hanging="360"/>
      </w:pPr>
    </w:lvl>
    <w:lvl w:ilvl="7">
      <w:start w:val="79"/>
      <w:numFmt w:val="decimal"/>
      <w:lvlText w:val="(%8)"/>
      <w:lvlJc w:val="left"/>
      <w:pPr>
        <w:ind w:left="5760" w:hanging="360"/>
      </w:pPr>
    </w:lvl>
    <w:lvl w:ilvl="8">
      <w:start w:val="79"/>
      <w:numFmt w:val="decimal"/>
      <w:lvlText w:val="(%9)"/>
      <w:lvlJc w:val="left"/>
      <w:pPr>
        <w:ind w:left="6480" w:hanging="360"/>
      </w:pPr>
    </w:lvl>
  </w:abstractNum>
  <w:abstractNum w:abstractNumId="994390">
    <w:nsid w:val="0A994390"/>
    <w:multiLevelType w:val="multilevel"/>
    <w:lvl w:ilvl="0">
      <w:start w:val="90"/>
      <w:numFmt w:val="decimal"/>
      <w:lvlText w:val="(%1)"/>
      <w:lvlJc w:val="left"/>
      <w:pPr>
        <w:ind w:left="720" w:hanging="360"/>
      </w:pPr>
    </w:lvl>
    <w:lvl w:ilvl="1">
      <w:start w:val="90"/>
      <w:numFmt w:val="decimal"/>
      <w:lvlText w:val="(%2)"/>
      <w:lvlJc w:val="left"/>
      <w:pPr>
        <w:ind w:left="1440" w:hanging="360"/>
      </w:pPr>
    </w:lvl>
    <w:lvl w:ilvl="2">
      <w:start w:val="90"/>
      <w:numFmt w:val="decimal"/>
      <w:lvlText w:val="(%3)"/>
      <w:lvlJc w:val="left"/>
      <w:pPr>
        <w:ind w:left="2160" w:hanging="360"/>
      </w:pPr>
    </w:lvl>
    <w:lvl w:ilvl="3">
      <w:start w:val="90"/>
      <w:numFmt w:val="decimal"/>
      <w:lvlText w:val="(%4)"/>
      <w:lvlJc w:val="left"/>
      <w:pPr>
        <w:ind w:left="2880" w:hanging="360"/>
      </w:pPr>
    </w:lvl>
    <w:lvl w:ilvl="4">
      <w:start w:val="90"/>
      <w:numFmt w:val="decimal"/>
      <w:lvlText w:val="(%5)"/>
      <w:lvlJc w:val="left"/>
      <w:pPr>
        <w:ind w:left="3600" w:hanging="360"/>
      </w:pPr>
    </w:lvl>
    <w:lvl w:ilvl="5">
      <w:start w:val="90"/>
      <w:numFmt w:val="decimal"/>
      <w:lvlText w:val="(%6)"/>
      <w:lvlJc w:val="left"/>
      <w:pPr>
        <w:ind w:left="4320" w:hanging="360"/>
      </w:pPr>
    </w:lvl>
    <w:lvl w:ilvl="6">
      <w:start w:val="90"/>
      <w:numFmt w:val="decimal"/>
      <w:lvlText w:val="(%7)"/>
      <w:lvlJc w:val="left"/>
      <w:pPr>
        <w:ind w:left="5040" w:hanging="360"/>
      </w:pPr>
    </w:lvl>
    <w:lvl w:ilvl="7">
      <w:start w:val="90"/>
      <w:numFmt w:val="decimal"/>
      <w:lvlText w:val="(%8)"/>
      <w:lvlJc w:val="left"/>
      <w:pPr>
        <w:ind w:left="5760" w:hanging="360"/>
      </w:pPr>
    </w:lvl>
    <w:lvl w:ilvl="8">
      <w:start w:val="90"/>
      <w:numFmt w:val="decimal"/>
      <w:lvlText w:val="(%9)"/>
      <w:lvlJc w:val="left"/>
      <w:pPr>
        <w:ind w:left="6480" w:hanging="360"/>
      </w:pPr>
    </w:lvl>
  </w:abstractNum>
  <w:abstractNum w:abstractNumId="994393">
    <w:nsid w:val="0A994393"/>
    <w:multiLevelType w:val="multilevel"/>
    <w:lvl w:ilvl="0">
      <w:start w:val="93"/>
      <w:numFmt w:val="decimal"/>
      <w:lvlText w:val="(%1)"/>
      <w:lvlJc w:val="left"/>
      <w:pPr>
        <w:ind w:left="720" w:hanging="360"/>
      </w:pPr>
    </w:lvl>
    <w:lvl w:ilvl="1">
      <w:start w:val="93"/>
      <w:numFmt w:val="decimal"/>
      <w:lvlText w:val="(%2)"/>
      <w:lvlJc w:val="left"/>
      <w:pPr>
        <w:ind w:left="1440" w:hanging="360"/>
      </w:pPr>
    </w:lvl>
    <w:lvl w:ilvl="2">
      <w:start w:val="93"/>
      <w:numFmt w:val="decimal"/>
      <w:lvlText w:val="(%3)"/>
      <w:lvlJc w:val="left"/>
      <w:pPr>
        <w:ind w:left="2160" w:hanging="360"/>
      </w:pPr>
    </w:lvl>
    <w:lvl w:ilvl="3">
      <w:start w:val="93"/>
      <w:numFmt w:val="decimal"/>
      <w:lvlText w:val="(%4)"/>
      <w:lvlJc w:val="left"/>
      <w:pPr>
        <w:ind w:left="2880" w:hanging="360"/>
      </w:pPr>
    </w:lvl>
    <w:lvl w:ilvl="4">
      <w:start w:val="93"/>
      <w:numFmt w:val="decimal"/>
      <w:lvlText w:val="(%5)"/>
      <w:lvlJc w:val="left"/>
      <w:pPr>
        <w:ind w:left="3600" w:hanging="360"/>
      </w:pPr>
    </w:lvl>
    <w:lvl w:ilvl="5">
      <w:start w:val="93"/>
      <w:numFmt w:val="decimal"/>
      <w:lvlText w:val="(%6)"/>
      <w:lvlJc w:val="left"/>
      <w:pPr>
        <w:ind w:left="4320" w:hanging="360"/>
      </w:pPr>
    </w:lvl>
    <w:lvl w:ilvl="6">
      <w:start w:val="93"/>
      <w:numFmt w:val="decimal"/>
      <w:lvlText w:val="(%7)"/>
      <w:lvlJc w:val="left"/>
      <w:pPr>
        <w:ind w:left="5040" w:hanging="360"/>
      </w:pPr>
    </w:lvl>
    <w:lvl w:ilvl="7">
      <w:start w:val="93"/>
      <w:numFmt w:val="decimal"/>
      <w:lvlText w:val="(%8)"/>
      <w:lvlJc w:val="left"/>
      <w:pPr>
        <w:ind w:left="5760" w:hanging="360"/>
      </w:pPr>
    </w:lvl>
    <w:lvl w:ilvl="8">
      <w:start w:val="93"/>
      <w:numFmt w:val="decimal"/>
      <w:lvlText w:val="(%9)"/>
      <w:lvlJc w:val="left"/>
      <w:pPr>
        <w:ind w:left="6480" w:hanging="360"/>
      </w:pPr>
    </w:lvl>
  </w:abstractNum>
  <w:abstractNum w:abstractNumId="994397">
    <w:nsid w:val="0A994397"/>
    <w:multiLevelType w:val="multilevel"/>
    <w:lvl w:ilvl="0">
      <w:start w:val="97"/>
      <w:numFmt w:val="decimal"/>
      <w:lvlText w:val="(%1)"/>
      <w:lvlJc w:val="left"/>
      <w:pPr>
        <w:ind w:left="720" w:hanging="360"/>
      </w:pPr>
    </w:lvl>
    <w:lvl w:ilvl="1">
      <w:start w:val="97"/>
      <w:numFmt w:val="decimal"/>
      <w:lvlText w:val="(%2)"/>
      <w:lvlJc w:val="left"/>
      <w:pPr>
        <w:ind w:left="1440" w:hanging="360"/>
      </w:pPr>
    </w:lvl>
    <w:lvl w:ilvl="2">
      <w:start w:val="97"/>
      <w:numFmt w:val="decimal"/>
      <w:lvlText w:val="(%3)"/>
      <w:lvlJc w:val="left"/>
      <w:pPr>
        <w:ind w:left="2160" w:hanging="360"/>
      </w:pPr>
    </w:lvl>
    <w:lvl w:ilvl="3">
      <w:start w:val="97"/>
      <w:numFmt w:val="decimal"/>
      <w:lvlText w:val="(%4)"/>
      <w:lvlJc w:val="left"/>
      <w:pPr>
        <w:ind w:left="2880" w:hanging="360"/>
      </w:pPr>
    </w:lvl>
    <w:lvl w:ilvl="4">
      <w:start w:val="97"/>
      <w:numFmt w:val="decimal"/>
      <w:lvlText w:val="(%5)"/>
      <w:lvlJc w:val="left"/>
      <w:pPr>
        <w:ind w:left="3600" w:hanging="360"/>
      </w:pPr>
    </w:lvl>
    <w:lvl w:ilvl="5">
      <w:start w:val="97"/>
      <w:numFmt w:val="decimal"/>
      <w:lvlText w:val="(%6)"/>
      <w:lvlJc w:val="left"/>
      <w:pPr>
        <w:ind w:left="4320" w:hanging="360"/>
      </w:pPr>
    </w:lvl>
    <w:lvl w:ilvl="6">
      <w:start w:val="97"/>
      <w:numFmt w:val="decimal"/>
      <w:lvlText w:val="(%7)"/>
      <w:lvlJc w:val="left"/>
      <w:pPr>
        <w:ind w:left="5040" w:hanging="360"/>
      </w:pPr>
    </w:lvl>
    <w:lvl w:ilvl="7">
      <w:start w:val="97"/>
      <w:numFmt w:val="decimal"/>
      <w:lvlText w:val="(%8)"/>
      <w:lvlJc w:val="left"/>
      <w:pPr>
        <w:ind w:left="5760" w:hanging="360"/>
      </w:pPr>
    </w:lvl>
    <w:lvl w:ilvl="8">
      <w:start w:val="97"/>
      <w:numFmt w:val="decimal"/>
      <w:lvlText w:val="(%9)"/>
      <w:lvlJc w:val="left"/>
      <w:pPr>
        <w:ind w:left="6480" w:hanging="360"/>
      </w:pPr>
    </w:lvl>
  </w:abstractNum>
  <w:abstractNum w:abstractNumId="9943101">
    <w:nsid w:val="A9943101"/>
    <w:multiLevelType w:val="multilevel"/>
    <w:lvl w:ilvl="0">
      <w:start w:val="101"/>
      <w:numFmt w:val="decimal"/>
      <w:lvlText w:val="(%1)"/>
      <w:lvlJc w:val="left"/>
      <w:pPr>
        <w:ind w:left="720" w:hanging="360"/>
      </w:pPr>
    </w:lvl>
    <w:lvl w:ilvl="1">
      <w:start w:val="101"/>
      <w:numFmt w:val="decimal"/>
      <w:lvlText w:val="(%2)"/>
      <w:lvlJc w:val="left"/>
      <w:pPr>
        <w:ind w:left="1440" w:hanging="360"/>
      </w:pPr>
    </w:lvl>
    <w:lvl w:ilvl="2">
      <w:start w:val="101"/>
      <w:numFmt w:val="decimal"/>
      <w:lvlText w:val="(%3)"/>
      <w:lvlJc w:val="left"/>
      <w:pPr>
        <w:ind w:left="2160" w:hanging="360"/>
      </w:pPr>
    </w:lvl>
    <w:lvl w:ilvl="3">
      <w:start w:val="101"/>
      <w:numFmt w:val="decimal"/>
      <w:lvlText w:val="(%4)"/>
      <w:lvlJc w:val="left"/>
      <w:pPr>
        <w:ind w:left="2880" w:hanging="360"/>
      </w:pPr>
    </w:lvl>
    <w:lvl w:ilvl="4">
      <w:start w:val="101"/>
      <w:numFmt w:val="decimal"/>
      <w:lvlText w:val="(%5)"/>
      <w:lvlJc w:val="left"/>
      <w:pPr>
        <w:ind w:left="3600" w:hanging="360"/>
      </w:pPr>
    </w:lvl>
    <w:lvl w:ilvl="5">
      <w:start w:val="101"/>
      <w:numFmt w:val="decimal"/>
      <w:lvlText w:val="(%6)"/>
      <w:lvlJc w:val="left"/>
      <w:pPr>
        <w:ind w:left="4320" w:hanging="360"/>
      </w:pPr>
    </w:lvl>
    <w:lvl w:ilvl="6">
      <w:start w:val="101"/>
      <w:numFmt w:val="decimal"/>
      <w:lvlText w:val="(%7)"/>
      <w:lvlJc w:val="left"/>
      <w:pPr>
        <w:ind w:left="5040" w:hanging="360"/>
      </w:pPr>
    </w:lvl>
    <w:lvl w:ilvl="7">
      <w:start w:val="101"/>
      <w:numFmt w:val="decimal"/>
      <w:lvlText w:val="(%8)"/>
      <w:lvlJc w:val="left"/>
      <w:pPr>
        <w:ind w:left="5760" w:hanging="360"/>
      </w:pPr>
    </w:lvl>
    <w:lvl w:ilvl="8">
      <w:start w:val="101"/>
      <w:numFmt w:val="decimal"/>
      <w:lvlText w:val="(%9)"/>
      <w:lvlJc w:val="left"/>
      <w:pPr>
        <w:ind w:left="6480" w:hanging="360"/>
      </w:pPr>
    </w:lvl>
  </w:abstractNum>
  <w:abstractNum w:abstractNumId="9943103">
    <w:nsid w:val="A9943103"/>
    <w:multiLevelType w:val="multilevel"/>
    <w:lvl w:ilvl="0">
      <w:start w:val="103"/>
      <w:numFmt w:val="decimal"/>
      <w:lvlText w:val="(%1)"/>
      <w:lvlJc w:val="left"/>
      <w:pPr>
        <w:ind w:left="720" w:hanging="360"/>
      </w:pPr>
    </w:lvl>
    <w:lvl w:ilvl="1">
      <w:start w:val="103"/>
      <w:numFmt w:val="decimal"/>
      <w:lvlText w:val="(%2)"/>
      <w:lvlJc w:val="left"/>
      <w:pPr>
        <w:ind w:left="1440" w:hanging="360"/>
      </w:pPr>
    </w:lvl>
    <w:lvl w:ilvl="2">
      <w:start w:val="103"/>
      <w:numFmt w:val="decimal"/>
      <w:lvlText w:val="(%3)"/>
      <w:lvlJc w:val="left"/>
      <w:pPr>
        <w:ind w:left="2160" w:hanging="360"/>
      </w:pPr>
    </w:lvl>
    <w:lvl w:ilvl="3">
      <w:start w:val="103"/>
      <w:numFmt w:val="decimal"/>
      <w:lvlText w:val="(%4)"/>
      <w:lvlJc w:val="left"/>
      <w:pPr>
        <w:ind w:left="2880" w:hanging="360"/>
      </w:pPr>
    </w:lvl>
    <w:lvl w:ilvl="4">
      <w:start w:val="103"/>
      <w:numFmt w:val="decimal"/>
      <w:lvlText w:val="(%5)"/>
      <w:lvlJc w:val="left"/>
      <w:pPr>
        <w:ind w:left="3600" w:hanging="360"/>
      </w:pPr>
    </w:lvl>
    <w:lvl w:ilvl="5">
      <w:start w:val="103"/>
      <w:numFmt w:val="decimal"/>
      <w:lvlText w:val="(%6)"/>
      <w:lvlJc w:val="left"/>
      <w:pPr>
        <w:ind w:left="4320" w:hanging="360"/>
      </w:pPr>
    </w:lvl>
    <w:lvl w:ilvl="6">
      <w:start w:val="103"/>
      <w:numFmt w:val="decimal"/>
      <w:lvlText w:val="(%7)"/>
      <w:lvlJc w:val="left"/>
      <w:pPr>
        <w:ind w:left="5040" w:hanging="360"/>
      </w:pPr>
    </w:lvl>
    <w:lvl w:ilvl="7">
      <w:start w:val="103"/>
      <w:numFmt w:val="decimal"/>
      <w:lvlText w:val="(%8)"/>
      <w:lvlJc w:val="left"/>
      <w:pPr>
        <w:ind w:left="5760" w:hanging="360"/>
      </w:pPr>
    </w:lvl>
    <w:lvl w:ilvl="8">
      <w:start w:val="103"/>
      <w:numFmt w:val="decimal"/>
      <w:lvlText w:val="(%9)"/>
      <w:lvlJc w:val="left"/>
      <w:pPr>
        <w:ind w:left="6480" w:hanging="360"/>
      </w:pPr>
    </w:lvl>
  </w:abstractNum>
  <w:abstractNum w:abstractNumId="9943107">
    <w:nsid w:val="A9943107"/>
    <w:multiLevelType w:val="multilevel"/>
    <w:lvl w:ilvl="0">
      <w:start w:val="107"/>
      <w:numFmt w:val="decimal"/>
      <w:lvlText w:val="(%1)"/>
      <w:lvlJc w:val="left"/>
      <w:pPr>
        <w:ind w:left="720" w:hanging="360"/>
      </w:pPr>
    </w:lvl>
    <w:lvl w:ilvl="1">
      <w:start w:val="107"/>
      <w:numFmt w:val="decimal"/>
      <w:lvlText w:val="(%2)"/>
      <w:lvlJc w:val="left"/>
      <w:pPr>
        <w:ind w:left="1440" w:hanging="360"/>
      </w:pPr>
    </w:lvl>
    <w:lvl w:ilvl="2">
      <w:start w:val="107"/>
      <w:numFmt w:val="decimal"/>
      <w:lvlText w:val="(%3)"/>
      <w:lvlJc w:val="left"/>
      <w:pPr>
        <w:ind w:left="2160" w:hanging="360"/>
      </w:pPr>
    </w:lvl>
    <w:lvl w:ilvl="3">
      <w:start w:val="107"/>
      <w:numFmt w:val="decimal"/>
      <w:lvlText w:val="(%4)"/>
      <w:lvlJc w:val="left"/>
      <w:pPr>
        <w:ind w:left="2880" w:hanging="360"/>
      </w:pPr>
    </w:lvl>
    <w:lvl w:ilvl="4">
      <w:start w:val="107"/>
      <w:numFmt w:val="decimal"/>
      <w:lvlText w:val="(%5)"/>
      <w:lvlJc w:val="left"/>
      <w:pPr>
        <w:ind w:left="3600" w:hanging="360"/>
      </w:pPr>
    </w:lvl>
    <w:lvl w:ilvl="5">
      <w:start w:val="107"/>
      <w:numFmt w:val="decimal"/>
      <w:lvlText w:val="(%6)"/>
      <w:lvlJc w:val="left"/>
      <w:pPr>
        <w:ind w:left="4320" w:hanging="360"/>
      </w:pPr>
    </w:lvl>
    <w:lvl w:ilvl="6">
      <w:start w:val="107"/>
      <w:numFmt w:val="decimal"/>
      <w:lvlText w:val="(%7)"/>
      <w:lvlJc w:val="left"/>
      <w:pPr>
        <w:ind w:left="5040" w:hanging="360"/>
      </w:pPr>
    </w:lvl>
    <w:lvl w:ilvl="7">
      <w:start w:val="107"/>
      <w:numFmt w:val="decimal"/>
      <w:lvlText w:val="(%8)"/>
      <w:lvlJc w:val="left"/>
      <w:pPr>
        <w:ind w:left="5760" w:hanging="360"/>
      </w:pPr>
    </w:lvl>
    <w:lvl w:ilvl="8">
      <w:start w:val="107"/>
      <w:numFmt w:val="decimal"/>
      <w:lvlText w:val="(%9)"/>
      <w:lvlJc w:val="left"/>
      <w:pPr>
        <w:ind w:left="6480" w:hanging="360"/>
      </w:pPr>
    </w:lvl>
  </w:abstractNum>
  <w:abstractNum w:abstractNumId="9943113">
    <w:nsid w:val="A9943113"/>
    <w:multiLevelType w:val="multilevel"/>
    <w:lvl w:ilvl="0">
      <w:start w:val="113"/>
      <w:numFmt w:val="decimal"/>
      <w:lvlText w:val="(%1)"/>
      <w:lvlJc w:val="left"/>
      <w:pPr>
        <w:ind w:left="720" w:hanging="360"/>
      </w:pPr>
    </w:lvl>
    <w:lvl w:ilvl="1">
      <w:start w:val="113"/>
      <w:numFmt w:val="decimal"/>
      <w:lvlText w:val="(%2)"/>
      <w:lvlJc w:val="left"/>
      <w:pPr>
        <w:ind w:left="1440" w:hanging="360"/>
      </w:pPr>
    </w:lvl>
    <w:lvl w:ilvl="2">
      <w:start w:val="113"/>
      <w:numFmt w:val="decimal"/>
      <w:lvlText w:val="(%3)"/>
      <w:lvlJc w:val="left"/>
      <w:pPr>
        <w:ind w:left="2160" w:hanging="360"/>
      </w:pPr>
    </w:lvl>
    <w:lvl w:ilvl="3">
      <w:start w:val="113"/>
      <w:numFmt w:val="decimal"/>
      <w:lvlText w:val="(%4)"/>
      <w:lvlJc w:val="left"/>
      <w:pPr>
        <w:ind w:left="2880" w:hanging="360"/>
      </w:pPr>
    </w:lvl>
    <w:lvl w:ilvl="4">
      <w:start w:val="113"/>
      <w:numFmt w:val="decimal"/>
      <w:lvlText w:val="(%5)"/>
      <w:lvlJc w:val="left"/>
      <w:pPr>
        <w:ind w:left="3600" w:hanging="360"/>
      </w:pPr>
    </w:lvl>
    <w:lvl w:ilvl="5">
      <w:start w:val="113"/>
      <w:numFmt w:val="decimal"/>
      <w:lvlText w:val="(%6)"/>
      <w:lvlJc w:val="left"/>
      <w:pPr>
        <w:ind w:left="4320" w:hanging="360"/>
      </w:pPr>
    </w:lvl>
    <w:lvl w:ilvl="6">
      <w:start w:val="113"/>
      <w:numFmt w:val="decimal"/>
      <w:lvlText w:val="(%7)"/>
      <w:lvlJc w:val="left"/>
      <w:pPr>
        <w:ind w:left="5040" w:hanging="360"/>
      </w:pPr>
    </w:lvl>
    <w:lvl w:ilvl="7">
      <w:start w:val="113"/>
      <w:numFmt w:val="decimal"/>
      <w:lvlText w:val="(%8)"/>
      <w:lvlJc w:val="left"/>
      <w:pPr>
        <w:ind w:left="5760" w:hanging="360"/>
      </w:pPr>
    </w:lvl>
    <w:lvl w:ilvl="8">
      <w:start w:val="113"/>
      <w:numFmt w:val="decimal"/>
      <w:lvlText w:val="(%9)"/>
      <w:lvlJc w:val="left"/>
      <w:pPr>
        <w:ind w:left="6480" w:hanging="360"/>
      </w:pPr>
    </w:lvl>
  </w:abstractNum>
  <w:abstractNum w:abstractNumId="9943116">
    <w:nsid w:val="A9943116"/>
    <w:multiLevelType w:val="multilevel"/>
    <w:lvl w:ilvl="0">
      <w:start w:val="116"/>
      <w:numFmt w:val="decimal"/>
      <w:lvlText w:val="(%1)"/>
      <w:lvlJc w:val="left"/>
      <w:pPr>
        <w:ind w:left="720" w:hanging="360"/>
      </w:pPr>
    </w:lvl>
    <w:lvl w:ilvl="1">
      <w:start w:val="116"/>
      <w:numFmt w:val="decimal"/>
      <w:lvlText w:val="(%2)"/>
      <w:lvlJc w:val="left"/>
      <w:pPr>
        <w:ind w:left="1440" w:hanging="360"/>
      </w:pPr>
    </w:lvl>
    <w:lvl w:ilvl="2">
      <w:start w:val="116"/>
      <w:numFmt w:val="decimal"/>
      <w:lvlText w:val="(%3)"/>
      <w:lvlJc w:val="left"/>
      <w:pPr>
        <w:ind w:left="2160" w:hanging="360"/>
      </w:pPr>
    </w:lvl>
    <w:lvl w:ilvl="3">
      <w:start w:val="116"/>
      <w:numFmt w:val="decimal"/>
      <w:lvlText w:val="(%4)"/>
      <w:lvlJc w:val="left"/>
      <w:pPr>
        <w:ind w:left="2880" w:hanging="360"/>
      </w:pPr>
    </w:lvl>
    <w:lvl w:ilvl="4">
      <w:start w:val="116"/>
      <w:numFmt w:val="decimal"/>
      <w:lvlText w:val="(%5)"/>
      <w:lvlJc w:val="left"/>
      <w:pPr>
        <w:ind w:left="3600" w:hanging="360"/>
      </w:pPr>
    </w:lvl>
    <w:lvl w:ilvl="5">
      <w:start w:val="116"/>
      <w:numFmt w:val="decimal"/>
      <w:lvlText w:val="(%6)"/>
      <w:lvlJc w:val="left"/>
      <w:pPr>
        <w:ind w:left="4320" w:hanging="360"/>
      </w:pPr>
    </w:lvl>
    <w:lvl w:ilvl="6">
      <w:start w:val="116"/>
      <w:numFmt w:val="decimal"/>
      <w:lvlText w:val="(%7)"/>
      <w:lvlJc w:val="left"/>
      <w:pPr>
        <w:ind w:left="5040" w:hanging="360"/>
      </w:pPr>
    </w:lvl>
    <w:lvl w:ilvl="7">
      <w:start w:val="116"/>
      <w:numFmt w:val="decimal"/>
      <w:lvlText w:val="(%8)"/>
      <w:lvlJc w:val="left"/>
      <w:pPr>
        <w:ind w:left="5760" w:hanging="360"/>
      </w:pPr>
    </w:lvl>
    <w:lvl w:ilvl="8">
      <w:start w:val="116"/>
      <w:numFmt w:val="decimal"/>
      <w:lvlText w:val="(%9)"/>
      <w:lvlJc w:val="left"/>
      <w:pPr>
        <w:ind w:left="6480" w:hanging="360"/>
      </w:pPr>
    </w:lvl>
  </w:abstractNum>
  <w:abstractNum w:abstractNumId="9943120">
    <w:nsid w:val="A9943120"/>
    <w:multiLevelType w:val="multilevel"/>
    <w:lvl w:ilvl="0">
      <w:start w:val="120"/>
      <w:numFmt w:val="decimal"/>
      <w:lvlText w:val="(%1)"/>
      <w:lvlJc w:val="left"/>
      <w:pPr>
        <w:ind w:left="720" w:hanging="360"/>
      </w:pPr>
    </w:lvl>
    <w:lvl w:ilvl="1">
      <w:start w:val="120"/>
      <w:numFmt w:val="decimal"/>
      <w:lvlText w:val="(%2)"/>
      <w:lvlJc w:val="left"/>
      <w:pPr>
        <w:ind w:left="1440" w:hanging="360"/>
      </w:pPr>
    </w:lvl>
    <w:lvl w:ilvl="2">
      <w:start w:val="120"/>
      <w:numFmt w:val="decimal"/>
      <w:lvlText w:val="(%3)"/>
      <w:lvlJc w:val="left"/>
      <w:pPr>
        <w:ind w:left="2160" w:hanging="360"/>
      </w:pPr>
    </w:lvl>
    <w:lvl w:ilvl="3">
      <w:start w:val="120"/>
      <w:numFmt w:val="decimal"/>
      <w:lvlText w:val="(%4)"/>
      <w:lvlJc w:val="left"/>
      <w:pPr>
        <w:ind w:left="2880" w:hanging="360"/>
      </w:pPr>
    </w:lvl>
    <w:lvl w:ilvl="4">
      <w:start w:val="120"/>
      <w:numFmt w:val="decimal"/>
      <w:lvlText w:val="(%5)"/>
      <w:lvlJc w:val="left"/>
      <w:pPr>
        <w:ind w:left="3600" w:hanging="360"/>
      </w:pPr>
    </w:lvl>
    <w:lvl w:ilvl="5">
      <w:start w:val="120"/>
      <w:numFmt w:val="decimal"/>
      <w:lvlText w:val="(%6)"/>
      <w:lvlJc w:val="left"/>
      <w:pPr>
        <w:ind w:left="4320" w:hanging="360"/>
      </w:pPr>
    </w:lvl>
    <w:lvl w:ilvl="6">
      <w:start w:val="120"/>
      <w:numFmt w:val="decimal"/>
      <w:lvlText w:val="(%7)"/>
      <w:lvlJc w:val="left"/>
      <w:pPr>
        <w:ind w:left="5040" w:hanging="360"/>
      </w:pPr>
    </w:lvl>
    <w:lvl w:ilvl="7">
      <w:start w:val="120"/>
      <w:numFmt w:val="decimal"/>
      <w:lvlText w:val="(%8)"/>
      <w:lvlJc w:val="left"/>
      <w:pPr>
        <w:ind w:left="5760" w:hanging="360"/>
      </w:pPr>
    </w:lvl>
    <w:lvl w:ilvl="8">
      <w:start w:val="120"/>
      <w:numFmt w:val="decimal"/>
      <w:lvlText w:val="(%9)"/>
      <w:lvlJc w:val="left"/>
      <w:pPr>
        <w:ind w:left="6480" w:hanging="360"/>
      </w:pPr>
    </w:lvl>
  </w:abstractNum>
  <w:abstractNum w:abstractNumId="9943124">
    <w:nsid w:val="A9943124"/>
    <w:multiLevelType w:val="multilevel"/>
    <w:lvl w:ilvl="0">
      <w:start w:val="124"/>
      <w:numFmt w:val="decimal"/>
      <w:lvlText w:val="(%1)"/>
      <w:lvlJc w:val="left"/>
      <w:pPr>
        <w:ind w:left="720" w:hanging="360"/>
      </w:pPr>
    </w:lvl>
    <w:lvl w:ilvl="1">
      <w:start w:val="124"/>
      <w:numFmt w:val="decimal"/>
      <w:lvlText w:val="(%2)"/>
      <w:lvlJc w:val="left"/>
      <w:pPr>
        <w:ind w:left="1440" w:hanging="360"/>
      </w:pPr>
    </w:lvl>
    <w:lvl w:ilvl="2">
      <w:start w:val="124"/>
      <w:numFmt w:val="decimal"/>
      <w:lvlText w:val="(%3)"/>
      <w:lvlJc w:val="left"/>
      <w:pPr>
        <w:ind w:left="2160" w:hanging="360"/>
      </w:pPr>
    </w:lvl>
    <w:lvl w:ilvl="3">
      <w:start w:val="124"/>
      <w:numFmt w:val="decimal"/>
      <w:lvlText w:val="(%4)"/>
      <w:lvlJc w:val="left"/>
      <w:pPr>
        <w:ind w:left="2880" w:hanging="360"/>
      </w:pPr>
    </w:lvl>
    <w:lvl w:ilvl="4">
      <w:start w:val="124"/>
      <w:numFmt w:val="decimal"/>
      <w:lvlText w:val="(%5)"/>
      <w:lvlJc w:val="left"/>
      <w:pPr>
        <w:ind w:left="3600" w:hanging="360"/>
      </w:pPr>
    </w:lvl>
    <w:lvl w:ilvl="5">
      <w:start w:val="124"/>
      <w:numFmt w:val="decimal"/>
      <w:lvlText w:val="(%6)"/>
      <w:lvlJc w:val="left"/>
      <w:pPr>
        <w:ind w:left="4320" w:hanging="360"/>
      </w:pPr>
    </w:lvl>
    <w:lvl w:ilvl="6">
      <w:start w:val="124"/>
      <w:numFmt w:val="decimal"/>
      <w:lvlText w:val="(%7)"/>
      <w:lvlJc w:val="left"/>
      <w:pPr>
        <w:ind w:left="5040" w:hanging="360"/>
      </w:pPr>
    </w:lvl>
    <w:lvl w:ilvl="7">
      <w:start w:val="124"/>
      <w:numFmt w:val="decimal"/>
      <w:lvlText w:val="(%8)"/>
      <w:lvlJc w:val="left"/>
      <w:pPr>
        <w:ind w:left="5760" w:hanging="360"/>
      </w:pPr>
    </w:lvl>
    <w:lvl w:ilvl="8">
      <w:start w:val="124"/>
      <w:numFmt w:val="decimal"/>
      <w:lvlText w:val="(%9)"/>
      <w:lvlJc w:val="left"/>
      <w:pPr>
        <w:ind w:left="6480" w:hanging="360"/>
      </w:pPr>
    </w:lvl>
  </w:abstractNum>
  <w:abstractNum w:abstractNumId="9943126">
    <w:nsid w:val="A9943126"/>
    <w:multiLevelType w:val="multilevel"/>
    <w:lvl w:ilvl="0">
      <w:start w:val="126"/>
      <w:numFmt w:val="decimal"/>
      <w:lvlText w:val="(%1)"/>
      <w:lvlJc w:val="left"/>
      <w:pPr>
        <w:ind w:left="720" w:hanging="360"/>
      </w:pPr>
    </w:lvl>
    <w:lvl w:ilvl="1">
      <w:start w:val="126"/>
      <w:numFmt w:val="decimal"/>
      <w:lvlText w:val="(%2)"/>
      <w:lvlJc w:val="left"/>
      <w:pPr>
        <w:ind w:left="1440" w:hanging="360"/>
      </w:pPr>
    </w:lvl>
    <w:lvl w:ilvl="2">
      <w:start w:val="126"/>
      <w:numFmt w:val="decimal"/>
      <w:lvlText w:val="(%3)"/>
      <w:lvlJc w:val="left"/>
      <w:pPr>
        <w:ind w:left="2160" w:hanging="360"/>
      </w:pPr>
    </w:lvl>
    <w:lvl w:ilvl="3">
      <w:start w:val="126"/>
      <w:numFmt w:val="decimal"/>
      <w:lvlText w:val="(%4)"/>
      <w:lvlJc w:val="left"/>
      <w:pPr>
        <w:ind w:left="2880" w:hanging="360"/>
      </w:pPr>
    </w:lvl>
    <w:lvl w:ilvl="4">
      <w:start w:val="126"/>
      <w:numFmt w:val="decimal"/>
      <w:lvlText w:val="(%5)"/>
      <w:lvlJc w:val="left"/>
      <w:pPr>
        <w:ind w:left="3600" w:hanging="360"/>
      </w:pPr>
    </w:lvl>
    <w:lvl w:ilvl="5">
      <w:start w:val="126"/>
      <w:numFmt w:val="decimal"/>
      <w:lvlText w:val="(%6)"/>
      <w:lvlJc w:val="left"/>
      <w:pPr>
        <w:ind w:left="4320" w:hanging="360"/>
      </w:pPr>
    </w:lvl>
    <w:lvl w:ilvl="6">
      <w:start w:val="126"/>
      <w:numFmt w:val="decimal"/>
      <w:lvlText w:val="(%7)"/>
      <w:lvlJc w:val="left"/>
      <w:pPr>
        <w:ind w:left="5040" w:hanging="360"/>
      </w:pPr>
    </w:lvl>
    <w:lvl w:ilvl="7">
      <w:start w:val="126"/>
      <w:numFmt w:val="decimal"/>
      <w:lvlText w:val="(%8)"/>
      <w:lvlJc w:val="left"/>
      <w:pPr>
        <w:ind w:left="5760" w:hanging="360"/>
      </w:pPr>
    </w:lvl>
    <w:lvl w:ilvl="8">
      <w:start w:val="126"/>
      <w:numFmt w:val="decimal"/>
      <w:lvlText w:val="(%9)"/>
      <w:lvlJc w:val="left"/>
      <w:pPr>
        <w:ind w:left="6480" w:hanging="360"/>
      </w:pPr>
    </w:lvl>
  </w:abstractNum>
  <w:abstractNum w:abstractNumId="9943128">
    <w:nsid w:val="A9943128"/>
    <w:multiLevelType w:val="multilevel"/>
    <w:lvl w:ilvl="0">
      <w:start w:val="128"/>
      <w:numFmt w:val="decimal"/>
      <w:lvlText w:val="(%1)"/>
      <w:lvlJc w:val="left"/>
      <w:pPr>
        <w:ind w:left="720" w:hanging="360"/>
      </w:pPr>
    </w:lvl>
    <w:lvl w:ilvl="1">
      <w:start w:val="128"/>
      <w:numFmt w:val="decimal"/>
      <w:lvlText w:val="(%2)"/>
      <w:lvlJc w:val="left"/>
      <w:pPr>
        <w:ind w:left="1440" w:hanging="360"/>
      </w:pPr>
    </w:lvl>
    <w:lvl w:ilvl="2">
      <w:start w:val="128"/>
      <w:numFmt w:val="decimal"/>
      <w:lvlText w:val="(%3)"/>
      <w:lvlJc w:val="left"/>
      <w:pPr>
        <w:ind w:left="2160" w:hanging="360"/>
      </w:pPr>
    </w:lvl>
    <w:lvl w:ilvl="3">
      <w:start w:val="128"/>
      <w:numFmt w:val="decimal"/>
      <w:lvlText w:val="(%4)"/>
      <w:lvlJc w:val="left"/>
      <w:pPr>
        <w:ind w:left="2880" w:hanging="360"/>
      </w:pPr>
    </w:lvl>
    <w:lvl w:ilvl="4">
      <w:start w:val="128"/>
      <w:numFmt w:val="decimal"/>
      <w:lvlText w:val="(%5)"/>
      <w:lvlJc w:val="left"/>
      <w:pPr>
        <w:ind w:left="3600" w:hanging="360"/>
      </w:pPr>
    </w:lvl>
    <w:lvl w:ilvl="5">
      <w:start w:val="128"/>
      <w:numFmt w:val="decimal"/>
      <w:lvlText w:val="(%6)"/>
      <w:lvlJc w:val="left"/>
      <w:pPr>
        <w:ind w:left="4320" w:hanging="360"/>
      </w:pPr>
    </w:lvl>
    <w:lvl w:ilvl="6">
      <w:start w:val="128"/>
      <w:numFmt w:val="decimal"/>
      <w:lvlText w:val="(%7)"/>
      <w:lvlJc w:val="left"/>
      <w:pPr>
        <w:ind w:left="5040" w:hanging="360"/>
      </w:pPr>
    </w:lvl>
    <w:lvl w:ilvl="7">
      <w:start w:val="128"/>
      <w:numFmt w:val="decimal"/>
      <w:lvlText w:val="(%8)"/>
      <w:lvlJc w:val="left"/>
      <w:pPr>
        <w:ind w:left="5760" w:hanging="360"/>
      </w:pPr>
    </w:lvl>
    <w:lvl w:ilvl="8">
      <w:start w:val="128"/>
      <w:numFmt w:val="decimal"/>
      <w:lvlText w:val="(%9)"/>
      <w:lvlJc w:val="left"/>
      <w:pPr>
        <w:ind w:left="6480" w:hanging="360"/>
      </w:pPr>
    </w:lvl>
  </w:abstractNum>
  <w:abstractNum w:abstractNumId="9943133">
    <w:nsid w:val="A9943133"/>
    <w:multiLevelType w:val="multilevel"/>
    <w:lvl w:ilvl="0">
      <w:start w:val="133"/>
      <w:numFmt w:val="decimal"/>
      <w:lvlText w:val="(%1)"/>
      <w:lvlJc w:val="left"/>
      <w:pPr>
        <w:ind w:left="720" w:hanging="360"/>
      </w:pPr>
    </w:lvl>
    <w:lvl w:ilvl="1">
      <w:start w:val="133"/>
      <w:numFmt w:val="decimal"/>
      <w:lvlText w:val="(%2)"/>
      <w:lvlJc w:val="left"/>
      <w:pPr>
        <w:ind w:left="1440" w:hanging="360"/>
      </w:pPr>
    </w:lvl>
    <w:lvl w:ilvl="2">
      <w:start w:val="133"/>
      <w:numFmt w:val="decimal"/>
      <w:lvlText w:val="(%3)"/>
      <w:lvlJc w:val="left"/>
      <w:pPr>
        <w:ind w:left="2160" w:hanging="360"/>
      </w:pPr>
    </w:lvl>
    <w:lvl w:ilvl="3">
      <w:start w:val="133"/>
      <w:numFmt w:val="decimal"/>
      <w:lvlText w:val="(%4)"/>
      <w:lvlJc w:val="left"/>
      <w:pPr>
        <w:ind w:left="2880" w:hanging="360"/>
      </w:pPr>
    </w:lvl>
    <w:lvl w:ilvl="4">
      <w:start w:val="133"/>
      <w:numFmt w:val="decimal"/>
      <w:lvlText w:val="(%5)"/>
      <w:lvlJc w:val="left"/>
      <w:pPr>
        <w:ind w:left="3600" w:hanging="360"/>
      </w:pPr>
    </w:lvl>
    <w:lvl w:ilvl="5">
      <w:start w:val="133"/>
      <w:numFmt w:val="decimal"/>
      <w:lvlText w:val="(%6)"/>
      <w:lvlJc w:val="left"/>
      <w:pPr>
        <w:ind w:left="4320" w:hanging="360"/>
      </w:pPr>
    </w:lvl>
    <w:lvl w:ilvl="6">
      <w:start w:val="133"/>
      <w:numFmt w:val="decimal"/>
      <w:lvlText w:val="(%7)"/>
      <w:lvlJc w:val="left"/>
      <w:pPr>
        <w:ind w:left="5040" w:hanging="360"/>
      </w:pPr>
    </w:lvl>
    <w:lvl w:ilvl="7">
      <w:start w:val="133"/>
      <w:numFmt w:val="decimal"/>
      <w:lvlText w:val="(%8)"/>
      <w:lvlJc w:val="left"/>
      <w:pPr>
        <w:ind w:left="5760" w:hanging="360"/>
      </w:pPr>
    </w:lvl>
    <w:lvl w:ilvl="8">
      <w:start w:val="133"/>
      <w:numFmt w:val="decimal"/>
      <w:lvlText w:val="(%9)"/>
      <w:lvlJc w:val="left"/>
      <w:pPr>
        <w:ind w:left="6480" w:hanging="360"/>
      </w:pPr>
    </w:lvl>
  </w:abstractNum>
  <w:abstractNum w:abstractNumId="9943139">
    <w:nsid w:val="A9943139"/>
    <w:multiLevelType w:val="multilevel"/>
    <w:lvl w:ilvl="0">
      <w:start w:val="139"/>
      <w:numFmt w:val="decimal"/>
      <w:lvlText w:val="(%1)"/>
      <w:lvlJc w:val="left"/>
      <w:pPr>
        <w:ind w:left="720" w:hanging="360"/>
      </w:pPr>
    </w:lvl>
    <w:lvl w:ilvl="1">
      <w:start w:val="139"/>
      <w:numFmt w:val="decimal"/>
      <w:lvlText w:val="(%2)"/>
      <w:lvlJc w:val="left"/>
      <w:pPr>
        <w:ind w:left="1440" w:hanging="360"/>
      </w:pPr>
    </w:lvl>
    <w:lvl w:ilvl="2">
      <w:start w:val="139"/>
      <w:numFmt w:val="decimal"/>
      <w:lvlText w:val="(%3)"/>
      <w:lvlJc w:val="left"/>
      <w:pPr>
        <w:ind w:left="2160" w:hanging="360"/>
      </w:pPr>
    </w:lvl>
    <w:lvl w:ilvl="3">
      <w:start w:val="139"/>
      <w:numFmt w:val="decimal"/>
      <w:lvlText w:val="(%4)"/>
      <w:lvlJc w:val="left"/>
      <w:pPr>
        <w:ind w:left="2880" w:hanging="360"/>
      </w:pPr>
    </w:lvl>
    <w:lvl w:ilvl="4">
      <w:start w:val="139"/>
      <w:numFmt w:val="decimal"/>
      <w:lvlText w:val="(%5)"/>
      <w:lvlJc w:val="left"/>
      <w:pPr>
        <w:ind w:left="3600" w:hanging="360"/>
      </w:pPr>
    </w:lvl>
    <w:lvl w:ilvl="5">
      <w:start w:val="139"/>
      <w:numFmt w:val="decimal"/>
      <w:lvlText w:val="(%6)"/>
      <w:lvlJc w:val="left"/>
      <w:pPr>
        <w:ind w:left="4320" w:hanging="360"/>
      </w:pPr>
    </w:lvl>
    <w:lvl w:ilvl="6">
      <w:start w:val="139"/>
      <w:numFmt w:val="decimal"/>
      <w:lvlText w:val="(%7)"/>
      <w:lvlJc w:val="left"/>
      <w:pPr>
        <w:ind w:left="5040" w:hanging="360"/>
      </w:pPr>
    </w:lvl>
    <w:lvl w:ilvl="7">
      <w:start w:val="139"/>
      <w:numFmt w:val="decimal"/>
      <w:lvlText w:val="(%8)"/>
      <w:lvlJc w:val="left"/>
      <w:pPr>
        <w:ind w:left="5760" w:hanging="360"/>
      </w:pPr>
    </w:lvl>
    <w:lvl w:ilvl="8">
      <w:start w:val="139"/>
      <w:numFmt w:val="decimal"/>
      <w:lvlText w:val="(%9)"/>
      <w:lvlJc w:val="left"/>
      <w:pPr>
        <w:ind w:left="6480" w:hanging="360"/>
      </w:pPr>
    </w:lvl>
  </w:abstractNum>
  <w:abstractNum w:abstractNumId="9943144">
    <w:nsid w:val="A9943144"/>
    <w:multiLevelType w:val="multilevel"/>
    <w:lvl w:ilvl="0">
      <w:start w:val="144"/>
      <w:numFmt w:val="decimal"/>
      <w:lvlText w:val="(%1)"/>
      <w:lvlJc w:val="left"/>
      <w:pPr>
        <w:ind w:left="720" w:hanging="360"/>
      </w:pPr>
    </w:lvl>
    <w:lvl w:ilvl="1">
      <w:start w:val="144"/>
      <w:numFmt w:val="decimal"/>
      <w:lvlText w:val="(%2)"/>
      <w:lvlJc w:val="left"/>
      <w:pPr>
        <w:ind w:left="1440" w:hanging="360"/>
      </w:pPr>
    </w:lvl>
    <w:lvl w:ilvl="2">
      <w:start w:val="144"/>
      <w:numFmt w:val="decimal"/>
      <w:lvlText w:val="(%3)"/>
      <w:lvlJc w:val="left"/>
      <w:pPr>
        <w:ind w:left="2160" w:hanging="360"/>
      </w:pPr>
    </w:lvl>
    <w:lvl w:ilvl="3">
      <w:start w:val="144"/>
      <w:numFmt w:val="decimal"/>
      <w:lvlText w:val="(%4)"/>
      <w:lvlJc w:val="left"/>
      <w:pPr>
        <w:ind w:left="2880" w:hanging="360"/>
      </w:pPr>
    </w:lvl>
    <w:lvl w:ilvl="4">
      <w:start w:val="144"/>
      <w:numFmt w:val="decimal"/>
      <w:lvlText w:val="(%5)"/>
      <w:lvlJc w:val="left"/>
      <w:pPr>
        <w:ind w:left="3600" w:hanging="360"/>
      </w:pPr>
    </w:lvl>
    <w:lvl w:ilvl="5">
      <w:start w:val="144"/>
      <w:numFmt w:val="decimal"/>
      <w:lvlText w:val="(%6)"/>
      <w:lvlJc w:val="left"/>
      <w:pPr>
        <w:ind w:left="4320" w:hanging="360"/>
      </w:pPr>
    </w:lvl>
    <w:lvl w:ilvl="6">
      <w:start w:val="144"/>
      <w:numFmt w:val="decimal"/>
      <w:lvlText w:val="(%7)"/>
      <w:lvlJc w:val="left"/>
      <w:pPr>
        <w:ind w:left="5040" w:hanging="360"/>
      </w:pPr>
    </w:lvl>
    <w:lvl w:ilvl="7">
      <w:start w:val="144"/>
      <w:numFmt w:val="decimal"/>
      <w:lvlText w:val="(%8)"/>
      <w:lvlJc w:val="left"/>
      <w:pPr>
        <w:ind w:left="5760" w:hanging="360"/>
      </w:pPr>
    </w:lvl>
    <w:lvl w:ilvl="8">
      <w:start w:val="14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47">
    <w:nsid w:val="A9943147"/>
    <w:multiLevelType w:val="multilevel"/>
    <w:lvl w:ilvl="0">
      <w:start w:val="147"/>
      <w:numFmt w:val="decimal"/>
      <w:lvlText w:val="(%1)"/>
      <w:lvlJc w:val="left"/>
      <w:pPr>
        <w:ind w:left="720" w:hanging="360"/>
      </w:pPr>
    </w:lvl>
    <w:lvl w:ilvl="1">
      <w:start w:val="147"/>
      <w:numFmt w:val="decimal"/>
      <w:lvlText w:val="(%2)"/>
      <w:lvlJc w:val="left"/>
      <w:pPr>
        <w:ind w:left="1440" w:hanging="360"/>
      </w:pPr>
    </w:lvl>
    <w:lvl w:ilvl="2">
      <w:start w:val="147"/>
      <w:numFmt w:val="decimal"/>
      <w:lvlText w:val="(%3)"/>
      <w:lvlJc w:val="left"/>
      <w:pPr>
        <w:ind w:left="2160" w:hanging="360"/>
      </w:pPr>
    </w:lvl>
    <w:lvl w:ilvl="3">
      <w:start w:val="147"/>
      <w:numFmt w:val="decimal"/>
      <w:lvlText w:val="(%4)"/>
      <w:lvlJc w:val="left"/>
      <w:pPr>
        <w:ind w:left="2880" w:hanging="360"/>
      </w:pPr>
    </w:lvl>
    <w:lvl w:ilvl="4">
      <w:start w:val="147"/>
      <w:numFmt w:val="decimal"/>
      <w:lvlText w:val="(%5)"/>
      <w:lvlJc w:val="left"/>
      <w:pPr>
        <w:ind w:left="3600" w:hanging="360"/>
      </w:pPr>
    </w:lvl>
    <w:lvl w:ilvl="5">
      <w:start w:val="147"/>
      <w:numFmt w:val="decimal"/>
      <w:lvlText w:val="(%6)"/>
      <w:lvlJc w:val="left"/>
      <w:pPr>
        <w:ind w:left="4320" w:hanging="360"/>
      </w:pPr>
    </w:lvl>
    <w:lvl w:ilvl="6">
      <w:start w:val="147"/>
      <w:numFmt w:val="decimal"/>
      <w:lvlText w:val="(%7)"/>
      <w:lvlJc w:val="left"/>
      <w:pPr>
        <w:ind w:left="5040" w:hanging="360"/>
      </w:pPr>
    </w:lvl>
    <w:lvl w:ilvl="7">
      <w:start w:val="147"/>
      <w:numFmt w:val="decimal"/>
      <w:lvlText w:val="(%8)"/>
      <w:lvlJc w:val="left"/>
      <w:pPr>
        <w:ind w:left="5760" w:hanging="360"/>
      </w:pPr>
    </w:lvl>
    <w:lvl w:ilvl="8">
      <w:start w:val="147"/>
      <w:numFmt w:val="decimal"/>
      <w:lvlText w:val="(%9)"/>
      <w:lvlJc w:val="left"/>
      <w:pPr>
        <w:ind w:left="6480" w:hanging="360"/>
      </w:pPr>
    </w:lvl>
  </w:abstractNum>
  <w:abstractNum w:abstractNumId="9943151">
    <w:nsid w:val="A9943151"/>
    <w:multiLevelType w:val="multilevel"/>
    <w:lvl w:ilvl="0">
      <w:start w:val="151"/>
      <w:numFmt w:val="decimal"/>
      <w:lvlText w:val="(%1)"/>
      <w:lvlJc w:val="left"/>
      <w:pPr>
        <w:ind w:left="720" w:hanging="360"/>
      </w:pPr>
    </w:lvl>
    <w:lvl w:ilvl="1">
      <w:start w:val="151"/>
      <w:numFmt w:val="decimal"/>
      <w:lvlText w:val="(%2)"/>
      <w:lvlJc w:val="left"/>
      <w:pPr>
        <w:ind w:left="1440" w:hanging="360"/>
      </w:pPr>
    </w:lvl>
    <w:lvl w:ilvl="2">
      <w:start w:val="151"/>
      <w:numFmt w:val="decimal"/>
      <w:lvlText w:val="(%3)"/>
      <w:lvlJc w:val="left"/>
      <w:pPr>
        <w:ind w:left="2160" w:hanging="360"/>
      </w:pPr>
    </w:lvl>
    <w:lvl w:ilvl="3">
      <w:start w:val="151"/>
      <w:numFmt w:val="decimal"/>
      <w:lvlText w:val="(%4)"/>
      <w:lvlJc w:val="left"/>
      <w:pPr>
        <w:ind w:left="2880" w:hanging="360"/>
      </w:pPr>
    </w:lvl>
    <w:lvl w:ilvl="4">
      <w:start w:val="151"/>
      <w:numFmt w:val="decimal"/>
      <w:lvlText w:val="(%5)"/>
      <w:lvlJc w:val="left"/>
      <w:pPr>
        <w:ind w:left="3600" w:hanging="360"/>
      </w:pPr>
    </w:lvl>
    <w:lvl w:ilvl="5">
      <w:start w:val="151"/>
      <w:numFmt w:val="decimal"/>
      <w:lvlText w:val="(%6)"/>
      <w:lvlJc w:val="left"/>
      <w:pPr>
        <w:ind w:left="4320" w:hanging="360"/>
      </w:pPr>
    </w:lvl>
    <w:lvl w:ilvl="6">
      <w:start w:val="151"/>
      <w:numFmt w:val="decimal"/>
      <w:lvlText w:val="(%7)"/>
      <w:lvlJc w:val="left"/>
      <w:pPr>
        <w:ind w:left="5040" w:hanging="360"/>
      </w:pPr>
    </w:lvl>
    <w:lvl w:ilvl="7">
      <w:start w:val="151"/>
      <w:numFmt w:val="decimal"/>
      <w:lvlText w:val="(%8)"/>
      <w:lvlJc w:val="left"/>
      <w:pPr>
        <w:ind w:left="5760" w:hanging="360"/>
      </w:pPr>
    </w:lvl>
    <w:lvl w:ilvl="8">
      <w:start w:val="151"/>
      <w:numFmt w:val="decimal"/>
      <w:lvlText w:val="(%9)"/>
      <w:lvlJc w:val="left"/>
      <w:pPr>
        <w:ind w:left="6480" w:hanging="360"/>
      </w:pPr>
    </w:lvl>
  </w:abstractNum>
  <w:abstractNum w:abstractNumId="9943153">
    <w:nsid w:val="A9943153"/>
    <w:multiLevelType w:val="multilevel"/>
    <w:lvl w:ilvl="0">
      <w:start w:val="153"/>
      <w:numFmt w:val="decimal"/>
      <w:lvlText w:val="(%1)"/>
      <w:lvlJc w:val="left"/>
      <w:pPr>
        <w:ind w:left="720" w:hanging="360"/>
      </w:pPr>
    </w:lvl>
    <w:lvl w:ilvl="1">
      <w:start w:val="153"/>
      <w:numFmt w:val="decimal"/>
      <w:lvlText w:val="(%2)"/>
      <w:lvlJc w:val="left"/>
      <w:pPr>
        <w:ind w:left="1440" w:hanging="360"/>
      </w:pPr>
    </w:lvl>
    <w:lvl w:ilvl="2">
      <w:start w:val="153"/>
      <w:numFmt w:val="decimal"/>
      <w:lvlText w:val="(%3)"/>
      <w:lvlJc w:val="left"/>
      <w:pPr>
        <w:ind w:left="2160" w:hanging="360"/>
      </w:pPr>
    </w:lvl>
    <w:lvl w:ilvl="3">
      <w:start w:val="153"/>
      <w:numFmt w:val="decimal"/>
      <w:lvlText w:val="(%4)"/>
      <w:lvlJc w:val="left"/>
      <w:pPr>
        <w:ind w:left="2880" w:hanging="360"/>
      </w:pPr>
    </w:lvl>
    <w:lvl w:ilvl="4">
      <w:start w:val="153"/>
      <w:numFmt w:val="decimal"/>
      <w:lvlText w:val="(%5)"/>
      <w:lvlJc w:val="left"/>
      <w:pPr>
        <w:ind w:left="3600" w:hanging="360"/>
      </w:pPr>
    </w:lvl>
    <w:lvl w:ilvl="5">
      <w:start w:val="153"/>
      <w:numFmt w:val="decimal"/>
      <w:lvlText w:val="(%6)"/>
      <w:lvlJc w:val="left"/>
      <w:pPr>
        <w:ind w:left="4320" w:hanging="360"/>
      </w:pPr>
    </w:lvl>
    <w:lvl w:ilvl="6">
      <w:start w:val="153"/>
      <w:numFmt w:val="decimal"/>
      <w:lvlText w:val="(%7)"/>
      <w:lvlJc w:val="left"/>
      <w:pPr>
        <w:ind w:left="5040" w:hanging="360"/>
      </w:pPr>
    </w:lvl>
    <w:lvl w:ilvl="7">
      <w:start w:val="153"/>
      <w:numFmt w:val="decimal"/>
      <w:lvlText w:val="(%8)"/>
      <w:lvlJc w:val="left"/>
      <w:pPr>
        <w:ind w:left="5760" w:hanging="360"/>
      </w:pPr>
    </w:lvl>
    <w:lvl w:ilvl="8">
      <w:start w:val="153"/>
      <w:numFmt w:val="decimal"/>
      <w:lvlText w:val="(%9)"/>
      <w:lvlJc w:val="left"/>
      <w:pPr>
        <w:ind w:left="6480" w:hanging="360"/>
      </w:pPr>
    </w:lvl>
  </w:abstractNum>
  <w:abstractNum w:abstractNumId="9943158">
    <w:nsid w:val="A9943158"/>
    <w:multiLevelType w:val="multilevel"/>
    <w:lvl w:ilvl="0">
      <w:start w:val="158"/>
      <w:numFmt w:val="decimal"/>
      <w:lvlText w:val="(%1)"/>
      <w:lvlJc w:val="left"/>
      <w:pPr>
        <w:ind w:left="720" w:hanging="360"/>
      </w:pPr>
    </w:lvl>
    <w:lvl w:ilvl="1">
      <w:start w:val="158"/>
      <w:numFmt w:val="decimal"/>
      <w:lvlText w:val="(%2)"/>
      <w:lvlJc w:val="left"/>
      <w:pPr>
        <w:ind w:left="1440" w:hanging="360"/>
      </w:pPr>
    </w:lvl>
    <w:lvl w:ilvl="2">
      <w:start w:val="158"/>
      <w:numFmt w:val="decimal"/>
      <w:lvlText w:val="(%3)"/>
      <w:lvlJc w:val="left"/>
      <w:pPr>
        <w:ind w:left="2160" w:hanging="360"/>
      </w:pPr>
    </w:lvl>
    <w:lvl w:ilvl="3">
      <w:start w:val="158"/>
      <w:numFmt w:val="decimal"/>
      <w:lvlText w:val="(%4)"/>
      <w:lvlJc w:val="left"/>
      <w:pPr>
        <w:ind w:left="2880" w:hanging="360"/>
      </w:pPr>
    </w:lvl>
    <w:lvl w:ilvl="4">
      <w:start w:val="158"/>
      <w:numFmt w:val="decimal"/>
      <w:lvlText w:val="(%5)"/>
      <w:lvlJc w:val="left"/>
      <w:pPr>
        <w:ind w:left="3600" w:hanging="360"/>
      </w:pPr>
    </w:lvl>
    <w:lvl w:ilvl="5">
      <w:start w:val="158"/>
      <w:numFmt w:val="decimal"/>
      <w:lvlText w:val="(%6)"/>
      <w:lvlJc w:val="left"/>
      <w:pPr>
        <w:ind w:left="4320" w:hanging="360"/>
      </w:pPr>
    </w:lvl>
    <w:lvl w:ilvl="6">
      <w:start w:val="158"/>
      <w:numFmt w:val="decimal"/>
      <w:lvlText w:val="(%7)"/>
      <w:lvlJc w:val="left"/>
      <w:pPr>
        <w:ind w:left="5040" w:hanging="360"/>
      </w:pPr>
    </w:lvl>
    <w:lvl w:ilvl="7">
      <w:start w:val="158"/>
      <w:numFmt w:val="decimal"/>
      <w:lvlText w:val="(%8)"/>
      <w:lvlJc w:val="left"/>
      <w:pPr>
        <w:ind w:left="5760" w:hanging="360"/>
      </w:pPr>
    </w:lvl>
    <w:lvl w:ilvl="8">
      <w:start w:val="158"/>
      <w:numFmt w:val="decimal"/>
      <w:lvlText w:val="(%9)"/>
      <w:lvlJc w:val="left"/>
      <w:pPr>
        <w:ind w:left="6480" w:hanging="360"/>
      </w:pPr>
    </w:lvl>
  </w:abstractNum>
  <w:abstractNum w:abstractNumId="9943160">
    <w:nsid w:val="A9943160"/>
    <w:multiLevelType w:val="multilevel"/>
    <w:lvl w:ilvl="0">
      <w:start w:val="160"/>
      <w:numFmt w:val="decimal"/>
      <w:lvlText w:val="(%1)"/>
      <w:lvlJc w:val="left"/>
      <w:pPr>
        <w:ind w:left="720" w:hanging="360"/>
      </w:pPr>
    </w:lvl>
    <w:lvl w:ilvl="1">
      <w:start w:val="160"/>
      <w:numFmt w:val="decimal"/>
      <w:lvlText w:val="(%2)"/>
      <w:lvlJc w:val="left"/>
      <w:pPr>
        <w:ind w:left="1440" w:hanging="360"/>
      </w:pPr>
    </w:lvl>
    <w:lvl w:ilvl="2">
      <w:start w:val="160"/>
      <w:numFmt w:val="decimal"/>
      <w:lvlText w:val="(%3)"/>
      <w:lvlJc w:val="left"/>
      <w:pPr>
        <w:ind w:left="2160" w:hanging="360"/>
      </w:pPr>
    </w:lvl>
    <w:lvl w:ilvl="3">
      <w:start w:val="160"/>
      <w:numFmt w:val="decimal"/>
      <w:lvlText w:val="(%4)"/>
      <w:lvlJc w:val="left"/>
      <w:pPr>
        <w:ind w:left="2880" w:hanging="360"/>
      </w:pPr>
    </w:lvl>
    <w:lvl w:ilvl="4">
      <w:start w:val="160"/>
      <w:numFmt w:val="decimal"/>
      <w:lvlText w:val="(%5)"/>
      <w:lvlJc w:val="left"/>
      <w:pPr>
        <w:ind w:left="3600" w:hanging="360"/>
      </w:pPr>
    </w:lvl>
    <w:lvl w:ilvl="5">
      <w:start w:val="160"/>
      <w:numFmt w:val="decimal"/>
      <w:lvlText w:val="(%6)"/>
      <w:lvlJc w:val="left"/>
      <w:pPr>
        <w:ind w:left="4320" w:hanging="360"/>
      </w:pPr>
    </w:lvl>
    <w:lvl w:ilvl="6">
      <w:start w:val="160"/>
      <w:numFmt w:val="decimal"/>
      <w:lvlText w:val="(%7)"/>
      <w:lvlJc w:val="left"/>
      <w:pPr>
        <w:ind w:left="5040" w:hanging="360"/>
      </w:pPr>
    </w:lvl>
    <w:lvl w:ilvl="7">
      <w:start w:val="160"/>
      <w:numFmt w:val="decimal"/>
      <w:lvlText w:val="(%8)"/>
      <w:lvlJc w:val="left"/>
      <w:pPr>
        <w:ind w:left="5760" w:hanging="360"/>
      </w:pPr>
    </w:lvl>
    <w:lvl w:ilvl="8">
      <w:start w:val="160"/>
      <w:numFmt w:val="decimal"/>
      <w:lvlText w:val="(%9)"/>
      <w:lvlJc w:val="left"/>
      <w:pPr>
        <w:ind w:left="6480" w:hanging="360"/>
      </w:pPr>
    </w:lvl>
  </w:abstractNum>
  <w:abstractNum w:abstractNumId="9943162">
    <w:nsid w:val="A9943162"/>
    <w:multiLevelType w:val="multilevel"/>
    <w:lvl w:ilvl="0">
      <w:start w:val="162"/>
      <w:numFmt w:val="decimal"/>
      <w:lvlText w:val="(%1)"/>
      <w:lvlJc w:val="left"/>
      <w:pPr>
        <w:ind w:left="720" w:hanging="360"/>
      </w:pPr>
    </w:lvl>
    <w:lvl w:ilvl="1">
      <w:start w:val="162"/>
      <w:numFmt w:val="decimal"/>
      <w:lvlText w:val="(%2)"/>
      <w:lvlJc w:val="left"/>
      <w:pPr>
        <w:ind w:left="1440" w:hanging="360"/>
      </w:pPr>
    </w:lvl>
    <w:lvl w:ilvl="2">
      <w:start w:val="162"/>
      <w:numFmt w:val="decimal"/>
      <w:lvlText w:val="(%3)"/>
      <w:lvlJc w:val="left"/>
      <w:pPr>
        <w:ind w:left="2160" w:hanging="360"/>
      </w:pPr>
    </w:lvl>
    <w:lvl w:ilvl="3">
      <w:start w:val="162"/>
      <w:numFmt w:val="decimal"/>
      <w:lvlText w:val="(%4)"/>
      <w:lvlJc w:val="left"/>
      <w:pPr>
        <w:ind w:left="2880" w:hanging="360"/>
      </w:pPr>
    </w:lvl>
    <w:lvl w:ilvl="4">
      <w:start w:val="162"/>
      <w:numFmt w:val="decimal"/>
      <w:lvlText w:val="(%5)"/>
      <w:lvlJc w:val="left"/>
      <w:pPr>
        <w:ind w:left="3600" w:hanging="360"/>
      </w:pPr>
    </w:lvl>
    <w:lvl w:ilvl="5">
      <w:start w:val="162"/>
      <w:numFmt w:val="decimal"/>
      <w:lvlText w:val="(%6)"/>
      <w:lvlJc w:val="left"/>
      <w:pPr>
        <w:ind w:left="4320" w:hanging="360"/>
      </w:pPr>
    </w:lvl>
    <w:lvl w:ilvl="6">
      <w:start w:val="162"/>
      <w:numFmt w:val="decimal"/>
      <w:lvlText w:val="(%7)"/>
      <w:lvlJc w:val="left"/>
      <w:pPr>
        <w:ind w:left="5040" w:hanging="360"/>
      </w:pPr>
    </w:lvl>
    <w:lvl w:ilvl="7">
      <w:start w:val="162"/>
      <w:numFmt w:val="decimal"/>
      <w:lvlText w:val="(%8)"/>
      <w:lvlJc w:val="left"/>
      <w:pPr>
        <w:ind w:left="5760" w:hanging="360"/>
      </w:pPr>
    </w:lvl>
    <w:lvl w:ilvl="8">
      <w:start w:val="162"/>
      <w:numFmt w:val="decimal"/>
      <w:lvlText w:val="(%9)"/>
      <w:lvlJc w:val="left"/>
      <w:pPr>
        <w:ind w:left="6480" w:hanging="360"/>
      </w:pPr>
    </w:lvl>
  </w:abstractNum>
  <w:abstractNum w:abstractNumId="9943163">
    <w:nsid w:val="A9943163"/>
    <w:multiLevelType w:val="multilevel"/>
    <w:lvl w:ilvl="0">
      <w:start w:val="163"/>
      <w:numFmt w:val="decimal"/>
      <w:lvlText w:val="(%1)"/>
      <w:lvlJc w:val="left"/>
      <w:pPr>
        <w:ind w:left="720" w:hanging="360"/>
      </w:pPr>
    </w:lvl>
    <w:lvl w:ilvl="1">
      <w:start w:val="163"/>
      <w:numFmt w:val="decimal"/>
      <w:lvlText w:val="(%2)"/>
      <w:lvlJc w:val="left"/>
      <w:pPr>
        <w:ind w:left="1440" w:hanging="360"/>
      </w:pPr>
    </w:lvl>
    <w:lvl w:ilvl="2">
      <w:start w:val="163"/>
      <w:numFmt w:val="decimal"/>
      <w:lvlText w:val="(%3)"/>
      <w:lvlJc w:val="left"/>
      <w:pPr>
        <w:ind w:left="2160" w:hanging="360"/>
      </w:pPr>
    </w:lvl>
    <w:lvl w:ilvl="3">
      <w:start w:val="163"/>
      <w:numFmt w:val="decimal"/>
      <w:lvlText w:val="(%4)"/>
      <w:lvlJc w:val="left"/>
      <w:pPr>
        <w:ind w:left="2880" w:hanging="360"/>
      </w:pPr>
    </w:lvl>
    <w:lvl w:ilvl="4">
      <w:start w:val="163"/>
      <w:numFmt w:val="decimal"/>
      <w:lvlText w:val="(%5)"/>
      <w:lvlJc w:val="left"/>
      <w:pPr>
        <w:ind w:left="3600" w:hanging="360"/>
      </w:pPr>
    </w:lvl>
    <w:lvl w:ilvl="5">
      <w:start w:val="163"/>
      <w:numFmt w:val="decimal"/>
      <w:lvlText w:val="(%6)"/>
      <w:lvlJc w:val="left"/>
      <w:pPr>
        <w:ind w:left="4320" w:hanging="360"/>
      </w:pPr>
    </w:lvl>
    <w:lvl w:ilvl="6">
      <w:start w:val="163"/>
      <w:numFmt w:val="decimal"/>
      <w:lvlText w:val="(%7)"/>
      <w:lvlJc w:val="left"/>
      <w:pPr>
        <w:ind w:left="5040" w:hanging="360"/>
      </w:pPr>
    </w:lvl>
    <w:lvl w:ilvl="7">
      <w:start w:val="163"/>
      <w:numFmt w:val="decimal"/>
      <w:lvlText w:val="(%8)"/>
      <w:lvlJc w:val="left"/>
      <w:pPr>
        <w:ind w:left="5760" w:hanging="360"/>
      </w:pPr>
    </w:lvl>
    <w:lvl w:ilvl="8">
      <w:start w:val="163"/>
      <w:numFmt w:val="decimal"/>
      <w:lvlText w:val="(%9)"/>
      <w:lvlJc w:val="left"/>
      <w:pPr>
        <w:ind w:left="6480" w:hanging="360"/>
      </w:pPr>
    </w:lvl>
  </w:abstractNum>
  <w:abstractNum w:abstractNumId="9943168">
    <w:nsid w:val="A9943168"/>
    <w:multiLevelType w:val="multilevel"/>
    <w:lvl w:ilvl="0">
      <w:start w:val="168"/>
      <w:numFmt w:val="decimal"/>
      <w:lvlText w:val="(%1)"/>
      <w:lvlJc w:val="left"/>
      <w:pPr>
        <w:ind w:left="720" w:hanging="360"/>
      </w:pPr>
    </w:lvl>
    <w:lvl w:ilvl="1">
      <w:start w:val="168"/>
      <w:numFmt w:val="decimal"/>
      <w:lvlText w:val="(%2)"/>
      <w:lvlJc w:val="left"/>
      <w:pPr>
        <w:ind w:left="1440" w:hanging="360"/>
      </w:pPr>
    </w:lvl>
    <w:lvl w:ilvl="2">
      <w:start w:val="168"/>
      <w:numFmt w:val="decimal"/>
      <w:lvlText w:val="(%3)"/>
      <w:lvlJc w:val="left"/>
      <w:pPr>
        <w:ind w:left="2160" w:hanging="360"/>
      </w:pPr>
    </w:lvl>
    <w:lvl w:ilvl="3">
      <w:start w:val="168"/>
      <w:numFmt w:val="decimal"/>
      <w:lvlText w:val="(%4)"/>
      <w:lvlJc w:val="left"/>
      <w:pPr>
        <w:ind w:left="2880" w:hanging="360"/>
      </w:pPr>
    </w:lvl>
    <w:lvl w:ilvl="4">
      <w:start w:val="168"/>
      <w:numFmt w:val="decimal"/>
      <w:lvlText w:val="(%5)"/>
      <w:lvlJc w:val="left"/>
      <w:pPr>
        <w:ind w:left="3600" w:hanging="360"/>
      </w:pPr>
    </w:lvl>
    <w:lvl w:ilvl="5">
      <w:start w:val="168"/>
      <w:numFmt w:val="decimal"/>
      <w:lvlText w:val="(%6)"/>
      <w:lvlJc w:val="left"/>
      <w:pPr>
        <w:ind w:left="4320" w:hanging="360"/>
      </w:pPr>
    </w:lvl>
    <w:lvl w:ilvl="6">
      <w:start w:val="168"/>
      <w:numFmt w:val="decimal"/>
      <w:lvlText w:val="(%7)"/>
      <w:lvlJc w:val="left"/>
      <w:pPr>
        <w:ind w:left="5040" w:hanging="360"/>
      </w:pPr>
    </w:lvl>
    <w:lvl w:ilvl="7">
      <w:start w:val="168"/>
      <w:numFmt w:val="decimal"/>
      <w:lvlText w:val="(%8)"/>
      <w:lvlJc w:val="left"/>
      <w:pPr>
        <w:ind w:left="5760" w:hanging="360"/>
      </w:pPr>
    </w:lvl>
    <w:lvl w:ilvl="8">
      <w:start w:val="168"/>
      <w:numFmt w:val="decimal"/>
      <w:lvlText w:val="(%9)"/>
      <w:lvlJc w:val="left"/>
      <w:pPr>
        <w:ind w:left="6480" w:hanging="360"/>
      </w:pPr>
    </w:lvl>
  </w:abstractNum>
  <w:abstractNum w:abstractNumId="9943177">
    <w:nsid w:val="A9943177"/>
    <w:multiLevelType w:val="multilevel"/>
    <w:lvl w:ilvl="0">
      <w:start w:val="177"/>
      <w:numFmt w:val="decimal"/>
      <w:lvlText w:val="(%1)"/>
      <w:lvlJc w:val="left"/>
      <w:pPr>
        <w:ind w:left="720" w:hanging="360"/>
      </w:pPr>
    </w:lvl>
    <w:lvl w:ilvl="1">
      <w:start w:val="177"/>
      <w:numFmt w:val="decimal"/>
      <w:lvlText w:val="(%2)"/>
      <w:lvlJc w:val="left"/>
      <w:pPr>
        <w:ind w:left="1440" w:hanging="360"/>
      </w:pPr>
    </w:lvl>
    <w:lvl w:ilvl="2">
      <w:start w:val="177"/>
      <w:numFmt w:val="decimal"/>
      <w:lvlText w:val="(%3)"/>
      <w:lvlJc w:val="left"/>
      <w:pPr>
        <w:ind w:left="2160" w:hanging="360"/>
      </w:pPr>
    </w:lvl>
    <w:lvl w:ilvl="3">
      <w:start w:val="177"/>
      <w:numFmt w:val="decimal"/>
      <w:lvlText w:val="(%4)"/>
      <w:lvlJc w:val="left"/>
      <w:pPr>
        <w:ind w:left="2880" w:hanging="360"/>
      </w:pPr>
    </w:lvl>
    <w:lvl w:ilvl="4">
      <w:start w:val="177"/>
      <w:numFmt w:val="decimal"/>
      <w:lvlText w:val="(%5)"/>
      <w:lvlJc w:val="left"/>
      <w:pPr>
        <w:ind w:left="3600" w:hanging="360"/>
      </w:pPr>
    </w:lvl>
    <w:lvl w:ilvl="5">
      <w:start w:val="177"/>
      <w:numFmt w:val="decimal"/>
      <w:lvlText w:val="(%6)"/>
      <w:lvlJc w:val="left"/>
      <w:pPr>
        <w:ind w:left="4320" w:hanging="360"/>
      </w:pPr>
    </w:lvl>
    <w:lvl w:ilvl="6">
      <w:start w:val="177"/>
      <w:numFmt w:val="decimal"/>
      <w:lvlText w:val="(%7)"/>
      <w:lvlJc w:val="left"/>
      <w:pPr>
        <w:ind w:left="5040" w:hanging="360"/>
      </w:pPr>
    </w:lvl>
    <w:lvl w:ilvl="7">
      <w:start w:val="177"/>
      <w:numFmt w:val="decimal"/>
      <w:lvlText w:val="(%8)"/>
      <w:lvlJc w:val="left"/>
      <w:pPr>
        <w:ind w:left="5760" w:hanging="360"/>
      </w:pPr>
    </w:lvl>
    <w:lvl w:ilvl="8">
      <w:start w:val="177"/>
      <w:numFmt w:val="decimal"/>
      <w:lvlText w:val="(%9)"/>
      <w:lvlJc w:val="left"/>
      <w:pPr>
        <w:ind w:left="6480" w:hanging="360"/>
      </w:pPr>
    </w:lvl>
  </w:abstractNum>
  <w:abstractNum w:abstractNumId="9943183">
    <w:nsid w:val="A9943183"/>
    <w:multiLevelType w:val="multilevel"/>
    <w:lvl w:ilvl="0">
      <w:start w:val="183"/>
      <w:numFmt w:val="decimal"/>
      <w:lvlText w:val="(%1)"/>
      <w:lvlJc w:val="left"/>
      <w:pPr>
        <w:ind w:left="720" w:hanging="360"/>
      </w:pPr>
    </w:lvl>
    <w:lvl w:ilvl="1">
      <w:start w:val="183"/>
      <w:numFmt w:val="decimal"/>
      <w:lvlText w:val="(%2)"/>
      <w:lvlJc w:val="left"/>
      <w:pPr>
        <w:ind w:left="1440" w:hanging="360"/>
      </w:pPr>
    </w:lvl>
    <w:lvl w:ilvl="2">
      <w:start w:val="183"/>
      <w:numFmt w:val="decimal"/>
      <w:lvlText w:val="(%3)"/>
      <w:lvlJc w:val="left"/>
      <w:pPr>
        <w:ind w:left="2160" w:hanging="360"/>
      </w:pPr>
    </w:lvl>
    <w:lvl w:ilvl="3">
      <w:start w:val="183"/>
      <w:numFmt w:val="decimal"/>
      <w:lvlText w:val="(%4)"/>
      <w:lvlJc w:val="left"/>
      <w:pPr>
        <w:ind w:left="2880" w:hanging="360"/>
      </w:pPr>
    </w:lvl>
    <w:lvl w:ilvl="4">
      <w:start w:val="183"/>
      <w:numFmt w:val="decimal"/>
      <w:lvlText w:val="(%5)"/>
      <w:lvlJc w:val="left"/>
      <w:pPr>
        <w:ind w:left="3600" w:hanging="360"/>
      </w:pPr>
    </w:lvl>
    <w:lvl w:ilvl="5">
      <w:start w:val="183"/>
      <w:numFmt w:val="decimal"/>
      <w:lvlText w:val="(%6)"/>
      <w:lvlJc w:val="left"/>
      <w:pPr>
        <w:ind w:left="4320" w:hanging="360"/>
      </w:pPr>
    </w:lvl>
    <w:lvl w:ilvl="6">
      <w:start w:val="183"/>
      <w:numFmt w:val="decimal"/>
      <w:lvlText w:val="(%7)"/>
      <w:lvlJc w:val="left"/>
      <w:pPr>
        <w:ind w:left="5040" w:hanging="360"/>
      </w:pPr>
    </w:lvl>
    <w:lvl w:ilvl="7">
      <w:start w:val="183"/>
      <w:numFmt w:val="decimal"/>
      <w:lvlText w:val="(%8)"/>
      <w:lvlJc w:val="left"/>
      <w:pPr>
        <w:ind w:left="5760" w:hanging="360"/>
      </w:pPr>
    </w:lvl>
    <w:lvl w:ilvl="8">
      <w:start w:val="183"/>
      <w:numFmt w:val="decimal"/>
      <w:lvlText w:val="(%9)"/>
      <w:lvlJc w:val="left"/>
      <w:pPr>
        <w:ind w:left="6480" w:hanging="360"/>
      </w:pPr>
    </w:lvl>
  </w:abstractNum>
  <w:abstractNum w:abstractNumId="9943186">
    <w:nsid w:val="A9943186"/>
    <w:multiLevelType w:val="multilevel"/>
    <w:lvl w:ilvl="0">
      <w:start w:val="186"/>
      <w:numFmt w:val="decimal"/>
      <w:lvlText w:val="(%1)"/>
      <w:lvlJc w:val="left"/>
      <w:pPr>
        <w:ind w:left="720" w:hanging="360"/>
      </w:pPr>
    </w:lvl>
    <w:lvl w:ilvl="1">
      <w:start w:val="186"/>
      <w:numFmt w:val="decimal"/>
      <w:lvlText w:val="(%2)"/>
      <w:lvlJc w:val="left"/>
      <w:pPr>
        <w:ind w:left="1440" w:hanging="360"/>
      </w:pPr>
    </w:lvl>
    <w:lvl w:ilvl="2">
      <w:start w:val="186"/>
      <w:numFmt w:val="decimal"/>
      <w:lvlText w:val="(%3)"/>
      <w:lvlJc w:val="left"/>
      <w:pPr>
        <w:ind w:left="2160" w:hanging="360"/>
      </w:pPr>
    </w:lvl>
    <w:lvl w:ilvl="3">
      <w:start w:val="186"/>
      <w:numFmt w:val="decimal"/>
      <w:lvlText w:val="(%4)"/>
      <w:lvlJc w:val="left"/>
      <w:pPr>
        <w:ind w:left="2880" w:hanging="360"/>
      </w:pPr>
    </w:lvl>
    <w:lvl w:ilvl="4">
      <w:start w:val="186"/>
      <w:numFmt w:val="decimal"/>
      <w:lvlText w:val="(%5)"/>
      <w:lvlJc w:val="left"/>
      <w:pPr>
        <w:ind w:left="3600" w:hanging="360"/>
      </w:pPr>
    </w:lvl>
    <w:lvl w:ilvl="5">
      <w:start w:val="186"/>
      <w:numFmt w:val="decimal"/>
      <w:lvlText w:val="(%6)"/>
      <w:lvlJc w:val="left"/>
      <w:pPr>
        <w:ind w:left="4320" w:hanging="360"/>
      </w:pPr>
    </w:lvl>
    <w:lvl w:ilvl="6">
      <w:start w:val="186"/>
      <w:numFmt w:val="decimal"/>
      <w:lvlText w:val="(%7)"/>
      <w:lvlJc w:val="left"/>
      <w:pPr>
        <w:ind w:left="5040" w:hanging="360"/>
      </w:pPr>
    </w:lvl>
    <w:lvl w:ilvl="7">
      <w:start w:val="186"/>
      <w:numFmt w:val="decimal"/>
      <w:lvlText w:val="(%8)"/>
      <w:lvlJc w:val="left"/>
      <w:pPr>
        <w:ind w:left="5760" w:hanging="360"/>
      </w:pPr>
    </w:lvl>
    <w:lvl w:ilvl="8">
      <w:start w:val="186"/>
      <w:numFmt w:val="decimal"/>
      <w:lvlText w:val="(%9)"/>
      <w:lvlJc w:val="left"/>
      <w:pPr>
        <w:ind w:left="6480" w:hanging="360"/>
      </w:pPr>
    </w:lvl>
  </w:abstractNum>
  <w:abstractNum w:abstractNumId="9943189">
    <w:nsid w:val="A9943189"/>
    <w:multiLevelType w:val="multilevel"/>
    <w:lvl w:ilvl="0">
      <w:start w:val="189"/>
      <w:numFmt w:val="decimal"/>
      <w:lvlText w:val="(%1)"/>
      <w:lvlJc w:val="left"/>
      <w:pPr>
        <w:ind w:left="720" w:hanging="360"/>
      </w:pPr>
    </w:lvl>
    <w:lvl w:ilvl="1">
      <w:start w:val="189"/>
      <w:numFmt w:val="decimal"/>
      <w:lvlText w:val="(%2)"/>
      <w:lvlJc w:val="left"/>
      <w:pPr>
        <w:ind w:left="1440" w:hanging="360"/>
      </w:pPr>
    </w:lvl>
    <w:lvl w:ilvl="2">
      <w:start w:val="189"/>
      <w:numFmt w:val="decimal"/>
      <w:lvlText w:val="(%3)"/>
      <w:lvlJc w:val="left"/>
      <w:pPr>
        <w:ind w:left="2160" w:hanging="360"/>
      </w:pPr>
    </w:lvl>
    <w:lvl w:ilvl="3">
      <w:start w:val="189"/>
      <w:numFmt w:val="decimal"/>
      <w:lvlText w:val="(%4)"/>
      <w:lvlJc w:val="left"/>
      <w:pPr>
        <w:ind w:left="2880" w:hanging="360"/>
      </w:pPr>
    </w:lvl>
    <w:lvl w:ilvl="4">
      <w:start w:val="189"/>
      <w:numFmt w:val="decimal"/>
      <w:lvlText w:val="(%5)"/>
      <w:lvlJc w:val="left"/>
      <w:pPr>
        <w:ind w:left="3600" w:hanging="360"/>
      </w:pPr>
    </w:lvl>
    <w:lvl w:ilvl="5">
      <w:start w:val="189"/>
      <w:numFmt w:val="decimal"/>
      <w:lvlText w:val="(%6)"/>
      <w:lvlJc w:val="left"/>
      <w:pPr>
        <w:ind w:left="4320" w:hanging="360"/>
      </w:pPr>
    </w:lvl>
    <w:lvl w:ilvl="6">
      <w:start w:val="189"/>
      <w:numFmt w:val="decimal"/>
      <w:lvlText w:val="(%7)"/>
      <w:lvlJc w:val="left"/>
      <w:pPr>
        <w:ind w:left="5040" w:hanging="360"/>
      </w:pPr>
    </w:lvl>
    <w:lvl w:ilvl="7">
      <w:start w:val="189"/>
      <w:numFmt w:val="decimal"/>
      <w:lvlText w:val="(%8)"/>
      <w:lvlJc w:val="left"/>
      <w:pPr>
        <w:ind w:left="5760" w:hanging="360"/>
      </w:pPr>
    </w:lvl>
    <w:lvl w:ilvl="8">
      <w:start w:val="189"/>
      <w:numFmt w:val="decimal"/>
      <w:lvlText w:val="(%9)"/>
      <w:lvlJc w:val="left"/>
      <w:pPr>
        <w:ind w:left="6480" w:hanging="360"/>
      </w:pPr>
    </w:lvl>
  </w:abstractNum>
  <w:abstractNum w:abstractNumId="9943191">
    <w:nsid w:val="A9943191"/>
    <w:multiLevelType w:val="multilevel"/>
    <w:lvl w:ilvl="0">
      <w:start w:val="191"/>
      <w:numFmt w:val="decimal"/>
      <w:lvlText w:val="(%1)"/>
      <w:lvlJc w:val="left"/>
      <w:pPr>
        <w:ind w:left="720" w:hanging="360"/>
      </w:pPr>
    </w:lvl>
    <w:lvl w:ilvl="1">
      <w:start w:val="191"/>
      <w:numFmt w:val="decimal"/>
      <w:lvlText w:val="(%2)"/>
      <w:lvlJc w:val="left"/>
      <w:pPr>
        <w:ind w:left="1440" w:hanging="360"/>
      </w:pPr>
    </w:lvl>
    <w:lvl w:ilvl="2">
      <w:start w:val="191"/>
      <w:numFmt w:val="decimal"/>
      <w:lvlText w:val="(%3)"/>
      <w:lvlJc w:val="left"/>
      <w:pPr>
        <w:ind w:left="2160" w:hanging="360"/>
      </w:pPr>
    </w:lvl>
    <w:lvl w:ilvl="3">
      <w:start w:val="191"/>
      <w:numFmt w:val="decimal"/>
      <w:lvlText w:val="(%4)"/>
      <w:lvlJc w:val="left"/>
      <w:pPr>
        <w:ind w:left="2880" w:hanging="360"/>
      </w:pPr>
    </w:lvl>
    <w:lvl w:ilvl="4">
      <w:start w:val="191"/>
      <w:numFmt w:val="decimal"/>
      <w:lvlText w:val="(%5)"/>
      <w:lvlJc w:val="left"/>
      <w:pPr>
        <w:ind w:left="3600" w:hanging="360"/>
      </w:pPr>
    </w:lvl>
    <w:lvl w:ilvl="5">
      <w:start w:val="191"/>
      <w:numFmt w:val="decimal"/>
      <w:lvlText w:val="(%6)"/>
      <w:lvlJc w:val="left"/>
      <w:pPr>
        <w:ind w:left="4320" w:hanging="360"/>
      </w:pPr>
    </w:lvl>
    <w:lvl w:ilvl="6">
      <w:start w:val="191"/>
      <w:numFmt w:val="decimal"/>
      <w:lvlText w:val="(%7)"/>
      <w:lvlJc w:val="left"/>
      <w:pPr>
        <w:ind w:left="5040" w:hanging="360"/>
      </w:pPr>
    </w:lvl>
    <w:lvl w:ilvl="7">
      <w:start w:val="191"/>
      <w:numFmt w:val="decimal"/>
      <w:lvlText w:val="(%8)"/>
      <w:lvlJc w:val="left"/>
      <w:pPr>
        <w:ind w:left="5760" w:hanging="360"/>
      </w:pPr>
    </w:lvl>
    <w:lvl w:ilvl="8">
      <w:start w:val="191"/>
      <w:numFmt w:val="decimal"/>
      <w:lvlText w:val="(%9)"/>
      <w:lvlJc w:val="left"/>
      <w:pPr>
        <w:ind w:left="6480" w:hanging="360"/>
      </w:pPr>
    </w:lvl>
  </w:abstractNum>
  <w:abstractNum w:abstractNumId="9943194">
    <w:nsid w:val="A9943194"/>
    <w:multiLevelType w:val="multilevel"/>
    <w:lvl w:ilvl="0">
      <w:start w:val="194"/>
      <w:numFmt w:val="decimal"/>
      <w:lvlText w:val="(%1)"/>
      <w:lvlJc w:val="left"/>
      <w:pPr>
        <w:ind w:left="720" w:hanging="360"/>
      </w:pPr>
    </w:lvl>
    <w:lvl w:ilvl="1">
      <w:start w:val="194"/>
      <w:numFmt w:val="decimal"/>
      <w:lvlText w:val="(%2)"/>
      <w:lvlJc w:val="left"/>
      <w:pPr>
        <w:ind w:left="1440" w:hanging="360"/>
      </w:pPr>
    </w:lvl>
    <w:lvl w:ilvl="2">
      <w:start w:val="194"/>
      <w:numFmt w:val="decimal"/>
      <w:lvlText w:val="(%3)"/>
      <w:lvlJc w:val="left"/>
      <w:pPr>
        <w:ind w:left="2160" w:hanging="360"/>
      </w:pPr>
    </w:lvl>
    <w:lvl w:ilvl="3">
      <w:start w:val="194"/>
      <w:numFmt w:val="decimal"/>
      <w:lvlText w:val="(%4)"/>
      <w:lvlJc w:val="left"/>
      <w:pPr>
        <w:ind w:left="2880" w:hanging="360"/>
      </w:pPr>
    </w:lvl>
    <w:lvl w:ilvl="4">
      <w:start w:val="194"/>
      <w:numFmt w:val="decimal"/>
      <w:lvlText w:val="(%5)"/>
      <w:lvlJc w:val="left"/>
      <w:pPr>
        <w:ind w:left="3600" w:hanging="360"/>
      </w:pPr>
    </w:lvl>
    <w:lvl w:ilvl="5">
      <w:start w:val="194"/>
      <w:numFmt w:val="decimal"/>
      <w:lvlText w:val="(%6)"/>
      <w:lvlJc w:val="left"/>
      <w:pPr>
        <w:ind w:left="4320" w:hanging="360"/>
      </w:pPr>
    </w:lvl>
    <w:lvl w:ilvl="6">
      <w:start w:val="194"/>
      <w:numFmt w:val="decimal"/>
      <w:lvlText w:val="(%7)"/>
      <w:lvlJc w:val="left"/>
      <w:pPr>
        <w:ind w:left="5040" w:hanging="360"/>
      </w:pPr>
    </w:lvl>
    <w:lvl w:ilvl="7">
      <w:start w:val="194"/>
      <w:numFmt w:val="decimal"/>
      <w:lvlText w:val="(%8)"/>
      <w:lvlJc w:val="left"/>
      <w:pPr>
        <w:ind w:left="5760" w:hanging="360"/>
      </w:pPr>
    </w:lvl>
    <w:lvl w:ilvl="8">
      <w:start w:val="194"/>
      <w:numFmt w:val="decimal"/>
      <w:lvlText w:val="(%9)"/>
      <w:lvlJc w:val="left"/>
      <w:pPr>
        <w:ind w:left="6480" w:hanging="360"/>
      </w:pPr>
    </w:lvl>
  </w:abstractNum>
  <w:abstractNum w:abstractNumId="9943199">
    <w:nsid w:val="A9943199"/>
    <w:multiLevelType w:val="multilevel"/>
    <w:lvl w:ilvl="0">
      <w:start w:val="199"/>
      <w:numFmt w:val="decimal"/>
      <w:lvlText w:val="(%1)"/>
      <w:lvlJc w:val="left"/>
      <w:pPr>
        <w:ind w:left="720" w:hanging="360"/>
      </w:pPr>
    </w:lvl>
    <w:lvl w:ilvl="1">
      <w:start w:val="199"/>
      <w:numFmt w:val="decimal"/>
      <w:lvlText w:val="(%2)"/>
      <w:lvlJc w:val="left"/>
      <w:pPr>
        <w:ind w:left="1440" w:hanging="360"/>
      </w:pPr>
    </w:lvl>
    <w:lvl w:ilvl="2">
      <w:start w:val="199"/>
      <w:numFmt w:val="decimal"/>
      <w:lvlText w:val="(%3)"/>
      <w:lvlJc w:val="left"/>
      <w:pPr>
        <w:ind w:left="2160" w:hanging="360"/>
      </w:pPr>
    </w:lvl>
    <w:lvl w:ilvl="3">
      <w:start w:val="199"/>
      <w:numFmt w:val="decimal"/>
      <w:lvlText w:val="(%4)"/>
      <w:lvlJc w:val="left"/>
      <w:pPr>
        <w:ind w:left="2880" w:hanging="360"/>
      </w:pPr>
    </w:lvl>
    <w:lvl w:ilvl="4">
      <w:start w:val="199"/>
      <w:numFmt w:val="decimal"/>
      <w:lvlText w:val="(%5)"/>
      <w:lvlJc w:val="left"/>
      <w:pPr>
        <w:ind w:left="3600" w:hanging="360"/>
      </w:pPr>
    </w:lvl>
    <w:lvl w:ilvl="5">
      <w:start w:val="199"/>
      <w:numFmt w:val="decimal"/>
      <w:lvlText w:val="(%6)"/>
      <w:lvlJc w:val="left"/>
      <w:pPr>
        <w:ind w:left="4320" w:hanging="360"/>
      </w:pPr>
    </w:lvl>
    <w:lvl w:ilvl="6">
      <w:start w:val="199"/>
      <w:numFmt w:val="decimal"/>
      <w:lvlText w:val="(%7)"/>
      <w:lvlJc w:val="left"/>
      <w:pPr>
        <w:ind w:left="5040" w:hanging="360"/>
      </w:pPr>
    </w:lvl>
    <w:lvl w:ilvl="7">
      <w:start w:val="199"/>
      <w:numFmt w:val="decimal"/>
      <w:lvlText w:val="(%8)"/>
      <w:lvlJc w:val="left"/>
      <w:pPr>
        <w:ind w:left="5760" w:hanging="360"/>
      </w:pPr>
    </w:lvl>
    <w:lvl w:ilvl="8">
      <w:start w:val="199"/>
      <w:numFmt w:val="decimal"/>
      <w:lvlText w:val="(%9)"/>
      <w:lvlJc w:val="left"/>
      <w:pPr>
        <w:ind w:left="6480" w:hanging="360"/>
      </w:pPr>
    </w:lvl>
  </w:abstractNum>
  <w:abstractNum w:abstractNumId="9943201">
    <w:nsid w:val="A9943201"/>
    <w:multiLevelType w:val="multilevel"/>
    <w:lvl w:ilvl="0">
      <w:start w:val="201"/>
      <w:numFmt w:val="decimal"/>
      <w:lvlText w:val="(%1)"/>
      <w:lvlJc w:val="left"/>
      <w:pPr>
        <w:ind w:left="720" w:hanging="360"/>
      </w:pPr>
    </w:lvl>
    <w:lvl w:ilvl="1">
      <w:start w:val="201"/>
      <w:numFmt w:val="decimal"/>
      <w:lvlText w:val="(%2)"/>
      <w:lvlJc w:val="left"/>
      <w:pPr>
        <w:ind w:left="1440" w:hanging="360"/>
      </w:pPr>
    </w:lvl>
    <w:lvl w:ilvl="2">
      <w:start w:val="201"/>
      <w:numFmt w:val="decimal"/>
      <w:lvlText w:val="(%3)"/>
      <w:lvlJc w:val="left"/>
      <w:pPr>
        <w:ind w:left="2160" w:hanging="360"/>
      </w:pPr>
    </w:lvl>
    <w:lvl w:ilvl="3">
      <w:start w:val="201"/>
      <w:numFmt w:val="decimal"/>
      <w:lvlText w:val="(%4)"/>
      <w:lvlJc w:val="left"/>
      <w:pPr>
        <w:ind w:left="2880" w:hanging="360"/>
      </w:pPr>
    </w:lvl>
    <w:lvl w:ilvl="4">
      <w:start w:val="201"/>
      <w:numFmt w:val="decimal"/>
      <w:lvlText w:val="(%5)"/>
      <w:lvlJc w:val="left"/>
      <w:pPr>
        <w:ind w:left="3600" w:hanging="360"/>
      </w:pPr>
    </w:lvl>
    <w:lvl w:ilvl="5">
      <w:start w:val="201"/>
      <w:numFmt w:val="decimal"/>
      <w:lvlText w:val="(%6)"/>
      <w:lvlJc w:val="left"/>
      <w:pPr>
        <w:ind w:left="4320" w:hanging="360"/>
      </w:pPr>
    </w:lvl>
    <w:lvl w:ilvl="6">
      <w:start w:val="201"/>
      <w:numFmt w:val="decimal"/>
      <w:lvlText w:val="(%7)"/>
      <w:lvlJc w:val="left"/>
      <w:pPr>
        <w:ind w:left="5040" w:hanging="360"/>
      </w:pPr>
    </w:lvl>
    <w:lvl w:ilvl="7">
      <w:start w:val="201"/>
      <w:numFmt w:val="decimal"/>
      <w:lvlText w:val="(%8)"/>
      <w:lvlJc w:val="left"/>
      <w:pPr>
        <w:ind w:left="5760" w:hanging="360"/>
      </w:pPr>
    </w:lvl>
    <w:lvl w:ilvl="8">
      <w:start w:val="201"/>
      <w:numFmt w:val="decimal"/>
      <w:lvlText w:val="(%9)"/>
      <w:lvlJc w:val="left"/>
      <w:pPr>
        <w:ind w:left="6480" w:hanging="360"/>
      </w:pPr>
    </w:lvl>
  </w:abstractNum>
  <w:abstractNum w:abstractNumId="9943202">
    <w:nsid w:val="A9943202"/>
    <w:multiLevelType w:val="multilevel"/>
    <w:lvl w:ilvl="0">
      <w:start w:val="202"/>
      <w:numFmt w:val="decimal"/>
      <w:lvlText w:val="(%1)"/>
      <w:lvlJc w:val="left"/>
      <w:pPr>
        <w:ind w:left="720" w:hanging="360"/>
      </w:pPr>
    </w:lvl>
    <w:lvl w:ilvl="1">
      <w:start w:val="202"/>
      <w:numFmt w:val="decimal"/>
      <w:lvlText w:val="(%2)"/>
      <w:lvlJc w:val="left"/>
      <w:pPr>
        <w:ind w:left="1440" w:hanging="360"/>
      </w:pPr>
    </w:lvl>
    <w:lvl w:ilvl="2">
      <w:start w:val="202"/>
      <w:numFmt w:val="decimal"/>
      <w:lvlText w:val="(%3)"/>
      <w:lvlJc w:val="left"/>
      <w:pPr>
        <w:ind w:left="2160" w:hanging="360"/>
      </w:pPr>
    </w:lvl>
    <w:lvl w:ilvl="3">
      <w:start w:val="202"/>
      <w:numFmt w:val="decimal"/>
      <w:lvlText w:val="(%4)"/>
      <w:lvlJc w:val="left"/>
      <w:pPr>
        <w:ind w:left="2880" w:hanging="360"/>
      </w:pPr>
    </w:lvl>
    <w:lvl w:ilvl="4">
      <w:start w:val="202"/>
      <w:numFmt w:val="decimal"/>
      <w:lvlText w:val="(%5)"/>
      <w:lvlJc w:val="left"/>
      <w:pPr>
        <w:ind w:left="3600" w:hanging="360"/>
      </w:pPr>
    </w:lvl>
    <w:lvl w:ilvl="5">
      <w:start w:val="202"/>
      <w:numFmt w:val="decimal"/>
      <w:lvlText w:val="(%6)"/>
      <w:lvlJc w:val="left"/>
      <w:pPr>
        <w:ind w:left="4320" w:hanging="360"/>
      </w:pPr>
    </w:lvl>
    <w:lvl w:ilvl="6">
      <w:start w:val="202"/>
      <w:numFmt w:val="decimal"/>
      <w:lvlText w:val="(%7)"/>
      <w:lvlJc w:val="left"/>
      <w:pPr>
        <w:ind w:left="5040" w:hanging="360"/>
      </w:pPr>
    </w:lvl>
    <w:lvl w:ilvl="7">
      <w:start w:val="202"/>
      <w:numFmt w:val="decimal"/>
      <w:lvlText w:val="(%8)"/>
      <w:lvlJc w:val="left"/>
      <w:pPr>
        <w:ind w:left="5760" w:hanging="360"/>
      </w:pPr>
    </w:lvl>
    <w:lvl w:ilvl="8">
      <w:start w:val="202"/>
      <w:numFmt w:val="decimal"/>
      <w:lvlText w:val="(%9)"/>
      <w:lvlJc w:val="left"/>
      <w:pPr>
        <w:ind w:left="6480" w:hanging="360"/>
      </w:pPr>
    </w:lvl>
  </w:abstractNum>
  <w:abstractNum w:abstractNumId="9943203">
    <w:nsid w:val="A9943203"/>
    <w:multiLevelType w:val="multilevel"/>
    <w:lvl w:ilvl="0">
      <w:start w:val="203"/>
      <w:numFmt w:val="decimal"/>
      <w:lvlText w:val="(%1)"/>
      <w:lvlJc w:val="left"/>
      <w:pPr>
        <w:ind w:left="720" w:hanging="360"/>
      </w:pPr>
    </w:lvl>
    <w:lvl w:ilvl="1">
      <w:start w:val="203"/>
      <w:numFmt w:val="decimal"/>
      <w:lvlText w:val="(%2)"/>
      <w:lvlJc w:val="left"/>
      <w:pPr>
        <w:ind w:left="1440" w:hanging="360"/>
      </w:pPr>
    </w:lvl>
    <w:lvl w:ilvl="2">
      <w:start w:val="203"/>
      <w:numFmt w:val="decimal"/>
      <w:lvlText w:val="(%3)"/>
      <w:lvlJc w:val="left"/>
      <w:pPr>
        <w:ind w:left="2160" w:hanging="360"/>
      </w:pPr>
    </w:lvl>
    <w:lvl w:ilvl="3">
      <w:start w:val="203"/>
      <w:numFmt w:val="decimal"/>
      <w:lvlText w:val="(%4)"/>
      <w:lvlJc w:val="left"/>
      <w:pPr>
        <w:ind w:left="2880" w:hanging="360"/>
      </w:pPr>
    </w:lvl>
    <w:lvl w:ilvl="4">
      <w:start w:val="203"/>
      <w:numFmt w:val="decimal"/>
      <w:lvlText w:val="(%5)"/>
      <w:lvlJc w:val="left"/>
      <w:pPr>
        <w:ind w:left="3600" w:hanging="360"/>
      </w:pPr>
    </w:lvl>
    <w:lvl w:ilvl="5">
      <w:start w:val="203"/>
      <w:numFmt w:val="decimal"/>
      <w:lvlText w:val="(%6)"/>
      <w:lvlJc w:val="left"/>
      <w:pPr>
        <w:ind w:left="4320" w:hanging="360"/>
      </w:pPr>
    </w:lvl>
    <w:lvl w:ilvl="6">
      <w:start w:val="203"/>
      <w:numFmt w:val="decimal"/>
      <w:lvlText w:val="(%7)"/>
      <w:lvlJc w:val="left"/>
      <w:pPr>
        <w:ind w:left="5040" w:hanging="360"/>
      </w:pPr>
    </w:lvl>
    <w:lvl w:ilvl="7">
      <w:start w:val="203"/>
      <w:numFmt w:val="decimal"/>
      <w:lvlText w:val="(%8)"/>
      <w:lvlJc w:val="left"/>
      <w:pPr>
        <w:ind w:left="5760" w:hanging="360"/>
      </w:pPr>
    </w:lvl>
    <w:lvl w:ilvl="8">
      <w:start w:val="203"/>
      <w:numFmt w:val="decimal"/>
      <w:lvlText w:val="(%9)"/>
      <w:lvlJc w:val="left"/>
      <w:pPr>
        <w:ind w:left="6480" w:hanging="360"/>
      </w:pPr>
    </w:lvl>
  </w:abstractNum>
  <w:abstractNum w:abstractNumId="9943206">
    <w:nsid w:val="A9943206"/>
    <w:multiLevelType w:val="multilevel"/>
    <w:lvl w:ilvl="0">
      <w:start w:val="206"/>
      <w:numFmt w:val="decimal"/>
      <w:lvlText w:val="(%1)"/>
      <w:lvlJc w:val="left"/>
      <w:pPr>
        <w:ind w:left="720" w:hanging="360"/>
      </w:pPr>
    </w:lvl>
    <w:lvl w:ilvl="1">
      <w:start w:val="206"/>
      <w:numFmt w:val="decimal"/>
      <w:lvlText w:val="(%2)"/>
      <w:lvlJc w:val="left"/>
      <w:pPr>
        <w:ind w:left="1440" w:hanging="360"/>
      </w:pPr>
    </w:lvl>
    <w:lvl w:ilvl="2">
      <w:start w:val="206"/>
      <w:numFmt w:val="decimal"/>
      <w:lvlText w:val="(%3)"/>
      <w:lvlJc w:val="left"/>
      <w:pPr>
        <w:ind w:left="2160" w:hanging="360"/>
      </w:pPr>
    </w:lvl>
    <w:lvl w:ilvl="3">
      <w:start w:val="206"/>
      <w:numFmt w:val="decimal"/>
      <w:lvlText w:val="(%4)"/>
      <w:lvlJc w:val="left"/>
      <w:pPr>
        <w:ind w:left="2880" w:hanging="360"/>
      </w:pPr>
    </w:lvl>
    <w:lvl w:ilvl="4">
      <w:start w:val="206"/>
      <w:numFmt w:val="decimal"/>
      <w:lvlText w:val="(%5)"/>
      <w:lvlJc w:val="left"/>
      <w:pPr>
        <w:ind w:left="3600" w:hanging="360"/>
      </w:pPr>
    </w:lvl>
    <w:lvl w:ilvl="5">
      <w:start w:val="206"/>
      <w:numFmt w:val="decimal"/>
      <w:lvlText w:val="(%6)"/>
      <w:lvlJc w:val="left"/>
      <w:pPr>
        <w:ind w:left="4320" w:hanging="360"/>
      </w:pPr>
    </w:lvl>
    <w:lvl w:ilvl="6">
      <w:start w:val="206"/>
      <w:numFmt w:val="decimal"/>
      <w:lvlText w:val="(%7)"/>
      <w:lvlJc w:val="left"/>
      <w:pPr>
        <w:ind w:left="5040" w:hanging="360"/>
      </w:pPr>
    </w:lvl>
    <w:lvl w:ilvl="7">
      <w:start w:val="206"/>
      <w:numFmt w:val="decimal"/>
      <w:lvlText w:val="(%8)"/>
      <w:lvlJc w:val="left"/>
      <w:pPr>
        <w:ind w:left="5760" w:hanging="360"/>
      </w:pPr>
    </w:lvl>
    <w:lvl w:ilvl="8">
      <w:start w:val="206"/>
      <w:numFmt w:val="decimal"/>
      <w:lvlText w:val="(%9)"/>
      <w:lvlJc w:val="left"/>
      <w:pPr>
        <w:ind w:left="6480" w:hanging="360"/>
      </w:pPr>
    </w:lvl>
  </w:abstractNum>
  <w:abstractNum w:abstractNumId="9943209">
    <w:nsid w:val="A9943209"/>
    <w:multiLevelType w:val="multilevel"/>
    <w:lvl w:ilvl="0">
      <w:start w:val="209"/>
      <w:numFmt w:val="decimal"/>
      <w:lvlText w:val="(%1)"/>
      <w:lvlJc w:val="left"/>
      <w:pPr>
        <w:ind w:left="720" w:hanging="360"/>
      </w:pPr>
    </w:lvl>
    <w:lvl w:ilvl="1">
      <w:start w:val="209"/>
      <w:numFmt w:val="decimal"/>
      <w:lvlText w:val="(%2)"/>
      <w:lvlJc w:val="left"/>
      <w:pPr>
        <w:ind w:left="1440" w:hanging="360"/>
      </w:pPr>
    </w:lvl>
    <w:lvl w:ilvl="2">
      <w:start w:val="209"/>
      <w:numFmt w:val="decimal"/>
      <w:lvlText w:val="(%3)"/>
      <w:lvlJc w:val="left"/>
      <w:pPr>
        <w:ind w:left="2160" w:hanging="360"/>
      </w:pPr>
    </w:lvl>
    <w:lvl w:ilvl="3">
      <w:start w:val="209"/>
      <w:numFmt w:val="decimal"/>
      <w:lvlText w:val="(%4)"/>
      <w:lvlJc w:val="left"/>
      <w:pPr>
        <w:ind w:left="2880" w:hanging="360"/>
      </w:pPr>
    </w:lvl>
    <w:lvl w:ilvl="4">
      <w:start w:val="209"/>
      <w:numFmt w:val="decimal"/>
      <w:lvlText w:val="(%5)"/>
      <w:lvlJc w:val="left"/>
      <w:pPr>
        <w:ind w:left="3600" w:hanging="360"/>
      </w:pPr>
    </w:lvl>
    <w:lvl w:ilvl="5">
      <w:start w:val="209"/>
      <w:numFmt w:val="decimal"/>
      <w:lvlText w:val="(%6)"/>
      <w:lvlJc w:val="left"/>
      <w:pPr>
        <w:ind w:left="4320" w:hanging="360"/>
      </w:pPr>
    </w:lvl>
    <w:lvl w:ilvl="6">
      <w:start w:val="209"/>
      <w:numFmt w:val="decimal"/>
      <w:lvlText w:val="(%7)"/>
      <w:lvlJc w:val="left"/>
      <w:pPr>
        <w:ind w:left="5040" w:hanging="360"/>
      </w:pPr>
    </w:lvl>
    <w:lvl w:ilvl="7">
      <w:start w:val="209"/>
      <w:numFmt w:val="decimal"/>
      <w:lvlText w:val="(%8)"/>
      <w:lvlJc w:val="left"/>
      <w:pPr>
        <w:ind w:left="5760" w:hanging="360"/>
      </w:pPr>
    </w:lvl>
    <w:lvl w:ilvl="8">
      <w:start w:val="209"/>
      <w:numFmt w:val="decimal"/>
      <w:lvlText w:val="(%9)"/>
      <w:lvlJc w:val="left"/>
      <w:pPr>
        <w:ind w:left="6480" w:hanging="360"/>
      </w:pPr>
    </w:lvl>
  </w:abstractNum>
  <w:abstractNum w:abstractNumId="9943215">
    <w:nsid w:val="A9943215"/>
    <w:multiLevelType w:val="multilevel"/>
    <w:lvl w:ilvl="0">
      <w:start w:val="215"/>
      <w:numFmt w:val="decimal"/>
      <w:lvlText w:val="(%1)"/>
      <w:lvlJc w:val="left"/>
      <w:pPr>
        <w:ind w:left="720" w:hanging="360"/>
      </w:pPr>
    </w:lvl>
    <w:lvl w:ilvl="1">
      <w:start w:val="215"/>
      <w:numFmt w:val="decimal"/>
      <w:lvlText w:val="(%2)"/>
      <w:lvlJc w:val="left"/>
      <w:pPr>
        <w:ind w:left="1440" w:hanging="360"/>
      </w:pPr>
    </w:lvl>
    <w:lvl w:ilvl="2">
      <w:start w:val="215"/>
      <w:numFmt w:val="decimal"/>
      <w:lvlText w:val="(%3)"/>
      <w:lvlJc w:val="left"/>
      <w:pPr>
        <w:ind w:left="2160" w:hanging="360"/>
      </w:pPr>
    </w:lvl>
    <w:lvl w:ilvl="3">
      <w:start w:val="215"/>
      <w:numFmt w:val="decimal"/>
      <w:lvlText w:val="(%4)"/>
      <w:lvlJc w:val="left"/>
      <w:pPr>
        <w:ind w:left="2880" w:hanging="360"/>
      </w:pPr>
    </w:lvl>
    <w:lvl w:ilvl="4">
      <w:start w:val="215"/>
      <w:numFmt w:val="decimal"/>
      <w:lvlText w:val="(%5)"/>
      <w:lvlJc w:val="left"/>
      <w:pPr>
        <w:ind w:left="3600" w:hanging="360"/>
      </w:pPr>
    </w:lvl>
    <w:lvl w:ilvl="5">
      <w:start w:val="215"/>
      <w:numFmt w:val="decimal"/>
      <w:lvlText w:val="(%6)"/>
      <w:lvlJc w:val="left"/>
      <w:pPr>
        <w:ind w:left="4320" w:hanging="360"/>
      </w:pPr>
    </w:lvl>
    <w:lvl w:ilvl="6">
      <w:start w:val="215"/>
      <w:numFmt w:val="decimal"/>
      <w:lvlText w:val="(%7)"/>
      <w:lvlJc w:val="left"/>
      <w:pPr>
        <w:ind w:left="5040" w:hanging="360"/>
      </w:pPr>
    </w:lvl>
    <w:lvl w:ilvl="7">
      <w:start w:val="215"/>
      <w:numFmt w:val="decimal"/>
      <w:lvlText w:val="(%8)"/>
      <w:lvlJc w:val="left"/>
      <w:pPr>
        <w:ind w:left="5760" w:hanging="360"/>
      </w:pPr>
    </w:lvl>
    <w:lvl w:ilvl="8">
      <w:start w:val="215"/>
      <w:numFmt w:val="decimal"/>
      <w:lvlText w:val="(%9)"/>
      <w:lvlJc w:val="left"/>
      <w:pPr>
        <w:ind w:left="6480" w:hanging="360"/>
      </w:pPr>
    </w:lvl>
  </w:abstractNum>
  <w:abstractNum w:abstractNumId="9943216">
    <w:nsid w:val="A9943216"/>
    <w:multiLevelType w:val="multilevel"/>
    <w:lvl w:ilvl="0">
      <w:start w:val="216"/>
      <w:numFmt w:val="decimal"/>
      <w:lvlText w:val="(%1)"/>
      <w:lvlJc w:val="left"/>
      <w:pPr>
        <w:ind w:left="720" w:hanging="360"/>
      </w:pPr>
    </w:lvl>
    <w:lvl w:ilvl="1">
      <w:start w:val="216"/>
      <w:numFmt w:val="decimal"/>
      <w:lvlText w:val="(%2)"/>
      <w:lvlJc w:val="left"/>
      <w:pPr>
        <w:ind w:left="1440" w:hanging="360"/>
      </w:pPr>
    </w:lvl>
    <w:lvl w:ilvl="2">
      <w:start w:val="216"/>
      <w:numFmt w:val="decimal"/>
      <w:lvlText w:val="(%3)"/>
      <w:lvlJc w:val="left"/>
      <w:pPr>
        <w:ind w:left="2160" w:hanging="360"/>
      </w:pPr>
    </w:lvl>
    <w:lvl w:ilvl="3">
      <w:start w:val="216"/>
      <w:numFmt w:val="decimal"/>
      <w:lvlText w:val="(%4)"/>
      <w:lvlJc w:val="left"/>
      <w:pPr>
        <w:ind w:left="2880" w:hanging="360"/>
      </w:pPr>
    </w:lvl>
    <w:lvl w:ilvl="4">
      <w:start w:val="216"/>
      <w:numFmt w:val="decimal"/>
      <w:lvlText w:val="(%5)"/>
      <w:lvlJc w:val="left"/>
      <w:pPr>
        <w:ind w:left="3600" w:hanging="360"/>
      </w:pPr>
    </w:lvl>
    <w:lvl w:ilvl="5">
      <w:start w:val="216"/>
      <w:numFmt w:val="decimal"/>
      <w:lvlText w:val="(%6)"/>
      <w:lvlJc w:val="left"/>
      <w:pPr>
        <w:ind w:left="4320" w:hanging="360"/>
      </w:pPr>
    </w:lvl>
    <w:lvl w:ilvl="6">
      <w:start w:val="216"/>
      <w:numFmt w:val="decimal"/>
      <w:lvlText w:val="(%7)"/>
      <w:lvlJc w:val="left"/>
      <w:pPr>
        <w:ind w:left="5040" w:hanging="360"/>
      </w:pPr>
    </w:lvl>
    <w:lvl w:ilvl="7">
      <w:start w:val="216"/>
      <w:numFmt w:val="decimal"/>
      <w:lvlText w:val="(%8)"/>
      <w:lvlJc w:val="left"/>
      <w:pPr>
        <w:ind w:left="5760" w:hanging="360"/>
      </w:pPr>
    </w:lvl>
    <w:lvl w:ilvl="8">
      <w:start w:val="216"/>
      <w:numFmt w:val="decimal"/>
      <w:lvlText w:val="(%9)"/>
      <w:lvlJc w:val="left"/>
      <w:pPr>
        <w:ind w:left="6480" w:hanging="360"/>
      </w:pPr>
    </w:lvl>
  </w:abstractNum>
  <w:abstractNum w:abstractNumId="9943219">
    <w:nsid w:val="A9943219"/>
    <w:multiLevelType w:val="multilevel"/>
    <w:lvl w:ilvl="0">
      <w:start w:val="219"/>
      <w:numFmt w:val="decimal"/>
      <w:lvlText w:val="(%1)"/>
      <w:lvlJc w:val="left"/>
      <w:pPr>
        <w:ind w:left="720" w:hanging="360"/>
      </w:pPr>
    </w:lvl>
    <w:lvl w:ilvl="1">
      <w:start w:val="219"/>
      <w:numFmt w:val="decimal"/>
      <w:lvlText w:val="(%2)"/>
      <w:lvlJc w:val="left"/>
      <w:pPr>
        <w:ind w:left="1440" w:hanging="360"/>
      </w:pPr>
    </w:lvl>
    <w:lvl w:ilvl="2">
      <w:start w:val="219"/>
      <w:numFmt w:val="decimal"/>
      <w:lvlText w:val="(%3)"/>
      <w:lvlJc w:val="left"/>
      <w:pPr>
        <w:ind w:left="2160" w:hanging="360"/>
      </w:pPr>
    </w:lvl>
    <w:lvl w:ilvl="3">
      <w:start w:val="219"/>
      <w:numFmt w:val="decimal"/>
      <w:lvlText w:val="(%4)"/>
      <w:lvlJc w:val="left"/>
      <w:pPr>
        <w:ind w:left="2880" w:hanging="360"/>
      </w:pPr>
    </w:lvl>
    <w:lvl w:ilvl="4">
      <w:start w:val="219"/>
      <w:numFmt w:val="decimal"/>
      <w:lvlText w:val="(%5)"/>
      <w:lvlJc w:val="left"/>
      <w:pPr>
        <w:ind w:left="3600" w:hanging="360"/>
      </w:pPr>
    </w:lvl>
    <w:lvl w:ilvl="5">
      <w:start w:val="219"/>
      <w:numFmt w:val="decimal"/>
      <w:lvlText w:val="(%6)"/>
      <w:lvlJc w:val="left"/>
      <w:pPr>
        <w:ind w:left="4320" w:hanging="360"/>
      </w:pPr>
    </w:lvl>
    <w:lvl w:ilvl="6">
      <w:start w:val="219"/>
      <w:numFmt w:val="decimal"/>
      <w:lvlText w:val="(%7)"/>
      <w:lvlJc w:val="left"/>
      <w:pPr>
        <w:ind w:left="5040" w:hanging="360"/>
      </w:pPr>
    </w:lvl>
    <w:lvl w:ilvl="7">
      <w:start w:val="219"/>
      <w:numFmt w:val="decimal"/>
      <w:lvlText w:val="(%8)"/>
      <w:lvlJc w:val="left"/>
      <w:pPr>
        <w:ind w:left="5760" w:hanging="360"/>
      </w:pPr>
    </w:lvl>
    <w:lvl w:ilvl="8">
      <w:start w:val="219"/>
      <w:numFmt w:val="decimal"/>
      <w:lvlText w:val="(%9)"/>
      <w:lvlJc w:val="left"/>
      <w:pPr>
        <w:ind w:left="6480" w:hanging="360"/>
      </w:pPr>
    </w:lvl>
  </w:abstractNum>
  <w:abstractNum w:abstractNumId="9943223">
    <w:nsid w:val="A9943223"/>
    <w:multiLevelType w:val="multilevel"/>
    <w:lvl w:ilvl="0">
      <w:start w:val="223"/>
      <w:numFmt w:val="decimal"/>
      <w:lvlText w:val="(%1)"/>
      <w:lvlJc w:val="left"/>
      <w:pPr>
        <w:ind w:left="720" w:hanging="360"/>
      </w:pPr>
    </w:lvl>
    <w:lvl w:ilvl="1">
      <w:start w:val="223"/>
      <w:numFmt w:val="decimal"/>
      <w:lvlText w:val="(%2)"/>
      <w:lvlJc w:val="left"/>
      <w:pPr>
        <w:ind w:left="1440" w:hanging="360"/>
      </w:pPr>
    </w:lvl>
    <w:lvl w:ilvl="2">
      <w:start w:val="223"/>
      <w:numFmt w:val="decimal"/>
      <w:lvlText w:val="(%3)"/>
      <w:lvlJc w:val="left"/>
      <w:pPr>
        <w:ind w:left="2160" w:hanging="360"/>
      </w:pPr>
    </w:lvl>
    <w:lvl w:ilvl="3">
      <w:start w:val="223"/>
      <w:numFmt w:val="decimal"/>
      <w:lvlText w:val="(%4)"/>
      <w:lvlJc w:val="left"/>
      <w:pPr>
        <w:ind w:left="2880" w:hanging="360"/>
      </w:pPr>
    </w:lvl>
    <w:lvl w:ilvl="4">
      <w:start w:val="223"/>
      <w:numFmt w:val="decimal"/>
      <w:lvlText w:val="(%5)"/>
      <w:lvlJc w:val="left"/>
      <w:pPr>
        <w:ind w:left="3600" w:hanging="360"/>
      </w:pPr>
    </w:lvl>
    <w:lvl w:ilvl="5">
      <w:start w:val="223"/>
      <w:numFmt w:val="decimal"/>
      <w:lvlText w:val="(%6)"/>
      <w:lvlJc w:val="left"/>
      <w:pPr>
        <w:ind w:left="4320" w:hanging="360"/>
      </w:pPr>
    </w:lvl>
    <w:lvl w:ilvl="6">
      <w:start w:val="223"/>
      <w:numFmt w:val="decimal"/>
      <w:lvlText w:val="(%7)"/>
      <w:lvlJc w:val="left"/>
      <w:pPr>
        <w:ind w:left="5040" w:hanging="360"/>
      </w:pPr>
    </w:lvl>
    <w:lvl w:ilvl="7">
      <w:start w:val="223"/>
      <w:numFmt w:val="decimal"/>
      <w:lvlText w:val="(%8)"/>
      <w:lvlJc w:val="left"/>
      <w:pPr>
        <w:ind w:left="5760" w:hanging="360"/>
      </w:pPr>
    </w:lvl>
    <w:lvl w:ilvl="8">
      <w:start w:val="223"/>
      <w:numFmt w:val="decimal"/>
      <w:lvlText w:val="(%9)"/>
      <w:lvlJc w:val="left"/>
      <w:pPr>
        <w:ind w:left="6480" w:hanging="360"/>
      </w:pPr>
    </w:lvl>
  </w:abstractNum>
  <w:abstractNum w:abstractNumId="9943227">
    <w:nsid w:val="A9943227"/>
    <w:multiLevelType w:val="multilevel"/>
    <w:lvl w:ilvl="0">
      <w:start w:val="227"/>
      <w:numFmt w:val="decimal"/>
      <w:lvlText w:val="(%1)"/>
      <w:lvlJc w:val="left"/>
      <w:pPr>
        <w:ind w:left="720" w:hanging="360"/>
      </w:pPr>
    </w:lvl>
    <w:lvl w:ilvl="1">
      <w:start w:val="227"/>
      <w:numFmt w:val="decimal"/>
      <w:lvlText w:val="(%2)"/>
      <w:lvlJc w:val="left"/>
      <w:pPr>
        <w:ind w:left="1440" w:hanging="360"/>
      </w:pPr>
    </w:lvl>
    <w:lvl w:ilvl="2">
      <w:start w:val="227"/>
      <w:numFmt w:val="decimal"/>
      <w:lvlText w:val="(%3)"/>
      <w:lvlJc w:val="left"/>
      <w:pPr>
        <w:ind w:left="2160" w:hanging="360"/>
      </w:pPr>
    </w:lvl>
    <w:lvl w:ilvl="3">
      <w:start w:val="227"/>
      <w:numFmt w:val="decimal"/>
      <w:lvlText w:val="(%4)"/>
      <w:lvlJc w:val="left"/>
      <w:pPr>
        <w:ind w:left="2880" w:hanging="360"/>
      </w:pPr>
    </w:lvl>
    <w:lvl w:ilvl="4">
      <w:start w:val="227"/>
      <w:numFmt w:val="decimal"/>
      <w:lvlText w:val="(%5)"/>
      <w:lvlJc w:val="left"/>
      <w:pPr>
        <w:ind w:left="3600" w:hanging="360"/>
      </w:pPr>
    </w:lvl>
    <w:lvl w:ilvl="5">
      <w:start w:val="227"/>
      <w:numFmt w:val="decimal"/>
      <w:lvlText w:val="(%6)"/>
      <w:lvlJc w:val="left"/>
      <w:pPr>
        <w:ind w:left="4320" w:hanging="360"/>
      </w:pPr>
    </w:lvl>
    <w:lvl w:ilvl="6">
      <w:start w:val="227"/>
      <w:numFmt w:val="decimal"/>
      <w:lvlText w:val="(%7)"/>
      <w:lvlJc w:val="left"/>
      <w:pPr>
        <w:ind w:left="5040" w:hanging="360"/>
      </w:pPr>
    </w:lvl>
    <w:lvl w:ilvl="7">
      <w:start w:val="227"/>
      <w:numFmt w:val="decimal"/>
      <w:lvlText w:val="(%8)"/>
      <w:lvlJc w:val="left"/>
      <w:pPr>
        <w:ind w:left="5760" w:hanging="360"/>
      </w:pPr>
    </w:lvl>
    <w:lvl w:ilvl="8">
      <w:start w:val="227"/>
      <w:numFmt w:val="decimal"/>
      <w:lvlText w:val="(%9)"/>
      <w:lvlJc w:val="left"/>
      <w:pPr>
        <w:ind w:left="6480" w:hanging="360"/>
      </w:pPr>
    </w:lvl>
  </w:abstractNum>
  <w:abstractNum w:abstractNumId="9943231">
    <w:nsid w:val="A9943231"/>
    <w:multiLevelType w:val="multilevel"/>
    <w:lvl w:ilvl="0">
      <w:start w:val="231"/>
      <w:numFmt w:val="decimal"/>
      <w:lvlText w:val="(%1)"/>
      <w:lvlJc w:val="left"/>
      <w:pPr>
        <w:ind w:left="720" w:hanging="360"/>
      </w:pPr>
    </w:lvl>
    <w:lvl w:ilvl="1">
      <w:start w:val="231"/>
      <w:numFmt w:val="decimal"/>
      <w:lvlText w:val="(%2)"/>
      <w:lvlJc w:val="left"/>
      <w:pPr>
        <w:ind w:left="1440" w:hanging="360"/>
      </w:pPr>
    </w:lvl>
    <w:lvl w:ilvl="2">
      <w:start w:val="231"/>
      <w:numFmt w:val="decimal"/>
      <w:lvlText w:val="(%3)"/>
      <w:lvlJc w:val="left"/>
      <w:pPr>
        <w:ind w:left="2160" w:hanging="360"/>
      </w:pPr>
    </w:lvl>
    <w:lvl w:ilvl="3">
      <w:start w:val="231"/>
      <w:numFmt w:val="decimal"/>
      <w:lvlText w:val="(%4)"/>
      <w:lvlJc w:val="left"/>
      <w:pPr>
        <w:ind w:left="2880" w:hanging="360"/>
      </w:pPr>
    </w:lvl>
    <w:lvl w:ilvl="4">
      <w:start w:val="231"/>
      <w:numFmt w:val="decimal"/>
      <w:lvlText w:val="(%5)"/>
      <w:lvlJc w:val="left"/>
      <w:pPr>
        <w:ind w:left="3600" w:hanging="360"/>
      </w:pPr>
    </w:lvl>
    <w:lvl w:ilvl="5">
      <w:start w:val="231"/>
      <w:numFmt w:val="decimal"/>
      <w:lvlText w:val="(%6)"/>
      <w:lvlJc w:val="left"/>
      <w:pPr>
        <w:ind w:left="4320" w:hanging="360"/>
      </w:pPr>
    </w:lvl>
    <w:lvl w:ilvl="6">
      <w:start w:val="231"/>
      <w:numFmt w:val="decimal"/>
      <w:lvlText w:val="(%7)"/>
      <w:lvlJc w:val="left"/>
      <w:pPr>
        <w:ind w:left="5040" w:hanging="360"/>
      </w:pPr>
    </w:lvl>
    <w:lvl w:ilvl="7">
      <w:start w:val="231"/>
      <w:numFmt w:val="decimal"/>
      <w:lvlText w:val="(%8)"/>
      <w:lvlJc w:val="left"/>
      <w:pPr>
        <w:ind w:left="5760" w:hanging="360"/>
      </w:pPr>
    </w:lvl>
    <w:lvl w:ilvl="8">
      <w:start w:val="231"/>
      <w:numFmt w:val="decimal"/>
      <w:lvlText w:val="(%9)"/>
      <w:lvlJc w:val="left"/>
      <w:pPr>
        <w:ind w:left="6480" w:hanging="360"/>
      </w:pPr>
    </w:lvl>
  </w:abstractNum>
  <w:abstractNum w:abstractNumId="9943235">
    <w:nsid w:val="A9943235"/>
    <w:multiLevelType w:val="multilevel"/>
    <w:lvl w:ilvl="0">
      <w:start w:val="235"/>
      <w:numFmt w:val="decimal"/>
      <w:lvlText w:val="(%1)"/>
      <w:lvlJc w:val="left"/>
      <w:pPr>
        <w:ind w:left="720" w:hanging="360"/>
      </w:pPr>
    </w:lvl>
    <w:lvl w:ilvl="1">
      <w:start w:val="235"/>
      <w:numFmt w:val="decimal"/>
      <w:lvlText w:val="(%2)"/>
      <w:lvlJc w:val="left"/>
      <w:pPr>
        <w:ind w:left="1440" w:hanging="360"/>
      </w:pPr>
    </w:lvl>
    <w:lvl w:ilvl="2">
      <w:start w:val="235"/>
      <w:numFmt w:val="decimal"/>
      <w:lvlText w:val="(%3)"/>
      <w:lvlJc w:val="left"/>
      <w:pPr>
        <w:ind w:left="2160" w:hanging="360"/>
      </w:pPr>
    </w:lvl>
    <w:lvl w:ilvl="3">
      <w:start w:val="235"/>
      <w:numFmt w:val="decimal"/>
      <w:lvlText w:val="(%4)"/>
      <w:lvlJc w:val="left"/>
      <w:pPr>
        <w:ind w:left="2880" w:hanging="360"/>
      </w:pPr>
    </w:lvl>
    <w:lvl w:ilvl="4">
      <w:start w:val="235"/>
      <w:numFmt w:val="decimal"/>
      <w:lvlText w:val="(%5)"/>
      <w:lvlJc w:val="left"/>
      <w:pPr>
        <w:ind w:left="3600" w:hanging="360"/>
      </w:pPr>
    </w:lvl>
    <w:lvl w:ilvl="5">
      <w:start w:val="235"/>
      <w:numFmt w:val="decimal"/>
      <w:lvlText w:val="(%6)"/>
      <w:lvlJc w:val="left"/>
      <w:pPr>
        <w:ind w:left="4320" w:hanging="360"/>
      </w:pPr>
    </w:lvl>
    <w:lvl w:ilvl="6">
      <w:start w:val="235"/>
      <w:numFmt w:val="decimal"/>
      <w:lvlText w:val="(%7)"/>
      <w:lvlJc w:val="left"/>
      <w:pPr>
        <w:ind w:left="5040" w:hanging="360"/>
      </w:pPr>
    </w:lvl>
    <w:lvl w:ilvl="7">
      <w:start w:val="235"/>
      <w:numFmt w:val="decimal"/>
      <w:lvlText w:val="(%8)"/>
      <w:lvlJc w:val="left"/>
      <w:pPr>
        <w:ind w:left="5760" w:hanging="360"/>
      </w:pPr>
    </w:lvl>
    <w:lvl w:ilvl="8">
      <w:start w:val="235"/>
      <w:numFmt w:val="decimal"/>
      <w:lvlText w:val="(%9)"/>
      <w:lvlJc w:val="left"/>
      <w:pPr>
        <w:ind w:left="6480" w:hanging="360"/>
      </w:pPr>
    </w:lvl>
  </w:abstractNum>
  <w:abstractNum w:abstractNumId="9943239">
    <w:nsid w:val="A9943239"/>
    <w:multiLevelType w:val="multilevel"/>
    <w:lvl w:ilvl="0">
      <w:start w:val="239"/>
      <w:numFmt w:val="decimal"/>
      <w:lvlText w:val="(%1)"/>
      <w:lvlJc w:val="left"/>
      <w:pPr>
        <w:ind w:left="720" w:hanging="360"/>
      </w:pPr>
    </w:lvl>
    <w:lvl w:ilvl="1">
      <w:start w:val="239"/>
      <w:numFmt w:val="decimal"/>
      <w:lvlText w:val="(%2)"/>
      <w:lvlJc w:val="left"/>
      <w:pPr>
        <w:ind w:left="1440" w:hanging="360"/>
      </w:pPr>
    </w:lvl>
    <w:lvl w:ilvl="2">
      <w:start w:val="239"/>
      <w:numFmt w:val="decimal"/>
      <w:lvlText w:val="(%3)"/>
      <w:lvlJc w:val="left"/>
      <w:pPr>
        <w:ind w:left="2160" w:hanging="360"/>
      </w:pPr>
    </w:lvl>
    <w:lvl w:ilvl="3">
      <w:start w:val="239"/>
      <w:numFmt w:val="decimal"/>
      <w:lvlText w:val="(%4)"/>
      <w:lvlJc w:val="left"/>
      <w:pPr>
        <w:ind w:left="2880" w:hanging="360"/>
      </w:pPr>
    </w:lvl>
    <w:lvl w:ilvl="4">
      <w:start w:val="239"/>
      <w:numFmt w:val="decimal"/>
      <w:lvlText w:val="(%5)"/>
      <w:lvlJc w:val="left"/>
      <w:pPr>
        <w:ind w:left="3600" w:hanging="360"/>
      </w:pPr>
    </w:lvl>
    <w:lvl w:ilvl="5">
      <w:start w:val="239"/>
      <w:numFmt w:val="decimal"/>
      <w:lvlText w:val="(%6)"/>
      <w:lvlJc w:val="left"/>
      <w:pPr>
        <w:ind w:left="4320" w:hanging="360"/>
      </w:pPr>
    </w:lvl>
    <w:lvl w:ilvl="6">
      <w:start w:val="239"/>
      <w:numFmt w:val="decimal"/>
      <w:lvlText w:val="(%7)"/>
      <w:lvlJc w:val="left"/>
      <w:pPr>
        <w:ind w:left="5040" w:hanging="360"/>
      </w:pPr>
    </w:lvl>
    <w:lvl w:ilvl="7">
      <w:start w:val="239"/>
      <w:numFmt w:val="decimal"/>
      <w:lvlText w:val="(%8)"/>
      <w:lvlJc w:val="left"/>
      <w:pPr>
        <w:ind w:left="5760" w:hanging="360"/>
      </w:pPr>
    </w:lvl>
    <w:lvl w:ilvl="8">
      <w:start w:val="239"/>
      <w:numFmt w:val="decimal"/>
      <w:lvlText w:val="(%9)"/>
      <w:lvlJc w:val="left"/>
      <w:pPr>
        <w:ind w:left="6480" w:hanging="360"/>
      </w:pPr>
    </w:lvl>
  </w:abstractNum>
  <w:abstractNum w:abstractNumId="9943240">
    <w:nsid w:val="A9943240"/>
    <w:multiLevelType w:val="multilevel"/>
    <w:lvl w:ilvl="0">
      <w:start w:val="240"/>
      <w:numFmt w:val="decimal"/>
      <w:lvlText w:val="(%1)"/>
      <w:lvlJc w:val="left"/>
      <w:pPr>
        <w:ind w:left="720" w:hanging="360"/>
      </w:pPr>
    </w:lvl>
    <w:lvl w:ilvl="1">
      <w:start w:val="240"/>
      <w:numFmt w:val="decimal"/>
      <w:lvlText w:val="(%2)"/>
      <w:lvlJc w:val="left"/>
      <w:pPr>
        <w:ind w:left="1440" w:hanging="360"/>
      </w:pPr>
    </w:lvl>
    <w:lvl w:ilvl="2">
      <w:start w:val="240"/>
      <w:numFmt w:val="decimal"/>
      <w:lvlText w:val="(%3)"/>
      <w:lvlJc w:val="left"/>
      <w:pPr>
        <w:ind w:left="2160" w:hanging="360"/>
      </w:pPr>
    </w:lvl>
    <w:lvl w:ilvl="3">
      <w:start w:val="240"/>
      <w:numFmt w:val="decimal"/>
      <w:lvlText w:val="(%4)"/>
      <w:lvlJc w:val="left"/>
      <w:pPr>
        <w:ind w:left="2880" w:hanging="360"/>
      </w:pPr>
    </w:lvl>
    <w:lvl w:ilvl="4">
      <w:start w:val="240"/>
      <w:numFmt w:val="decimal"/>
      <w:lvlText w:val="(%5)"/>
      <w:lvlJc w:val="left"/>
      <w:pPr>
        <w:ind w:left="3600" w:hanging="360"/>
      </w:pPr>
    </w:lvl>
    <w:lvl w:ilvl="5">
      <w:start w:val="240"/>
      <w:numFmt w:val="decimal"/>
      <w:lvlText w:val="(%6)"/>
      <w:lvlJc w:val="left"/>
      <w:pPr>
        <w:ind w:left="4320" w:hanging="360"/>
      </w:pPr>
    </w:lvl>
    <w:lvl w:ilvl="6">
      <w:start w:val="240"/>
      <w:numFmt w:val="decimal"/>
      <w:lvlText w:val="(%7)"/>
      <w:lvlJc w:val="left"/>
      <w:pPr>
        <w:ind w:left="5040" w:hanging="360"/>
      </w:pPr>
    </w:lvl>
    <w:lvl w:ilvl="7">
      <w:start w:val="240"/>
      <w:numFmt w:val="decimal"/>
      <w:lvlText w:val="(%8)"/>
      <w:lvlJc w:val="left"/>
      <w:pPr>
        <w:ind w:left="5760" w:hanging="360"/>
      </w:pPr>
    </w:lvl>
    <w:lvl w:ilvl="8">
      <w:start w:val="240"/>
      <w:numFmt w:val="decimal"/>
      <w:lvlText w:val="(%9)"/>
      <w:lvlJc w:val="left"/>
      <w:pPr>
        <w:ind w:left="6480" w:hanging="360"/>
      </w:pPr>
    </w:lvl>
  </w:abstractNum>
  <w:abstractNum w:abstractNumId="9943247">
    <w:nsid w:val="A9943247"/>
    <w:multiLevelType w:val="multilevel"/>
    <w:lvl w:ilvl="0">
      <w:start w:val="247"/>
      <w:numFmt w:val="decimal"/>
      <w:lvlText w:val="(%1)"/>
      <w:lvlJc w:val="left"/>
      <w:pPr>
        <w:ind w:left="720" w:hanging="360"/>
      </w:pPr>
    </w:lvl>
    <w:lvl w:ilvl="1">
      <w:start w:val="247"/>
      <w:numFmt w:val="decimal"/>
      <w:lvlText w:val="(%2)"/>
      <w:lvlJc w:val="left"/>
      <w:pPr>
        <w:ind w:left="1440" w:hanging="360"/>
      </w:pPr>
    </w:lvl>
    <w:lvl w:ilvl="2">
      <w:start w:val="247"/>
      <w:numFmt w:val="decimal"/>
      <w:lvlText w:val="(%3)"/>
      <w:lvlJc w:val="left"/>
      <w:pPr>
        <w:ind w:left="2160" w:hanging="360"/>
      </w:pPr>
    </w:lvl>
    <w:lvl w:ilvl="3">
      <w:start w:val="247"/>
      <w:numFmt w:val="decimal"/>
      <w:lvlText w:val="(%4)"/>
      <w:lvlJc w:val="left"/>
      <w:pPr>
        <w:ind w:left="2880" w:hanging="360"/>
      </w:pPr>
    </w:lvl>
    <w:lvl w:ilvl="4">
      <w:start w:val="247"/>
      <w:numFmt w:val="decimal"/>
      <w:lvlText w:val="(%5)"/>
      <w:lvlJc w:val="left"/>
      <w:pPr>
        <w:ind w:left="3600" w:hanging="360"/>
      </w:pPr>
    </w:lvl>
    <w:lvl w:ilvl="5">
      <w:start w:val="247"/>
      <w:numFmt w:val="decimal"/>
      <w:lvlText w:val="(%6)"/>
      <w:lvlJc w:val="left"/>
      <w:pPr>
        <w:ind w:left="4320" w:hanging="360"/>
      </w:pPr>
    </w:lvl>
    <w:lvl w:ilvl="6">
      <w:start w:val="247"/>
      <w:numFmt w:val="decimal"/>
      <w:lvlText w:val="(%7)"/>
      <w:lvlJc w:val="left"/>
      <w:pPr>
        <w:ind w:left="5040" w:hanging="360"/>
      </w:pPr>
    </w:lvl>
    <w:lvl w:ilvl="7">
      <w:start w:val="247"/>
      <w:numFmt w:val="decimal"/>
      <w:lvlText w:val="(%8)"/>
      <w:lvlJc w:val="left"/>
      <w:pPr>
        <w:ind w:left="5760" w:hanging="360"/>
      </w:pPr>
    </w:lvl>
    <w:lvl w:ilvl="8">
      <w:start w:val="247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3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08">
    <w:abstractNumId w:val="9943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3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0">
    <w:abstractNumId w:val="9943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3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2">
    <w:abstractNumId w:val="9943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3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15">
    <w:abstractNumId w:val="9943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6">
    <w:abstractNumId w:val="99412015"/>
    <w:lvlOverride w:ilvl="0">
      <w:startOverride w:val="2015"/>
    </w:lvlOverride>
    <w:lvlOverride w:ilvl="1">
      <w:startOverride w:val="2015"/>
    </w:lvlOverride>
    <w:lvlOverride w:ilvl="2">
      <w:startOverride w:val="2015"/>
    </w:lvlOverride>
    <w:lvlOverride w:ilvl="3">
      <w:startOverride w:val="2015"/>
    </w:lvlOverride>
    <w:lvlOverride w:ilvl="4">
      <w:startOverride w:val="2015"/>
    </w:lvlOverride>
    <w:lvlOverride w:ilvl="5">
      <w:startOverride w:val="2015"/>
    </w:lvlOverride>
    <w:lvlOverride w:ilvl="6">
      <w:startOverride w:val="2015"/>
    </w:lvlOverride>
    <w:lvlOverride w:ilvl="7">
      <w:startOverride w:val="2015"/>
    </w:lvlOverride>
    <w:lvlOverride w:ilvl="8">
      <w:startOverride w:val="2015"/>
    </w:lvlOverride>
  </w:num>
  <w:num w:numId="1017">
    <w:abstractNumId w:val="9943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18">
    <w:abstractNumId w:val="9943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9">
    <w:abstractNumId w:val="9943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20">
    <w:abstractNumId w:val="994360"/>
    <w:lvlOverride w:ilvl="0">
      <w:startOverride w:val="60"/>
    </w:lvlOverride>
    <w:lvlOverride w:ilvl="1">
      <w:startOverride w:val="60"/>
    </w:lvlOverride>
    <w:lvlOverride w:ilvl="2">
      <w:startOverride w:val="60"/>
    </w:lvlOverride>
    <w:lvlOverride w:ilvl="3">
      <w:startOverride w:val="60"/>
    </w:lvlOverride>
    <w:lvlOverride w:ilvl="4">
      <w:startOverride w:val="60"/>
    </w:lvlOverride>
    <w:lvlOverride w:ilvl="5">
      <w:startOverride w:val="60"/>
    </w:lvlOverride>
    <w:lvlOverride w:ilvl="6">
      <w:startOverride w:val="60"/>
    </w:lvlOverride>
    <w:lvlOverride w:ilvl="7">
      <w:startOverride w:val="60"/>
    </w:lvlOverride>
    <w:lvlOverride w:ilvl="8">
      <w:startOverride w:val="60"/>
    </w:lvlOverride>
  </w:num>
  <w:num w:numId="1021">
    <w:abstractNumId w:val="9943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22">
    <w:abstractNumId w:val="994368"/>
    <w:lvlOverride w:ilvl="0">
      <w:startOverride w:val="68"/>
    </w:lvlOverride>
    <w:lvlOverride w:ilvl="1">
      <w:startOverride w:val="68"/>
    </w:lvlOverride>
    <w:lvlOverride w:ilvl="2">
      <w:startOverride w:val="68"/>
    </w:lvlOverride>
    <w:lvlOverride w:ilvl="3">
      <w:startOverride w:val="68"/>
    </w:lvlOverride>
    <w:lvlOverride w:ilvl="4">
      <w:startOverride w:val="68"/>
    </w:lvlOverride>
    <w:lvlOverride w:ilvl="5">
      <w:startOverride w:val="68"/>
    </w:lvlOverride>
    <w:lvlOverride w:ilvl="6">
      <w:startOverride w:val="68"/>
    </w:lvlOverride>
    <w:lvlOverride w:ilvl="7">
      <w:startOverride w:val="68"/>
    </w:lvlOverride>
    <w:lvlOverride w:ilvl="8">
      <w:startOverride w:val="68"/>
    </w:lvlOverride>
  </w:num>
  <w:num w:numId="1023">
    <w:abstractNumId w:val="9943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  <w:num w:numId="1024">
    <w:abstractNumId w:val="9943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25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26">
    <w:abstractNumId w:val="9943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027">
    <w:abstractNumId w:val="994379"/>
    <w:lvlOverride w:ilvl="0">
      <w:startOverride w:val="79"/>
    </w:lvlOverride>
    <w:lvlOverride w:ilvl="1">
      <w:startOverride w:val="79"/>
    </w:lvlOverride>
    <w:lvlOverride w:ilvl="2">
      <w:startOverride w:val="79"/>
    </w:lvlOverride>
    <w:lvlOverride w:ilvl="3">
      <w:startOverride w:val="79"/>
    </w:lvlOverride>
    <w:lvlOverride w:ilvl="4">
      <w:startOverride w:val="79"/>
    </w:lvlOverride>
    <w:lvlOverride w:ilvl="5">
      <w:startOverride w:val="79"/>
    </w:lvlOverride>
    <w:lvlOverride w:ilvl="6">
      <w:startOverride w:val="79"/>
    </w:lvlOverride>
    <w:lvlOverride w:ilvl="7">
      <w:startOverride w:val="79"/>
    </w:lvlOverride>
    <w:lvlOverride w:ilvl="8">
      <w:startOverride w:val="79"/>
    </w:lvlOverride>
  </w:num>
  <w:num w:numId="1028">
    <w:abstractNumId w:val="9943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029">
    <w:abstractNumId w:val="994393"/>
    <w:lvlOverride w:ilvl="0">
      <w:startOverride w:val="93"/>
    </w:lvlOverride>
    <w:lvlOverride w:ilvl="1">
      <w:startOverride w:val="93"/>
    </w:lvlOverride>
    <w:lvlOverride w:ilvl="2">
      <w:startOverride w:val="93"/>
    </w:lvlOverride>
    <w:lvlOverride w:ilvl="3">
      <w:startOverride w:val="93"/>
    </w:lvlOverride>
    <w:lvlOverride w:ilvl="4">
      <w:startOverride w:val="93"/>
    </w:lvlOverride>
    <w:lvlOverride w:ilvl="5">
      <w:startOverride w:val="93"/>
    </w:lvlOverride>
    <w:lvlOverride w:ilvl="6">
      <w:startOverride w:val="93"/>
    </w:lvlOverride>
    <w:lvlOverride w:ilvl="7">
      <w:startOverride w:val="93"/>
    </w:lvlOverride>
    <w:lvlOverride w:ilvl="8">
      <w:startOverride w:val="93"/>
    </w:lvlOverride>
  </w:num>
  <w:num w:numId="1030">
    <w:abstractNumId w:val="9943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31">
    <w:abstractNumId w:val="9943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32">
    <w:abstractNumId w:val="9943103"/>
    <w:lvlOverride w:ilvl="0">
      <w:startOverride w:val="103"/>
    </w:lvlOverride>
    <w:lvlOverride w:ilvl="1">
      <w:startOverride w:val="103"/>
    </w:lvlOverride>
    <w:lvlOverride w:ilvl="2">
      <w:startOverride w:val="103"/>
    </w:lvlOverride>
    <w:lvlOverride w:ilvl="3">
      <w:startOverride w:val="103"/>
    </w:lvlOverride>
    <w:lvlOverride w:ilvl="4">
      <w:startOverride w:val="103"/>
    </w:lvlOverride>
    <w:lvlOverride w:ilvl="5">
      <w:startOverride w:val="103"/>
    </w:lvlOverride>
    <w:lvlOverride w:ilvl="6">
      <w:startOverride w:val="103"/>
    </w:lvlOverride>
    <w:lvlOverride w:ilvl="7">
      <w:startOverride w:val="103"/>
    </w:lvlOverride>
    <w:lvlOverride w:ilvl="8">
      <w:startOverride w:val="103"/>
    </w:lvlOverride>
  </w:num>
  <w:num w:numId="1033">
    <w:abstractNumId w:val="9943107"/>
    <w:lvlOverride w:ilvl="0">
      <w:startOverride w:val="107"/>
    </w:lvlOverride>
    <w:lvlOverride w:ilvl="1">
      <w:startOverride w:val="107"/>
    </w:lvlOverride>
    <w:lvlOverride w:ilvl="2">
      <w:startOverride w:val="107"/>
    </w:lvlOverride>
    <w:lvlOverride w:ilvl="3">
      <w:startOverride w:val="107"/>
    </w:lvlOverride>
    <w:lvlOverride w:ilvl="4">
      <w:startOverride w:val="107"/>
    </w:lvlOverride>
    <w:lvlOverride w:ilvl="5">
      <w:startOverride w:val="107"/>
    </w:lvlOverride>
    <w:lvlOverride w:ilvl="6">
      <w:startOverride w:val="107"/>
    </w:lvlOverride>
    <w:lvlOverride w:ilvl="7">
      <w:startOverride w:val="107"/>
    </w:lvlOverride>
    <w:lvlOverride w:ilvl="8">
      <w:startOverride w:val="107"/>
    </w:lvlOverride>
  </w:num>
  <w:num w:numId="1034">
    <w:abstractNumId w:val="9943113"/>
    <w:lvlOverride w:ilvl="0">
      <w:startOverride w:val="113"/>
    </w:lvlOverride>
    <w:lvlOverride w:ilvl="1">
      <w:startOverride w:val="113"/>
    </w:lvlOverride>
    <w:lvlOverride w:ilvl="2">
      <w:startOverride w:val="113"/>
    </w:lvlOverride>
    <w:lvlOverride w:ilvl="3">
      <w:startOverride w:val="113"/>
    </w:lvlOverride>
    <w:lvlOverride w:ilvl="4">
      <w:startOverride w:val="113"/>
    </w:lvlOverride>
    <w:lvlOverride w:ilvl="5">
      <w:startOverride w:val="113"/>
    </w:lvlOverride>
    <w:lvlOverride w:ilvl="6">
      <w:startOverride w:val="113"/>
    </w:lvlOverride>
    <w:lvlOverride w:ilvl="7">
      <w:startOverride w:val="113"/>
    </w:lvlOverride>
    <w:lvlOverride w:ilvl="8">
      <w:startOverride w:val="113"/>
    </w:lvlOverride>
  </w:num>
  <w:num w:numId="1035">
    <w:abstractNumId w:val="9943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36">
    <w:abstractNumId w:val="9943120"/>
    <w:lvlOverride w:ilvl="0">
      <w:startOverride w:val="120"/>
    </w:lvlOverride>
    <w:lvlOverride w:ilvl="1">
      <w:startOverride w:val="120"/>
    </w:lvlOverride>
    <w:lvlOverride w:ilvl="2">
      <w:startOverride w:val="120"/>
    </w:lvlOverride>
    <w:lvlOverride w:ilvl="3">
      <w:startOverride w:val="120"/>
    </w:lvlOverride>
    <w:lvlOverride w:ilvl="4">
      <w:startOverride w:val="120"/>
    </w:lvlOverride>
    <w:lvlOverride w:ilvl="5">
      <w:startOverride w:val="120"/>
    </w:lvlOverride>
    <w:lvlOverride w:ilvl="6">
      <w:startOverride w:val="120"/>
    </w:lvlOverride>
    <w:lvlOverride w:ilvl="7">
      <w:startOverride w:val="120"/>
    </w:lvlOverride>
    <w:lvlOverride w:ilvl="8">
      <w:startOverride w:val="120"/>
    </w:lvlOverride>
  </w:num>
  <w:num w:numId="1037">
    <w:abstractNumId w:val="9943124"/>
    <w:lvlOverride w:ilvl="0">
      <w:startOverride w:val="124"/>
    </w:lvlOverride>
    <w:lvlOverride w:ilvl="1">
      <w:startOverride w:val="124"/>
    </w:lvlOverride>
    <w:lvlOverride w:ilvl="2">
      <w:startOverride w:val="124"/>
    </w:lvlOverride>
    <w:lvlOverride w:ilvl="3">
      <w:startOverride w:val="124"/>
    </w:lvlOverride>
    <w:lvlOverride w:ilvl="4">
      <w:startOverride w:val="124"/>
    </w:lvlOverride>
    <w:lvlOverride w:ilvl="5">
      <w:startOverride w:val="124"/>
    </w:lvlOverride>
    <w:lvlOverride w:ilvl="6">
      <w:startOverride w:val="124"/>
    </w:lvlOverride>
    <w:lvlOverride w:ilvl="7">
      <w:startOverride w:val="124"/>
    </w:lvlOverride>
    <w:lvlOverride w:ilvl="8">
      <w:startOverride w:val="124"/>
    </w:lvlOverride>
  </w:num>
  <w:num w:numId="1038">
    <w:abstractNumId w:val="9943126"/>
    <w:lvlOverride w:ilvl="0">
      <w:startOverride w:val="126"/>
    </w:lvlOverride>
    <w:lvlOverride w:ilvl="1">
      <w:startOverride w:val="126"/>
    </w:lvlOverride>
    <w:lvlOverride w:ilvl="2">
      <w:startOverride w:val="126"/>
    </w:lvlOverride>
    <w:lvlOverride w:ilvl="3">
      <w:startOverride w:val="126"/>
    </w:lvlOverride>
    <w:lvlOverride w:ilvl="4">
      <w:startOverride w:val="126"/>
    </w:lvlOverride>
    <w:lvlOverride w:ilvl="5">
      <w:startOverride w:val="126"/>
    </w:lvlOverride>
    <w:lvlOverride w:ilvl="6">
      <w:startOverride w:val="126"/>
    </w:lvlOverride>
    <w:lvlOverride w:ilvl="7">
      <w:startOverride w:val="126"/>
    </w:lvlOverride>
    <w:lvlOverride w:ilvl="8">
      <w:startOverride w:val="126"/>
    </w:lvlOverride>
  </w:num>
  <w:num w:numId="1039">
    <w:abstractNumId w:val="9943128"/>
    <w:lvlOverride w:ilvl="0">
      <w:startOverride w:val="128"/>
    </w:lvlOverride>
    <w:lvlOverride w:ilvl="1">
      <w:startOverride w:val="128"/>
    </w:lvlOverride>
    <w:lvlOverride w:ilvl="2">
      <w:startOverride w:val="128"/>
    </w:lvlOverride>
    <w:lvlOverride w:ilvl="3">
      <w:startOverride w:val="128"/>
    </w:lvlOverride>
    <w:lvlOverride w:ilvl="4">
      <w:startOverride w:val="128"/>
    </w:lvlOverride>
    <w:lvlOverride w:ilvl="5">
      <w:startOverride w:val="128"/>
    </w:lvlOverride>
    <w:lvlOverride w:ilvl="6">
      <w:startOverride w:val="128"/>
    </w:lvlOverride>
    <w:lvlOverride w:ilvl="7">
      <w:startOverride w:val="128"/>
    </w:lvlOverride>
    <w:lvlOverride w:ilvl="8">
      <w:startOverride w:val="128"/>
    </w:lvlOverride>
  </w:num>
  <w:num w:numId="1040">
    <w:abstractNumId w:val="9943133"/>
    <w:lvlOverride w:ilvl="0">
      <w:startOverride w:val="133"/>
    </w:lvlOverride>
    <w:lvlOverride w:ilvl="1">
      <w:startOverride w:val="133"/>
    </w:lvlOverride>
    <w:lvlOverride w:ilvl="2">
      <w:startOverride w:val="133"/>
    </w:lvlOverride>
    <w:lvlOverride w:ilvl="3">
      <w:startOverride w:val="133"/>
    </w:lvlOverride>
    <w:lvlOverride w:ilvl="4">
      <w:startOverride w:val="133"/>
    </w:lvlOverride>
    <w:lvlOverride w:ilvl="5">
      <w:startOverride w:val="133"/>
    </w:lvlOverride>
    <w:lvlOverride w:ilvl="6">
      <w:startOverride w:val="133"/>
    </w:lvlOverride>
    <w:lvlOverride w:ilvl="7">
      <w:startOverride w:val="133"/>
    </w:lvlOverride>
    <w:lvlOverride w:ilvl="8">
      <w:startOverride w:val="133"/>
    </w:lvlOverride>
  </w:num>
  <w:num w:numId="1041">
    <w:abstractNumId w:val="9943139"/>
    <w:lvlOverride w:ilvl="0">
      <w:startOverride w:val="139"/>
    </w:lvlOverride>
    <w:lvlOverride w:ilvl="1">
      <w:startOverride w:val="139"/>
    </w:lvlOverride>
    <w:lvlOverride w:ilvl="2">
      <w:startOverride w:val="139"/>
    </w:lvlOverride>
    <w:lvlOverride w:ilvl="3">
      <w:startOverride w:val="139"/>
    </w:lvlOverride>
    <w:lvlOverride w:ilvl="4">
      <w:startOverride w:val="139"/>
    </w:lvlOverride>
    <w:lvlOverride w:ilvl="5">
      <w:startOverride w:val="139"/>
    </w:lvlOverride>
    <w:lvlOverride w:ilvl="6">
      <w:startOverride w:val="139"/>
    </w:lvlOverride>
    <w:lvlOverride w:ilvl="7">
      <w:startOverride w:val="139"/>
    </w:lvlOverride>
    <w:lvlOverride w:ilvl="8">
      <w:startOverride w:val="139"/>
    </w:lvlOverride>
  </w:num>
  <w:num w:numId="1042">
    <w:abstractNumId w:val="9943144"/>
    <w:lvlOverride w:ilvl="0">
      <w:startOverride w:val="144"/>
    </w:lvlOverride>
    <w:lvlOverride w:ilvl="1">
      <w:startOverride w:val="144"/>
    </w:lvlOverride>
    <w:lvlOverride w:ilvl="2">
      <w:startOverride w:val="144"/>
    </w:lvlOverride>
    <w:lvlOverride w:ilvl="3">
      <w:startOverride w:val="144"/>
    </w:lvlOverride>
    <w:lvlOverride w:ilvl="4">
      <w:startOverride w:val="144"/>
    </w:lvlOverride>
    <w:lvlOverride w:ilvl="5">
      <w:startOverride w:val="144"/>
    </w:lvlOverride>
    <w:lvlOverride w:ilvl="6">
      <w:startOverride w:val="144"/>
    </w:lvlOverride>
    <w:lvlOverride w:ilvl="7">
      <w:startOverride w:val="144"/>
    </w:lvlOverride>
    <w:lvlOverride w:ilvl="8">
      <w:startOverride w:val="144"/>
    </w:lvlOverride>
  </w:num>
  <w:num w:numId="1043">
    <w:abstractNumId w:val="991"/>
  </w:num>
  <w:num w:numId="1044">
    <w:abstractNumId w:val="9943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045">
    <w:abstractNumId w:val="9943151"/>
    <w:lvlOverride w:ilvl="0">
      <w:startOverride w:val="151"/>
    </w:lvlOverride>
    <w:lvlOverride w:ilvl="1">
      <w:startOverride w:val="151"/>
    </w:lvlOverride>
    <w:lvlOverride w:ilvl="2">
      <w:startOverride w:val="151"/>
    </w:lvlOverride>
    <w:lvlOverride w:ilvl="3">
      <w:startOverride w:val="151"/>
    </w:lvlOverride>
    <w:lvlOverride w:ilvl="4">
      <w:startOverride w:val="151"/>
    </w:lvlOverride>
    <w:lvlOverride w:ilvl="5">
      <w:startOverride w:val="151"/>
    </w:lvlOverride>
    <w:lvlOverride w:ilvl="6">
      <w:startOverride w:val="151"/>
    </w:lvlOverride>
    <w:lvlOverride w:ilvl="7">
      <w:startOverride w:val="151"/>
    </w:lvlOverride>
    <w:lvlOverride w:ilvl="8">
      <w:startOverride w:val="151"/>
    </w:lvlOverride>
  </w:num>
  <w:num w:numId="1046">
    <w:abstractNumId w:val="99412023"/>
    <w:lvlOverride w:ilvl="0">
      <w:startOverride w:val="2023"/>
    </w:lvlOverride>
    <w:lvlOverride w:ilvl="1">
      <w:startOverride w:val="2023"/>
    </w:lvlOverride>
    <w:lvlOverride w:ilvl="2">
      <w:startOverride w:val="2023"/>
    </w:lvlOverride>
    <w:lvlOverride w:ilvl="3">
      <w:startOverride w:val="2023"/>
    </w:lvlOverride>
    <w:lvlOverride w:ilvl="4">
      <w:startOverride w:val="2023"/>
    </w:lvlOverride>
    <w:lvlOverride w:ilvl="5">
      <w:startOverride w:val="2023"/>
    </w:lvlOverride>
    <w:lvlOverride w:ilvl="6">
      <w:startOverride w:val="2023"/>
    </w:lvlOverride>
    <w:lvlOverride w:ilvl="7">
      <w:startOverride w:val="2023"/>
    </w:lvlOverride>
    <w:lvlOverride w:ilvl="8">
      <w:startOverride w:val="2023"/>
    </w:lvlOverride>
  </w:num>
  <w:num w:numId="1047">
    <w:abstractNumId w:val="9943153"/>
    <w:lvlOverride w:ilvl="0">
      <w:startOverride w:val="153"/>
    </w:lvlOverride>
    <w:lvlOverride w:ilvl="1">
      <w:startOverride w:val="153"/>
    </w:lvlOverride>
    <w:lvlOverride w:ilvl="2">
      <w:startOverride w:val="153"/>
    </w:lvlOverride>
    <w:lvlOverride w:ilvl="3">
      <w:startOverride w:val="153"/>
    </w:lvlOverride>
    <w:lvlOverride w:ilvl="4">
      <w:startOverride w:val="153"/>
    </w:lvlOverride>
    <w:lvlOverride w:ilvl="5">
      <w:startOverride w:val="153"/>
    </w:lvlOverride>
    <w:lvlOverride w:ilvl="6">
      <w:startOverride w:val="153"/>
    </w:lvlOverride>
    <w:lvlOverride w:ilvl="7">
      <w:startOverride w:val="153"/>
    </w:lvlOverride>
    <w:lvlOverride w:ilvl="8">
      <w:startOverride w:val="153"/>
    </w:lvlOverride>
  </w:num>
  <w:num w:numId="1048">
    <w:abstractNumId w:val="9943158"/>
    <w:lvlOverride w:ilvl="0">
      <w:startOverride w:val="158"/>
    </w:lvlOverride>
    <w:lvlOverride w:ilvl="1">
      <w:startOverride w:val="158"/>
    </w:lvlOverride>
    <w:lvlOverride w:ilvl="2">
      <w:startOverride w:val="158"/>
    </w:lvlOverride>
    <w:lvlOverride w:ilvl="3">
      <w:startOverride w:val="158"/>
    </w:lvlOverride>
    <w:lvlOverride w:ilvl="4">
      <w:startOverride w:val="158"/>
    </w:lvlOverride>
    <w:lvlOverride w:ilvl="5">
      <w:startOverride w:val="158"/>
    </w:lvlOverride>
    <w:lvlOverride w:ilvl="6">
      <w:startOverride w:val="158"/>
    </w:lvlOverride>
    <w:lvlOverride w:ilvl="7">
      <w:startOverride w:val="158"/>
    </w:lvlOverride>
    <w:lvlOverride w:ilvl="8">
      <w:startOverride w:val="158"/>
    </w:lvlOverride>
  </w:num>
  <w:num w:numId="1049">
    <w:abstractNumId w:val="9943160"/>
    <w:lvlOverride w:ilvl="0">
      <w:startOverride w:val="160"/>
    </w:lvlOverride>
    <w:lvlOverride w:ilvl="1">
      <w:startOverride w:val="160"/>
    </w:lvlOverride>
    <w:lvlOverride w:ilvl="2">
      <w:startOverride w:val="160"/>
    </w:lvlOverride>
    <w:lvlOverride w:ilvl="3">
      <w:startOverride w:val="160"/>
    </w:lvlOverride>
    <w:lvlOverride w:ilvl="4">
      <w:startOverride w:val="160"/>
    </w:lvlOverride>
    <w:lvlOverride w:ilvl="5">
      <w:startOverride w:val="160"/>
    </w:lvlOverride>
    <w:lvlOverride w:ilvl="6">
      <w:startOverride w:val="160"/>
    </w:lvlOverride>
    <w:lvlOverride w:ilvl="7">
      <w:startOverride w:val="160"/>
    </w:lvlOverride>
    <w:lvlOverride w:ilvl="8">
      <w:startOverride w:val="160"/>
    </w:lvlOverride>
  </w:num>
  <w:num w:numId="1050">
    <w:abstractNumId w:val="9943162"/>
    <w:lvlOverride w:ilvl="0">
      <w:startOverride w:val="162"/>
    </w:lvlOverride>
    <w:lvlOverride w:ilvl="1">
      <w:startOverride w:val="162"/>
    </w:lvlOverride>
    <w:lvlOverride w:ilvl="2">
      <w:startOverride w:val="162"/>
    </w:lvlOverride>
    <w:lvlOverride w:ilvl="3">
      <w:startOverride w:val="162"/>
    </w:lvlOverride>
    <w:lvlOverride w:ilvl="4">
      <w:startOverride w:val="162"/>
    </w:lvlOverride>
    <w:lvlOverride w:ilvl="5">
      <w:startOverride w:val="162"/>
    </w:lvlOverride>
    <w:lvlOverride w:ilvl="6">
      <w:startOverride w:val="162"/>
    </w:lvlOverride>
    <w:lvlOverride w:ilvl="7">
      <w:startOverride w:val="162"/>
    </w:lvlOverride>
    <w:lvlOverride w:ilvl="8">
      <w:startOverride w:val="162"/>
    </w:lvlOverride>
  </w:num>
  <w:num w:numId="1051">
    <w:abstractNumId w:val="9943163"/>
    <w:lvlOverride w:ilvl="0">
      <w:startOverride w:val="163"/>
    </w:lvlOverride>
    <w:lvlOverride w:ilvl="1">
      <w:startOverride w:val="163"/>
    </w:lvlOverride>
    <w:lvlOverride w:ilvl="2">
      <w:startOverride w:val="163"/>
    </w:lvlOverride>
    <w:lvlOverride w:ilvl="3">
      <w:startOverride w:val="163"/>
    </w:lvlOverride>
    <w:lvlOverride w:ilvl="4">
      <w:startOverride w:val="163"/>
    </w:lvlOverride>
    <w:lvlOverride w:ilvl="5">
      <w:startOverride w:val="163"/>
    </w:lvlOverride>
    <w:lvlOverride w:ilvl="6">
      <w:startOverride w:val="163"/>
    </w:lvlOverride>
    <w:lvlOverride w:ilvl="7">
      <w:startOverride w:val="163"/>
    </w:lvlOverride>
    <w:lvlOverride w:ilvl="8">
      <w:startOverride w:val="163"/>
    </w:lvlOverride>
  </w:num>
  <w:num w:numId="1052">
    <w:abstractNumId w:val="9943168"/>
    <w:lvlOverride w:ilvl="0">
      <w:startOverride w:val="168"/>
    </w:lvlOverride>
    <w:lvlOverride w:ilvl="1">
      <w:startOverride w:val="168"/>
    </w:lvlOverride>
    <w:lvlOverride w:ilvl="2">
      <w:startOverride w:val="168"/>
    </w:lvlOverride>
    <w:lvlOverride w:ilvl="3">
      <w:startOverride w:val="168"/>
    </w:lvlOverride>
    <w:lvlOverride w:ilvl="4">
      <w:startOverride w:val="168"/>
    </w:lvlOverride>
    <w:lvlOverride w:ilvl="5">
      <w:startOverride w:val="168"/>
    </w:lvlOverride>
    <w:lvlOverride w:ilvl="6">
      <w:startOverride w:val="168"/>
    </w:lvlOverride>
    <w:lvlOverride w:ilvl="7">
      <w:startOverride w:val="168"/>
    </w:lvlOverride>
    <w:lvlOverride w:ilvl="8">
      <w:startOverride w:val="168"/>
    </w:lvlOverride>
  </w:num>
  <w:num w:numId="1053">
    <w:abstractNumId w:val="9943177"/>
    <w:lvlOverride w:ilvl="0">
      <w:startOverride w:val="177"/>
    </w:lvlOverride>
    <w:lvlOverride w:ilvl="1">
      <w:startOverride w:val="177"/>
    </w:lvlOverride>
    <w:lvlOverride w:ilvl="2">
      <w:startOverride w:val="177"/>
    </w:lvlOverride>
    <w:lvlOverride w:ilvl="3">
      <w:startOverride w:val="177"/>
    </w:lvlOverride>
    <w:lvlOverride w:ilvl="4">
      <w:startOverride w:val="177"/>
    </w:lvlOverride>
    <w:lvlOverride w:ilvl="5">
      <w:startOverride w:val="177"/>
    </w:lvlOverride>
    <w:lvlOverride w:ilvl="6">
      <w:startOverride w:val="177"/>
    </w:lvlOverride>
    <w:lvlOverride w:ilvl="7">
      <w:startOverride w:val="177"/>
    </w:lvlOverride>
    <w:lvlOverride w:ilvl="8">
      <w:startOverride w:val="177"/>
    </w:lvlOverride>
  </w:num>
  <w:num w:numId="1054">
    <w:abstractNumId w:val="9943183"/>
    <w:lvlOverride w:ilvl="0">
      <w:startOverride w:val="183"/>
    </w:lvlOverride>
    <w:lvlOverride w:ilvl="1">
      <w:startOverride w:val="183"/>
    </w:lvlOverride>
    <w:lvlOverride w:ilvl="2">
      <w:startOverride w:val="183"/>
    </w:lvlOverride>
    <w:lvlOverride w:ilvl="3">
      <w:startOverride w:val="183"/>
    </w:lvlOverride>
    <w:lvlOverride w:ilvl="4">
      <w:startOverride w:val="183"/>
    </w:lvlOverride>
    <w:lvlOverride w:ilvl="5">
      <w:startOverride w:val="183"/>
    </w:lvlOverride>
    <w:lvlOverride w:ilvl="6">
      <w:startOverride w:val="183"/>
    </w:lvlOverride>
    <w:lvlOverride w:ilvl="7">
      <w:startOverride w:val="183"/>
    </w:lvlOverride>
    <w:lvlOverride w:ilvl="8">
      <w:startOverride w:val="183"/>
    </w:lvlOverride>
  </w:num>
  <w:num w:numId="1055">
    <w:abstractNumId w:val="9943186"/>
    <w:lvlOverride w:ilvl="0">
      <w:startOverride w:val="186"/>
    </w:lvlOverride>
    <w:lvlOverride w:ilvl="1">
      <w:startOverride w:val="186"/>
    </w:lvlOverride>
    <w:lvlOverride w:ilvl="2">
      <w:startOverride w:val="186"/>
    </w:lvlOverride>
    <w:lvlOverride w:ilvl="3">
      <w:startOverride w:val="186"/>
    </w:lvlOverride>
    <w:lvlOverride w:ilvl="4">
      <w:startOverride w:val="186"/>
    </w:lvlOverride>
    <w:lvlOverride w:ilvl="5">
      <w:startOverride w:val="186"/>
    </w:lvlOverride>
    <w:lvlOverride w:ilvl="6">
      <w:startOverride w:val="186"/>
    </w:lvlOverride>
    <w:lvlOverride w:ilvl="7">
      <w:startOverride w:val="186"/>
    </w:lvlOverride>
    <w:lvlOverride w:ilvl="8">
      <w:startOverride w:val="186"/>
    </w:lvlOverride>
  </w:num>
  <w:num w:numId="1056">
    <w:abstractNumId w:val="9943189"/>
    <w:lvlOverride w:ilvl="0">
      <w:startOverride w:val="189"/>
    </w:lvlOverride>
    <w:lvlOverride w:ilvl="1">
      <w:startOverride w:val="189"/>
    </w:lvlOverride>
    <w:lvlOverride w:ilvl="2">
      <w:startOverride w:val="189"/>
    </w:lvlOverride>
    <w:lvlOverride w:ilvl="3">
      <w:startOverride w:val="189"/>
    </w:lvlOverride>
    <w:lvlOverride w:ilvl="4">
      <w:startOverride w:val="189"/>
    </w:lvlOverride>
    <w:lvlOverride w:ilvl="5">
      <w:startOverride w:val="189"/>
    </w:lvlOverride>
    <w:lvlOverride w:ilvl="6">
      <w:startOverride w:val="189"/>
    </w:lvlOverride>
    <w:lvlOverride w:ilvl="7">
      <w:startOverride w:val="189"/>
    </w:lvlOverride>
    <w:lvlOverride w:ilvl="8">
      <w:startOverride w:val="189"/>
    </w:lvlOverride>
  </w:num>
  <w:num w:numId="1057">
    <w:abstractNumId w:val="9943191"/>
    <w:lvlOverride w:ilvl="0">
      <w:startOverride w:val="191"/>
    </w:lvlOverride>
    <w:lvlOverride w:ilvl="1">
      <w:startOverride w:val="191"/>
    </w:lvlOverride>
    <w:lvlOverride w:ilvl="2">
      <w:startOverride w:val="191"/>
    </w:lvlOverride>
    <w:lvlOverride w:ilvl="3">
      <w:startOverride w:val="191"/>
    </w:lvlOverride>
    <w:lvlOverride w:ilvl="4">
      <w:startOverride w:val="191"/>
    </w:lvlOverride>
    <w:lvlOverride w:ilvl="5">
      <w:startOverride w:val="191"/>
    </w:lvlOverride>
    <w:lvlOverride w:ilvl="6">
      <w:startOverride w:val="191"/>
    </w:lvlOverride>
    <w:lvlOverride w:ilvl="7">
      <w:startOverride w:val="191"/>
    </w:lvlOverride>
    <w:lvlOverride w:ilvl="8">
      <w:startOverride w:val="191"/>
    </w:lvlOverride>
  </w:num>
  <w:num w:numId="1058">
    <w:abstractNumId w:val="9943194"/>
    <w:lvlOverride w:ilvl="0">
      <w:startOverride w:val="194"/>
    </w:lvlOverride>
    <w:lvlOverride w:ilvl="1">
      <w:startOverride w:val="194"/>
    </w:lvlOverride>
    <w:lvlOverride w:ilvl="2">
      <w:startOverride w:val="194"/>
    </w:lvlOverride>
    <w:lvlOverride w:ilvl="3">
      <w:startOverride w:val="194"/>
    </w:lvlOverride>
    <w:lvlOverride w:ilvl="4">
      <w:startOverride w:val="194"/>
    </w:lvlOverride>
    <w:lvlOverride w:ilvl="5">
      <w:startOverride w:val="194"/>
    </w:lvlOverride>
    <w:lvlOverride w:ilvl="6">
      <w:startOverride w:val="194"/>
    </w:lvlOverride>
    <w:lvlOverride w:ilvl="7">
      <w:startOverride w:val="194"/>
    </w:lvlOverride>
    <w:lvlOverride w:ilvl="8">
      <w:startOverride w:val="194"/>
    </w:lvlOverride>
  </w:num>
  <w:num w:numId="1059">
    <w:abstractNumId w:val="9943199"/>
    <w:lvlOverride w:ilvl="0">
      <w:startOverride w:val="199"/>
    </w:lvlOverride>
    <w:lvlOverride w:ilvl="1">
      <w:startOverride w:val="199"/>
    </w:lvlOverride>
    <w:lvlOverride w:ilvl="2">
      <w:startOverride w:val="199"/>
    </w:lvlOverride>
    <w:lvlOverride w:ilvl="3">
      <w:startOverride w:val="199"/>
    </w:lvlOverride>
    <w:lvlOverride w:ilvl="4">
      <w:startOverride w:val="199"/>
    </w:lvlOverride>
    <w:lvlOverride w:ilvl="5">
      <w:startOverride w:val="199"/>
    </w:lvlOverride>
    <w:lvlOverride w:ilvl="6">
      <w:startOverride w:val="199"/>
    </w:lvlOverride>
    <w:lvlOverride w:ilvl="7">
      <w:startOverride w:val="199"/>
    </w:lvlOverride>
    <w:lvlOverride w:ilvl="8">
      <w:startOverride w:val="199"/>
    </w:lvlOverride>
  </w:num>
  <w:num w:numId="1060">
    <w:abstractNumId w:val="9943201"/>
    <w:lvlOverride w:ilvl="0">
      <w:startOverride w:val="201"/>
    </w:lvlOverride>
    <w:lvlOverride w:ilvl="1">
      <w:startOverride w:val="201"/>
    </w:lvlOverride>
    <w:lvlOverride w:ilvl="2">
      <w:startOverride w:val="201"/>
    </w:lvlOverride>
    <w:lvlOverride w:ilvl="3">
      <w:startOverride w:val="201"/>
    </w:lvlOverride>
    <w:lvlOverride w:ilvl="4">
      <w:startOverride w:val="201"/>
    </w:lvlOverride>
    <w:lvlOverride w:ilvl="5">
      <w:startOverride w:val="201"/>
    </w:lvlOverride>
    <w:lvlOverride w:ilvl="6">
      <w:startOverride w:val="201"/>
    </w:lvlOverride>
    <w:lvlOverride w:ilvl="7">
      <w:startOverride w:val="201"/>
    </w:lvlOverride>
    <w:lvlOverride w:ilvl="8">
      <w:startOverride w:val="201"/>
    </w:lvlOverride>
  </w:num>
  <w:num w:numId="1061">
    <w:abstractNumId w:val="991"/>
  </w:num>
  <w:num w:numId="1062">
    <w:abstractNumId w:val="9943202"/>
    <w:lvlOverride w:ilvl="0">
      <w:startOverride w:val="202"/>
    </w:lvlOverride>
    <w:lvlOverride w:ilvl="1">
      <w:startOverride w:val="202"/>
    </w:lvlOverride>
    <w:lvlOverride w:ilvl="2">
      <w:startOverride w:val="202"/>
    </w:lvlOverride>
    <w:lvlOverride w:ilvl="3">
      <w:startOverride w:val="202"/>
    </w:lvlOverride>
    <w:lvlOverride w:ilvl="4">
      <w:startOverride w:val="202"/>
    </w:lvlOverride>
    <w:lvlOverride w:ilvl="5">
      <w:startOverride w:val="202"/>
    </w:lvlOverride>
    <w:lvlOverride w:ilvl="6">
      <w:startOverride w:val="202"/>
    </w:lvlOverride>
    <w:lvlOverride w:ilvl="7">
      <w:startOverride w:val="202"/>
    </w:lvlOverride>
    <w:lvlOverride w:ilvl="8">
      <w:startOverride w:val="202"/>
    </w:lvlOverride>
  </w:num>
  <w:num w:numId="1063">
    <w:abstractNumId w:val="9943203"/>
    <w:lvlOverride w:ilvl="0">
      <w:startOverride w:val="203"/>
    </w:lvlOverride>
    <w:lvlOverride w:ilvl="1">
      <w:startOverride w:val="203"/>
    </w:lvlOverride>
    <w:lvlOverride w:ilvl="2">
      <w:startOverride w:val="203"/>
    </w:lvlOverride>
    <w:lvlOverride w:ilvl="3">
      <w:startOverride w:val="203"/>
    </w:lvlOverride>
    <w:lvlOverride w:ilvl="4">
      <w:startOverride w:val="203"/>
    </w:lvlOverride>
    <w:lvlOverride w:ilvl="5">
      <w:startOverride w:val="203"/>
    </w:lvlOverride>
    <w:lvlOverride w:ilvl="6">
      <w:startOverride w:val="203"/>
    </w:lvlOverride>
    <w:lvlOverride w:ilvl="7">
      <w:startOverride w:val="203"/>
    </w:lvlOverride>
    <w:lvlOverride w:ilvl="8">
      <w:startOverride w:val="203"/>
    </w:lvlOverride>
  </w:num>
  <w:num w:numId="1064">
    <w:abstractNumId w:val="9943206"/>
    <w:lvlOverride w:ilvl="0">
      <w:startOverride w:val="206"/>
    </w:lvlOverride>
    <w:lvlOverride w:ilvl="1">
      <w:startOverride w:val="206"/>
    </w:lvlOverride>
    <w:lvlOverride w:ilvl="2">
      <w:startOverride w:val="206"/>
    </w:lvlOverride>
    <w:lvlOverride w:ilvl="3">
      <w:startOverride w:val="206"/>
    </w:lvlOverride>
    <w:lvlOverride w:ilvl="4">
      <w:startOverride w:val="206"/>
    </w:lvlOverride>
    <w:lvlOverride w:ilvl="5">
      <w:startOverride w:val="206"/>
    </w:lvlOverride>
    <w:lvlOverride w:ilvl="6">
      <w:startOverride w:val="206"/>
    </w:lvlOverride>
    <w:lvlOverride w:ilvl="7">
      <w:startOverride w:val="206"/>
    </w:lvlOverride>
    <w:lvlOverride w:ilvl="8">
      <w:startOverride w:val="206"/>
    </w:lvlOverride>
  </w:num>
  <w:num w:numId="1065">
    <w:abstractNumId w:val="9943209"/>
    <w:lvlOverride w:ilvl="0">
      <w:startOverride w:val="209"/>
    </w:lvlOverride>
    <w:lvlOverride w:ilvl="1">
      <w:startOverride w:val="209"/>
    </w:lvlOverride>
    <w:lvlOverride w:ilvl="2">
      <w:startOverride w:val="209"/>
    </w:lvlOverride>
    <w:lvlOverride w:ilvl="3">
      <w:startOverride w:val="209"/>
    </w:lvlOverride>
    <w:lvlOverride w:ilvl="4">
      <w:startOverride w:val="209"/>
    </w:lvlOverride>
    <w:lvlOverride w:ilvl="5">
      <w:startOverride w:val="209"/>
    </w:lvlOverride>
    <w:lvlOverride w:ilvl="6">
      <w:startOverride w:val="209"/>
    </w:lvlOverride>
    <w:lvlOverride w:ilvl="7">
      <w:startOverride w:val="209"/>
    </w:lvlOverride>
    <w:lvlOverride w:ilvl="8">
      <w:startOverride w:val="209"/>
    </w:lvlOverride>
  </w:num>
  <w:num w:numId="1066">
    <w:abstractNumId w:val="9943215"/>
    <w:lvlOverride w:ilvl="0">
      <w:startOverride w:val="215"/>
    </w:lvlOverride>
    <w:lvlOverride w:ilvl="1">
      <w:startOverride w:val="215"/>
    </w:lvlOverride>
    <w:lvlOverride w:ilvl="2">
      <w:startOverride w:val="215"/>
    </w:lvlOverride>
    <w:lvlOverride w:ilvl="3">
      <w:startOverride w:val="215"/>
    </w:lvlOverride>
    <w:lvlOverride w:ilvl="4">
      <w:startOverride w:val="215"/>
    </w:lvlOverride>
    <w:lvlOverride w:ilvl="5">
      <w:startOverride w:val="215"/>
    </w:lvlOverride>
    <w:lvlOverride w:ilvl="6">
      <w:startOverride w:val="215"/>
    </w:lvlOverride>
    <w:lvlOverride w:ilvl="7">
      <w:startOverride w:val="215"/>
    </w:lvlOverride>
    <w:lvlOverride w:ilvl="8">
      <w:startOverride w:val="215"/>
    </w:lvlOverride>
  </w:num>
  <w:num w:numId="1067">
    <w:abstractNumId w:val="9943216"/>
    <w:lvlOverride w:ilvl="0">
      <w:startOverride w:val="216"/>
    </w:lvlOverride>
    <w:lvlOverride w:ilvl="1">
      <w:startOverride w:val="216"/>
    </w:lvlOverride>
    <w:lvlOverride w:ilvl="2">
      <w:startOverride w:val="216"/>
    </w:lvlOverride>
    <w:lvlOverride w:ilvl="3">
      <w:startOverride w:val="216"/>
    </w:lvlOverride>
    <w:lvlOverride w:ilvl="4">
      <w:startOverride w:val="216"/>
    </w:lvlOverride>
    <w:lvlOverride w:ilvl="5">
      <w:startOverride w:val="216"/>
    </w:lvlOverride>
    <w:lvlOverride w:ilvl="6">
      <w:startOverride w:val="216"/>
    </w:lvlOverride>
    <w:lvlOverride w:ilvl="7">
      <w:startOverride w:val="216"/>
    </w:lvlOverride>
    <w:lvlOverride w:ilvl="8">
      <w:startOverride w:val="216"/>
    </w:lvlOverride>
  </w:num>
  <w:num w:numId="1068">
    <w:abstractNumId w:val="9943219"/>
    <w:lvlOverride w:ilvl="0">
      <w:startOverride w:val="219"/>
    </w:lvlOverride>
    <w:lvlOverride w:ilvl="1">
      <w:startOverride w:val="219"/>
    </w:lvlOverride>
    <w:lvlOverride w:ilvl="2">
      <w:startOverride w:val="219"/>
    </w:lvlOverride>
    <w:lvlOverride w:ilvl="3">
      <w:startOverride w:val="219"/>
    </w:lvlOverride>
    <w:lvlOverride w:ilvl="4">
      <w:startOverride w:val="219"/>
    </w:lvlOverride>
    <w:lvlOverride w:ilvl="5">
      <w:startOverride w:val="219"/>
    </w:lvlOverride>
    <w:lvlOverride w:ilvl="6">
      <w:startOverride w:val="219"/>
    </w:lvlOverride>
    <w:lvlOverride w:ilvl="7">
      <w:startOverride w:val="219"/>
    </w:lvlOverride>
    <w:lvlOverride w:ilvl="8">
      <w:startOverride w:val="219"/>
    </w:lvlOverride>
  </w:num>
  <w:num w:numId="1069">
    <w:abstractNumId w:val="9943223"/>
    <w:lvlOverride w:ilvl="0">
      <w:startOverride w:val="223"/>
    </w:lvlOverride>
    <w:lvlOverride w:ilvl="1">
      <w:startOverride w:val="223"/>
    </w:lvlOverride>
    <w:lvlOverride w:ilvl="2">
      <w:startOverride w:val="223"/>
    </w:lvlOverride>
    <w:lvlOverride w:ilvl="3">
      <w:startOverride w:val="223"/>
    </w:lvlOverride>
    <w:lvlOverride w:ilvl="4">
      <w:startOverride w:val="223"/>
    </w:lvlOverride>
    <w:lvlOverride w:ilvl="5">
      <w:startOverride w:val="223"/>
    </w:lvlOverride>
    <w:lvlOverride w:ilvl="6">
      <w:startOverride w:val="223"/>
    </w:lvlOverride>
    <w:lvlOverride w:ilvl="7">
      <w:startOverride w:val="223"/>
    </w:lvlOverride>
    <w:lvlOverride w:ilvl="8">
      <w:startOverride w:val="223"/>
    </w:lvlOverride>
  </w:num>
  <w:num w:numId="1070">
    <w:abstractNumId w:val="9943227"/>
    <w:lvlOverride w:ilvl="0">
      <w:startOverride w:val="227"/>
    </w:lvlOverride>
    <w:lvlOverride w:ilvl="1">
      <w:startOverride w:val="227"/>
    </w:lvlOverride>
    <w:lvlOverride w:ilvl="2">
      <w:startOverride w:val="227"/>
    </w:lvlOverride>
    <w:lvlOverride w:ilvl="3">
      <w:startOverride w:val="227"/>
    </w:lvlOverride>
    <w:lvlOverride w:ilvl="4">
      <w:startOverride w:val="227"/>
    </w:lvlOverride>
    <w:lvlOverride w:ilvl="5">
      <w:startOverride w:val="227"/>
    </w:lvlOverride>
    <w:lvlOverride w:ilvl="6">
      <w:startOverride w:val="227"/>
    </w:lvlOverride>
    <w:lvlOverride w:ilvl="7">
      <w:startOverride w:val="227"/>
    </w:lvlOverride>
    <w:lvlOverride w:ilvl="8">
      <w:startOverride w:val="227"/>
    </w:lvlOverride>
  </w:num>
  <w:num w:numId="1071">
    <w:abstractNumId w:val="9943231"/>
    <w:lvlOverride w:ilvl="0">
      <w:startOverride w:val="231"/>
    </w:lvlOverride>
    <w:lvlOverride w:ilvl="1">
      <w:startOverride w:val="231"/>
    </w:lvlOverride>
    <w:lvlOverride w:ilvl="2">
      <w:startOverride w:val="231"/>
    </w:lvlOverride>
    <w:lvlOverride w:ilvl="3">
      <w:startOverride w:val="231"/>
    </w:lvlOverride>
    <w:lvlOverride w:ilvl="4">
      <w:startOverride w:val="231"/>
    </w:lvlOverride>
    <w:lvlOverride w:ilvl="5">
      <w:startOverride w:val="231"/>
    </w:lvlOverride>
    <w:lvlOverride w:ilvl="6">
      <w:startOverride w:val="231"/>
    </w:lvlOverride>
    <w:lvlOverride w:ilvl="7">
      <w:startOverride w:val="231"/>
    </w:lvlOverride>
    <w:lvlOverride w:ilvl="8">
      <w:startOverride w:val="231"/>
    </w:lvlOverride>
  </w:num>
  <w:num w:numId="1072">
    <w:abstractNumId w:val="9943235"/>
    <w:lvlOverride w:ilvl="0">
      <w:startOverride w:val="235"/>
    </w:lvlOverride>
    <w:lvlOverride w:ilvl="1">
      <w:startOverride w:val="235"/>
    </w:lvlOverride>
    <w:lvlOverride w:ilvl="2">
      <w:startOverride w:val="235"/>
    </w:lvlOverride>
    <w:lvlOverride w:ilvl="3">
      <w:startOverride w:val="235"/>
    </w:lvlOverride>
    <w:lvlOverride w:ilvl="4">
      <w:startOverride w:val="235"/>
    </w:lvlOverride>
    <w:lvlOverride w:ilvl="5">
      <w:startOverride w:val="235"/>
    </w:lvlOverride>
    <w:lvlOverride w:ilvl="6">
      <w:startOverride w:val="235"/>
    </w:lvlOverride>
    <w:lvlOverride w:ilvl="7">
      <w:startOverride w:val="235"/>
    </w:lvlOverride>
    <w:lvlOverride w:ilvl="8">
      <w:startOverride w:val="235"/>
    </w:lvlOverride>
  </w:num>
  <w:num w:numId="1073">
    <w:abstractNumId w:val="9943239"/>
    <w:lvlOverride w:ilvl="0">
      <w:startOverride w:val="239"/>
    </w:lvlOverride>
    <w:lvlOverride w:ilvl="1">
      <w:startOverride w:val="239"/>
    </w:lvlOverride>
    <w:lvlOverride w:ilvl="2">
      <w:startOverride w:val="239"/>
    </w:lvlOverride>
    <w:lvlOverride w:ilvl="3">
      <w:startOverride w:val="239"/>
    </w:lvlOverride>
    <w:lvlOverride w:ilvl="4">
      <w:startOverride w:val="239"/>
    </w:lvlOverride>
    <w:lvlOverride w:ilvl="5">
      <w:startOverride w:val="239"/>
    </w:lvlOverride>
    <w:lvlOverride w:ilvl="6">
      <w:startOverride w:val="239"/>
    </w:lvlOverride>
    <w:lvlOverride w:ilvl="7">
      <w:startOverride w:val="239"/>
    </w:lvlOverride>
    <w:lvlOverride w:ilvl="8">
      <w:startOverride w:val="239"/>
    </w:lvlOverride>
  </w:num>
  <w:num w:numId="1074">
    <w:abstractNumId w:val="9943240"/>
    <w:lvlOverride w:ilvl="0">
      <w:startOverride w:val="240"/>
    </w:lvlOverride>
    <w:lvlOverride w:ilvl="1">
      <w:startOverride w:val="240"/>
    </w:lvlOverride>
    <w:lvlOverride w:ilvl="2">
      <w:startOverride w:val="240"/>
    </w:lvlOverride>
    <w:lvlOverride w:ilvl="3">
      <w:startOverride w:val="240"/>
    </w:lvlOverride>
    <w:lvlOverride w:ilvl="4">
      <w:startOverride w:val="240"/>
    </w:lvlOverride>
    <w:lvlOverride w:ilvl="5">
      <w:startOverride w:val="240"/>
    </w:lvlOverride>
    <w:lvlOverride w:ilvl="6">
      <w:startOverride w:val="240"/>
    </w:lvlOverride>
    <w:lvlOverride w:ilvl="7">
      <w:startOverride w:val="240"/>
    </w:lvlOverride>
    <w:lvlOverride w:ilvl="8">
      <w:startOverride w:val="240"/>
    </w:lvlOverride>
  </w:num>
  <w:num w:numId="1075">
    <w:abstractNumId w:val="9943247"/>
    <w:lvlOverride w:ilvl="0">
      <w:startOverride w:val="247"/>
    </w:lvlOverride>
    <w:lvlOverride w:ilvl="1">
      <w:startOverride w:val="247"/>
    </w:lvlOverride>
    <w:lvlOverride w:ilvl="2">
      <w:startOverride w:val="247"/>
    </w:lvlOverride>
    <w:lvlOverride w:ilvl="3">
      <w:startOverride w:val="247"/>
    </w:lvlOverride>
    <w:lvlOverride w:ilvl="4">
      <w:startOverride w:val="247"/>
    </w:lvlOverride>
    <w:lvlOverride w:ilvl="5">
      <w:startOverride w:val="247"/>
    </w:lvlOverride>
    <w:lvlOverride w:ilvl="6">
      <w:startOverride w:val="247"/>
    </w:lvlOverride>
    <w:lvlOverride w:ilvl="7">
      <w:startOverride w:val="247"/>
    </w:lvlOverride>
    <w:lvlOverride w:ilvl="8">
      <w:startOverride w:val="24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2026-07-31T16:48:28Z</dcterms:created>
  <dcterms:modified xsi:type="dcterms:W3CDTF">2026-07-31T16:48:28Z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