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6.2.2024</w:t>
      </w:r>
      <w:r>
        <w:br/>
      </w:r>
      <w:r>
        <w:t xml:space="preserve">SWD(2024) 63 final</w:t>
      </w:r>
      <w:r>
        <w:t xml:space="preserve"> </w:t>
      </w:r>
      <w:r>
        <w:t xml:space="preserve">PART 5/5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Part 5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COMMUNICATION FROM THE COMMISSION TO THE EUROPEAN</w:t>
      </w:r>
      <w:r>
        <w:t xml:space="preserve"> </w:t>
      </w:r>
      <w:r>
        <w:t xml:space="preserve">PARLIAMENT, THE COUNCIL, THE EUROPEAN ECONOMIC AND SOCIAL</w:t>
      </w:r>
      <w:r>
        <w:t xml:space="preserve"> </w:t>
      </w:r>
      <w:r>
        <w:t xml:space="preserve">COMMITTEE AND THE COMMITTEE OF THE REGIONS</w:t>
      </w:r>
      <w:r>
        <w:t xml:space="preserve"> </w:t>
      </w:r>
      <w:r>
        <w:t xml:space="preserve">Securing our future</w:t>
      </w:r>
      <w:r>
        <w:br/>
      </w:r>
      <w:r>
        <w:t xml:space="preserve">Europe’s 2040 climate target and path to climate neutrality by 2050 building a</w:t>
      </w:r>
      <w:r>
        <w:t xml:space="preserve"> </w:t>
      </w:r>
      <w:r>
        <w:t xml:space="preserve">sustainable, just and prosperous society</w:t>
      </w:r>
    </w:p>
    <w:p>
      <w:pPr>
        <w:pStyle w:val="BodyText"/>
      </w:pPr>
      <w:r>
        <w:t xml:space="preserve">{COM(2024) 63 final} - {SEC(2024) 64 final} - {SWD(2024) 64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14: GHG BUDGET …………………………………………………………………………………………………………………. 1</w:t>
      </w:r>
      <w:r>
        <w:t xml:space="preserve"> </w:t>
      </w:r>
      <w:r>
        <w:t xml:space="preserve">1</w:t>
      </w:r>
      <w:r>
        <w:t xml:space="preserve"> </w:t>
      </w:r>
      <w:r>
        <w:t xml:space="preserve">EU COMMITMENT TO THE PARIS AGREEMENT……………………………………………………………………………. 1</w:t>
      </w:r>
      <w:r>
        <w:t xml:space="preserve"> </w:t>
      </w:r>
      <w:r>
        <w:t xml:space="preserve">2</w:t>
      </w:r>
      <w:r>
        <w:t xml:space="preserve"> </w:t>
      </w:r>
      <w:r>
        <w:t xml:space="preserve">THE GHG BUDGET IN THE EUROPEAN CLIMATE LAW ……………………………………………………………………. 3</w:t>
      </w:r>
      <w:r>
        <w:t xml:space="preserve"> </w:t>
      </w:r>
      <w:r>
        <w:t xml:space="preserve">3</w:t>
      </w:r>
      <w:r>
        <w:t xml:space="preserve"> </w:t>
      </w:r>
      <w:r>
        <w:t xml:space="preserve">THE REMAINING GLOBAL CARBON BUDGET ……………………………………………………………………………….. 4</w:t>
      </w:r>
      <w:r>
        <w:t xml:space="preserve"> </w:t>
      </w:r>
      <w:r>
        <w:t xml:space="preserve">4</w:t>
      </w:r>
      <w:r>
        <w:t xml:space="preserve"> </w:t>
      </w:r>
      <w:r>
        <w:t xml:space="preserve">INDICATIVE EUROPEAN UNION NET GHG BUDGET FOR THE 2030-2050 PERIOD ………………………………. 7</w:t>
      </w:r>
      <w:r>
        <w:t xml:space="preserve"> </w:t>
      </w:r>
      <w:r>
        <w:t xml:space="preserve">4.1</w:t>
      </w:r>
      <w:r>
        <w:t xml:space="preserve"> </w:t>
      </w:r>
      <w:r>
        <w:t xml:space="preserve">GHG BUDGET ESTIMATES ……………………………………………………………………………………………………………….. 7</w:t>
      </w:r>
      <w:r>
        <w:t xml:space="preserve"> </w:t>
      </w:r>
      <w:r>
        <w:t xml:space="preserve">4.1.1</w:t>
      </w:r>
      <w:r>
        <w:t xml:space="preserve"> </w:t>
      </w:r>
      <w:r>
        <w:t xml:space="preserve">Advice by the ESABCC ………………………………………………………………………………………………………. 7</w:t>
      </w:r>
      <w:r>
        <w:t xml:space="preserve"> </w:t>
      </w:r>
      <w:r>
        <w:t xml:space="preserve">4.1.2</w:t>
      </w:r>
      <w:r>
        <w:t xml:space="preserve"> </w:t>
      </w:r>
      <w:r>
        <w:t xml:space="preserve">Other estimates ………………………………………………………………………………………………………………. 8</w:t>
      </w:r>
      <w:r>
        <w:t xml:space="preserve"> </w:t>
      </w:r>
      <w:r>
        <w:t xml:space="preserve">4.2</w:t>
      </w:r>
      <w:r>
        <w:t xml:space="preserve"> </w:t>
      </w:r>
      <w:r>
        <w:t xml:space="preserve">CUMULATIVE 2030-2050 GHG EMISSIONS ASSOCIATED TO TARGET OPTIONS …………………………………………………. 9</w:t>
      </w:r>
      <w:r>
        <w:t xml:space="preserve"> </w:t>
      </w:r>
      <w:r>
        <w:t xml:space="preserve">4.3</w:t>
      </w:r>
      <w:r>
        <w:t xml:space="preserve"> </w:t>
      </w:r>
      <w:r>
        <w:t xml:space="preserve">CUMULATIVE 2030-2050 GHG EMISSIONS ASSOCIATED TO THE PROPOSED EU 2040 CLIMATE TARGET …………………. 10</w:t>
      </w:r>
      <w:r>
        <w:t xml:space="preserve"> </w:t>
      </w:r>
      <w:r>
        <w:t xml:space="preserve">TABLE OF TABLES …………………………………………………………………………………………………………………………. 11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14: GHG budget</w:t>
      </w:r>
      <w:r>
        <w:br/>
      </w:r>
      <w:r>
        <w:t xml:space="preserve">This Annex looks at an indicative “GHG budget” for the EU with the geographical scope of</w:t>
      </w:r>
      <w:r>
        <w:t xml:space="preserve"> </w:t>
      </w:r>
      <w:r>
        <w:t xml:space="preserve">1st February 2021 (“EU27”). This “budget” is defined according to the emission scope of the</w:t>
      </w:r>
      <w:r>
        <w:t xml:space="preserve"> </w:t>
      </w:r>
      <w:r>
        <w:t xml:space="preserve">European Climate Law and consistently with the proposed 2040 climate target.</w:t>
      </w:r>
      <w:r>
        <w:t xml:space="preserve"> </w:t>
      </w:r>
      <w:r>
        <w:t xml:space="preserve">1</w:t>
      </w:r>
      <w:r>
        <w:t xml:space="preserve"> </w:t>
      </w:r>
      <w:r>
        <w:t xml:space="preserve">EU COMMITMENT TO THE PARIS AGREEMENT</w:t>
      </w:r>
      <w:r>
        <w:br/>
      </w:r>
      <w:r>
        <w:t xml:space="preserve">The Paris Agreement aims at limiting “the increase in the global average temperature to well</w:t>
      </w:r>
      <w:r>
        <w:t xml:space="preserve"> </w:t>
      </w:r>
      <w:r>
        <w:t xml:space="preserve">below 2°C above pre-industrial levels” and pursue efforts “to limit the temperature increase to</w:t>
      </w:r>
      <w:r>
        <w:t xml:space="preserve"> </w:t>
      </w:r>
      <w:r>
        <w:t xml:space="preserve">1.5°C above pre-industrial levels.” In recent decisions taken in the UNFCCC, Parties have</w:t>
      </w:r>
      <w:r>
        <w:t xml:space="preserve"> </w:t>
      </w:r>
      <w:r>
        <w:t xml:space="preserve">reinforced the need to deliver emissions reductions in line with the IPCC recommendations, in</w:t>
      </w:r>
      <w:r>
        <w:t xml:space="preserve"> </w:t>
      </w:r>
      <w:r>
        <w:t xml:space="preserve">order to keep the 1.5°C within reach.</w:t>
      </w:r>
      <w:r>
        <w:t xml:space="preserve"> </w:t>
      </w:r>
      <w:r>
        <w:t xml:space="preserve">Under the Paris Agreement, Parties have agreed to prepare, communicate and maintain</w:t>
      </w:r>
      <w:r>
        <w:t xml:space="preserve"> </w:t>
      </w:r>
      <w:r>
        <w:t xml:space="preserve">successive nationally determined contributions and pursue domestic measures, with the aim of</w:t>
      </w:r>
      <w:r>
        <w:t xml:space="preserve"> </w:t>
      </w:r>
      <w:r>
        <w:t xml:space="preserve">achieving the objectives of such contributions. Article 4.3 states that each Party’s successive</w:t>
      </w:r>
      <w:r>
        <w:t xml:space="preserve"> </w:t>
      </w:r>
      <w:r>
        <w:t xml:space="preserve">nationally determined contribution will represent a progression beyond the Party’s then</w:t>
      </w:r>
      <w:r>
        <w:t xml:space="preserve"> </w:t>
      </w:r>
      <w:r>
        <w:t xml:space="preserve">current nationally determined contribution and reflect its highest possible ambition, reflecting</w:t>
      </w:r>
      <w:r>
        <w:t xml:space="preserve"> </w:t>
      </w:r>
      <w:r>
        <w:t xml:space="preserve">its common but differentiated responsibilities and respective capabilities, in the light of</w:t>
      </w:r>
      <w:r>
        <w:t xml:space="preserve"> </w:t>
      </w:r>
      <w:r>
        <w:t xml:space="preserve">different national circumstances. Article 4.4 of the Paris Agreement states that developed</w:t>
      </w:r>
      <w:r>
        <w:t xml:space="preserve"> </w:t>
      </w:r>
      <w:r>
        <w:t xml:space="preserve">countries should continue taking the lead by undertaking economy-wide absolute emission</w:t>
      </w:r>
      <w:r>
        <w:t xml:space="preserve"> </w:t>
      </w:r>
      <w:r>
        <w:t xml:space="preserve">reduction targets and developing countries should continue enhancing their efforts and are</w:t>
      </w:r>
      <w:r>
        <w:t xml:space="preserve"> </w:t>
      </w:r>
      <w:r>
        <w:t xml:space="preserve">encouraged to move towards economy-wide targets over time. The Paris Agreement also</w:t>
      </w:r>
      <w:r>
        <w:t xml:space="preserve"> </w:t>
      </w:r>
      <w:r>
        <w:t xml:space="preserve">requests all Parties to strive to formulate and communicate long-term low greenhouse gas</w:t>
      </w:r>
      <w:r>
        <w:t xml:space="preserve"> </w:t>
      </w:r>
      <w:r>
        <w:t xml:space="preserve">emissions development strategies. The European Union has committed to the goals of the</w:t>
      </w:r>
      <w:r>
        <w:t xml:space="preserve"> </w:t>
      </w:r>
      <w:r>
        <w:t xml:space="preserve">Paris Agreement and has been faithful to its provisions:</w:t>
      </w:r>
      <w:r>
        <w:br/>
      </w:r>
      <w:r>
        <w:t xml:space="preserve">• In 2020, the EU committed to climate neutrality by 2050 in its long-term strategy to</w:t>
      </w:r>
      <w:r>
        <w:t xml:space="preserve"> </w:t>
      </w:r>
      <w:r>
        <w:t xml:space="preserve">the UNFCCC and submitted an ambitious Nationally Determined Contribution with a</w:t>
      </w:r>
      <w:r>
        <w:t xml:space="preserve"> </w:t>
      </w:r>
      <w:r>
        <w:t xml:space="preserve">2030 climate target of at least 55% reduction of net emissions of greenhouse gases as</w:t>
      </w:r>
      <w:r>
        <w:t xml:space="preserve"> </w:t>
      </w:r>
      <w:r>
        <w:t xml:space="preserve">compared to 1990. The 2030 and the 2050 targets are mutually supportive, are</w:t>
      </w:r>
      <w:r>
        <w:t xml:space="preserve"> </w:t>
      </w:r>
      <w:r>
        <w:t xml:space="preserve">enshrined in the EU Climate Law and are legally binding. Setting these targets, the EU</w:t>
      </w:r>
      <w:r>
        <w:t xml:space="preserve"> </w:t>
      </w:r>
      <w:r>
        <w:t xml:space="preserve">has set itself on a path of domestic GHG mitigation aiming at limiting the temperature</w:t>
      </w:r>
      <w:r>
        <w:t xml:space="preserve"> </w:t>
      </w:r>
      <w:r>
        <w:t xml:space="preserve">increase to 1.5°C above pre-industrial levels, in line with the most ambitious</w:t>
      </w:r>
      <w:r>
        <w:t xml:space="preserve"> </w:t>
      </w:r>
      <w:r>
        <w:t xml:space="preserve">interpretation of the Paris Agreement and reinforcing the EU’s commitment towards</w:t>
      </w:r>
      <w:r>
        <w:t xml:space="preserve"> </w:t>
      </w:r>
      <w:r>
        <w:t xml:space="preserve">its implementation.</w:t>
      </w:r>
      <w:r>
        <w:br/>
      </w:r>
      <w:r>
        <w:t xml:space="preserve">• According to the Climate Law, the EU will undertake a review of its progress towards</w:t>
      </w:r>
      <w:r>
        <w:t xml:space="preserve"> </w:t>
      </w:r>
      <w:r>
        <w:t xml:space="preserve">climate neutrality target every five years, in line with the global stocktake exercise</w:t>
      </w:r>
      <w:r>
        <w:t xml:space="preserve"> </w:t>
      </w:r>
      <w:r>
        <w:t xml:space="preserve">under the Paris Agreement.</w:t>
      </w:r>
      <w:r>
        <w:t xml:space="preserve"> </w:t>
      </w:r>
      <w:r>
        <w:t xml:space="preserve">• The EU has substantially exceeded its 2020 targets, and, in 2022, the EU greenhouse</w:t>
      </w:r>
      <w:r>
        <w:t xml:space="preserve"> </w:t>
      </w:r>
      <w:r>
        <w:t xml:space="preserve">emissions reduced to 32.5% below 1990 levels, while global emissions have risen by</w:t>
      </w:r>
      <w:r>
        <w:t xml:space="preserve"> </w:t>
      </w:r>
      <w:r>
        <w:t xml:space="preserve">over 50% worldwide. During that period, the EU and its Member States’ emissions</w:t>
      </w:r>
      <w:r>
        <w:t xml:space="preserve"> </w:t>
      </w:r>
      <w:r>
        <w:t xml:space="preserve">reductions outpaced those of any other major developed or developing economy.</w:t>
      </w:r>
      <w:r>
        <w:br/>
      </w:r>
      <w:r>
        <w:t xml:space="preserve">• Currently, the EU contributes 7% to global emissions and cannot solve the climate</w:t>
      </w:r>
      <w:r>
        <w:t xml:space="preserve"> </w:t>
      </w:r>
      <w:r>
        <w:t xml:space="preserve">crisis on its own: international cooperation remains at the heart of the EU’s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contribution to global climate action and the EU will continue to call on the countries</w:t>
      </w:r>
      <w:r>
        <w:t xml:space="preserve"> </w:t>
      </w:r>
      <w:r>
        <w:t xml:space="preserve">with the largest share of emissions to commit to the highest possible ambition.</w:t>
      </w:r>
      <w:r>
        <w:t xml:space="preserve"> </w:t>
      </w:r>
      <w:r>
        <w:t xml:space="preserve">Internationally, the EU has been fully engaged as a positive actor to support the mitigation of</w:t>
      </w:r>
      <w:r>
        <w:t xml:space="preserve"> </w:t>
      </w:r>
      <w:r>
        <w:t xml:space="preserve">GHG emissions globally in line with the Paris Agreement, aiming at keeping 1.5°C in reach.</w:t>
      </w:r>
      <w:r>
        <w:t xml:space="preserve"> </w:t>
      </w:r>
      <w:r>
        <w:t xml:space="preserve">On a per capita basis, EU emissions are also among the lowest of any major high-income</w:t>
      </w:r>
      <w:r>
        <w:t xml:space="preserve"> </w:t>
      </w:r>
      <w:r>
        <w:t xml:space="preserve">economy and lower than several emerging economies. The EU research and innovation and</w:t>
      </w:r>
      <w:r>
        <w:t xml:space="preserve"> </w:t>
      </w:r>
      <w:r>
        <w:t xml:space="preserve">industrial policies have for decades incentivised and supported the development of innovative,</w:t>
      </w:r>
      <w:r>
        <w:t xml:space="preserve"> </w:t>
      </w:r>
      <w:r>
        <w:t xml:space="preserve">state-of-the-art low carbon technologies and corresponding markets. For instance, between</w:t>
      </w:r>
      <w:r>
        <w:t xml:space="preserve"> </w:t>
      </w:r>
      <w:r>
        <w:t xml:space="preserve">early 2000 and 2015, the EU has consistently deployed the largest share of the solar and wind</w:t>
      </w:r>
      <w:r>
        <w:t xml:space="preserve"> </w:t>
      </w:r>
      <w:r>
        <w:t xml:space="preserve">energy capacity installed worldwide, reaching a 74% share at the beginning of the 2000s for</w:t>
      </w:r>
      <w:r>
        <w:t xml:space="preserve"> </w:t>
      </w:r>
      <w:r>
        <w:t xml:space="preserve">wind and around 2010 for solar. In this way, the EU contributed to driving global learning and</w:t>
      </w:r>
      <w:r>
        <w:t xml:space="preserve"> </w:t>
      </w:r>
      <w:r>
        <w:t xml:space="preserve">reducing costs for these two technologies that benefitted all countries: world average wind</w:t>
      </w:r>
      <w:r>
        <w:t xml:space="preserve"> </w:t>
      </w:r>
      <w:r>
        <w:t xml:space="preserve">and solar Levelised Cost of Electricity (LCOE) reduced drastically in this period by around</w:t>
      </w:r>
      <w:r>
        <w:t xml:space="preserve"> </w:t>
      </w:r>
      <w:r>
        <w:t xml:space="preserve">50% (1) and 80% (2) respectively. More than two decades of experience in designing, agreeing</w:t>
      </w:r>
      <w:r>
        <w:t xml:space="preserve"> </w:t>
      </w:r>
      <w:r>
        <w:t xml:space="preserve">and implementing climate and energy policies, have provided a wealth of lessons, that the EU</w:t>
      </w:r>
      <w:r>
        <w:t xml:space="preserve"> </w:t>
      </w:r>
      <w:r>
        <w:t xml:space="preserve">has been sharing for more than a decade through multilateral initiatives and bilateral policy</w:t>
      </w:r>
      <w:r>
        <w:t xml:space="preserve"> </w:t>
      </w:r>
      <w:r>
        <w:t xml:space="preserve">dialogues and projects. Thereby, it continues to contribute to the creation of global value</w:t>
      </w:r>
      <w:r>
        <w:t xml:space="preserve"> </w:t>
      </w:r>
      <w:r>
        <w:t xml:space="preserve">chains that, through technology dissemination and cost decrease, now drive the required</w:t>
      </w:r>
      <w:r>
        <w:t xml:space="preserve"> </w:t>
      </w:r>
      <w:r>
        <w:t xml:space="preserve">transformations towards zero carbon economies and societies.</w:t>
      </w:r>
      <w:r>
        <w:t xml:space="preserve"> </w:t>
      </w:r>
      <w:r>
        <w:t xml:space="preserve">The EU and its MS are collectively the largest contributor to international public climate</w:t>
      </w:r>
      <w:r>
        <w:t xml:space="preserve"> </w:t>
      </w:r>
      <w:r>
        <w:t xml:space="preserve">finance. Since the launch of the “USD 100 billion by 2020 goal” in 2009 the EU and its 27</w:t>
      </w:r>
      <w:r>
        <w:t xml:space="preserve"> </w:t>
      </w:r>
      <w:r>
        <w:t xml:space="preserve">Member States have been strongly committed to helping achieve it. In 2022, the European</w:t>
      </w:r>
      <w:r>
        <w:t xml:space="preserve"> </w:t>
      </w:r>
      <w:r>
        <w:t xml:space="preserve">Union and its 27 member states contributed EUR 28.5 billion in climate finance from public</w:t>
      </w:r>
      <w:r>
        <w:t xml:space="preserve"> </w:t>
      </w:r>
      <w:r>
        <w:t xml:space="preserve">sources and mobilised an additional amount of EUR 11.9 billion of private finance, including</w:t>
      </w:r>
      <w:r>
        <w:t xml:space="preserve"> </w:t>
      </w:r>
      <w:r>
        <w:t xml:space="preserve">more than €12 billion per year for climate adaptation or actions combining adaptation and</w:t>
      </w:r>
      <w:r>
        <w:t xml:space="preserve"> </w:t>
      </w:r>
      <w:r>
        <w:t xml:space="preserve">mitigation. Thanks to this contribution and to a significant increase in international climate</w:t>
      </w:r>
      <w:r>
        <w:t xml:space="preserve"> </w:t>
      </w:r>
      <w:r>
        <w:t xml:space="preserve">finance in 2023, OECD Secretary General stated that the 100 billion USD will likely have</w:t>
      </w:r>
      <w:r>
        <w:t xml:space="preserve"> </w:t>
      </w:r>
      <w:r>
        <w:t xml:space="preserve">been reached in 2022 based on preliminary data (3).</w:t>
      </w:r>
      <w:r>
        <w:t xml:space="preserve"> </w:t>
      </w:r>
      <w:r>
        <w:t xml:space="preserve">The EU will continue to stand by its commitment to deliver its fair share of the USD 100</w:t>
      </w:r>
      <w:r>
        <w:t xml:space="preserve"> </w:t>
      </w:r>
      <w:r>
        <w:t xml:space="preserve">billion USD mobilisation goal and the doubling of adaptation finance by 2025, making</w:t>
      </w:r>
      <w:r>
        <w:t xml:space="preserve"> </w:t>
      </w:r>
      <w:r>
        <w:t xml:space="preserve">support for adaptation a priority of its global action. In 2024, the EU will also push for an</w:t>
      </w:r>
      <w:r>
        <w:t xml:space="preserve"> </w:t>
      </w:r>
      <w:r>
        <w:t xml:space="preserve">agreement in 2024 on the New Collective Quantified Goal for climate finance under the Paris</w:t>
      </w:r>
      <w:r>
        <w:t xml:space="preserve"> </w:t>
      </w:r>
      <w:r>
        <w:t xml:space="preserve">agreement including leveraging an increasing private sector contribution to global climate</w:t>
      </w:r>
      <w:r>
        <w:t xml:space="preserve"> </w:t>
      </w:r>
      <w:r>
        <w:t xml:space="preserve">finance and reform of Multilateral Development Banks.</w:t>
      </w:r>
    </w:p>
    <w:p>
      <w:pPr>
        <w:pStyle w:val="Compact"/>
        <w:numPr>
          <w:ilvl w:val="0"/>
          <w:numId w:val="1001"/>
        </w:numPr>
      </w:pPr>
      <w:r>
        <w:t xml:space="preserve">Data extrapolated from Ourworldindata.org for the period 2008-2018. Original data source from IRENA</w:t>
      </w:r>
      <w:r>
        <w:t xml:space="preserve"> </w:t>
      </w:r>
      <w:r>
        <w:t xml:space="preserve">(2022), Renewable Power Generation Costs in 2021, International Renewable Energy Agency, Abu Dhabi.</w:t>
      </w:r>
    </w:p>
    <w:p>
      <w:pPr>
        <w:pStyle w:val="Compact"/>
        <w:numPr>
          <w:ilvl w:val="0"/>
          <w:numId w:val="1001"/>
        </w:numPr>
      </w:pPr>
      <w:r>
        <w:t xml:space="preserve">European Commission, Directorate-General for Energy, Rademaekers, K., Smith, M., Gorenstein Dedecca,</w:t>
      </w:r>
      <w:r>
        <w:t xml:space="preserve"> </w:t>
      </w:r>
      <w:r>
        <w:t xml:space="preserve">J. et al., Energy costs, taxes and the impact of government interventions on investments – Final report,</w:t>
      </w:r>
      <w:r>
        <w:t xml:space="preserve"> </w:t>
      </w:r>
      <w:r>
        <w:t xml:space="preserve">summary, Publications Office, 2020, https://data.europa.eu/doi/10.2833/827631</w:t>
      </w:r>
    </w:p>
    <w:p>
      <w:pPr>
        <w:pStyle w:val="Compact"/>
        <w:numPr>
          <w:ilvl w:val="0"/>
          <w:numId w:val="1001"/>
        </w:numPr>
      </w:pPr>
      <w:r>
        <w:t xml:space="preserve">OECD, 2023. Climate Finance Provided and Mobilised by Developed Countries in 2013-2021: Aggregate</w:t>
      </w:r>
      <w:r>
        <w:t xml:space="preserve"> </w:t>
      </w:r>
      <w:r>
        <w:t xml:space="preserve">trends and opportunities for scaling up adaptation and mobilised private finance, OECD Publishing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t xml:space="preserve">The EU aims to target and tailor support where it is needed the most, with a prime focus on</w:t>
      </w:r>
      <w:r>
        <w:t xml:space="preserve"> </w:t>
      </w:r>
      <w:r>
        <w:t xml:space="preserve">most vulnerable countries, small island developing states and fragile countries. While</w:t>
      </w:r>
      <w:r>
        <w:t xml:space="preserve"> </w:t>
      </w:r>
      <w:r>
        <w:t xml:space="preserve">developed countries shall continue to take the lead, moving the needle on climate finance</w:t>
      </w:r>
      <w:r>
        <w:t xml:space="preserve"> </w:t>
      </w:r>
      <w:r>
        <w:t xml:space="preserve">should compel the EU to reach the largest possible donor base and go beyond the</w:t>
      </w:r>
      <w:r>
        <w:t xml:space="preserve"> </w:t>
      </w:r>
      <w:r>
        <w:t xml:space="preserve">developed/developing countries split.</w:t>
      </w:r>
      <w:r>
        <w:br/>
      </w:r>
      <w:r>
        <w:t xml:space="preserve">2</w:t>
      </w:r>
      <w:r>
        <w:t xml:space="preserve"> </w:t>
      </w:r>
      <w:r>
        <w:t xml:space="preserve">THE GHG BUDGET IN THE EUROPEAN CLIMATE LAW</w:t>
      </w:r>
      <w:r>
        <w:t xml:space="preserve"> </w:t>
      </w:r>
      <w:r>
        <w:t xml:space="preserve">Article 4(4) of the EU Climate Law mandates the Commission, when making the proposal for</w:t>
      </w:r>
      <w:r>
        <w:t xml:space="preserve"> </w:t>
      </w:r>
      <w:r>
        <w:t xml:space="preserve">the Union 2040 climate target, ‘to publish in a separate report the projected indicative Union</w:t>
      </w:r>
      <w:r>
        <w:t xml:space="preserve"> </w:t>
      </w:r>
      <w:r>
        <w:t xml:space="preserve">greenhouse gas budget for the 2030-2050 period”, taking into account the advice of the</w:t>
      </w:r>
      <w:r>
        <w:t xml:space="preserve"> </w:t>
      </w:r>
      <w:r>
        <w:t xml:space="preserve">European Scientific Advisory Board on Climate Change (ESABCC). This GHG budget</w:t>
      </w:r>
      <w:r>
        <w:t xml:space="preserve"> </w:t>
      </w:r>
      <w:r>
        <w:t xml:space="preserve">approach was an innovation for the EU introduced by the Climate Law, aiming to increase the</w:t>
      </w:r>
      <w:r>
        <w:t xml:space="preserve"> </w:t>
      </w:r>
      <w:r>
        <w:t xml:space="preserve">transparency and accountability of climate policies. It also makes it easier to compare action</w:t>
      </w:r>
      <w:r>
        <w:t xml:space="preserve"> </w:t>
      </w:r>
      <w:r>
        <w:t xml:space="preserve">at EU level with international efforts and the global emissions budget. The Climate Law also</w:t>
      </w:r>
      <w:r>
        <w:t xml:space="preserve"> </w:t>
      </w:r>
      <w:r>
        <w:t xml:space="preserve">defines the indicative Union GHG budget as “the indicative total volume of net greenhouse</w:t>
      </w:r>
      <w:r>
        <w:t xml:space="preserve"> </w:t>
      </w:r>
      <w:r>
        <w:t xml:space="preserve">gas emissions (expressed as CO2 equivalent and providing separate information on emissions</w:t>
      </w:r>
      <w:r>
        <w:t xml:space="preserve"> </w:t>
      </w:r>
      <w:r>
        <w:t xml:space="preserve">and removals) that are expected to be emitted in that period without putting at risk the</w:t>
      </w:r>
      <w:r>
        <w:t xml:space="preserve"> </w:t>
      </w:r>
      <w:r>
        <w:t xml:space="preserve">Union’s commitments under the Paris Agreement’.</w:t>
      </w:r>
      <w:r>
        <w:br/>
      </w:r>
      <w:r>
        <w:t xml:space="preserve">The 2030-2050 GHG budget is expressed in tonnes of CO2 equivalent (tCO2-eq) and covers</w:t>
      </w:r>
      <w:r>
        <w:t xml:space="preserve"> </w:t>
      </w:r>
      <w:r>
        <w:t xml:space="preserve">all GHGs (4) under the scope of the European Climate Law (5) from 2030 (included) to 2050</w:t>
      </w:r>
      <w:r>
        <w:t xml:space="preserve"> </w:t>
      </w:r>
      <w:r>
        <w:t xml:space="preserve">(included). It combines a “carbon” budget (cumulative CO2 emissions) with cumulative</w:t>
      </w:r>
      <w:r>
        <w:t xml:space="preserve"> </w:t>
      </w:r>
      <w:r>
        <w:t xml:space="preserve">emissions of non-CO2 GHGs (6) and including the contribution of carbon removals.</w:t>
      </w:r>
      <w:r>
        <w:br/>
      </w:r>
      <w:r>
        <w:t xml:space="preserve">The notion of “emissions budget” refers to the carbon budget at global level that is defined in</w:t>
      </w:r>
      <w:r>
        <w:t xml:space="preserve"> </w:t>
      </w:r>
      <w:r>
        <w:t xml:space="preserve">the IPCC AR6 as the maximum quantity of CO2 emissions that can be released to the</w:t>
      </w:r>
      <w:r>
        <w:t xml:space="preserve"> </w:t>
      </w:r>
      <w:r>
        <w:t xml:space="preserve">atmosphere over that period while keeping global warming below a given level of</w:t>
      </w:r>
      <w:r>
        <w:t xml:space="preserve"> </w:t>
      </w:r>
      <w:r>
        <w:t xml:space="preserve">temperature. Non-CO2 GHG emissions are not typically expressed as budget.</w:t>
      </w:r>
      <w:r>
        <w:br/>
      </w:r>
      <w:r>
        <w:t xml:space="preserve">The differentiation between the role of CO2 and non-CO2 in the definition of the budget</w:t>
      </w:r>
      <w:r>
        <w:t xml:space="preserve"> </w:t>
      </w:r>
      <w:r>
        <w:t xml:space="preserve">relates to the dominant contribution of CO2 to global surface temperature increase: most</w:t>
      </w:r>
      <w:r>
        <w:t xml:space="preserve"> </w:t>
      </w:r>
      <w:r>
        <w:t xml:space="preserve">warming to date has been caused by CO2, which has the most permanent impact on the</w:t>
      </w:r>
      <w:r>
        <w:t xml:space="preserve"> </w:t>
      </w:r>
      <w:r>
        <w:t xml:space="preserve">climate system (7). The IPCC indicates that the maximum temperature reached is determined</w:t>
      </w:r>
      <w:r>
        <w:t xml:space="preserve"> </w:t>
      </w:r>
      <w:r>
        <w:t xml:space="preserve">with high confidence by cumulative net global anthropogenic CO2 emissions up to the time of</w:t>
      </w:r>
    </w:p>
    <w:p>
      <w:pPr>
        <w:pStyle w:val="Compact"/>
        <w:numPr>
          <w:ilvl w:val="0"/>
          <w:numId w:val="1002"/>
        </w:numPr>
      </w:pPr>
      <w:r>
        <w:t xml:space="preserve">See part 2 of Annex V to Regulation (EU) 2018/1999</w:t>
      </w:r>
    </w:p>
    <w:p>
      <w:pPr>
        <w:pStyle w:val="Compact"/>
        <w:numPr>
          <w:ilvl w:val="0"/>
          <w:numId w:val="1002"/>
        </w:numPr>
      </w:pPr>
      <w:r>
        <w:t xml:space="preserve">The scope is the same as the ones for the Union 2040 climate target and is defined as all Union-wide GHG</w:t>
      </w:r>
      <w:r>
        <w:t xml:space="preserve"> </w:t>
      </w:r>
      <w:r>
        <w:t xml:space="preserve">emissions regulated in Union law, which include: domestic EU emissions, international intra-EU aviation,</w:t>
      </w:r>
      <w:r>
        <w:t xml:space="preserve"> </w:t>
      </w:r>
      <w:r>
        <w:t xml:space="preserve">international intra-EU maritime, and 50% of international extra-EU maritime under the MRV.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Non-CO2 GHG emissions are converted into “CO2 equivalent” using the global warming potential for a 100-</w:t>
      </w:r>
      <w:r>
        <w:t xml:space="preserve"> </w:t>
      </w:r>
      <w:r>
        <w:t xml:space="preserve">year time horizon from the IPCC Fifth Assessment Report (“AR5”).</w:t>
      </w:r>
    </w:p>
    <w:p>
      <w:pPr>
        <w:pStyle w:val="Compact"/>
        <w:numPr>
          <w:ilvl w:val="0"/>
          <w:numId w:val="1002"/>
        </w:numPr>
      </w:pPr>
      <w:r>
        <w:t xml:space="preserve">Jenkins, S., Cain, M., Friedlingstein, P., Gillett, N., Walsh, T., &amp; Allen, M. R. (2021). Quantifying non-CO2</w:t>
      </w:r>
      <w:r>
        <w:t xml:space="preserve"> </w:t>
      </w:r>
      <w:r>
        <w:t xml:space="preserve">contributions to remaining carbon budgets. npj climate and atmospheric science, 4(1), 47.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net zero CO2 emissions and with medium confidence by the level of non-CO2 radiative</w:t>
      </w:r>
      <w:r>
        <w:t xml:space="preserve"> </w:t>
      </w:r>
      <w:r>
        <w:t xml:space="preserve">forcing in the decades prior to the time that maximum temperatures are reached (8).</w:t>
      </w:r>
      <w:r>
        <w:t xml:space="preserve"> </w:t>
      </w:r>
      <w:r>
        <w:t xml:space="preserve">3</w:t>
      </w:r>
      <w:r>
        <w:t xml:space="preserve"> </w:t>
      </w:r>
      <w:r>
        <w:t xml:space="preserve">THE REMAINING GLOBAL CARBON BUDGET</w:t>
      </w:r>
      <w:r>
        <w:t xml:space="preserve"> </w:t>
      </w:r>
      <w:r>
        <w:t xml:space="preserve">The IPCC AR6 report reaffirms with high confidence that there is a near-linear relationship</w:t>
      </w:r>
      <w:r>
        <w:t xml:space="preserve"> </w:t>
      </w:r>
      <w:r>
        <w:t xml:space="preserve">between cumulative anthropogenic CO2 emissions and the global warming they cause,</w:t>
      </w:r>
      <w:r>
        <w:t xml:space="preserve"> </w:t>
      </w:r>
      <w:r>
        <w:t xml:space="preserve">estimating a global surface temperature increase of 0.45°C per each 1000 GtCO2 of</w:t>
      </w:r>
      <w:r>
        <w:t xml:space="preserve"> </w:t>
      </w:r>
      <w:r>
        <w:t xml:space="preserve">cumulative CO2 emissions, and highlighting that limiting global temperature increase to a</w:t>
      </w:r>
      <w:r>
        <w:t xml:space="preserve"> </w:t>
      </w:r>
      <w:r>
        <w:t xml:space="preserve">specific level, for example as defined in the Paris Agreement would imply limiting</w:t>
      </w:r>
      <w:r>
        <w:t xml:space="preserve"> </w:t>
      </w:r>
      <w:r>
        <w:t xml:space="preserve">cumulative CO2 emissions to a set carbon budget (9).</w:t>
      </w:r>
      <w:r>
        <w:br/>
      </w:r>
      <w:r>
        <w:t xml:space="preserve">The IPCC AR6 (10) estimates that from the beginning of 2020, the remaining global carbon</w:t>
      </w:r>
      <w:r>
        <w:t xml:space="preserve"> </w:t>
      </w:r>
      <w:r>
        <w:t xml:space="preserve">budget is 500 GtCO2 for limiting global warming to 1.5°C with 50% likelihood, 850 GtCO2</w:t>
      </w:r>
      <w:r>
        <w:t xml:space="preserve"> </w:t>
      </w:r>
      <w:r>
        <w:t xml:space="preserve">for limiting global warming to 1.7°C with 50% likelihood, and 1150 GtCO2 for limiting</w:t>
      </w:r>
      <w:r>
        <w:t xml:space="preserve"> </w:t>
      </w:r>
      <w:r>
        <w:t xml:space="preserve">global warming to 2°C with 67% likelihood (see Table 1).</w:t>
      </w:r>
    </w:p>
    <w:p>
      <w:pPr>
        <w:pStyle w:val="Compact"/>
        <w:numPr>
          <w:ilvl w:val="0"/>
          <w:numId w:val="1003"/>
        </w:numPr>
      </w:pPr>
      <w:r>
        <w:t xml:space="preserve">IPCC, 2018: Summary for Policymakers. In: Global Warming of 1.5°C. An IPCC Special Report on the</w:t>
      </w:r>
      <w:r>
        <w:t xml:space="preserve"> </w:t>
      </w:r>
      <w:r>
        <w:t xml:space="preserve">impacts of global warming of 1.5°C above pre-industrial levels and related global greenhouse gas emission</w:t>
      </w:r>
      <w:r>
        <w:t xml:space="preserve"> </w:t>
      </w:r>
      <w:r>
        <w:t xml:space="preserve">pathways, in the context of strengthening the global response to the threat of climate change, sustainable</w:t>
      </w:r>
      <w:r>
        <w:t xml:space="preserve"> </w:t>
      </w:r>
      <w:r>
        <w:t xml:space="preserve">development, and efforts to eradicate poverty [Masson-Delmotte, V., P. Zhai, H.-O. Pörtner, D. Roberts, J.</w:t>
      </w:r>
      <w:r>
        <w:t xml:space="preserve"> </w:t>
      </w:r>
      <w:r>
        <w:t xml:space="preserve">Skea, P.R. Shukla, A. Pirani, W. Moufouma-Okia, C. Péan, R. Pidcock, S. Connors, J.B.R. Matthews, Y.</w:t>
      </w:r>
      <w:r>
        <w:t xml:space="preserve"> </w:t>
      </w:r>
      <w:r>
        <w:t xml:space="preserve">Chen, X. Zhou, M.I. Gomis, E. Lonnoy, T. Maycock, M. Tignor, and T. Waterfield (eds.)]. Cambridge</w:t>
      </w:r>
      <w:r>
        <w:t xml:space="preserve"> </w:t>
      </w:r>
      <w:r>
        <w:t xml:space="preserve">University</w:t>
      </w:r>
      <w:r>
        <w:t xml:space="preserve"> </w:t>
      </w:r>
      <w:r>
        <w:t xml:space="preserve">Press,</w:t>
      </w:r>
      <w:r>
        <w:t xml:space="preserve"> </w:t>
      </w:r>
      <w:r>
        <w:t xml:space="preserve">Cambridge,</w:t>
      </w:r>
      <w:r>
        <w:t xml:space="preserve"> </w:t>
      </w:r>
      <w:r>
        <w:t xml:space="preserve">UK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NY,</w:t>
      </w:r>
      <w:r>
        <w:t xml:space="preserve"> </w:t>
      </w:r>
      <w:r>
        <w:t xml:space="preserve">USA,</w:t>
      </w:r>
      <w:r>
        <w:t xml:space="preserve"> </w:t>
      </w:r>
      <w:r>
        <w:t xml:space="preserve">pp. </w:t>
      </w:r>
      <w:r>
        <w:t xml:space="preserve"> </w:t>
      </w:r>
      <w:r>
        <w:t xml:space="preserve">3-24.</w:t>
      </w:r>
      <w:r>
        <w:t xml:space="preserve"> </w:t>
      </w:r>
      <w:r>
        <w:t xml:space="preserve">https://doi.org/10.1017/9781009157940.001.</w:t>
      </w:r>
    </w:p>
    <w:p>
      <w:pPr>
        <w:pStyle w:val="Compact"/>
        <w:numPr>
          <w:ilvl w:val="0"/>
          <w:numId w:val="1003"/>
        </w:numPr>
      </w:pPr>
      <w:r>
        <w:t xml:space="preserve">IPCC, 2021: Summary for Policymakers. In: Climate Change 2021: The Physical Science Basis.</w:t>
      </w:r>
      <w:r>
        <w:t xml:space="preserve"> </w:t>
      </w:r>
      <w:r>
        <w:t xml:space="preserve">Contribution of Working Group I to the Sixth Assessment Report of the Intergovernmental Panel on Climate</w:t>
      </w:r>
      <w:r>
        <w:t xml:space="preserve"> </w:t>
      </w:r>
      <w:r>
        <w:t xml:space="preserve">Change [Masson-Delmotte, V., P. Zhai, A. Pirani, S.L. Connors, C. Péan, S. Berger, N. Caud, Y. Chen, L.</w:t>
      </w:r>
      <w:r>
        <w:t xml:space="preserve"> </w:t>
      </w:r>
      <w:r>
        <w:t xml:space="preserve">Goldfarb, M.I. Gomis, M. Huang, K. Leitzell, E. Lonnoy, J.B.R. Matthews, T.K. Maycock, T. Waterfield,</w:t>
      </w:r>
      <w:r>
        <w:t xml:space="preserve"> </w:t>
      </w:r>
      <w:r>
        <w:t xml:space="preserve">O. Yelekçi, R. Yu, and B. Zhou (eds.)]. Cambridge University Press, Cambridge, United Kingdom and New</w:t>
      </w:r>
      <w:r>
        <w:t xml:space="preserve"> </w:t>
      </w:r>
      <w:r>
        <w:t xml:space="preserve">York, NY, USA, pp. 3−32, doi:10.1017/9781009157896.001. Figure SPM.10</w:t>
      </w:r>
    </w:p>
    <w:p>
      <w:pPr>
        <w:pStyle w:val="Compact"/>
        <w:numPr>
          <w:ilvl w:val="0"/>
          <w:numId w:val="1003"/>
        </w:numPr>
      </w:pPr>
      <w:r>
        <w:t xml:space="preserve">Canadell, J.G., P.M.S. Monteiro, M.H. Costa, L. Cotrim da Cunha, P.M. Cox, A.V. Eliseev, S. Henson,</w:t>
      </w:r>
      <w:r>
        <w:t xml:space="preserve"> </w:t>
      </w:r>
      <w:r>
        <w:t xml:space="preserve">M. Ishii, S. Jaccard, C. Koven, A. Lohila, P.K. Patra, S. Piao, J. Rogelj, S. Syampungani, S. Zaehle, and</w:t>
      </w:r>
      <w:r>
        <w:t xml:space="preserve"> </w:t>
      </w:r>
      <w:r>
        <w:t xml:space="preserve">K. Zickfeld, 2021: Global Carbon and other Biogeochemical Cycles and Feedbacks. In Climate Change</w:t>
      </w:r>
      <w:r>
        <w:t xml:space="preserve"> </w:t>
      </w:r>
      <w:r>
        <w:t xml:space="preserve">2021: The Physical Science Basis. Contribution of Working Group I to the Sixth Assessment Report of the</w:t>
      </w:r>
      <w:r>
        <w:t xml:space="preserve"> </w:t>
      </w:r>
      <w:r>
        <w:t xml:space="preserve">Intergovernmental Panel on Climate Change [Masson-Delmotte, V., P. Zhai, A. Pirani, S.L. Connors,</w:t>
      </w:r>
      <w:r>
        <w:t xml:space="preserve"> </w:t>
      </w:r>
      <w:r>
        <w:t xml:space="preserve">C. Péan, S. Berger, N. Caud, Y. Chen, L. Goldfarb, M.I. Gomis, M. Huang, K. Leitzell, E. Lonnoy,</w:t>
      </w:r>
      <w:r>
        <w:t xml:space="preserve"> </w:t>
      </w:r>
      <w:r>
        <w:t xml:space="preserve">J.B.R. Matthews, T.K. Maycock, T. Waterfield, O. Yelekçi, R. Yu, and B. Zhou (eds.)]. Cambridge</w:t>
      </w:r>
      <w:r>
        <w:t xml:space="preserve"> </w:t>
      </w:r>
      <w:r>
        <w:t xml:space="preserve">University Press, Cambridge, United Kingdom and New York, NY, USA, pp. 673–816,</w:t>
      </w:r>
      <w:r>
        <w:t xml:space="preserve"> </w:t>
      </w:r>
      <w:r>
        <w:t xml:space="preserve">doi:10.1017/9781009157896.007</w:t>
      </w:r>
    </w:p>
    <w:p>
      <w:pPr>
        <w:pStyle w:val="FirstParagraph"/>
      </w:pPr>
      <w:r>
        <w:t xml:space="preserve">5</w:t>
      </w:r>
    </w:p>
    <w:p>
      <w:pPr>
        <w:pStyle w:val="BodyText"/>
      </w:pPr>
      <w:r>
        <w:t xml:space="preserve">Table 1: IPCC estimates of the global carbon budget.</w:t>
      </w:r>
    </w:p>
    <w:p>
      <w:pPr>
        <w:pStyle w:val="BodyText"/>
      </w:pPr>
      <w:r>
        <w:t xml:space="preserve">Source: IPCC (2021). AR6. WG1, summary for policy makers, Table SPM.2</w:t>
      </w:r>
      <w:r>
        <w:t xml:space="preserve"> </w:t>
      </w:r>
      <w:r>
        <w:t xml:space="preserve">More recent estimates (11) assess that these remaining carbon budgets have decreased, to</w:t>
      </w:r>
      <w:r>
        <w:t xml:space="preserve"> </w:t>
      </w:r>
      <w:r>
        <w:t xml:space="preserve">250 GtCO2 as of beginning of 2023 for a 1.5°C global warming threshold (with a 50%</w:t>
      </w:r>
      <w:r>
        <w:t xml:space="preserve"> </w:t>
      </w:r>
      <w:r>
        <w:t xml:space="preserve">likelihood), to 600 GtCO2 for 1.7°C and 1150 GtCO2 for 2°C (with a 50% likelihood) – see</w:t>
      </w:r>
      <w:r>
        <w:t xml:space="preserve"> </w:t>
      </w:r>
      <w:r>
        <w:t xml:space="preserve">Table 2.</w:t>
      </w:r>
    </w:p>
    <w:p>
      <w:pPr>
        <w:pStyle w:val="Compact"/>
        <w:numPr>
          <w:ilvl w:val="0"/>
          <w:numId w:val="1004"/>
        </w:numPr>
      </w:pPr>
      <w:r>
        <w:t xml:space="preserve">Forster, P. M., Smith, C. J., Walsh, T., Lamb, W. F., Lamboll, R., Hauser, M., Ribes, A., Rosen, D., Gillett,</w:t>
      </w:r>
      <w:r>
        <w:t xml:space="preserve"> </w:t>
      </w:r>
      <w:r>
        <w:t xml:space="preserve">N., Palmer, M. D., Rogelj, J., von Schuckmann, K., Seneviratne, S. I., Trewin, B., Zhang, X., Allen, M.,</w:t>
      </w:r>
      <w:r>
        <w:t xml:space="preserve"> </w:t>
      </w:r>
      <w:r>
        <w:t xml:space="preserve">Andrew, R., Birt, A., Borger, A., Boyer, T., Broersma, J. A., Cheng, L., Dentener, F., Friedlingstein, P.,</w:t>
      </w:r>
      <w:r>
        <w:t xml:space="preserve"> </w:t>
      </w:r>
      <w:r>
        <w:t xml:space="preserve">Gutiérrez, J. M., Gütschow, J., Hall, B., Ishii, M., Jenkins, S., Lan, X., Lee, J.-Y., Morice, C., Kadow, C.,</w:t>
      </w:r>
      <w:r>
        <w:t xml:space="preserve"> </w:t>
      </w:r>
      <w:r>
        <w:t xml:space="preserve">Kennedy, J., Killick, R., Minx, J. C., Naik, V., Peters, G. P., Pirani, A., Pongratz, J., Schleussner, C.-F.,</w:t>
      </w:r>
      <w:r>
        <w:t xml:space="preserve"> </w:t>
      </w:r>
      <w:r>
        <w:t xml:space="preserve">Szopa, S., Thorne, P., Rohde, R., Rojas Corradi, M., Schumacher, D., Vose, R., Zickfeld, K., Masson-</w:t>
      </w:r>
      <w:r>
        <w:t xml:space="preserve"> </w:t>
      </w:r>
      <w:r>
        <w:t xml:space="preserve">Delmotte, V., and Zhai, P.: Indicators of Global Climate Change 2022: annual update of large-scale</w:t>
      </w:r>
      <w:r>
        <w:t xml:space="preserve"> </w:t>
      </w:r>
      <w:r>
        <w:t xml:space="preserve">indicators of the state of the climate system and human influence, Earth Syst. Sci. Data, 15, 2295–2327,</w:t>
      </w:r>
      <w:r>
        <w:t xml:space="preserve"> </w:t>
      </w:r>
      <w:r>
        <w:t xml:space="preserve">https://doi.org/10.5194/essd-15-2295-2023, 2023. Table 7.</w:t>
      </w:r>
    </w:p>
    <w:p>
      <w:pPr>
        <w:pStyle w:val="FirstParagraph"/>
      </w:pPr>
      <w:r>
        <w:t xml:space="preserve">6</w:t>
      </w:r>
    </w:p>
    <w:p>
      <w:pPr>
        <w:pStyle w:val="BodyText"/>
      </w:pPr>
      <w:r>
        <w:t xml:space="preserve">Table 2: Updated estimates of the remaining carbon budget</w:t>
      </w:r>
    </w:p>
    <w:p>
      <w:pPr>
        <w:pStyle w:val="BodyText"/>
      </w:pPr>
      <w:r>
        <w:t xml:space="preserve">Source: Forster et al., See also (7)</w:t>
      </w:r>
    </w:p>
    <w:p>
      <w:pPr>
        <w:pStyle w:val="BodyText"/>
      </w:pPr>
      <w:r>
        <w:t xml:space="preserve">Comparing these carbon budgets with current annual global CO2 emissions shows that a</w:t>
      </w:r>
      <w:r>
        <w:t xml:space="preserve"> </w:t>
      </w:r>
      <w:r>
        <w:t xml:space="preserve">significant global reduction of CO2 emissions within this critical decade is imperative to keep</w:t>
      </w:r>
      <w:r>
        <w:t xml:space="preserve"> </w:t>
      </w:r>
      <w:r>
        <w:t xml:space="preserve">the 1.5 °C in reach. The EDGAR report 2023 (12) estimates that the global CO2 emissions in</w:t>
      </w:r>
      <w:r>
        <w:t xml:space="preserve"> </w:t>
      </w:r>
      <w:r>
        <w:t xml:space="preserve">2022 amounted to around 38.5 GtCO2(13), more than 15% of the remaining global CO2</w:t>
      </w:r>
      <w:r>
        <w:t xml:space="preserve"> </w:t>
      </w:r>
      <w:r>
        <w:t xml:space="preserve">budget as of 2023.</w:t>
      </w:r>
    </w:p>
    <w:p>
      <w:pPr>
        <w:pStyle w:val="Compact"/>
        <w:numPr>
          <w:ilvl w:val="0"/>
          <w:numId w:val="1005"/>
        </w:numPr>
      </w:pPr>
      <w:r>
        <w:t xml:space="preserve">Crippa, M., Guizzardi, D., Pagani, F., Banja, M., Muntean, M., Schaaf E., Becker, W., Monforti-Ferrario, F.,</w:t>
      </w:r>
      <w:r>
        <w:t xml:space="preserve"> </w:t>
      </w:r>
      <w:r>
        <w:t xml:space="preserve">Quadrelli, R., Risquez Martin, A., Taghavi-Moharamli, P., Köykkä, J., Grassi, G., Rossi, S., Brandao De</w:t>
      </w:r>
      <w:r>
        <w:t xml:space="preserve"> </w:t>
      </w:r>
      <w:r>
        <w:t xml:space="preserve">Melo, J., Oom, D., Branco, A., San-Miguel, J., Vignati, E., GHG emissions of all world countries,</w:t>
      </w:r>
      <w:r>
        <w:t xml:space="preserve"> </w:t>
      </w:r>
      <w:r>
        <w:t xml:space="preserve">Publications Office of the European Union, Luxembourg, 2023, doi:10.2760/953322, JRC134504. The</w:t>
      </w:r>
      <w:r>
        <w:t xml:space="preserve"> </w:t>
      </w:r>
      <w:r>
        <w:t xml:space="preserve">choice of the database is motivated by the limited available data in the UNFCC Inventory, which for the</w:t>
      </w:r>
      <w:r>
        <w:t xml:space="preserve"> </w:t>
      </w:r>
      <w:r>
        <w:t xml:space="preserve">year 2021 reports only CO2 emissions (including LULUCF) from 43 countries.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representing about 71.6% of the global GHG emissions estimated at 53.8 GtCO2-eq in 2022</w:t>
      </w:r>
    </w:p>
    <w:p>
      <w:pPr>
        <w:pStyle w:val="FirstParagraph"/>
      </w:pPr>
      <w:r>
        <w:t xml:space="preserve">7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INDICATIVE EUROPEAN UNION NET GHG BUDGET FOR THE 2030-2050 PERIOD</w:t>
      </w:r>
      <w:r>
        <w:t xml:space="preserve"> </w:t>
      </w:r>
      <w:r>
        <w:t xml:space="preserve">4.1</w:t>
      </w:r>
      <w:r>
        <w:t xml:space="preserve"> </w:t>
      </w:r>
      <w:r>
        <w:t xml:space="preserve">GHG budget estimates</w:t>
      </w:r>
      <w:r>
        <w:t xml:space="preserve"> </w:t>
      </w:r>
      <w:r>
        <w:t xml:space="preserve">4.1.1 Advice by the ESABCC</w:t>
      </w:r>
      <w:r>
        <w:t xml:space="preserve"> </w:t>
      </w:r>
      <w:r>
        <w:t xml:space="preserve">In its advice for the determination of an EU-wide 2040 climate target and a greenhouse gas</w:t>
      </w:r>
      <w:r>
        <w:t xml:space="preserve"> </w:t>
      </w:r>
      <w:r>
        <w:t xml:space="preserve">budget for 2030–2050 (14), the ESABCC indicates a feasible domestic EU (15) net GHG</w:t>
      </w:r>
      <w:r>
        <w:t xml:space="preserve"> </w:t>
      </w:r>
      <w:r>
        <w:t xml:space="preserve">budget for 2030-2050 of 13-16 GtCO2-eq and recommends a range of 11-14 GtCO2eq. These</w:t>
      </w:r>
      <w:r>
        <w:t xml:space="preserve"> </w:t>
      </w:r>
      <w:r>
        <w:t xml:space="preserve">values assume a global warming limited to 1.5°C by the end of the century with no or limited</w:t>
      </w:r>
      <w:r>
        <w:t xml:space="preserve"> </w:t>
      </w:r>
      <w:r>
        <w:t xml:space="preserve">overshoot with at least 50% chance.</w:t>
      </w:r>
      <w:r>
        <w:br/>
      </w:r>
      <w:r>
        <w:t xml:space="preserve">The range presented by the ESABCC is calculated from existing modelled scenarios that are</w:t>
      </w:r>
      <w:r>
        <w:t xml:space="preserve"> </w:t>
      </w:r>
      <w:r>
        <w:t xml:space="preserve">selected as described briefly below. The report proceeds with a multiple-step filtering process</w:t>
      </w:r>
      <w:r>
        <w:t xml:space="preserve"> </w:t>
      </w:r>
      <w:r>
        <w:t xml:space="preserve">excluding many scenarios for the EU on “high feasibility concern” grounds (related to the role</w:t>
      </w:r>
      <w:r>
        <w:t xml:space="preserve"> </w:t>
      </w:r>
      <w:r>
        <w:t xml:space="preserve">of CCUS, bioenergy, LULUCF net removals), and eventually selects seven scenarios (16).</w:t>
      </w:r>
      <w:r>
        <w:t xml:space="preserve"> </w:t>
      </w:r>
      <w:r>
        <w:t xml:space="preserve">These seven scenarios are all compatible with the Paris Agreement, and more specifically</w:t>
      </w:r>
      <w:r>
        <w:t xml:space="preserve"> </w:t>
      </w:r>
      <w:r>
        <w:t xml:space="preserve">with the long-term temperature goal of limiting global average temperature to 1.5°C. They</w:t>
      </w:r>
      <w:r>
        <w:t xml:space="preserve"> </w:t>
      </w:r>
      <w:r>
        <w:t xml:space="preserve">serve to build the analysed range for the GHG budget within environmental risk levels (7</w:t>
      </w:r>
      <w:r>
        <w:t xml:space="preserve"> </w:t>
      </w:r>
      <w:r>
        <w:t xml:space="preserve">scenarios, 11-16 GtCO2-eq), the analysed range within environmental risk levels and the</w:t>
      </w:r>
      <w:r>
        <w:t xml:space="preserve"> </w:t>
      </w:r>
      <w:r>
        <w:t xml:space="preserve">technological deployment challenge (5 scenarios, 13-16 GtCO2-eq), and the recommended</w:t>
      </w:r>
      <w:r>
        <w:t xml:space="preserve"> </w:t>
      </w:r>
      <w:r>
        <w:t xml:space="preserve">range (6 scenarios, 11-14 GtCO2-eq). The recommended range discards the scenario showing</w:t>
      </w:r>
      <w:r>
        <w:t xml:space="preserve"> </w:t>
      </w:r>
      <w:r>
        <w:t xml:space="preserve">2040 reductions lower than 90% compared to 1990 and includes two scenarios showing very</w:t>
      </w:r>
      <w:r>
        <w:t xml:space="preserve"> </w:t>
      </w:r>
      <w:r>
        <w:t xml:space="preserve">ambitious 2040 reduction levels overcoming one or more of the technological deployment</w:t>
      </w:r>
      <w:r>
        <w:t xml:space="preserve"> </w:t>
      </w:r>
      <w:r>
        <w:t xml:space="preserve">challenges defined by the report (17).</w:t>
      </w:r>
      <w:r>
        <w:t xml:space="preserve"> </w:t>
      </w:r>
      <w:r>
        <w:t xml:space="preserve">In terms of GHG profile, the six scenarios building the recommended range all show net</w:t>
      </w:r>
      <w:r>
        <w:t xml:space="preserve"> </w:t>
      </w:r>
      <w:r>
        <w:t xml:space="preserve">negative GHGs in 2050 (18), implying a stronger effort than what is required under the</w:t>
      </w:r>
      <w:r>
        <w:t xml:space="preserve"> </w:t>
      </w:r>
      <w:r>
        <w:t xml:space="preserve">Climate Law, which states that the European Union shall reduce emissions to net zero by</w:t>
      </w:r>
      <w:r>
        <w:t xml:space="preserve"> </w:t>
      </w:r>
      <w:r>
        <w:t xml:space="preserve">2050 and shall aim to achieve negative emission thereafter.</w:t>
      </w:r>
    </w:p>
    <w:p>
      <w:pPr>
        <w:pStyle w:val="Compact"/>
        <w:numPr>
          <w:ilvl w:val="0"/>
          <w:numId w:val="1006"/>
        </w:numPr>
      </w:pPr>
      <w:r>
        <w:t xml:space="preserve">European Scientific Advisory Board on Climate Change. 2023. Scientific advice for the determination of an</w:t>
      </w:r>
      <w:r>
        <w:t xml:space="preserve"> </w:t>
      </w:r>
      <w:r>
        <w:t xml:space="preserve">EU-wide 2040 climate target and a greenhouse gas budget for 2030–2050. URL: https://climate-advisory-</w:t>
      </w:r>
      <w:r>
        <w:t xml:space="preserve"> </w:t>
      </w:r>
      <w:r>
        <w:t xml:space="preserve">board.europa.eu/reports-and-publications/scientific-advice-for-the-determination-of-an-eu-wide-2040</w:t>
      </w:r>
    </w:p>
    <w:p>
      <w:pPr>
        <w:pStyle w:val="Compact"/>
        <w:numPr>
          <w:ilvl w:val="0"/>
          <w:numId w:val="1006"/>
        </w:numPr>
      </w:pPr>
      <w:r>
        <w:t xml:space="preserve">The scope of the recommended GHG Budget by the ESABCC is “intra-EU”, i.e. domestic as per the</w:t>
      </w:r>
      <w:r>
        <w:t xml:space="preserve"> </w:t>
      </w:r>
      <w:r>
        <w:t xml:space="preserve">inventories and including intra-EU aviation and intra-EU maritime transport. It does not consider 50% of</w:t>
      </w:r>
      <w:r>
        <w:t xml:space="preserve"> </w:t>
      </w:r>
      <w:r>
        <w:t xml:space="preserve">international extra-EU maritime under the MRV, which are included in the scope of the EU Climate Law.</w:t>
      </w:r>
      <w:r>
        <w:t xml:space="preserve"> </w:t>
      </w:r>
      <w:r>
        <w:t xml:space="preserve">The difference in terms of cumulative emissions over 2030-2050 between the ESABCC “intra-EU” scope</w:t>
      </w:r>
      <w:r>
        <w:t xml:space="preserve"> </w:t>
      </w:r>
      <w:r>
        <w:t xml:space="preserve">and EU Climate Law scope is estimated at around 0.5 GtCO2-eq.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See the “European Climate Advisory Board Scenario Explorer”, for details on the different scenarios:</w:t>
      </w:r>
      <w:r>
        <w:t xml:space="preserve"> </w:t>
      </w:r>
      <w:r>
        <w:t xml:space="preserve">https://data.ece.iiasa.ac.at/eu-climate-advisory-board.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technological deployment challenges are defined as total installed capacity in 2030 of PV (900 GW),</w:t>
      </w:r>
      <w:r>
        <w:t xml:space="preserve"> </w:t>
      </w:r>
      <w:r>
        <w:t xml:space="preserve">wind (630 GW) and hydrogen (50 GW).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scenarios reach net GHGs in 2045 ranging from +141 MtCO2-eq to -63 MtCO2-eq, and are all net</w:t>
      </w:r>
      <w:r>
        <w:t xml:space="preserve"> </w:t>
      </w:r>
      <w:r>
        <w:t xml:space="preserve">negative in 2050 from -46 to -176 MtCO2-eq. Excluding the scenario meeting 88% in 2040 that has not</w:t>
      </w:r>
      <w:r>
        <w:t xml:space="preserve"> </w:t>
      </w:r>
      <w:r>
        <w:t xml:space="preserve">been retained by the ESABCC in its recommended ranges for a 2040 target and the GHG budget, 2045 net</w:t>
      </w:r>
      <w:r>
        <w:t xml:space="preserve"> </w:t>
      </w:r>
      <w:r>
        <w:t xml:space="preserve">emissions reach +73 to -63 MtCO2-eq in 2045 (reductions between -98% and -101% compared to 1990) and</w:t>
      </w:r>
      <w:r>
        <w:t xml:space="preserve"> </w:t>
      </w:r>
      <w:r>
        <w:t xml:space="preserve">-94 to -176 MtCO2-eq in 2050 (-102% to -104%).</w:t>
      </w:r>
    </w:p>
    <w:p>
      <w:pPr>
        <w:pStyle w:val="FirstParagraph"/>
      </w:pPr>
      <w:r>
        <w:t xml:space="preserve">8</w:t>
      </w:r>
    </w:p>
    <w:p>
      <w:pPr>
        <w:pStyle w:val="BodyText"/>
      </w:pPr>
      <w:r>
        <w:t xml:space="preserve">The above discussed numbers thus represent the most ambitious approach that can be taken</w:t>
      </w:r>
      <w:r>
        <w:t xml:space="preserve"> </w:t>
      </w:r>
      <w:r>
        <w:t xml:space="preserve">by the EU.</w:t>
      </w:r>
      <w:r>
        <w:t xml:space="preserve"> </w:t>
      </w:r>
      <w:r>
        <w:t xml:space="preserve">4.1.2 Other estimates</w:t>
      </w:r>
      <w:r>
        <w:t xml:space="preserve"> </w:t>
      </w:r>
      <w:r>
        <w:t xml:space="preserve">A report by PBL (19) provides an analysis of GHG budgets for major emitting countries to</w:t>
      </w:r>
      <w:r>
        <w:t xml:space="preserve"> </w:t>
      </w:r>
      <w:r>
        <w:t xml:space="preserve">achieve the Paris Agreement temperature goals. It looks at the global cumulative GHG</w:t>
      </w:r>
      <w:r>
        <w:t xml:space="preserve"> </w:t>
      </w:r>
      <w:r>
        <w:t xml:space="preserve">emissions over 2030-2050 (20) of scenarios in the IPCC AR6 database for different climate</w:t>
      </w:r>
      <w:r>
        <w:t xml:space="preserve"> </w:t>
      </w:r>
      <w:r>
        <w:t xml:space="preserve">categories(21):</w:t>
      </w:r>
      <w:r>
        <w:br/>
      </w:r>
      <w:r>
        <w:t xml:space="preserve">-</w:t>
      </w:r>
      <w:r>
        <w:t xml:space="preserve"> </w:t>
      </w:r>
      <w:r>
        <w:t xml:space="preserve">C1: limit warming to 1.5°C with no or limited overshoot and with a probability higher</w:t>
      </w:r>
      <w:r>
        <w:t xml:space="preserve"> </w:t>
      </w:r>
      <w:r>
        <w:t xml:space="preserve">than 50%,</w:t>
      </w:r>
      <w:r>
        <w:br/>
      </w:r>
      <w:r>
        <w:t xml:space="preserve">-</w:t>
      </w:r>
      <w:r>
        <w:t xml:space="preserve"> </w:t>
      </w:r>
      <w:r>
        <w:t xml:space="preserve">C1a: subcategory of C1 including only scenarios reaching global net-zero greenhouse</w:t>
      </w:r>
      <w:r>
        <w:t xml:space="preserve"> </w:t>
      </w:r>
      <w:r>
        <w:t xml:space="preserve">emissions in the second half of this century,</w:t>
      </w:r>
      <w:r>
        <w:br/>
      </w:r>
      <w:r>
        <w:t xml:space="preserve">-</w:t>
      </w:r>
      <w:r>
        <w:t xml:space="preserve"> </w:t>
      </w:r>
      <w:r>
        <w:t xml:space="preserve">C2: return warming to 1.5°C with a probability higher than 50% after a high overshoot</w:t>
      </w:r>
      <w:r>
        <w:br/>
      </w:r>
      <w:r>
        <w:t xml:space="preserve">-</w:t>
      </w:r>
      <w:r>
        <w:t xml:space="preserve"> </w:t>
      </w:r>
      <w:r>
        <w:t xml:space="preserve">C3: limit warming to 2°C with a probability higher than 67%.</w:t>
      </w:r>
      <w:r>
        <w:t xml:space="preserve"> </w:t>
      </w:r>
      <w:r>
        <w:t xml:space="preserve">The distribution of these global carbon budgets to regional carbon budgets (Table 3) focuses</w:t>
      </w:r>
      <w:r>
        <w:t xml:space="preserve"> </w:t>
      </w:r>
      <w:r>
        <w:t xml:space="preserve">on five major economies (China, India, EU, United State and Japan). The analysis gives for</w:t>
      </w:r>
      <w:r>
        <w:t xml:space="preserve"> </w:t>
      </w:r>
      <w:r>
        <w:t xml:space="preserve">the EU a 2030-2050 GHG budget of 15 GtCO2-eq (ranging 7-24) for climate category C1, 17</w:t>
      </w:r>
      <w:r>
        <w:t xml:space="preserve"> </w:t>
      </w:r>
      <w:r>
        <w:t xml:space="preserve">GtCO2-eq (12-25) for category C1a, 23 GtCO2-eq (15-36) for category C2, and 26 GtCO2-eq</w:t>
      </w:r>
      <w:r>
        <w:t xml:space="preserve"> </w:t>
      </w:r>
      <w:r>
        <w:t xml:space="preserve">(18-40) for category C3.</w:t>
      </w:r>
    </w:p>
    <w:p>
      <w:pPr>
        <w:pStyle w:val="Compact"/>
        <w:numPr>
          <w:ilvl w:val="0"/>
          <w:numId w:val="1007"/>
        </w:numPr>
      </w:pPr>
      <w:r>
        <w:t xml:space="preserve">Hooijschuur, E, den Elzen, M.G.J., Dafnomilis, I. and van Vuuren, D.P. (2023), Analysis of cost-effective</w:t>
      </w:r>
      <w:r>
        <w:t xml:space="preserve"> </w:t>
      </w:r>
      <w:r>
        <w:t xml:space="preserve">reduction pathways for major emitting countries to achieve the Paris Agreement climate goal, The Hague:</w:t>
      </w:r>
      <w:r>
        <w:t xml:space="preserve"> </w:t>
      </w:r>
      <w:r>
        <w:t xml:space="preserve">PBL Netherlands Environmental Assessment Agency.</w:t>
      </w:r>
    </w:p>
    <w:p>
      <w:pPr>
        <w:pStyle w:val="Compact"/>
        <w:numPr>
          <w:ilvl w:val="0"/>
          <w:numId w:val="1007"/>
        </w:numPr>
      </w:pPr>
      <w:r>
        <w:t xml:space="preserve">Including the year 2030, but excluding the year 2050.</w:t>
      </w:r>
    </w:p>
    <w:p>
      <w:pPr>
        <w:pStyle w:val="Compact"/>
        <w:numPr>
          <w:ilvl w:val="0"/>
          <w:numId w:val="1007"/>
        </w:numPr>
      </w:pPr>
      <w:r>
        <w:t xml:space="preserve">Riahi, K., R. Schaeffer, J. Arango, K. Calvin, C. Guivarch, T. Hasegawa, K. Jiang, E. Kriegler, R.</w:t>
      </w:r>
      <w:r>
        <w:t xml:space="preserve"> </w:t>
      </w:r>
      <w:r>
        <w:t xml:space="preserve">Matthews, G.P. Peters, A. Rao, S. Robertson, A.M. Sebbit, J. Steinberger, M. Tavoni, D.P. van Vuuren,</w:t>
      </w:r>
      <w:r>
        <w:t xml:space="preserve"> </w:t>
      </w:r>
      <w:r>
        <w:t xml:space="preserve">2022: Mitigation pathways compatible with long-term goals. In IPCC, 2022: Climate Change 2022:</w:t>
      </w:r>
      <w:r>
        <w:t xml:space="preserve"> </w:t>
      </w:r>
      <w:r>
        <w:t xml:space="preserve">Mitigation of Climate Change. Contribution of Working Group III to the Sixth Assessment Report of the</w:t>
      </w:r>
      <w:r>
        <w:t xml:space="preserve"> </w:t>
      </w:r>
      <w:r>
        <w:t xml:space="preserve">Intergovernmental Panel on Climate Change [P.R. Shukla, J. Skea, R. Slade, A. Al Khourdajie, R. van</w:t>
      </w:r>
      <w:r>
        <w:t xml:space="preserve"> </w:t>
      </w:r>
      <w:r>
        <w:t xml:space="preserve">Diemen, D. McCollum, M. Pathak, S. Some, P. Vyas, R. Fradera, M. Belkacemi, A. Hasija, G. Lisboa, S.</w:t>
      </w:r>
      <w:r>
        <w:t xml:space="preserve"> </w:t>
      </w:r>
      <w:r>
        <w:t xml:space="preserve">Luz, J. Malley, (eds.)]. Cambridge University Press, Cambridge, UK and New York, NY, USA. doi:</w:t>
      </w:r>
      <w:r>
        <w:t xml:space="preserve"> </w:t>
      </w:r>
      <w:r>
        <w:t xml:space="preserve">10.1017/9781009157926.005. Table 3.2. Limited overshoot refers to exceeding 1.5°C global warming by up to</w:t>
      </w:r>
      <w:r>
        <w:t xml:space="preserve"> </w:t>
      </w:r>
      <w:r>
        <w:t xml:space="preserve">about 0.1°C, high overshoot by 0.1°C-0.3°C, in both cases for up to several decades.</w:t>
      </w:r>
    </w:p>
    <w:p>
      <w:pPr>
        <w:pStyle w:val="FirstParagraph"/>
      </w:pPr>
      <w:r>
        <w:t xml:space="preserve">9</w:t>
      </w:r>
    </w:p>
    <w:p>
      <w:pPr>
        <w:pStyle w:val="BodyText"/>
      </w:pPr>
      <w:r>
        <w:t xml:space="preserve">Table 3: GHG budget for 2030-2050 per climate category and per country or region.</w:t>
      </w:r>
    </w:p>
    <w:p>
      <w:pPr>
        <w:pStyle w:val="BodyText"/>
      </w:pPr>
      <w:r>
        <w:t xml:space="preserve">China</w:t>
      </w:r>
      <w:r>
        <w:t xml:space="preserve"> </w:t>
      </w:r>
      <w:r>
        <w:t xml:space="preserve">EU-27</w:t>
      </w:r>
      <w:r>
        <w:t xml:space="preserve"> </w:t>
      </w:r>
      <w:r>
        <w:t xml:space="preserve">India</w:t>
      </w:r>
      <w:r>
        <w:t xml:space="preserve"> </w:t>
      </w:r>
      <w:r>
        <w:t xml:space="preserve">Japan</w:t>
      </w:r>
      <w:r>
        <w:t xml:space="preserve"> </w:t>
      </w:r>
      <w:r>
        <w:t xml:space="preserve">US</w:t>
      </w:r>
      <w:r>
        <w:t xml:space="preserve"> </w:t>
      </w:r>
      <w:r>
        <w:t xml:space="preserve">World</w:t>
      </w:r>
      <w:r>
        <w:t xml:space="preserve"> </w:t>
      </w:r>
      <w:r>
        <w:t xml:space="preserve">Total</w:t>
      </w:r>
      <w:r>
        <w:br/>
      </w:r>
      <w:r>
        <w:t xml:space="preserve">cumulative</w:t>
      </w:r>
      <w:r>
        <w:t xml:space="preserve"> </w:t>
      </w:r>
      <w:r>
        <w:t xml:space="preserve">net GHGs</w:t>
      </w:r>
      <w:r>
        <w:t xml:space="preserve"> </w:t>
      </w:r>
      <w:r>
        <w:t xml:space="preserve">2030-</w:t>
      </w:r>
      <w:r>
        <w:t xml:space="preserve"> </w:t>
      </w:r>
      <w:r>
        <w:t xml:space="preserve">2050*</w:t>
      </w:r>
      <w:r>
        <w:t xml:space="preserve"> </w:t>
      </w:r>
      <w:r>
        <w:t xml:space="preserve">C1</w:t>
      </w:r>
      <w:r>
        <w:t xml:space="preserve"> </w:t>
      </w:r>
      <w:r>
        <w:t xml:space="preserve">Median</w:t>
      </w:r>
      <w:r>
        <w:t xml:space="preserve"> </w:t>
      </w:r>
      <w:r>
        <w:t xml:space="preserve">67</w:t>
      </w:r>
      <w:r>
        <w:t xml:space="preserve"> </w:t>
      </w:r>
      <w:r>
        <w:t xml:space="preserve">15</w:t>
      </w:r>
      <w:r>
        <w:t xml:space="preserve"> </w:t>
      </w:r>
      <w:r>
        <w:t xml:space="preserve">34</w:t>
      </w:r>
      <w:r>
        <w:t xml:space="preserve"> </w:t>
      </w:r>
      <w:r>
        <w:t xml:space="preserve">5</w:t>
      </w:r>
      <w:r>
        <w:t xml:space="preserve"> </w:t>
      </w:r>
      <w:r>
        <w:t xml:space="preserve">22</w:t>
      </w:r>
      <w:r>
        <w:t xml:space="preserve"> </w:t>
      </w:r>
      <w:r>
        <w:t xml:space="preserve">308</w:t>
      </w:r>
    </w:p>
    <w:p>
      <w:pPr>
        <w:pStyle w:val="BodyText"/>
      </w:pPr>
      <w:r>
        <w:t xml:space="preserve">Range</w:t>
      </w:r>
      <w:r>
        <w:t xml:space="preserve"> </w:t>
      </w:r>
      <w:r>
        <w:t xml:space="preserve">56-85</w:t>
      </w:r>
      <w:r>
        <w:t xml:space="preserve"> </w:t>
      </w:r>
      <w:r>
        <w:t xml:space="preserve">7-24</w:t>
      </w:r>
      <w:r>
        <w:t xml:space="preserve"> </w:t>
      </w:r>
      <w:r>
        <w:t xml:space="preserve">15-39</w:t>
      </w:r>
      <w:r>
        <w:t xml:space="preserve"> </w:t>
      </w:r>
      <w:r>
        <w:t xml:space="preserve">3-7</w:t>
      </w:r>
      <w:r>
        <w:t xml:space="preserve"> </w:t>
      </w:r>
      <w:r>
        <w:t xml:space="preserve">10-36</w:t>
      </w:r>
      <w:r>
        <w:t xml:space="preserve"> </w:t>
      </w:r>
      <w:r>
        <w:t xml:space="preserve">171-355</w:t>
      </w:r>
      <w:r>
        <w:t xml:space="preserve"> </w:t>
      </w:r>
      <w:r>
        <w:t xml:space="preserve">C1a</w:t>
      </w:r>
      <w:r>
        <w:t xml:space="preserve"> </w:t>
      </w:r>
      <w:r>
        <w:t xml:space="preserve">Median</w:t>
      </w:r>
      <w:r>
        <w:t xml:space="preserve"> </w:t>
      </w:r>
      <w:r>
        <w:t xml:space="preserve">72</w:t>
      </w:r>
      <w:r>
        <w:t xml:space="preserve"> </w:t>
      </w:r>
      <w:r>
        <w:t xml:space="preserve">17</w:t>
      </w:r>
      <w:r>
        <w:t xml:space="preserve"> </w:t>
      </w:r>
      <w:r>
        <w:t xml:space="preserve">35</w:t>
      </w:r>
      <w:r>
        <w:t xml:space="preserve"> </w:t>
      </w:r>
      <w:r>
        <w:t xml:space="preserve">5</w:t>
      </w:r>
      <w:r>
        <w:t xml:space="preserve"> </w:t>
      </w:r>
      <w:r>
        <w:t xml:space="preserve">23</w:t>
      </w:r>
      <w:r>
        <w:t xml:space="preserve"> </w:t>
      </w:r>
      <w:r>
        <w:t xml:space="preserve">316</w:t>
      </w:r>
    </w:p>
    <w:p>
      <w:pPr>
        <w:pStyle w:val="BodyText"/>
      </w:pPr>
      <w:r>
        <w:t xml:space="preserve">Range</w:t>
      </w:r>
      <w:r>
        <w:t xml:space="preserve"> </w:t>
      </w:r>
      <w:r>
        <w:t xml:space="preserve">57-84</w:t>
      </w:r>
      <w:r>
        <w:t xml:space="preserve"> </w:t>
      </w:r>
      <w:r>
        <w:t xml:space="preserve">12-25</w:t>
      </w:r>
      <w:r>
        <w:t xml:space="preserve"> </w:t>
      </w:r>
      <w:r>
        <w:t xml:space="preserve">26-40</w:t>
      </w:r>
      <w:r>
        <w:t xml:space="preserve"> </w:t>
      </w:r>
      <w:r>
        <w:t xml:space="preserve">3-7</w:t>
      </w:r>
      <w:r>
        <w:t xml:space="preserve"> </w:t>
      </w:r>
      <w:r>
        <w:t xml:space="preserve">14-38</w:t>
      </w:r>
      <w:r>
        <w:t xml:space="preserve"> </w:t>
      </w:r>
      <w:r>
        <w:t xml:space="preserve">238-363</w:t>
      </w:r>
      <w:r>
        <w:t xml:space="preserve"> </w:t>
      </w:r>
      <w:r>
        <w:t xml:space="preserve">C2</w:t>
      </w:r>
      <w:r>
        <w:t xml:space="preserve"> </w:t>
      </w:r>
      <w:r>
        <w:t xml:space="preserve">Median</w:t>
      </w:r>
      <w:r>
        <w:t xml:space="preserve"> </w:t>
      </w:r>
      <w:r>
        <w:t xml:space="preserve">98</w:t>
      </w:r>
      <w:r>
        <w:t xml:space="preserve"> </w:t>
      </w:r>
      <w:r>
        <w:t xml:space="preserve">23</w:t>
      </w:r>
      <w:r>
        <w:t xml:space="preserve"> </w:t>
      </w:r>
      <w:r>
        <w:t xml:space="preserve">39</w:t>
      </w:r>
      <w:r>
        <w:t xml:space="preserve"> </w:t>
      </w:r>
      <w:r>
        <w:t xml:space="preserve">7</w:t>
      </w:r>
      <w:r>
        <w:t xml:space="preserve"> </w:t>
      </w:r>
      <w:r>
        <w:t xml:space="preserve">41</w:t>
      </w:r>
      <w:r>
        <w:t xml:space="preserve"> </w:t>
      </w:r>
      <w:r>
        <w:t xml:space="preserve">414</w:t>
      </w:r>
    </w:p>
    <w:p>
      <w:pPr>
        <w:pStyle w:val="BodyText"/>
      </w:pPr>
      <w:r>
        <w:t xml:space="preserve">Range</w:t>
      </w:r>
      <w:r>
        <w:t xml:space="preserve"> </w:t>
      </w:r>
      <w:r>
        <w:t xml:space="preserve">77-116</w:t>
      </w:r>
      <w:r>
        <w:t xml:space="preserve"> </w:t>
      </w:r>
      <w:r>
        <w:t xml:space="preserve">15-36</w:t>
      </w:r>
      <w:r>
        <w:t xml:space="preserve"> </w:t>
      </w:r>
      <w:r>
        <w:t xml:space="preserve">27-50</w:t>
      </w:r>
      <w:r>
        <w:t xml:space="preserve"> </w:t>
      </w:r>
      <w:r>
        <w:t xml:space="preserve">5-12</w:t>
      </w:r>
      <w:r>
        <w:t xml:space="preserve"> </w:t>
      </w:r>
      <w:r>
        <w:t xml:space="preserve">23-61</w:t>
      </w:r>
      <w:r>
        <w:t xml:space="preserve"> </w:t>
      </w:r>
      <w:r>
        <w:t xml:space="preserve">311-492</w:t>
      </w:r>
      <w:r>
        <w:t xml:space="preserve"> </w:t>
      </w:r>
      <w:r>
        <w:t xml:space="preserve">C3</w:t>
      </w:r>
      <w:r>
        <w:t xml:space="preserve"> </w:t>
      </w:r>
      <w:r>
        <w:t xml:space="preserve">Median</w:t>
      </w:r>
      <w:r>
        <w:t xml:space="preserve"> </w:t>
      </w:r>
      <w:r>
        <w:t xml:space="preserve">110</w:t>
      </w:r>
      <w:r>
        <w:t xml:space="preserve"> </w:t>
      </w:r>
      <w:r>
        <w:t xml:space="preserve">26</w:t>
      </w:r>
      <w:r>
        <w:t xml:space="preserve"> </w:t>
      </w:r>
      <w:r>
        <w:t xml:space="preserve">49</w:t>
      </w:r>
      <w:r>
        <w:t xml:space="preserve"> </w:t>
      </w:r>
      <w:r>
        <w:t xml:space="preserve">9</w:t>
      </w:r>
      <w:r>
        <w:t xml:space="preserve"> </w:t>
      </w:r>
      <w:r>
        <w:t xml:space="preserve">48</w:t>
      </w:r>
      <w:r>
        <w:t xml:space="preserve"> </w:t>
      </w:r>
      <w:r>
        <w:t xml:space="preserve">505</w:t>
      </w:r>
    </w:p>
    <w:p>
      <w:pPr>
        <w:pStyle w:val="BodyText"/>
      </w:pPr>
      <w:r>
        <w:t xml:space="preserve">Range</w:t>
      </w:r>
      <w:r>
        <w:t xml:space="preserve"> </w:t>
      </w:r>
      <w:r>
        <w:t xml:space="preserve">90-140</w:t>
      </w:r>
      <w:r>
        <w:t xml:space="preserve"> </w:t>
      </w:r>
      <w:r>
        <w:t xml:space="preserve">18-40</w:t>
      </w:r>
      <w:r>
        <w:t xml:space="preserve"> </w:t>
      </w:r>
      <w:r>
        <w:t xml:space="preserve">32-64</w:t>
      </w:r>
      <w:r>
        <w:t xml:space="preserve"> </w:t>
      </w:r>
      <w:r>
        <w:t xml:space="preserve">6-14</w:t>
      </w:r>
      <w:r>
        <w:t xml:space="preserve"> </w:t>
      </w:r>
      <w:r>
        <w:t xml:space="preserve">31-72</w:t>
      </w:r>
      <w:r>
        <w:t xml:space="preserve"> </w:t>
      </w:r>
      <w:r>
        <w:t xml:space="preserve">398-611</w:t>
      </w:r>
      <w:r>
        <w:t xml:space="preserve"> </w:t>
      </w:r>
      <w:r>
        <w:t xml:space="preserve">Note: *Includes the year 2030 and excludes the year 2050.</w:t>
      </w:r>
      <w:r>
        <w:br/>
      </w:r>
      <w:r>
        <w:t xml:space="preserve">Source: Hooijschuur et al. (2023).</w:t>
      </w:r>
      <w:r>
        <w:t xml:space="preserve"> </w:t>
      </w:r>
      <w:r>
        <w:t xml:space="preserve">Other recent estimates for EU CO2 and GHG budgets are reported:</w:t>
      </w:r>
      <w:r>
        <w:t xml:space="preserve"> </w:t>
      </w:r>
      <w:r>
        <w:t xml:space="preserve">-</w:t>
      </w:r>
      <w:r>
        <w:t xml:space="preserve"> </w:t>
      </w:r>
      <w:r>
        <w:t xml:space="preserve">The German Advisory Council on the Environment calculates a CO2 budget for the</w:t>
      </w:r>
      <w:r>
        <w:t xml:space="preserve"> </w:t>
      </w:r>
      <w:r>
        <w:t xml:space="preserve">period 2022-2050 of 23.1 for 1.5°C with 50% probability and 39.5 GtCO2 for 1.75°C</w:t>
      </w:r>
      <w:r>
        <w:t xml:space="preserve"> </w:t>
      </w:r>
      <w:r>
        <w:t xml:space="preserve">with 67% probability (22).</w:t>
      </w:r>
      <w:r>
        <w:t xml:space="preserve"> </w:t>
      </w:r>
      <w:r>
        <w:t xml:space="preserve">-</w:t>
      </w:r>
      <w:r>
        <w:t xml:space="preserve"> </w:t>
      </w:r>
      <w:r>
        <w:t xml:space="preserve">Agora Energiewende suggests a domestic (23) EU GHG budget of 14.3 GtCO2-eq for</w:t>
      </w:r>
      <w:r>
        <w:t xml:space="preserve"> </w:t>
      </w:r>
      <w:r>
        <w:t xml:space="preserve">the period 2030-2050 to achieve net-zero emissions by 2050 (24).</w:t>
      </w:r>
      <w:r>
        <w:br/>
      </w:r>
      <w:r>
        <w:t xml:space="preserve">4.2</w:t>
      </w:r>
      <w:r>
        <w:t xml:space="preserve"> </w:t>
      </w:r>
      <w:r>
        <w:t xml:space="preserve">Cumulative 2030-2050 GHG emissions associated to target options</w:t>
      </w:r>
      <w:r>
        <w:t xml:space="preserve"> </w:t>
      </w:r>
      <w:r>
        <w:t xml:space="preserve">The Impact Assessment looks at a broad range of options for the 2040 GHG emission</w:t>
      </w:r>
      <w:r>
        <w:t xml:space="preserve"> </w:t>
      </w:r>
      <w:r>
        <w:t xml:space="preserve">reduction target, ranging from below 75% up to 95% in comparison with 1990 emission</w:t>
      </w:r>
      <w:r>
        <w:t xml:space="preserve"> </w:t>
      </w:r>
      <w:r>
        <w:t xml:space="preserve">levels. The analysis focuses on three target levels:</w:t>
      </w:r>
      <w:r>
        <w:br/>
      </w:r>
      <w:r>
        <w:t xml:space="preserve">-</w:t>
      </w:r>
      <w:r>
        <w:t xml:space="preserve"> </w:t>
      </w:r>
      <w:r>
        <w:t xml:space="preserve">Option 1: a reduction of consistent with a linear trajectory between 2030 and climate</w:t>
      </w:r>
      <w:r>
        <w:t xml:space="preserve"> </w:t>
      </w:r>
      <w:r>
        <w:t xml:space="preserve">neutrality by 2050,</w:t>
      </w:r>
      <w:r>
        <w:br/>
      </w:r>
      <w:r>
        <w:t xml:space="preserve">-</w:t>
      </w:r>
      <w:r>
        <w:t xml:space="preserve"> </w:t>
      </w:r>
      <w:r>
        <w:t xml:space="preserve">Option 2: a reduction of at least 85% up to 90%,</w:t>
      </w:r>
      <w:r>
        <w:t xml:space="preserve"> </w:t>
      </w:r>
      <w:r>
        <w:t xml:space="preserve">-</w:t>
      </w:r>
      <w:r>
        <w:t xml:space="preserve"> </w:t>
      </w:r>
      <w:r>
        <w:t xml:space="preserve">Option 3: a reduction of at least 90% up to 95%.</w:t>
      </w:r>
      <w:r>
        <w:t xml:space="preserve"> </w:t>
      </w:r>
      <w:r>
        <w:t xml:space="preserve">For each target option, the “GHG budget” is calculated as the cumulative net GHG emissions</w:t>
      </w:r>
      <w:r>
        <w:t xml:space="preserve"> </w:t>
      </w:r>
      <w:r>
        <w:t xml:space="preserve">of 2030-2050, assuming net GHG emissions reaching zero in 2050 and linear trajectories of</w:t>
      </w:r>
      <w:r>
        <w:t xml:space="preserve"> </w:t>
      </w:r>
      <w:r>
        <w:t xml:space="preserve">net GHGs between 2030 and 2040, and between 2040 and 2050. The EU-wide net domestic</w:t>
      </w:r>
      <w:r>
        <w:t xml:space="preserve"> </w:t>
      </w:r>
      <w:r>
        <w:t xml:space="preserve">GHG emissions cut by 2030 is estimated at 57% compared to 1990 under the Fit-for-55</w:t>
      </w:r>
      <w:r>
        <w:t xml:space="preserve"> </w:t>
      </w:r>
      <w:r>
        <w:t xml:space="preserve">legislation as adopted.</w:t>
      </w:r>
    </w:p>
    <w:p>
      <w:pPr>
        <w:pStyle w:val="Compact"/>
        <w:numPr>
          <w:ilvl w:val="0"/>
          <w:numId w:val="1008"/>
        </w:numPr>
      </w:pPr>
      <w:r>
        <w:t xml:space="preserve">German Advisory Council on the Environment (2022). A justified ceiling to Germany’s CO₂ emissions:</w:t>
      </w:r>
      <w:r>
        <w:t xml:space="preserve"> </w:t>
      </w:r>
      <w:r>
        <w:t xml:space="preserve">Questions and answers on its CO₂ budget. German Advisory Council on the Environment. The upper limit</w:t>
      </w:r>
      <w:r>
        <w:t xml:space="preserve"> </w:t>
      </w:r>
      <w:r>
        <w:t xml:space="preserve">for CO2 for domestic budget in the period 2022-2050 is defined as of 23.1 GtCO2.</w:t>
      </w:r>
    </w:p>
    <w:p>
      <w:pPr>
        <w:pStyle w:val="Compact"/>
        <w:numPr>
          <w:ilvl w:val="0"/>
          <w:numId w:val="1008"/>
        </w:numPr>
      </w:pPr>
      <w:r>
        <w:t xml:space="preserve">The difference in scope between the indicative budget (European Climate Law scope) and a domestic budget</w:t>
      </w:r>
      <w:r>
        <w:t xml:space="preserve"> </w:t>
      </w:r>
      <w:r>
        <w:t xml:space="preserve">(excuding emissions for international aviation and maritime transport) is quantified to around 1.2 GtCO2-eq.</w:t>
      </w:r>
    </w:p>
    <w:p>
      <w:pPr>
        <w:pStyle w:val="Compact"/>
        <w:numPr>
          <w:ilvl w:val="0"/>
          <w:numId w:val="1008"/>
        </w:numPr>
      </w:pPr>
      <w:r>
        <w:t xml:space="preserve">Graf, A., et al. (2023). Breaking free from fossil gas. A new path to a climate-neutral Europe. Agora</w:t>
      </w:r>
      <w:r>
        <w:t xml:space="preserve"> </w:t>
      </w:r>
      <w:r>
        <w:t xml:space="preserve">Energiewende.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The resulting GHG budget ranges from above 23 GtCO2-eq for a 2040 reduction lower than</w:t>
      </w:r>
      <w:r>
        <w:t xml:space="preserve"> </w:t>
      </w:r>
      <w:r>
        <w:t xml:space="preserve">75%, 21 GtCO2-eq for target option 1, up to 18 GtCO2-eq for option 2 and up to</w:t>
      </w:r>
      <w:r>
        <w:t xml:space="preserve"> </w:t>
      </w:r>
      <w:r>
        <w:t xml:space="preserve">16 GtCO2-eq for option 3.</w:t>
      </w:r>
    </w:p>
    <w:p>
      <w:pPr>
        <w:pStyle w:val="BodyText"/>
      </w:pPr>
      <w:r>
        <w:t xml:space="preserve">Table 4: EU GHG budget over 2030-2050 associated to each target option.</w:t>
      </w:r>
      <w:r>
        <w:t xml:space="preserve"> </w:t>
      </w:r>
      <w:r>
        <w:t xml:space="preserve">GHG reductions in</w:t>
      </w:r>
      <w:r>
        <w:t xml:space="preserve"> </w:t>
      </w:r>
      <w:r>
        <w:t xml:space="preserve">2040 compared to</w:t>
      </w:r>
      <w:r>
        <w:t xml:space="preserve"> </w:t>
      </w:r>
      <w:r>
        <w:t xml:space="preserve">1990</w:t>
      </w:r>
      <w:r>
        <w:t xml:space="preserve"> </w:t>
      </w:r>
      <w:r>
        <w:t xml:space="preserve">Below 75%</w:t>
      </w:r>
      <w:r>
        <w:t xml:space="preserve"> </w:t>
      </w:r>
      <w:r>
        <w:t xml:space="preserve">Target option 1</w:t>
      </w:r>
      <w:r>
        <w:t xml:space="preserve"> </w:t>
      </w:r>
      <w:r>
        <w:t xml:space="preserve">(linear 2040, 78%)</w:t>
      </w:r>
      <w:r>
        <w:t xml:space="preserve"> </w:t>
      </w:r>
      <w:r>
        <w:t xml:space="preserve">Target option 2</w:t>
      </w:r>
      <w:r>
        <w:br/>
      </w:r>
      <w:r>
        <w:t xml:space="preserve">(85-90%)</w:t>
      </w:r>
      <w:r>
        <w:t xml:space="preserve"> </w:t>
      </w:r>
      <w:r>
        <w:t xml:space="preserve">Target option 3</w:t>
      </w:r>
      <w:r>
        <w:br/>
      </w:r>
      <w:r>
        <w:t xml:space="preserve">(90-95%)</w:t>
      </w:r>
      <w:r>
        <w:t xml:space="preserve"> </w:t>
      </w:r>
      <w:r>
        <w:t xml:space="preserve">Corresponding GHG</w:t>
      </w:r>
      <w:r>
        <w:t xml:space="preserve"> </w:t>
      </w:r>
      <w:r>
        <w:t xml:space="preserve">budget over 2030-</w:t>
      </w:r>
      <w:r>
        <w:t xml:space="preserve"> </w:t>
      </w:r>
      <w:r>
        <w:t xml:space="preserve">2050 (GtCO2-eq)</w:t>
      </w:r>
      <w:r>
        <w:t xml:space="preserve"> </w:t>
      </w:r>
      <w:r>
        <w:t xml:space="preserve">More than 23</w:t>
      </w:r>
      <w:r>
        <w:t xml:space="preserve"> </w:t>
      </w:r>
      <w:r>
        <w:t xml:space="preserve">21</w:t>
      </w:r>
      <w:r>
        <w:t xml:space="preserve"> </w:t>
      </w:r>
      <w:r>
        <w:t xml:space="preserve">Up to 18</w:t>
      </w:r>
      <w:r>
        <w:t xml:space="preserve"> </w:t>
      </w:r>
      <w:r>
        <w:t xml:space="preserve">Up to 16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Cumulative 2030-2050 GHG emissions associated to the proposed EU 2040 climate</w:t>
      </w:r>
      <w:r>
        <w:t xml:space="preserve"> </w:t>
      </w:r>
      <w:r>
        <w:t xml:space="preserve">target</w:t>
      </w:r>
      <w:r>
        <w:t xml:space="preserve"> </w:t>
      </w:r>
      <w:r>
        <w:t xml:space="preserve">Consistently with the EU 2030 climate target of at least 55% reduction of net GHGs and its</w:t>
      </w:r>
      <w:r>
        <w:t xml:space="preserve"> </w:t>
      </w:r>
      <w:r>
        <w:t xml:space="preserve">associated policy framework, with climate neutrality in 2050 and with the proposed 2040</w:t>
      </w:r>
      <w:r>
        <w:t xml:space="preserve"> </w:t>
      </w:r>
      <w:r>
        <w:t xml:space="preserve">target of -90%, the resulting indicative “GHG budget” for the EU over the 2030-2050 period</w:t>
      </w:r>
      <w:r>
        <w:t xml:space="preserve"> </w:t>
      </w:r>
      <w:r>
        <w:t xml:space="preserve">is estimated at 16 GtCO2-eq.</w:t>
      </w:r>
      <w:r>
        <w:br/>
      </w:r>
      <w:r>
        <w:t xml:space="preserve">The scope of the indicative GHG budget is consistent with the European Climate Law: it</w:t>
      </w:r>
      <w:r>
        <w:t xml:space="preserve"> </w:t>
      </w:r>
      <w:r>
        <w:t xml:space="preserve">includes domestic EU emissions, international intra-EU aviation, international intra-EU</w:t>
      </w:r>
      <w:r>
        <w:t xml:space="preserve"> </w:t>
      </w:r>
      <w:r>
        <w:t xml:space="preserve">maritime, and 50% of international extra-EU maritime under the MRV. It is calculated</w:t>
      </w:r>
      <w:r>
        <w:t xml:space="preserve"> </w:t>
      </w:r>
      <w:r>
        <w:t xml:space="preserve">considering linear reductions in the 2030-2040 decade to achieve -90% and in the 2040-2050</w:t>
      </w:r>
      <w:r>
        <w:t xml:space="preserve"> </w:t>
      </w:r>
      <w:r>
        <w:t xml:space="preserve">decade to achieve net-zero in 2050.</w:t>
      </w:r>
      <w:r>
        <w:br/>
      </w:r>
      <w:r>
        <w:t xml:space="preserve">The indicative GHG budget consists of cumulative gross GHG emissions of around 21-24</w:t>
      </w:r>
      <w:r>
        <w:t xml:space="preserve"> </w:t>
      </w:r>
      <w:r>
        <w:t xml:space="preserve">GtCO2-eq, and of cumulative net removals of around 5-8 GtCO2-eq over the 2030-2050</w:t>
      </w:r>
      <w:r>
        <w:t xml:space="preserve"> </w:t>
      </w:r>
      <w:r>
        <w:t xml:space="preserve">period, depending on the contribution of LULUCF net removals and industrial carbon</w:t>
      </w:r>
      <w:r>
        <w:t xml:space="preserve"> </w:t>
      </w:r>
      <w:r>
        <w:t xml:space="preserve">removals. The carbon budget (including the contribution of the LULUCF net removals and of</w:t>
      </w:r>
      <w:r>
        <w:t xml:space="preserve"> </w:t>
      </w:r>
      <w:r>
        <w:t xml:space="preserve">industrial carbon removals) and the cumulative non-CO2 emissions represent each about half</w:t>
      </w:r>
      <w:r>
        <w:t xml:space="preserve"> </w:t>
      </w:r>
      <w:r>
        <w:t xml:space="preserve">of the indicative GHG budget.</w:t>
      </w:r>
      <w:r>
        <w:br/>
      </w:r>
      <w:r>
        <w:t xml:space="preserve">It falls within the range analysed by the ESABCC from feasible scenarios compatible with a</w:t>
      </w:r>
      <w:r>
        <w:t xml:space="preserve"> </w:t>
      </w:r>
      <w:r>
        <w:t xml:space="preserve">1.5°C global warming (25) and is in the middle of the range of AR6 scenarios analysed by</w:t>
      </w:r>
      <w:r>
        <w:t xml:space="preserve"> </w:t>
      </w:r>
      <w:r>
        <w:t xml:space="preserve">PBL between climate category C1 and C1a, both compatible with the same global warming</w:t>
      </w:r>
      <w:r>
        <w:t xml:space="preserve"> </w:t>
      </w:r>
      <w:r>
        <w:t xml:space="preserve">level.</w:t>
      </w:r>
      <w:r>
        <w:br/>
      </w:r>
      <w:r>
        <w:t xml:space="preserve">This indicative 2030-2050 GHG budget is fully compatible with the Paris Agreement long</w:t>
      </w:r>
      <w:r>
        <w:t xml:space="preserve"> </w:t>
      </w:r>
      <w:r>
        <w:t xml:space="preserve">term temperature goals of well below 2°C and pursuing effort to limit it to 1.5°C, and thus</w:t>
      </w:r>
      <w:r>
        <w:t xml:space="preserve"> </w:t>
      </w:r>
      <w:r>
        <w:t xml:space="preserve">does not put at risk the EU’s commitment to contribute to achieving the Paris Agreement.</w:t>
      </w:r>
    </w:p>
    <w:p>
      <w:pPr>
        <w:pStyle w:val="Compact"/>
        <w:numPr>
          <w:ilvl w:val="0"/>
          <w:numId w:val="1009"/>
        </w:numPr>
      </w:pPr>
      <w:r>
        <w:t xml:space="preserve">The difference in scope between the indicative budget (European Climate Law scope) and the ESABCC</w:t>
      </w:r>
      <w:r>
        <w:t xml:space="preserve"> </w:t>
      </w:r>
      <w:r>
        <w:t xml:space="preserve">budget (intra-EU emissions) is quantified to around 0.5 GtCO2-eq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TABLE OF TABLES</w:t>
      </w:r>
    </w:p>
    <w:p>
      <w:pPr>
        <w:pStyle w:val="BodyText"/>
      </w:pPr>
      <w:r>
        <w:t xml:space="preserve">Table 1: IPCC estimates of the global carbon budget. ……………………………………………………… 5</w:t>
      </w:r>
      <w:r>
        <w:t xml:space="preserve"> </w:t>
      </w:r>
      <w:r>
        <w:t xml:space="preserve">Table 2: Updated estimates of the remaining carbon budget …………………………………………….. 6</w:t>
      </w:r>
      <w:r>
        <w:t xml:space="preserve"> </w:t>
      </w:r>
      <w:r>
        <w:t xml:space="preserve">Table 3: GHG budget for 2030-2050 per climate category and per country or region. …………. 9</w:t>
      </w:r>
      <w:r>
        <w:t xml:space="preserve"> </w:t>
      </w:r>
      <w:r>
        <w:t xml:space="preserve">Table 4: EU GHG budget over 2030-2050 associated to each target option. …………………….. 10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11">
    <w:nsid w:val="0A994311"/>
    <w:multiLevelType w:val="multilevel"/>
    <w:lvl w:ilvl="0">
      <w:start w:val="11"/>
      <w:numFmt w:val="decimal"/>
      <w:lvlText w:val="(%1)"/>
      <w:lvlJc w:val="left"/>
      <w:pPr>
        <w:ind w:left="720" w:hanging="360"/>
      </w:pPr>
    </w:lvl>
    <w:lvl w:ilvl="1">
      <w:start w:val="11"/>
      <w:numFmt w:val="decimal"/>
      <w:lvlText w:val="(%2)"/>
      <w:lvlJc w:val="left"/>
      <w:pPr>
        <w:ind w:left="1440" w:hanging="360"/>
      </w:pPr>
    </w:lvl>
    <w:lvl w:ilvl="2">
      <w:start w:val="11"/>
      <w:numFmt w:val="decimal"/>
      <w:lvlText w:val="(%3)"/>
      <w:lvlJc w:val="left"/>
      <w:pPr>
        <w:ind w:left="2160" w:hanging="360"/>
      </w:pPr>
    </w:lvl>
    <w:lvl w:ilvl="3">
      <w:start w:val="11"/>
      <w:numFmt w:val="decimal"/>
      <w:lvlText w:val="(%4)"/>
      <w:lvlJc w:val="left"/>
      <w:pPr>
        <w:ind w:left="2880" w:hanging="360"/>
      </w:pPr>
    </w:lvl>
    <w:lvl w:ilvl="4">
      <w:start w:val="11"/>
      <w:numFmt w:val="decimal"/>
      <w:lvlText w:val="(%5)"/>
      <w:lvlJc w:val="left"/>
      <w:pPr>
        <w:ind w:left="3600" w:hanging="360"/>
      </w:pPr>
    </w:lvl>
    <w:lvl w:ilvl="5">
      <w:start w:val="11"/>
      <w:numFmt w:val="decimal"/>
      <w:lvlText w:val="(%6)"/>
      <w:lvlJc w:val="left"/>
      <w:pPr>
        <w:ind w:left="4320" w:hanging="360"/>
      </w:pPr>
    </w:lvl>
    <w:lvl w:ilvl="6">
      <w:start w:val="11"/>
      <w:numFmt w:val="decimal"/>
      <w:lvlText w:val="(%7)"/>
      <w:lvlJc w:val="left"/>
      <w:pPr>
        <w:ind w:left="5040" w:hanging="360"/>
      </w:pPr>
    </w:lvl>
    <w:lvl w:ilvl="7">
      <w:start w:val="11"/>
      <w:numFmt w:val="decimal"/>
      <w:lvlText w:val="(%8)"/>
      <w:lvlJc w:val="left"/>
      <w:pPr>
        <w:ind w:left="5760" w:hanging="360"/>
      </w:pPr>
    </w:lvl>
    <w:lvl w:ilvl="8">
      <w:start w:val="11"/>
      <w:numFmt w:val="decimal"/>
      <w:lvlText w:val="(%9)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314">
    <w:nsid w:val="0A994314"/>
    <w:multiLevelType w:val="multilevel"/>
    <w:lvl w:ilvl="0">
      <w:start w:val="14"/>
      <w:numFmt w:val="decimal"/>
      <w:lvlText w:val="(%1)"/>
      <w:lvlJc w:val="left"/>
      <w:pPr>
        <w:ind w:left="720" w:hanging="360"/>
      </w:pPr>
    </w:lvl>
    <w:lvl w:ilvl="1">
      <w:start w:val="14"/>
      <w:numFmt w:val="decimal"/>
      <w:lvlText w:val="(%2)"/>
      <w:lvlJc w:val="left"/>
      <w:pPr>
        <w:ind w:left="1440" w:hanging="360"/>
      </w:pPr>
    </w:lvl>
    <w:lvl w:ilvl="2">
      <w:start w:val="14"/>
      <w:numFmt w:val="decimal"/>
      <w:lvlText w:val="(%3)"/>
      <w:lvlJc w:val="left"/>
      <w:pPr>
        <w:ind w:left="2160" w:hanging="360"/>
      </w:pPr>
    </w:lvl>
    <w:lvl w:ilvl="3">
      <w:start w:val="14"/>
      <w:numFmt w:val="decimal"/>
      <w:lvlText w:val="(%4)"/>
      <w:lvlJc w:val="left"/>
      <w:pPr>
        <w:ind w:left="2880" w:hanging="360"/>
      </w:pPr>
    </w:lvl>
    <w:lvl w:ilvl="4">
      <w:start w:val="14"/>
      <w:numFmt w:val="decimal"/>
      <w:lvlText w:val="(%5)"/>
      <w:lvlJc w:val="left"/>
      <w:pPr>
        <w:ind w:left="3600" w:hanging="360"/>
      </w:pPr>
    </w:lvl>
    <w:lvl w:ilvl="5">
      <w:start w:val="14"/>
      <w:numFmt w:val="decimal"/>
      <w:lvlText w:val="(%6)"/>
      <w:lvlJc w:val="left"/>
      <w:pPr>
        <w:ind w:left="4320" w:hanging="360"/>
      </w:pPr>
    </w:lvl>
    <w:lvl w:ilvl="6">
      <w:start w:val="14"/>
      <w:numFmt w:val="decimal"/>
      <w:lvlText w:val="(%7)"/>
      <w:lvlJc w:val="left"/>
      <w:pPr>
        <w:ind w:left="5040" w:hanging="360"/>
      </w:pPr>
    </w:lvl>
    <w:lvl w:ilvl="7">
      <w:start w:val="14"/>
      <w:numFmt w:val="decimal"/>
      <w:lvlText w:val="(%8)"/>
      <w:lvlJc w:val="left"/>
      <w:pPr>
        <w:ind w:left="5760" w:hanging="360"/>
      </w:pPr>
    </w:lvl>
    <w:lvl w:ilvl="8">
      <w:start w:val="14"/>
      <w:numFmt w:val="decimal"/>
      <w:lvlText w:val="(%9)"/>
      <w:lvlJc w:val="left"/>
      <w:pPr>
        <w:ind w:left="6480" w:hanging="360"/>
      </w:pPr>
    </w:lvl>
  </w:abstractNum>
  <w:abstractNum w:abstractNumId="994319">
    <w:nsid w:val="0A994319"/>
    <w:multiLevelType w:val="multilevel"/>
    <w:lvl w:ilvl="0">
      <w:start w:val="19"/>
      <w:numFmt w:val="decimal"/>
      <w:lvlText w:val="(%1)"/>
      <w:lvlJc w:val="left"/>
      <w:pPr>
        <w:ind w:left="720" w:hanging="360"/>
      </w:pPr>
    </w:lvl>
    <w:lvl w:ilvl="1">
      <w:start w:val="19"/>
      <w:numFmt w:val="decimal"/>
      <w:lvlText w:val="(%2)"/>
      <w:lvlJc w:val="left"/>
      <w:pPr>
        <w:ind w:left="1440" w:hanging="360"/>
      </w:pPr>
    </w:lvl>
    <w:lvl w:ilvl="2">
      <w:start w:val="19"/>
      <w:numFmt w:val="decimal"/>
      <w:lvlText w:val="(%3)"/>
      <w:lvlJc w:val="left"/>
      <w:pPr>
        <w:ind w:left="2160" w:hanging="360"/>
      </w:pPr>
    </w:lvl>
    <w:lvl w:ilvl="3">
      <w:start w:val="19"/>
      <w:numFmt w:val="decimal"/>
      <w:lvlText w:val="(%4)"/>
      <w:lvlJc w:val="left"/>
      <w:pPr>
        <w:ind w:left="2880" w:hanging="360"/>
      </w:pPr>
    </w:lvl>
    <w:lvl w:ilvl="4">
      <w:start w:val="19"/>
      <w:numFmt w:val="decimal"/>
      <w:lvlText w:val="(%5)"/>
      <w:lvlJc w:val="left"/>
      <w:pPr>
        <w:ind w:left="3600" w:hanging="360"/>
      </w:pPr>
    </w:lvl>
    <w:lvl w:ilvl="5">
      <w:start w:val="19"/>
      <w:numFmt w:val="decimal"/>
      <w:lvlText w:val="(%6)"/>
      <w:lvlJc w:val="left"/>
      <w:pPr>
        <w:ind w:left="4320" w:hanging="360"/>
      </w:pPr>
    </w:lvl>
    <w:lvl w:ilvl="6">
      <w:start w:val="19"/>
      <w:numFmt w:val="decimal"/>
      <w:lvlText w:val="(%7)"/>
      <w:lvlJc w:val="left"/>
      <w:pPr>
        <w:ind w:left="5040" w:hanging="360"/>
      </w:pPr>
    </w:lvl>
    <w:lvl w:ilvl="7">
      <w:start w:val="19"/>
      <w:numFmt w:val="decimal"/>
      <w:lvlText w:val="(%8)"/>
      <w:lvlJc w:val="left"/>
      <w:pPr>
        <w:ind w:left="5760" w:hanging="360"/>
      </w:pPr>
    </w:lvl>
    <w:lvl w:ilvl="8">
      <w:start w:val="19"/>
      <w:numFmt w:val="decimal"/>
      <w:lvlText w:val="(%9)"/>
      <w:lvlJc w:val="left"/>
      <w:pPr>
        <w:ind w:left="6480" w:hanging="360"/>
      </w:pPr>
    </w:lvl>
  </w:abstractNum>
  <w:abstractNum w:abstractNumId="994322">
    <w:nsid w:val="0A994322"/>
    <w:multiLevelType w:val="multilevel"/>
    <w:lvl w:ilvl="0">
      <w:start w:val="22"/>
      <w:numFmt w:val="decimal"/>
      <w:lvlText w:val="(%1)"/>
      <w:lvlJc w:val="left"/>
      <w:pPr>
        <w:ind w:left="720" w:hanging="360"/>
      </w:pPr>
    </w:lvl>
    <w:lvl w:ilvl="1">
      <w:start w:val="22"/>
      <w:numFmt w:val="decimal"/>
      <w:lvlText w:val="(%2)"/>
      <w:lvlJc w:val="left"/>
      <w:pPr>
        <w:ind w:left="1440" w:hanging="360"/>
      </w:pPr>
    </w:lvl>
    <w:lvl w:ilvl="2">
      <w:start w:val="22"/>
      <w:numFmt w:val="decimal"/>
      <w:lvlText w:val="(%3)"/>
      <w:lvlJc w:val="left"/>
      <w:pPr>
        <w:ind w:left="2160" w:hanging="360"/>
      </w:pPr>
    </w:lvl>
    <w:lvl w:ilvl="3">
      <w:start w:val="22"/>
      <w:numFmt w:val="decimal"/>
      <w:lvlText w:val="(%4)"/>
      <w:lvlJc w:val="left"/>
      <w:pPr>
        <w:ind w:left="2880" w:hanging="360"/>
      </w:pPr>
    </w:lvl>
    <w:lvl w:ilvl="4">
      <w:start w:val="22"/>
      <w:numFmt w:val="decimal"/>
      <w:lvlText w:val="(%5)"/>
      <w:lvlJc w:val="left"/>
      <w:pPr>
        <w:ind w:left="3600" w:hanging="360"/>
      </w:pPr>
    </w:lvl>
    <w:lvl w:ilvl="5">
      <w:start w:val="22"/>
      <w:numFmt w:val="decimal"/>
      <w:lvlText w:val="(%6)"/>
      <w:lvlJc w:val="left"/>
      <w:pPr>
        <w:ind w:left="4320" w:hanging="360"/>
      </w:pPr>
    </w:lvl>
    <w:lvl w:ilvl="6">
      <w:start w:val="22"/>
      <w:numFmt w:val="decimal"/>
      <w:lvlText w:val="(%7)"/>
      <w:lvlJc w:val="left"/>
      <w:pPr>
        <w:ind w:left="5040" w:hanging="360"/>
      </w:pPr>
    </w:lvl>
    <w:lvl w:ilvl="7">
      <w:start w:val="22"/>
      <w:numFmt w:val="decimal"/>
      <w:lvlText w:val="(%8)"/>
      <w:lvlJc w:val="left"/>
      <w:pPr>
        <w:ind w:left="5760" w:hanging="360"/>
      </w:pPr>
    </w:lvl>
    <w:lvl w:ilvl="8">
      <w:start w:val="22"/>
      <w:numFmt w:val="decimal"/>
      <w:lvlText w:val="(%9)"/>
      <w:lvlJc w:val="left"/>
      <w:pPr>
        <w:ind w:left="6480" w:hanging="360"/>
      </w:pPr>
    </w:lvl>
  </w:abstractNum>
  <w:abstractNum w:abstractNumId="994325">
    <w:nsid w:val="0A994325"/>
    <w:multiLevelType w:val="multilevel"/>
    <w:lvl w:ilvl="0">
      <w:start w:val="25"/>
      <w:numFmt w:val="decimal"/>
      <w:lvlText w:val="(%1)"/>
      <w:lvlJc w:val="left"/>
      <w:pPr>
        <w:ind w:left="720" w:hanging="360"/>
      </w:pPr>
    </w:lvl>
    <w:lvl w:ilvl="1">
      <w:start w:val="25"/>
      <w:numFmt w:val="decimal"/>
      <w:lvlText w:val="(%2)"/>
      <w:lvlJc w:val="left"/>
      <w:pPr>
        <w:ind w:left="1440" w:hanging="360"/>
      </w:pPr>
    </w:lvl>
    <w:lvl w:ilvl="2">
      <w:start w:val="25"/>
      <w:numFmt w:val="decimal"/>
      <w:lvlText w:val="(%3)"/>
      <w:lvlJc w:val="left"/>
      <w:pPr>
        <w:ind w:left="2160" w:hanging="360"/>
      </w:pPr>
    </w:lvl>
    <w:lvl w:ilvl="3">
      <w:start w:val="25"/>
      <w:numFmt w:val="decimal"/>
      <w:lvlText w:val="(%4)"/>
      <w:lvlJc w:val="left"/>
      <w:pPr>
        <w:ind w:left="2880" w:hanging="360"/>
      </w:pPr>
    </w:lvl>
    <w:lvl w:ilvl="4">
      <w:start w:val="25"/>
      <w:numFmt w:val="decimal"/>
      <w:lvlText w:val="(%5)"/>
      <w:lvlJc w:val="left"/>
      <w:pPr>
        <w:ind w:left="3600" w:hanging="360"/>
      </w:pPr>
    </w:lvl>
    <w:lvl w:ilvl="5">
      <w:start w:val="25"/>
      <w:numFmt w:val="decimal"/>
      <w:lvlText w:val="(%6)"/>
      <w:lvlJc w:val="left"/>
      <w:pPr>
        <w:ind w:left="4320" w:hanging="360"/>
      </w:pPr>
    </w:lvl>
    <w:lvl w:ilvl="6">
      <w:start w:val="25"/>
      <w:numFmt w:val="decimal"/>
      <w:lvlText w:val="(%7)"/>
      <w:lvlJc w:val="left"/>
      <w:pPr>
        <w:ind w:left="5040" w:hanging="360"/>
      </w:pPr>
    </w:lvl>
    <w:lvl w:ilvl="7">
      <w:start w:val="25"/>
      <w:numFmt w:val="decimal"/>
      <w:lvlText w:val="(%8)"/>
      <w:lvlJc w:val="left"/>
      <w:pPr>
        <w:ind w:left="5760" w:hanging="360"/>
      </w:pPr>
    </w:lvl>
    <w:lvl w:ilvl="8">
      <w:start w:val="2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3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4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3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9">
    <w:abstractNumId w:val="9943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2026-07-31T16:48:29Z</dcterms:created>
  <dcterms:modified xsi:type="dcterms:W3CDTF">2026-07-31T16:48:29Z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