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16.12.2025</w:t>
      </w:r>
      <w:r>
        <w:br/>
      </w:r>
      <w:r>
        <w:t xml:space="preserve">SWD(2025) 1058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of the Council</w:t>
      </w:r>
      <w:r>
        <w:br/>
      </w:r>
      <w:r>
        <w:t xml:space="preserve">amending Regulation (EU) 2019/631 as regards CO2 emission performance standards</w:t>
      </w:r>
      <w:r>
        <w:br/>
      </w:r>
      <w:r>
        <w:t xml:space="preserve">for new light duty vehicles and vehicle labelling and repealing Directive 1999/94/EC</w:t>
      </w:r>
      <w:r>
        <w:t xml:space="preserve"> </w:t>
      </w:r>
      <w:r>
        <w:t xml:space="preserve">{COM(2025) 995 final} - {SEC(2025) 995 final} - {SWD(2025) 1057 final} -</w:t>
      </w:r>
      <w:r>
        <w:t xml:space="preserve"> </w:t>
      </w:r>
      <w:r>
        <w:t xml:space="preserve">{SWD(2025) 1059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…………………………………………………………………….. 3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 3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 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RSB………………………………………………………………………………. 3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………………………………………………………………….. 5</w:t>
      </w:r>
      <w:r>
        <w:t xml:space="preserve"> </w:t>
      </w:r>
      <w:r>
        <w:t xml:space="preserve">ANNEX 2: STAKEHOLDER CONSULTATION (SYNOPSIS REPORT) ……………………………… 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 6</w:t>
      </w:r>
      <w:r>
        <w:t xml:space="preserve"> </w:t>
      </w:r>
      <w:r>
        <w:t xml:space="preserve">2.</w:t>
      </w:r>
      <w:r>
        <w:t xml:space="preserve"> </w:t>
      </w:r>
      <w:r>
        <w:t xml:space="preserve">PUBLIC CONSULTATION ……………………………………………………………………………………… 6</w:t>
      </w:r>
      <w:r>
        <w:t xml:space="preserve"> </w:t>
      </w:r>
      <w:r>
        <w:t xml:space="preserve">3.</w:t>
      </w:r>
      <w:r>
        <w:t xml:space="preserve"> </w:t>
      </w:r>
      <w:r>
        <w:t xml:space="preserve">ADDITIONAL COMMENTS PROVIDED BY RESPONDENTS ……………………………….. 14</w:t>
      </w:r>
      <w:r>
        <w:t xml:space="preserve"> </w:t>
      </w:r>
      <w:r>
        <w:t xml:space="preserve">4.</w:t>
      </w:r>
      <w:r>
        <w:t xml:space="preserve"> </w:t>
      </w:r>
      <w:r>
        <w:t xml:space="preserve">REPLIES TO THE CALL FOR EVIDENCE …………………………………………………………….. 18</w:t>
      </w:r>
      <w:r>
        <w:t xml:space="preserve"> </w:t>
      </w:r>
      <w:r>
        <w:t xml:space="preserve">ANNEX 3: WHO IS AFFECTED AND HOW? …………………………………………………………………. 28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INITIATIVE………………………………………………. 28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………………………………………………………………. 30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…………………………………………. 34</w:t>
      </w:r>
      <w:r>
        <w:t xml:space="preserve"> </w:t>
      </w:r>
      <w:r>
        <w:t xml:space="preserve">ANNEX 4: ANALYTICAL METHODS …………………………………………………………………………… 35</w:t>
      </w:r>
      <w:r>
        <w:t xml:space="preserve"> </w:t>
      </w:r>
      <w:r>
        <w:t xml:space="preserve">1.</w:t>
      </w:r>
      <w:r>
        <w:t xml:space="preserve"> </w:t>
      </w:r>
      <w:r>
        <w:t xml:space="preserve">MODELLING TOOLS USED FOR THE BASELINE ……………………………………………….. 35</w:t>
      </w:r>
      <w:r>
        <w:t xml:space="preserve"> </w:t>
      </w:r>
      <w:r>
        <w:t xml:space="preserve">A.</w:t>
      </w:r>
      <w:r>
        <w:t xml:space="preserve"> </w:t>
      </w:r>
      <w:r>
        <w:t xml:space="preserve">ENERGY: THE PRIMES MODEL ………………………………………………………………………….. 37</w:t>
      </w:r>
      <w:r>
        <w:t xml:space="preserve"> </w:t>
      </w:r>
      <w:r>
        <w:t xml:space="preserve">B.</w:t>
      </w:r>
      <w:r>
        <w:t xml:space="preserve"> </w:t>
      </w:r>
      <w:r>
        <w:t xml:space="preserve">TRANSPORT: THE PRIMES-TREMOVE MODEL ………………………………………………….. 39</w:t>
      </w:r>
      <w:r>
        <w:t xml:space="preserve"> </w:t>
      </w:r>
      <w:r>
        <w:t xml:space="preserve">C.</w:t>
      </w:r>
      <w:r>
        <w:t xml:space="preserve"> </w:t>
      </w:r>
      <w:r>
        <w:t xml:space="preserve">DIONE MODEL (JRC) …………………………………………………………………………………………… 40</w:t>
      </w:r>
      <w:r>
        <w:t xml:space="preserve"> </w:t>
      </w:r>
      <w:r>
        <w:t xml:space="preserve">D.</w:t>
      </w:r>
      <w:r>
        <w:t xml:space="preserve"> </w:t>
      </w:r>
      <w:r>
        <w:t xml:space="preserve">GEM-E3 MACROECONOMIC MODEL …………………………………………………………………. 45</w:t>
      </w:r>
      <w:r>
        <w:t xml:space="preserve"> </w:t>
      </w:r>
      <w:r>
        <w:t xml:space="preserve">E.</w:t>
      </w:r>
      <w:r>
        <w:t xml:space="preserve"> </w:t>
      </w:r>
      <w:r>
        <w:t xml:space="preserve">METHODOLOGY FOR THE SOCIAL IMPACTS OF POLICY PACKAGES …………….. 47</w:t>
      </w:r>
      <w:r>
        <w:t xml:space="preserve"> </w:t>
      </w:r>
      <w:r>
        <w:t xml:space="preserve">2.</w:t>
      </w:r>
      <w:r>
        <w:t xml:space="preserve"> </w:t>
      </w:r>
      <w:r>
        <w:t xml:space="preserve">ASSUMPTIONS ON TECHNOLOGY, ECONOMICS AND ENERGY PRICES ………….. 53</w:t>
      </w:r>
      <w:r>
        <w:t xml:space="preserve"> </w:t>
      </w:r>
      <w:r>
        <w:t xml:space="preserve">A.</w:t>
      </w:r>
      <w:r>
        <w:t xml:space="preserve"> </w:t>
      </w:r>
      <w:r>
        <w:t xml:space="preserve">ECONOMIC ASSUMPTIONS ………………………………………………………………………………… 53</w:t>
      </w:r>
      <w:r>
        <w:t xml:space="preserve"> </w:t>
      </w:r>
      <w:r>
        <w:t xml:space="preserve">B.</w:t>
      </w:r>
      <w:r>
        <w:t xml:space="preserve"> </w:t>
      </w:r>
      <w:r>
        <w:t xml:space="preserve">TECHNOLOGY ASSUMPTIONS …………………………………………………………………………… 55</w:t>
      </w:r>
      <w:r>
        <w:t xml:space="preserve"> </w:t>
      </w:r>
      <w:r>
        <w:t xml:space="preserve">3.</w:t>
      </w:r>
      <w:r>
        <w:t xml:space="preserve"> </w:t>
      </w:r>
      <w:r>
        <w:t xml:space="preserve">SUMMARY OF ASSESSMENT METHODOLOGY FOR VEHICLE LABELLING …….. 56</w:t>
      </w:r>
      <w:r>
        <w:t xml:space="preserve"> </w:t>
      </w:r>
      <w:r>
        <w:t xml:space="preserve">4.</w:t>
      </w:r>
      <w:r>
        <w:t xml:space="preserve"> </w:t>
      </w:r>
      <w:r>
        <w:t xml:space="preserve">NOTE: VALUES IN EUR MILLION. FIRST YEAR OF IMPLEMENTATION ASSUMED TO</w:t>
      </w:r>
      <w:r>
        <w:t xml:space="preserve"> </w:t>
      </w:r>
      <w:r>
        <w:t xml:space="preserve">BE 2029. NET PRESENT VALUE (NPV) BASED ON AN ANNUAL DISCOUNT RATE OF</w:t>
      </w:r>
      <w:r>
        <w:t xml:space="preserve"> </w:t>
      </w:r>
      <w:r>
        <w:t xml:space="preserve">3%. ADDITIONAL CONSIDERATIONS ………………………………………………………………… 62</w:t>
      </w:r>
      <w:r>
        <w:t xml:space="preserve"> </w:t>
      </w:r>
      <w:r>
        <w:t xml:space="preserve">ANNEX 5: COMPETITIVENESS CHECK ………………………………………………………………………. 64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…………………………………………….. 64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…………………………………………………………………………………. 65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…………………………. 66</w:t>
      </w:r>
      <w:r>
        <w:t xml:space="preserve"> </w:t>
      </w:r>
      <w:r>
        <w:t xml:space="preserve">ANNEX 6: SME CHECK ……………………………………………………………………………………………….. 68</w:t>
      </w:r>
      <w:r>
        <w:t xml:space="preserve"> </w:t>
      </w:r>
      <w:r>
        <w:t xml:space="preserve">ANNEX 7: MAIN ELEMENTS OF REGULATION (EU) 2019/631 AND DIRECTIVE</w:t>
      </w:r>
      <w:r>
        <w:t xml:space="preserve"> </w:t>
      </w:r>
      <w:r>
        <w:t xml:space="preserve">1999/94/EC …………………………………………………………………………………………………………… 72</w:t>
      </w:r>
      <w:r>
        <w:t xml:space="preserve"> </w:t>
      </w:r>
      <w:r>
        <w:t xml:space="preserve">1.</w:t>
      </w:r>
      <w:r>
        <w:t xml:space="preserve"> </w:t>
      </w:r>
      <w:r>
        <w:t xml:space="preserve">REGULATION (EU) 2019/631 ……………………………………………………………………………….. 72</w:t>
      </w:r>
      <w:r>
        <w:t xml:space="preserve"> </w:t>
      </w:r>
      <w:r>
        <w:t xml:space="preserve">2.</w:t>
      </w:r>
      <w:r>
        <w:t xml:space="preserve"> </w:t>
      </w:r>
      <w:r>
        <w:t xml:space="preserve">DIRECTIVE 1999/94/EC ……………………………………………………………………………………….. 75</w:t>
      </w:r>
      <w:r>
        <w:t xml:space="preserve"> </w:t>
      </w:r>
      <w:r>
        <w:t xml:space="preserve">3.</w:t>
      </w:r>
      <w:r>
        <w:t xml:space="preserve"> </w:t>
      </w:r>
      <w:r>
        <w:t xml:space="preserve">THE INTERFACE BETWEEN THE LDVS CO2 EMISSIONS STANDARDS</w:t>
      </w:r>
      <w:r>
        <w:t xml:space="preserve"> </w:t>
      </w:r>
      <w:r>
        <w:t xml:space="preserve">REGULATION AND THE CAR LABELLING DIRECTIVE …………………………………….. 75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8:</w:t>
      </w:r>
      <w:r>
        <w:t xml:space="preserve"> </w:t>
      </w:r>
      <w:r>
        <w:t xml:space="preserve">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t xml:space="preserve">ASSESSMENT–</w:t>
      </w:r>
      <w:r>
        <w:t xml:space="preserve"> </w:t>
      </w:r>
      <w:r>
        <w:t xml:space="preserve">COMPLEMENTARY</w:t>
      </w:r>
      <w:r>
        <w:t xml:space="preserve"> </w:t>
      </w:r>
      <w:r>
        <w:t xml:space="preserve">INFORMATION ……………………………………………………………………………………………………. 77</w:t>
      </w:r>
      <w:r>
        <w:t xml:space="preserve"> </w:t>
      </w:r>
      <w:r>
        <w:t xml:space="preserve">1.</w:t>
      </w:r>
      <w:r>
        <w:t xml:space="preserve"> </w:t>
      </w:r>
      <w:r>
        <w:t xml:space="preserve">FUELS – DESCRIPTION OF OPTIONS ………………………………………………………………….. 77</w:t>
      </w:r>
      <w:r>
        <w:t xml:space="preserve"> </w:t>
      </w:r>
      <w:r>
        <w:t xml:space="preserve">2.</w:t>
      </w:r>
      <w:r>
        <w:t xml:space="preserve"> </w:t>
      </w:r>
      <w:r>
        <w:t xml:space="preserve">OVC-HEV OPTIONS …………………………………………………………………………………………….. 77</w:t>
      </w:r>
      <w:r>
        <w:t xml:space="preserve"> </w:t>
      </w:r>
      <w:r>
        <w:t xml:space="preserve">3.</w:t>
      </w:r>
      <w:r>
        <w:t xml:space="preserve"> </w:t>
      </w:r>
      <w:r>
        <w:t xml:space="preserve">DETAILED ASSESSMENT OF TOTAL COSTS OF OWNERSHIP FOR NEW LIGHT-</w:t>
      </w:r>
      <w:r>
        <w:t xml:space="preserve"> </w:t>
      </w:r>
      <w:r>
        <w:t xml:space="preserve">DUTY VEHICLES ………………………………………………………………………………………………… 81</w:t>
      </w:r>
      <w:r>
        <w:t xml:space="preserve"> </w:t>
      </w:r>
      <w:r>
        <w:t xml:space="preserve">3.1. IMPACT OF ELECTRICITY PRICE ON TCO …………………………………………………………. 84</w:t>
      </w:r>
      <w:r>
        <w:t xml:space="preserve"> </w:t>
      </w:r>
      <w:r>
        <w:t xml:space="preserve">3.2. 2030 POWERTRAIN COST COMPARISONS (BATTERY COST SENSITIVITY) ……… 86</w:t>
      </w:r>
      <w:r>
        <w:t xml:space="preserve"> </w:t>
      </w:r>
      <w:r>
        <w:t xml:space="preserve">4.</w:t>
      </w:r>
      <w:r>
        <w:t xml:space="preserve"> </w:t>
      </w:r>
      <w:r>
        <w:t xml:space="preserve">ADDITIONAL SCENARIO RESULTS ……………………………………………………………………. 88</w:t>
      </w:r>
      <w:r>
        <w:t xml:space="preserve"> </w:t>
      </w:r>
      <w:r>
        <w:t xml:space="preserve">4.1. FLEET COMPOSITION ………………………………………………………………………………………… 88</w:t>
      </w:r>
      <w:r>
        <w:t xml:space="preserve"> </w:t>
      </w:r>
      <w:r>
        <w:t xml:space="preserve">4.2. ECONOMIC IMPACTS …………………………………………………………………………………………. 89</w:t>
      </w:r>
      <w:r>
        <w:t xml:space="preserve"> </w:t>
      </w:r>
      <w:r>
        <w:t xml:space="preserve">A.</w:t>
      </w:r>
      <w:r>
        <w:t xml:space="preserve"> </w:t>
      </w:r>
      <w:r>
        <w:t xml:space="preserve">ADJUSTMENTS COSTS ……………………………………………………………………………………….. 89</w:t>
      </w:r>
      <w:r>
        <w:t xml:space="preserve"> </w:t>
      </w:r>
      <w:r>
        <w:t xml:space="preserve">B.</w:t>
      </w:r>
      <w:r>
        <w:t xml:space="preserve"> </w:t>
      </w:r>
      <w:r>
        <w:t xml:space="preserve">NET ECONOMIC COSTS FOR NEW VEHICLES FROM DIFFERENT PERSPECTIVES</w:t>
      </w:r>
      <w:r>
        <w:t xml:space="preserve"> </w:t>
      </w:r>
      <w:r>
        <w:t xml:space="preserve">(SOCIETAL, FIRST USE, SECOND USE) ………………………………………………………………. 93</w:t>
      </w:r>
      <w:r>
        <w:t xml:space="preserve"> </w:t>
      </w:r>
      <w:r>
        <w:t xml:space="preserve">C.</w:t>
      </w:r>
      <w:r>
        <w:t xml:space="preserve"> </w:t>
      </w:r>
      <w:r>
        <w:t xml:space="preserve">COSTS FOR AUTOMOTIVE MANUFACTURERS …………………………………………………. 96</w:t>
      </w:r>
      <w:r>
        <w:t xml:space="preserve"> </w:t>
      </w:r>
      <w:r>
        <w:t xml:space="preserve">4.3. ENERGY SYSTEM AND ENVIRONMENTAL IMPACTS ……………………………………….. 98</w:t>
      </w:r>
      <w:r>
        <w:t xml:space="preserve"> </w:t>
      </w:r>
      <w:r>
        <w:t xml:space="preserve">4.4. MACRO-ECONOMIC IMPACTS OF THE COMBINATIONS OF OPTIONS …………… 102</w:t>
      </w:r>
      <w:r>
        <w:t xml:space="preserve"> </w:t>
      </w:r>
      <w:r>
        <w:t xml:space="preserve">4.5. MODELLING OF BIOFUELS IN PRIMES ……………………………………………………………. 107</w:t>
      </w:r>
      <w:r>
        <w:t xml:space="preserve"> </w:t>
      </w:r>
      <w:r>
        <w:t xml:space="preserve">4.6. MODELLING OF RFNBO IN PRIMES …………………………………………………………………. 111</w:t>
      </w:r>
      <w:r>
        <w:t xml:space="preserve"> </w:t>
      </w:r>
      <w:r>
        <w:t xml:space="preserve">4.7. IMPACT OF MULTIANNUAL COMPLIANCE …………………………………………………….. 115</w:t>
      </w:r>
      <w:r>
        <w:t xml:space="preserve"> </w:t>
      </w:r>
      <w:r>
        <w:t xml:space="preserve">5.</w:t>
      </w:r>
      <w:r>
        <w:t xml:space="preserve"> </w:t>
      </w:r>
      <w:r>
        <w:t xml:space="preserve">SOCIAL IMPACTS ……………………………………………………………………………………………… 118</w:t>
      </w:r>
      <w:r>
        <w:t xml:space="preserve"> </w:t>
      </w:r>
      <w:r>
        <w:t xml:space="preserve">6.</w:t>
      </w:r>
      <w:r>
        <w:t xml:space="preserve"> </w:t>
      </w:r>
      <w:r>
        <w:t xml:space="preserve">LITERATURE REGARDING AVAILABILITY AND COSTS OF SUSTAINABLE</w:t>
      </w:r>
      <w:r>
        <w:t xml:space="preserve"> </w:t>
      </w:r>
      <w:r>
        <w:t xml:space="preserve">BIOLOGICAL FEEDSTOCKS ……………………………………………………………………………… 122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br/>
      </w:r>
      <w:r>
        <w:t xml:space="preserve">The Directorate-General for Climate Action is the lead service for the preparation of the</w:t>
      </w:r>
      <w:r>
        <w:t xml:space="preserve"> </w:t>
      </w:r>
      <w:r>
        <w:t xml:space="preserve">initiative (PLAN/2025/15821 and PLAN/2025/15832) and the work on the impact</w:t>
      </w:r>
      <w:r>
        <w:t xml:space="preserve"> </w:t>
      </w:r>
      <w:r>
        <w:t xml:space="preserve">assessment.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(ISG) was set up in 2025 with the participation of the</w:t>
      </w:r>
      <w:r>
        <w:t xml:space="preserve"> </w:t>
      </w:r>
      <w:r>
        <w:t xml:space="preserve">following Commission Services and Directorates-General: SG, LS, BUDG, ECFIN,</w:t>
      </w:r>
      <w:r>
        <w:t xml:space="preserve"> </w:t>
      </w:r>
      <w:r>
        <w:t xml:space="preserve">EMPL, ENV, ESTAT, GROW, JRC, JUST, MOVE, REGIO, RTD, TAXUD, TRADE,</w:t>
      </w:r>
      <w:r>
        <w:t xml:space="preserve"> </w:t>
      </w:r>
      <w:r>
        <w:t xml:space="preserve">COMP.</w:t>
      </w:r>
      <w:r>
        <w:t xml:space="preserve"> </w:t>
      </w:r>
      <w:r>
        <w:t xml:space="preserve">The ISG met a first time on 12 June 2025 and again on 10 November 2025, when the draft</w:t>
      </w:r>
      <w:r>
        <w:t xml:space="preserve"> </w:t>
      </w:r>
      <w:r>
        <w:t xml:space="preserve">impact assessment was presented.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received the draft version of the present impact assessment</w:t>
      </w:r>
      <w:r>
        <w:t xml:space="preserve"> </w:t>
      </w:r>
      <w:r>
        <w:t xml:space="preserve">report on 3 December 2025. Following its examination, the Board issued a ‘Positive with</w:t>
      </w:r>
      <w:r>
        <w:t xml:space="preserve"> </w:t>
      </w:r>
      <w:r>
        <w:t xml:space="preserve">reservations’ opinion on 10 December 2025.</w:t>
      </w:r>
      <w:r>
        <w:br/>
      </w:r>
      <w:r>
        <w:t xml:space="preserve">The Board’s raised the following key issues and these were addressed in the revised impact</w:t>
      </w:r>
      <w:r>
        <w:t xml:space="preserve"> </w:t>
      </w:r>
      <w:r>
        <w:t xml:space="preserve">assessment report as indicated below.</w:t>
      </w:r>
      <w:r>
        <w:t xml:space="preserve"> </w:t>
      </w:r>
      <w:r>
        <w:t xml:space="preserve">RSB key issues</w:t>
      </w:r>
      <w:r>
        <w:t xml:space="preserve"> </w:t>
      </w:r>
      <w:r>
        <w:t xml:space="preserve">Response</w:t>
      </w:r>
      <w:r>
        <w:t xml:space="preserve"> </w:t>
      </w:r>
      <w:r>
        <w:t xml:space="preserve">(1) The problem, its magnitude and</w:t>
      </w:r>
      <w:r>
        <w:t xml:space="preserve"> </w:t>
      </w:r>
      <w:r>
        <w:t xml:space="preserve">underlying causes are not clearly</w:t>
      </w:r>
      <w:r>
        <w:t xml:space="preserve"> </w:t>
      </w:r>
      <w:r>
        <w:t xml:space="preserve">defined. The underlying causes for the</w:t>
      </w:r>
      <w:r>
        <w:t xml:space="preserve"> </w:t>
      </w:r>
      <w:r>
        <w:t xml:space="preserve">slow uptake of ZEVs and the risk and</w:t>
      </w:r>
      <w:r>
        <w:t xml:space="preserve"> </w:t>
      </w:r>
      <w:r>
        <w:t xml:space="preserve">consequences of not meeting the CO2</w:t>
      </w:r>
      <w:r>
        <w:t xml:space="preserve"> </w:t>
      </w:r>
      <w:r>
        <w:t xml:space="preserve">targets are not sufficiently analysed.</w:t>
      </w:r>
      <w:r>
        <w:br/>
      </w:r>
      <w:r>
        <w:t xml:space="preserve">The intervention logic has been improved by</w:t>
      </w:r>
      <w:r>
        <w:t xml:space="preserve"> </w:t>
      </w:r>
      <w:r>
        <w:t xml:space="preserve">reformulating several problems and adding</w:t>
      </w:r>
      <w:r>
        <w:br/>
      </w:r>
      <w:r>
        <w:t xml:space="preserve">more details in their description and that of</w:t>
      </w:r>
      <w:r>
        <w:t xml:space="preserve"> </w:t>
      </w:r>
      <w:r>
        <w:t xml:space="preserve">the drivers behind them, including on the root</w:t>
      </w:r>
      <w:r>
        <w:t xml:space="preserve"> </w:t>
      </w:r>
      <w:r>
        <w:t xml:space="preserve">causes of the perceived risks.</w:t>
      </w:r>
      <w:r>
        <w:t xml:space="preserve"> </w:t>
      </w:r>
      <w:r>
        <w:t xml:space="preserve">See sections 2.1 and 2.2</w:t>
      </w:r>
      <w:r>
        <w:t xml:space="preserve"> </w:t>
      </w:r>
      <w:r>
        <w:t xml:space="preserve">(2) The report is not sufficiently clear</w:t>
      </w:r>
      <w:r>
        <w:t xml:space="preserve"> </w:t>
      </w:r>
      <w:r>
        <w:t xml:space="preserve">and evidence-based on the range of</w:t>
      </w:r>
      <w:r>
        <w:t xml:space="preserve"> </w:t>
      </w:r>
      <w:r>
        <w:t xml:space="preserve">considered options and the choice of</w:t>
      </w:r>
      <w:r>
        <w:t xml:space="preserve"> </w:t>
      </w:r>
      <w:r>
        <w:t xml:space="preserve">options.</w:t>
      </w:r>
      <w:r>
        <w:br/>
      </w:r>
      <w:r>
        <w:t xml:space="preserve">The choice of options and their combinations</w:t>
      </w:r>
      <w:r>
        <w:t xml:space="preserve"> </w:t>
      </w:r>
      <w:r>
        <w:t xml:space="preserve">has been better explained, also by adding</w:t>
      </w:r>
      <w:r>
        <w:t xml:space="preserve"> </w:t>
      </w:r>
      <w:r>
        <w:t xml:space="preserve">clearer references to the views expressed by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See notably section 5.2.5</w:t>
      </w:r>
      <w:r>
        <w:br/>
      </w:r>
      <w:r>
        <w:t xml:space="preserve">(3) The combined effects of the</w:t>
      </w:r>
      <w:r>
        <w:t xml:space="preserve"> </w:t>
      </w:r>
      <w:r>
        <w:t xml:space="preserve">measures are not sufficiently assessed.</w:t>
      </w:r>
      <w:r>
        <w:t xml:space="preserve"> </w:t>
      </w:r>
      <w:r>
        <w:t xml:space="preserve">Additional analysis has been provided as</w:t>
      </w:r>
      <w:r>
        <w:t xml:space="preserve"> </w:t>
      </w:r>
      <w:r>
        <w:t xml:space="preserve">regards the impacts of the combinations of</w:t>
      </w:r>
    </w:p>
    <w:p>
      <w:pPr>
        <w:pStyle w:val="BodyText"/>
      </w:pPr>
      <w:r>
        <w:t xml:space="preserve">1 Revision of the CO2 emission standards for cars and vans (Regulation (EU) 2019/631)</w:t>
      </w:r>
      <w:r>
        <w:t xml:space="preserve"> </w:t>
      </w:r>
      <w:r>
        <w:t xml:space="preserve">2 Revision of the Car Labelling Directive 1999/94/EC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It is not clear how and to what extent</w:t>
      </w:r>
      <w:r>
        <w:t xml:space="preserve"> </w:t>
      </w:r>
      <w:r>
        <w:t xml:space="preserve">the initiative will address challenges</w:t>
      </w:r>
      <w:r>
        <w:t xml:space="preserve"> </w:t>
      </w:r>
      <w:r>
        <w:t xml:space="preserve">related to the competitiveness of</w:t>
      </w:r>
      <w:r>
        <w:t xml:space="preserve"> </w:t>
      </w:r>
      <w:r>
        <w:t xml:space="preserve">industries in its scope and their ability</w:t>
      </w:r>
      <w:r>
        <w:t xml:space="preserve"> </w:t>
      </w:r>
      <w:r>
        <w:t xml:space="preserve">to invest in transition.</w:t>
      </w:r>
      <w:r>
        <w:t xml:space="preserve"> </w:t>
      </w:r>
      <w:r>
        <w:t xml:space="preserve">options considered, and the impact on</w:t>
      </w:r>
      <w:r>
        <w:t xml:space="preserve"> </w:t>
      </w:r>
      <w:r>
        <w:t xml:space="preserve">competitiveness.</w:t>
      </w:r>
      <w:r>
        <w:br/>
      </w:r>
      <w:r>
        <w:t xml:space="preserve">See section 6.3 and Annex 5</w:t>
      </w:r>
      <w:r>
        <w:t xml:space="preserve"> </w:t>
      </w:r>
      <w:r>
        <w:t xml:space="preserve">(4) The assessment of costs and</w:t>
      </w:r>
      <w:r>
        <w:t xml:space="preserve"> </w:t>
      </w:r>
      <w:r>
        <w:t xml:space="preserve">benefits is incomplete. The analysis on</w:t>
      </w:r>
      <w:r>
        <w:t xml:space="preserve"> </w:t>
      </w:r>
      <w:r>
        <w:t xml:space="preserve">proportionality is not sufficient.</w:t>
      </w:r>
      <w:r>
        <w:t xml:space="preserve"> </w:t>
      </w:r>
      <w:r>
        <w:t xml:space="preserve">The costs and benefits analysis has been</w:t>
      </w:r>
      <w:r>
        <w:t xml:space="preserve"> </w:t>
      </w:r>
      <w:r>
        <w:t xml:space="preserve">expanded and the results used for the</w:t>
      </w:r>
      <w:r>
        <w:t xml:space="preserve"> </w:t>
      </w:r>
      <w:r>
        <w:t xml:space="preserve">comparison of the options. The findings as</w:t>
      </w:r>
      <w:r>
        <w:t xml:space="preserve"> </w:t>
      </w:r>
      <w:r>
        <w:t xml:space="preserve">regards proportionality have been better</w:t>
      </w:r>
      <w:r>
        <w:t xml:space="preserve"> </w:t>
      </w:r>
      <w:r>
        <w:t xml:space="preserve">explained.</w:t>
      </w:r>
      <w:r>
        <w:t xml:space="preserve"> </w:t>
      </w:r>
      <w:r>
        <w:t xml:space="preserve">See sections 6 and 7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For the quantitative assessment of the economic, social and environmental impacts, the</w:t>
      </w:r>
      <w:r>
        <w:t xml:space="preserve"> </w:t>
      </w:r>
      <w:r>
        <w:t xml:space="preserve">Impact Assessment report builds on a range of scenarios developed with the PRIMES and</w:t>
      </w:r>
      <w:r>
        <w:t xml:space="preserve"> </w:t>
      </w:r>
      <w:r>
        <w:t xml:space="preserve">PRIMES-TREMOVE models. This analysis was complemented by applying other</w:t>
      </w:r>
      <w:r>
        <w:t xml:space="preserve"> </w:t>
      </w:r>
      <w:r>
        <w:t xml:space="preserve">modelling tools, such as GEM-E3 (for the macro-economic impacts) and the JRC DIONE</w:t>
      </w:r>
      <w:r>
        <w:t xml:space="preserve"> </w:t>
      </w:r>
      <w:r>
        <w:t xml:space="preserve">model developed for assessing impacts at end user and societal level.</w:t>
      </w:r>
      <w:r>
        <w:t xml:space="preserve"> </w:t>
      </w:r>
      <w:r>
        <w:t xml:space="preserve">Monitoring data on CO2 emissions and other characteristics of the new light-duty vehicle</w:t>
      </w:r>
      <w:r>
        <w:t xml:space="preserve"> </w:t>
      </w:r>
      <w:r>
        <w:t xml:space="preserve">fleet was sourced from the annual monitoring data as reported by Member States and</w:t>
      </w:r>
      <w:r>
        <w:t xml:space="preserve"> </w:t>
      </w:r>
      <w:r>
        <w:t xml:space="preserve">collected by the European Environment Agency (EEA) under Regulation (EU) 2019/631.</w:t>
      </w:r>
      <w:r>
        <w:t xml:space="preserve"> </w:t>
      </w:r>
      <w:r>
        <w:t xml:space="preserve">Further information was gathered through service contracts commissioned from external</w:t>
      </w:r>
      <w:r>
        <w:t xml:space="preserve"> </w:t>
      </w:r>
      <w:r>
        <w:t xml:space="preserve">contractors.</w:t>
      </w:r>
      <w:r>
        <w:br/>
      </w:r>
      <w:r>
        <w:t xml:space="preserve">Additional details are provided in Annex 4.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br/>
      </w:r>
      <w:r>
        <w:t xml:space="preserve">The following relevant stakeholder groups have been identified:</w:t>
      </w:r>
      <w:r>
        <w:br/>
      </w:r>
      <w:r>
        <w:t xml:space="preserve">• Member States (national, regional authorities)</w:t>
      </w:r>
      <w:r>
        <w:t xml:space="preserve"> </w:t>
      </w:r>
      <w:r>
        <w:t xml:space="preserve">• Vehicle manufacturers</w:t>
      </w:r>
      <w:r>
        <w:t xml:space="preserve"> </w:t>
      </w:r>
      <w:r>
        <w:t xml:space="preserve">• Component and materials suppliers</w:t>
      </w:r>
      <w:r>
        <w:t xml:space="preserve"> </w:t>
      </w:r>
      <w:r>
        <w:t xml:space="preserve">• Fuel and energy suppliers</w:t>
      </w:r>
      <w:r>
        <w:t xml:space="preserve"> </w:t>
      </w:r>
      <w:r>
        <w:t xml:space="preserve">• Vehicle purchasers (private, businesses, fleet management companies)</w:t>
      </w:r>
      <w:r>
        <w:t xml:space="preserve"> </w:t>
      </w:r>
      <w:r>
        <w:t xml:space="preserve">• Environmental, transport and consumer NGOs</w:t>
      </w:r>
      <w:r>
        <w:t xml:space="preserve"> </w:t>
      </w:r>
      <w:r>
        <w:t xml:space="preserve">• Social partners</w:t>
      </w:r>
      <w:r>
        <w:t xml:space="preserve"> </w:t>
      </w:r>
      <w:r>
        <w:t xml:space="preserve">The Commission sought feedback from stakeholders through the following elements:</w:t>
      </w:r>
      <w:r>
        <w:t xml:space="preserve"> </w:t>
      </w:r>
      <w:r>
        <w:t xml:space="preserve">• a call for evidence and a public on-line consultation (from 7 July until 10 October</w:t>
      </w:r>
      <w:r>
        <w:t xml:space="preserve"> </w:t>
      </w:r>
      <w:r>
        <w:t xml:space="preserve">2025);</w:t>
      </w:r>
      <w:r>
        <w:t xml:space="preserve"> </w:t>
      </w:r>
      <w:r>
        <w:t xml:space="preserve">• meetings with relevant industry associations representing vehicle manufacturers,</w:t>
      </w:r>
      <w:r>
        <w:t xml:space="preserve"> </w:t>
      </w:r>
      <w:r>
        <w:t xml:space="preserve">components and materials suppliers, energy suppliers;</w:t>
      </w:r>
      <w:r>
        <w:t xml:space="preserve"> </w:t>
      </w:r>
      <w:r>
        <w:t xml:space="preserve">• bilateral meetings with Member State authorities, vehicle manufacturers, suppliers,</w:t>
      </w:r>
      <w:r>
        <w:t xml:space="preserve"> </w:t>
      </w:r>
      <w:r>
        <w:t xml:space="preserve">social partners and NGOs;</w:t>
      </w:r>
      <w:r>
        <w:t xml:space="preserve"> </w:t>
      </w:r>
      <w:r>
        <w:t xml:space="preserve">• position papers submitted by stakeholders or authorities in the Member States.</w:t>
      </w:r>
      <w:r>
        <w:t xml:space="preserve"> </w:t>
      </w:r>
      <w:r>
        <w:t xml:space="preserve">A detailed summary and the results of the public consultation, an overviuew of the</w:t>
      </w:r>
      <w:r>
        <w:t xml:space="preserve"> </w:t>
      </w:r>
      <w:r>
        <w:t xml:space="preserve">additional comments provided by respondents and the feedback to the call for evidence are</w:t>
      </w:r>
      <w:r>
        <w:t xml:space="preserve"> </w:t>
      </w:r>
      <w:r>
        <w:t xml:space="preserve">presented below.</w:t>
      </w:r>
      <w:r>
        <w:br/>
      </w:r>
      <w:r>
        <w:t xml:space="preserve">2.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An on-line public consultation was carried out between 7 July and 10 October 2025 on the</w:t>
      </w:r>
      <w:r>
        <w:t xml:space="preserve"> </w:t>
      </w:r>
      <w:r>
        <w:t xml:space="preserve">EU Survey website3. The consultation covered both the review of the LDV CO2 standards</w:t>
      </w:r>
      <w:r>
        <w:t xml:space="preserve"> </w:t>
      </w:r>
      <w:r>
        <w:t xml:space="preserve">Regulation and the review of the Car Labelling Directive.</w:t>
      </w:r>
      <w:r>
        <w:br/>
      </w:r>
      <w:r>
        <w:t xml:space="preserve">The analysis of the replies follows the structure of the original questionnaire.</w:t>
      </w:r>
      <w:r>
        <w:br/>
      </w:r>
      <w:r>
        <w:t xml:space="preserve">The replies are differentiated across stakeholder groups and summarised as factually as</w:t>
      </w:r>
      <w:r>
        <w:t xml:space="preserve"> </w:t>
      </w:r>
      <w:r>
        <w:t xml:space="preserve">possible. The summary considers diverging views between or within stakeholder groups.</w:t>
      </w:r>
      <w:r>
        <w:t xml:space="preserve"> </w:t>
      </w:r>
      <w:r>
        <w:t xml:space="preserve">The consultation received 1115 replies, of which 77% (841) were from EU citizens, and</w:t>
      </w:r>
      <w:r>
        <w:t xml:space="preserve"> </w:t>
      </w:r>
      <w:r>
        <w:t xml:space="preserve">one (0.1%) response came from a non-EU citizen. Industry respondents contributed the</w:t>
      </w:r>
      <w:r>
        <w:t xml:space="preserve"> </w:t>
      </w:r>
      <w:r>
        <w:t xml:space="preserve">next highest number, as 120 (11% of the total) responses were from a company / business,</w:t>
      </w:r>
      <w:r>
        <w:t xml:space="preserve"> </w:t>
      </w:r>
      <w:r>
        <w:t xml:space="preserve">of which 57 (5%) were from SMEs, and a further 76 (7%) replies came from business</w:t>
      </w:r>
      <w:r>
        <w:t xml:space="preserve"> </w:t>
      </w:r>
      <w:r>
        <w:t xml:space="preserve">associations. In the following text, ‘large industry’ refers to responses from large</w:t>
      </w:r>
      <w:r>
        <w:t xml:space="preserve"> </w:t>
      </w:r>
      <w:r>
        <w:t xml:space="preserve">companies (i.e. those that are not SMEs) and business associations grouped together. Over</w:t>
      </w:r>
      <w:r>
        <w:t xml:space="preserve"> </w:t>
      </w:r>
      <w:r>
        <w:t xml:space="preserve">half of the business associations, and nearly a third of the companies, that responded were</w:t>
      </w:r>
      <w:r>
        <w:t xml:space="preserve"> </w:t>
      </w:r>
      <w:r>
        <w:t xml:space="preserve">from the supply sector. Half of the 10 responses from public authorities (1%) came from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https://ec.europa.eu/info/law/better-regulation/have-your-say/initiatives/14765-Revision-of-the-CO2-</w:t>
      </w:r>
      <w:r>
        <w:t xml:space="preserve"> </w:t>
      </w:r>
      <w:r>
        <w:t xml:space="preserve">emission-standards-for-cars-and-vans_en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national bodies covering five Member States, with the remaining responses being from</w:t>
      </w:r>
      <w:r>
        <w:t xml:space="preserve"> </w:t>
      </w:r>
      <w:r>
        <w:t xml:space="preserve">individual cities (three), a region (one) and a city network4. The remaining 4% of responses</w:t>
      </w:r>
      <w:r>
        <w:t xml:space="preserve"> </w:t>
      </w:r>
      <w:r>
        <w:t xml:space="preserve">were split between NGOs (14, 1%), academic/research institutions (12, 1%), consumer</w:t>
      </w:r>
      <w:r>
        <w:t xml:space="preserve"> </w:t>
      </w:r>
      <w:r>
        <w:t xml:space="preserve">organisations (9, 1%) and ‘other’ (10, 1%), with the remaining four (0.4%) coming from</w:t>
      </w:r>
      <w:r>
        <w:t xml:space="preserve"> </w:t>
      </w:r>
      <w:r>
        <w:t xml:space="preserve">trade unions. The breakdown by category is presented in Table 1.</w:t>
      </w:r>
      <w:r>
        <w:br/>
      </w:r>
      <w:r>
        <w:t xml:space="preserve">Table 1: Distribution of respondents by category</w:t>
      </w:r>
      <w:r>
        <w:br/>
      </w:r>
      <w:r>
        <w:t xml:space="preserve">Category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Percentage of total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EU citizen</w:t>
      </w:r>
      <w:r>
        <w:t xml:space="preserve"> </w:t>
      </w:r>
      <w:r>
        <w:t xml:space="preserve">859</w:t>
      </w:r>
      <w:r>
        <w:t xml:space="preserve"> </w:t>
      </w:r>
      <w:r>
        <w:t xml:space="preserve">77%</w:t>
      </w:r>
      <w:r>
        <w:t xml:space="preserve"> </w:t>
      </w:r>
      <w:r>
        <w:t xml:space="preserve">Of which from Italy</w:t>
      </w:r>
      <w:r>
        <w:t xml:space="preserve"> </w:t>
      </w:r>
      <w:r>
        <w:t xml:space="preserve">805</w:t>
      </w:r>
      <w:r>
        <w:t xml:space="preserve"> </w:t>
      </w:r>
      <w:r>
        <w:t xml:space="preserve">72%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1</w:t>
      </w:r>
      <w:r>
        <w:t xml:space="preserve"> </w:t>
      </w:r>
      <w:r>
        <w:t xml:space="preserve">0.1%</w:t>
      </w:r>
      <w:r>
        <w:t xml:space="preserve"> </w:t>
      </w:r>
      <w:r>
        <w:t xml:space="preserve">Company/business</w:t>
      </w:r>
      <w:r>
        <w:br/>
      </w:r>
      <w:r>
        <w:t xml:space="preserve">120</w:t>
      </w:r>
      <w:r>
        <w:t xml:space="preserve"> </w:t>
      </w:r>
      <w:r>
        <w:t xml:space="preserve">11%</w:t>
      </w:r>
      <w:r>
        <w:t xml:space="preserve"> </w:t>
      </w:r>
      <w:r>
        <w:t xml:space="preserve">Of which SMEs</w:t>
      </w:r>
      <w:r>
        <w:t xml:space="preserve"> </w:t>
      </w:r>
      <w:r>
        <w:t xml:space="preserve">57</w:t>
      </w:r>
      <w:r>
        <w:t xml:space="preserve"> </w:t>
      </w:r>
      <w:r>
        <w:t xml:space="preserve">5%</w:t>
      </w:r>
      <w:r>
        <w:t xml:space="preserve"> </w:t>
      </w:r>
      <w:r>
        <w:t xml:space="preserve">Of which electricity supply sector</w:t>
      </w:r>
      <w:r>
        <w:t xml:space="preserve"> </w:t>
      </w:r>
      <w:r>
        <w:t xml:space="preserve">5</w:t>
      </w:r>
      <w:r>
        <w:t xml:space="preserve"> </w:t>
      </w:r>
      <w:r>
        <w:t xml:space="preserve">0.4%</w:t>
      </w:r>
      <w:r>
        <w:t xml:space="preserve"> </w:t>
      </w:r>
      <w:r>
        <w:t xml:space="preserve">Of which fuel suppliers</w:t>
      </w:r>
      <w:r>
        <w:t xml:space="preserve"> </w:t>
      </w:r>
      <w:r>
        <w:t xml:space="preserve">30</w:t>
      </w:r>
      <w:r>
        <w:t xml:space="preserve"> </w:t>
      </w:r>
      <w:r>
        <w:t xml:space="preserve">3%</w:t>
      </w:r>
      <w:r>
        <w:t xml:space="preserve"> </w:t>
      </w:r>
      <w:r>
        <w:t xml:space="preserve">Of which manufacturers</w:t>
      </w:r>
      <w:r>
        <w:t xml:space="preserve"> </w:t>
      </w:r>
      <w:r>
        <w:t xml:space="preserve">18</w:t>
      </w:r>
      <w:r>
        <w:t xml:space="preserve"> </w:t>
      </w:r>
      <w:r>
        <w:t xml:space="preserve">2%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76</w:t>
      </w:r>
      <w:r>
        <w:t xml:space="preserve"> </w:t>
      </w:r>
      <w:r>
        <w:t xml:space="preserve">7%</w:t>
      </w:r>
      <w:r>
        <w:t xml:space="preserve"> </w:t>
      </w:r>
      <w:r>
        <w:t xml:space="preserve">Of which electricity supply sector</w:t>
      </w:r>
      <w:r>
        <w:t xml:space="preserve"> </w:t>
      </w:r>
      <w:r>
        <w:t xml:space="preserve">115</w:t>
      </w:r>
      <w:r>
        <w:t xml:space="preserve"> </w:t>
      </w:r>
      <w:r>
        <w:t xml:space="preserve">1%</w:t>
      </w:r>
      <w:r>
        <w:t xml:space="preserve"> </w:t>
      </w:r>
      <w:r>
        <w:t xml:space="preserve">Of which fuel suppliers</w:t>
      </w:r>
      <w:r>
        <w:t xml:space="preserve"> </w:t>
      </w:r>
      <w:r>
        <w:t xml:space="preserve">236</w:t>
      </w:r>
      <w:r>
        <w:t xml:space="preserve"> </w:t>
      </w:r>
      <w:r>
        <w:t xml:space="preserve">2%</w:t>
      </w:r>
      <w:r>
        <w:t xml:space="preserve"> </w:t>
      </w:r>
      <w:r>
        <w:t xml:space="preserve">Of which manufacturers</w:t>
      </w:r>
      <w:r>
        <w:t xml:space="preserve"> </w:t>
      </w:r>
      <w:r>
        <w:t xml:space="preserve">47</w:t>
      </w:r>
      <w:r>
        <w:t xml:space="preserve"> </w:t>
      </w:r>
      <w:r>
        <w:t xml:space="preserve">0.4%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10</w:t>
      </w:r>
      <w:r>
        <w:t xml:space="preserve"> </w:t>
      </w:r>
      <w:r>
        <w:t xml:space="preserve">1%</w:t>
      </w:r>
      <w:r>
        <w:t xml:space="preserve"> </w:t>
      </w:r>
      <w:r>
        <w:t xml:space="preserve">NGO (Non-governmental</w:t>
      </w:r>
      <w:r>
        <w:t xml:space="preserve"> </w:t>
      </w:r>
      <w:r>
        <w:t xml:space="preserve">organisation)</w:t>
      </w:r>
      <w:r>
        <w:t xml:space="preserve"> </w:t>
      </w:r>
      <w:r>
        <w:t xml:space="preserve">14</w:t>
      </w:r>
      <w:r>
        <w:t xml:space="preserve"> </w:t>
      </w:r>
      <w:r>
        <w:t xml:space="preserve">1%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12</w:t>
      </w:r>
      <w:r>
        <w:t xml:space="preserve"> </w:t>
      </w:r>
      <w:r>
        <w:t xml:space="preserve">1%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9</w:t>
      </w:r>
      <w:r>
        <w:t xml:space="preserve"> </w:t>
      </w:r>
      <w:r>
        <w:t xml:space="preserve">1%</w:t>
      </w:r>
      <w:r>
        <w:t xml:space="preserve"> </w:t>
      </w:r>
      <w:r>
        <w:t xml:space="preserve">Trade union</w:t>
      </w:r>
      <w:r>
        <w:t xml:space="preserve"> </w:t>
      </w:r>
      <w:r>
        <w:t xml:space="preserve">4</w:t>
      </w:r>
      <w:r>
        <w:t xml:space="preserve"> </w:t>
      </w:r>
      <w:r>
        <w:t xml:space="preserve">0.4%</w:t>
      </w:r>
      <w:r>
        <w:t xml:space="preserve"> </w:t>
      </w:r>
      <w:r>
        <w:t xml:space="preserve">Other</w:t>
      </w:r>
      <w:r>
        <w:t xml:space="preserve"> </w:t>
      </w:r>
      <w:r>
        <w:t xml:space="preserve">10</w:t>
      </w:r>
      <w:r>
        <w:t xml:space="preserve"> </w:t>
      </w:r>
      <w:r>
        <w:t xml:space="preserve">1%</w:t>
      </w:r>
      <w:r>
        <w:t xml:space="preserve"> </w:t>
      </w:r>
      <w:r>
        <w:t xml:space="preserve">Total</w:t>
      </w:r>
      <w:r>
        <w:t xml:space="preserve"> </w:t>
      </w:r>
      <w:r>
        <w:t xml:space="preserve">1,115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The majority of responses came from respondents based in Italy (80%, 894), followed by</w:t>
      </w:r>
      <w:r>
        <w:t xml:space="preserve"> </w:t>
      </w:r>
      <w:r>
        <w:t xml:space="preserve">Germany (6%, 72), Belgium (4%, 46), France (2%, 23), Spain (1%, 12), the Netherlands</w:t>
      </w:r>
      <w:r>
        <w:t xml:space="preserve"> </w:t>
      </w:r>
      <w:r>
        <w:t xml:space="preserve">(1%, 7). No responses were received from seven Member States: Croatia, Cyprus,</w:t>
      </w:r>
      <w:r>
        <w:t xml:space="preserve"> </w:t>
      </w:r>
      <w:r>
        <w:t xml:space="preserve">Denmark8, Estonia, Lithuania, Malta and Romania. In addition, responses were received</w:t>
      </w:r>
      <w:r>
        <w:t xml:space="preserve"> </w:t>
      </w:r>
      <w:r>
        <w:t xml:space="preserve">from stakeholders in other countries, including the United Kingdom (1%, 11).</w:t>
      </w:r>
    </w:p>
    <w:p>
      <w:pPr>
        <w:pStyle w:val="BodyText"/>
      </w:pPr>
      <w:r>
        <w:t xml:space="preserve">4 Belgium, Ireland, Italy, Latvia and Spain.</w:t>
      </w:r>
      <w:r>
        <w:t xml:space="preserve"> </w:t>
      </w:r>
      <w:r>
        <w:t xml:space="preserve">5 Representing EU level and national associations from Belgium, France, Germany and the Netherlands.</w:t>
      </w:r>
      <w:r>
        <w:t xml:space="preserve"> </w:t>
      </w:r>
      <w:r>
        <w:t xml:space="preserve">6 Representing EU level and national associations from Finland, France, Germany, Italy, Portugal, Spain and</w:t>
      </w:r>
      <w:r>
        <w:t xml:space="preserve"> </w:t>
      </w:r>
      <w:r>
        <w:t xml:space="preserve">Sweden.</w:t>
      </w:r>
      <w:r>
        <w:t xml:space="preserve"> </w:t>
      </w:r>
      <w:r>
        <w:t xml:space="preserve">7 Representing EU level and national associations from Italy and Germany.</w:t>
      </w:r>
      <w:r>
        <w:br/>
      </w:r>
      <w:r>
        <w:t xml:space="preserve">8 A separate response was submitted by the Danish Government.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high number of responses from citizens from Italy (805) compared to 54 replies from</w:t>
      </w:r>
      <w:r>
        <w:t xml:space="preserve"> </w:t>
      </w:r>
      <w:r>
        <w:t xml:space="preserve">citizens from other EU countries suggested that there was at least one campaign in Italy to</w:t>
      </w:r>
      <w:r>
        <w:t xml:space="preserve"> </w:t>
      </w:r>
      <w:r>
        <w:t xml:space="preserve">encourage people to respond to the consultation. Consequently, responses from Italian</w:t>
      </w:r>
      <w:r>
        <w:t xml:space="preserve"> </w:t>
      </w:r>
      <w:r>
        <w:t xml:space="preserve">citizens have been treated and reported upon separately.</w:t>
      </w:r>
      <w:r>
        <w:br/>
      </w:r>
      <w:r>
        <w:t xml:space="preserve">Respondents were asked to rank a list of needs that the Regulation should address. For</w:t>
      </w:r>
      <w:r>
        <w:t xml:space="preserve"> </w:t>
      </w:r>
      <w:r>
        <w:t xml:space="preserve">the ranking questions, a response was considered to have the first, second or third ‘highest</w:t>
      </w:r>
      <w:r>
        <w:t xml:space="preserve"> </w:t>
      </w:r>
      <w:r>
        <w:t xml:space="preserve">score’ if it received the first, second or third highest number of first and second rankings</w:t>
      </w:r>
      <w:r>
        <w:t xml:space="preserve"> </w:t>
      </w:r>
      <w:r>
        <w:t xml:space="preserve">combined. The “need to reduce CO2 emissions from road transport in line with the climate</w:t>
      </w:r>
      <w:r>
        <w:t xml:space="preserve"> </w:t>
      </w:r>
      <w:r>
        <w:t xml:space="preserve">neutrality objective” scored the highest, as it was ranked either first or second by nearly</w:t>
      </w:r>
      <w:r>
        <w:t xml:space="preserve"> </w:t>
      </w:r>
      <w:r>
        <w:t xml:space="preserve">half of Italian citizens (45%, 360 out of 805) and a majority of the remaining respondents</w:t>
      </w:r>
      <w:r>
        <w:t xml:space="preserve"> </w:t>
      </w:r>
      <w:r>
        <w:t xml:space="preserve">(59%, 184 out of 310). The second highest scoring need amongst Italian citizens was</w:t>
      </w:r>
      <w:r>
        <w:t xml:space="preserve"> </w:t>
      </w:r>
      <w:r>
        <w:t xml:space="preserve">“increased investments in innovative zero-emission technologies”, as this was ranked</w:t>
      </w:r>
      <w:r>
        <w:t xml:space="preserve"> </w:t>
      </w:r>
      <w:r>
        <w:t xml:space="preserve">either first or second by a third of Italian citizens (34%, 271 out of 805). The need to</w:t>
      </w:r>
      <w:r>
        <w:t xml:space="preserve"> </w:t>
      </w:r>
      <w:r>
        <w:t xml:space="preserve">“strengthen the competitiveness and industrial leadership of the EU automotive industry”</w:t>
      </w:r>
      <w:r>
        <w:t xml:space="preserve"> </w:t>
      </w:r>
      <w:r>
        <w:t xml:space="preserve">was the second highest scoring amongst the remaining respondents (38%, 117 out of 310).</w:t>
      </w:r>
      <w:r>
        <w:t xml:space="preserve"> </w:t>
      </w:r>
      <w:r>
        <w:t xml:space="preserve">For those respondents elaborating on other measures that might be needed, the most</w:t>
      </w:r>
      <w:r>
        <w:t xml:space="preserve"> </w:t>
      </w:r>
      <w:r>
        <w:t xml:space="preserve">common response from around 35 industry respondents, particularly from fuel suppliers,</w:t>
      </w:r>
      <w:r>
        <w:t xml:space="preserve"> </w:t>
      </w:r>
      <w:r>
        <w:t xml:space="preserve">was to take a life cycle/technology neutral approach that allowed for the consideration of</w:t>
      </w:r>
      <w:r>
        <w:t xml:space="preserve"> </w:t>
      </w:r>
      <w:r>
        <w:t xml:space="preserve">carbon neutral, or renewable, fuels.</w:t>
      </w:r>
      <w:r>
        <w:t xml:space="preserve"> </w:t>
      </w:r>
      <w:r>
        <w:t xml:space="preserve">The survey asked respondents to rank market barriers that existed for the further uptake</w:t>
      </w:r>
      <w:r>
        <w:t xml:space="preserve"> </w:t>
      </w:r>
      <w:r>
        <w:t xml:space="preserve">of zero emission vehicles. Limited affordability, as a result of the high purchase price,</w:t>
      </w:r>
      <w:r>
        <w:t xml:space="preserve"> </w:t>
      </w:r>
      <w:r>
        <w:t xml:space="preserve">received the highest score, both amongst Italian citizens (39%, 312 out of 805) and the</w:t>
      </w:r>
      <w:r>
        <w:t xml:space="preserve"> </w:t>
      </w:r>
      <w:r>
        <w:t xml:space="preserve">remaining respondents (47%, 146 out of 310). Other high scoring barriers were “limited</w:t>
      </w:r>
      <w:r>
        <w:t xml:space="preserve"> </w:t>
      </w:r>
      <w:r>
        <w:t xml:space="preserve">availability of recharging and refuelling infrastructure”, both from Italian citizens (33%,</w:t>
      </w:r>
      <w:r>
        <w:t xml:space="preserve"> </w:t>
      </w:r>
      <w:r>
        <w:t xml:space="preserve">266 out of 805) and the other respondents (25%, 77 out of 310), “fossil fuel subsidies”,</w:t>
      </w:r>
      <w:r>
        <w:t xml:space="preserve"> </w:t>
      </w:r>
      <w:r>
        <w:t xml:space="preserve">especially from Italian citizens (38%, 303 out of 805), and “high price of electricity” and</w:t>
      </w:r>
      <w:r>
        <w:t xml:space="preserve"> </w:t>
      </w:r>
      <w:r>
        <w:t xml:space="preserve">“lack of adequate information or misinformation”, especially from the other respondents</w:t>
      </w:r>
      <w:r>
        <w:t xml:space="preserve"> </w:t>
      </w:r>
      <w:r>
        <w:t xml:space="preserve">(23% (70 out of 310) and 22% (69 out of 310)).</w:t>
      </w:r>
      <w:r>
        <w:br/>
      </w:r>
      <w:r>
        <w:t xml:space="preserve">Respondents were given the opportunity to suggest other markets barriers than those listed</w:t>
      </w:r>
      <w:r>
        <w:t xml:space="preserve"> </w:t>
      </w:r>
      <w:r>
        <w:t xml:space="preserve">in the survey. Of the 68 additional suggestions from non-Italian citizens, around one third</w:t>
      </w:r>
      <w:r>
        <w:t xml:space="preserve"> </w:t>
      </w:r>
      <w:r>
        <w:t xml:space="preserve">(24) mainly industry (and particularly fuel suppliers) respondents mentioned the lack of</w:t>
      </w:r>
      <w:r>
        <w:t xml:space="preserve"> </w:t>
      </w:r>
      <w:r>
        <w:t xml:space="preserve">ability to use other means of reducing CO2 emissions from road transport, such as carbon</w:t>
      </w:r>
      <w:r>
        <w:t xml:space="preserve"> </w:t>
      </w:r>
      <w:r>
        <w:t xml:space="preserve">neutral fuels. In addition, various industry respondents mentioned uncertainty around</w:t>
      </w:r>
      <w:r>
        <w:t xml:space="preserve"> </w:t>
      </w:r>
      <w:r>
        <w:t xml:space="preserve">different aspects of battery electric vehicles (BEVs), including their total cost of ownership</w:t>
      </w:r>
      <w:r>
        <w:t xml:space="preserve"> </w:t>
      </w:r>
      <w:r>
        <w:t xml:space="preserve">(nine), their residual value (four) and inability to meet the needs of all of customers (seven).</w:t>
      </w:r>
      <w:r>
        <w:t xml:space="preserve"> </w:t>
      </w:r>
      <w:r>
        <w:t xml:space="preserve">When asked to rank additional measures needed to make zero emission car and vans</w:t>
      </w:r>
      <w:r>
        <w:t xml:space="preserve"> </w:t>
      </w:r>
      <w:r>
        <w:t xml:space="preserve">more attractive to customers and businesses, the highest scoring measure amongst Italian</w:t>
      </w:r>
      <w:r>
        <w:t xml:space="preserve"> </w:t>
      </w:r>
      <w:r>
        <w:t xml:space="preserve">citizens was “EU coordinated incentive schemes for ZEV purchase” (37%, 298 out of 805)</w:t>
      </w:r>
      <w:r>
        <w:t xml:space="preserve"> </w:t>
      </w:r>
      <w:r>
        <w:t xml:space="preserve">followed by “measures to lower the cost of vehicle batteries” and “social leasing schemes</w:t>
      </w:r>
      <w:r>
        <w:t xml:space="preserve"> </w:t>
      </w:r>
      <w:r>
        <w:t xml:space="preserve">targeting lower-income users” (both 33%, 266 out of 805). Amongst the remaining</w:t>
      </w:r>
      <w:r>
        <w:t xml:space="preserve"> </w:t>
      </w:r>
      <w:r>
        <w:t xml:space="preserve">respondents, the highest score was for “EU coordinated incentive schemes for ZEV</w:t>
      </w:r>
      <w:r>
        <w:t xml:space="preserve"> </w:t>
      </w:r>
      <w:r>
        <w:t xml:space="preserve">purchase” (34%, 106 out of 310), followed by a favourable fiscal regime (29%, 91 out of</w:t>
      </w:r>
      <w:r>
        <w:t xml:space="preserve"> </w:t>
      </w:r>
      <w:r>
        <w:t xml:space="preserve">310).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Amongst the non-Italian citizens providing additional information (63) or explaining their</w:t>
      </w:r>
      <w:r>
        <w:t xml:space="preserve"> </w:t>
      </w:r>
      <w:r>
        <w:t xml:space="preserve">response (137), 27 industry respondents, particularly fuel suppliers called for measures to</w:t>
      </w:r>
      <w:r>
        <w:t xml:space="preserve"> </w:t>
      </w:r>
      <w:r>
        <w:t xml:space="preserve">support the introduction of renewable or carbon-neutral fuels, with other industry</w:t>
      </w:r>
      <w:r>
        <w:t xml:space="preserve"> </w:t>
      </w:r>
      <w:r>
        <w:t xml:space="preserve">respondents calling for support for particular fuels, such as biomethane or hydrogen, in</w:t>
      </w:r>
      <w:r>
        <w:t xml:space="preserve"> </w:t>
      </w:r>
      <w:r>
        <w:t xml:space="preserve">view of their potential to reduce CO2 emissions from ICE vehicles. Some additional</w:t>
      </w:r>
      <w:r>
        <w:t xml:space="preserve"> </w:t>
      </w:r>
      <w:r>
        <w:t xml:space="preserve">measures on BEVs were suggested, including measures to strengthen consumer confidence</w:t>
      </w:r>
      <w:r>
        <w:t xml:space="preserve"> </w:t>
      </w:r>
      <w:r>
        <w:t xml:space="preserve">in second-hand BEVs (22, including industry, consumer organisations and NGOs), to</w:t>
      </w:r>
      <w:r>
        <w:t xml:space="preserve"> </w:t>
      </w:r>
      <w:r>
        <w:t xml:space="preserve">make BEVs more affordable (seven, particularly NGOs and companies involved in</w:t>
      </w:r>
      <w:r>
        <w:t xml:space="preserve"> </w:t>
      </w:r>
      <w:r>
        <w:t xml:space="preserve">electricity supply) and to have a local content requirement (a manufacturer and a couple of</w:t>
      </w:r>
      <w:r>
        <w:t xml:space="preserve"> </w:t>
      </w:r>
      <w:r>
        <w:t xml:space="preserve">trade unions). A number of consumer organisations and NGOs called for social leasing and</w:t>
      </w:r>
      <w:r>
        <w:t xml:space="preserve"> </w:t>
      </w:r>
      <w:r>
        <w:t xml:space="preserve">incentives targeting smaller BEVs in order to enable more people to buy BEVs. Among</w:t>
      </w:r>
      <w:r>
        <w:t xml:space="preserve"> </w:t>
      </w:r>
      <w:r>
        <w:t xml:space="preserve">Italian citizens, many raised potential issues with electric cars, variously arguing that a</w:t>
      </w:r>
      <w:r>
        <w:t xml:space="preserve"> </w:t>
      </w:r>
      <w:r>
        <w:t xml:space="preserve">focus on electric cars ignored the emissions from electricity production, that other fuels</w:t>
      </w:r>
      <w:r>
        <w:t xml:space="preserve"> </w:t>
      </w:r>
      <w:r>
        <w:t xml:space="preserve">would be more appropriate or that measures should not interfere with the market. On the</w:t>
      </w:r>
      <w:r>
        <w:t xml:space="preserve"> </w:t>
      </w:r>
      <w:r>
        <w:t xml:space="preserve">other hand, some proposed measures in support of electric cars, including measures to</w:t>
      </w:r>
      <w:r>
        <w:t xml:space="preserve"> </w:t>
      </w:r>
      <w:r>
        <w:t xml:space="preserve">bring down the costs of both car purchasing and electric vehicle charging, as well as the</w:t>
      </w:r>
      <w:r>
        <w:t xml:space="preserve"> </w:t>
      </w:r>
      <w:r>
        <w:t xml:space="preserve">importance of the latter being more widely available, faster and more convenient, were</w:t>
      </w:r>
      <w:r>
        <w:t xml:space="preserve"> </w:t>
      </w:r>
      <w:r>
        <w:t xml:space="preserve">raised.</w:t>
      </w:r>
      <w:r>
        <w:br/>
      </w:r>
      <w:r>
        <w:t xml:space="preserve">Respondents were asked for their views on the “additional measures [that] should be set</w:t>
      </w:r>
      <w:r>
        <w:t xml:space="preserve"> </w:t>
      </w:r>
      <w:r>
        <w:t xml:space="preserve">up to ensure a socially acceptable and just transition towards zero-emission mobility”.</w:t>
      </w:r>
      <w:r>
        <w:t xml:space="preserve"> </w:t>
      </w:r>
      <w:r>
        <w:t xml:space="preserve">Responses typically re-iterated comments made in responses to previous questions.</w:t>
      </w:r>
      <w:r>
        <w:t xml:space="preserve"> </w:t>
      </w:r>
      <w:r>
        <w:t xml:space="preserve">In response to a question on the additional measures needed to promote a resilient and</w:t>
      </w:r>
      <w:r>
        <w:t xml:space="preserve"> </w:t>
      </w:r>
      <w:r>
        <w:t xml:space="preserve">sustainable automotive value chain in Europe, respondents identified “further promoting</w:t>
      </w:r>
      <w:r>
        <w:t xml:space="preserve"> </w:t>
      </w:r>
      <w:r>
        <w:t xml:space="preserve">the use of sustainable renewable fuels in internal combustion engine vehicles” (Italian</w:t>
      </w:r>
      <w:r>
        <w:t xml:space="preserve"> </w:t>
      </w:r>
      <w:r>
        <w:t xml:space="preserve">citizens: 41%, 328 out of 805 and other respondents: 43%, 133 out of 310) and “stable long</w:t>
      </w:r>
      <w:r>
        <w:t xml:space="preserve"> </w:t>
      </w:r>
      <w:r>
        <w:t xml:space="preserve">term industrial strategy for the value chain” (Italian citizens: 35%, 284 out of 805 and other</w:t>
      </w:r>
      <w:r>
        <w:t xml:space="preserve"> </w:t>
      </w:r>
      <w:r>
        <w:t xml:space="preserve">respondents: 37%, 114 out of 310) as the most important ones. For Italian citizens, the</w:t>
      </w:r>
      <w:r>
        <w:t xml:space="preserve"> </w:t>
      </w:r>
      <w:r>
        <w:t xml:space="preserve">third highest scoring measure was “stronger research and innovation investments in the</w:t>
      </w:r>
      <w:r>
        <w:t xml:space="preserve"> </w:t>
      </w:r>
      <w:r>
        <w:t xml:space="preserve">European automotive sector” (34%, 273 out of 805), while for other respondents this was</w:t>
      </w:r>
      <w:r>
        <w:t xml:space="preserve"> </w:t>
      </w:r>
      <w:r>
        <w:t xml:space="preserve">“incentivise investments into an EU battery value chain” (28%, 86 out of 310).</w:t>
      </w:r>
      <w:r>
        <w:br/>
      </w:r>
      <w:r>
        <w:t xml:space="preserve">Using the opportunity to provide additional information or to explain their response, many</w:t>
      </w:r>
      <w:r>
        <w:t xml:space="preserve"> </w:t>
      </w:r>
      <w:r>
        <w:t xml:space="preserve">fuel suppliers called for measures to create the right framework conditions to de-risk</w:t>
      </w:r>
      <w:r>
        <w:t xml:space="preserve"> </w:t>
      </w:r>
      <w:r>
        <w:t xml:space="preserve">investment in renewable fuel production. NGOs and academics called for an</w:t>
      </w:r>
      <w:r>
        <w:t xml:space="preserve"> </w:t>
      </w:r>
      <w:r>
        <w:t xml:space="preserve">environmental label, or European Eco-score system, to demonstrate the environmental</w:t>
      </w:r>
      <w:r>
        <w:t xml:space="preserve"> </w:t>
      </w:r>
      <w:r>
        <w:t xml:space="preserve">performance of vehicles. Some industry respondents called for support for research and</w:t>
      </w:r>
      <w:r>
        <w:t xml:space="preserve"> </w:t>
      </w:r>
      <w:r>
        <w:t xml:space="preserve">development/innovation. Amongst Italian citizens, there were calls for the abandonment</w:t>
      </w:r>
      <w:r>
        <w:t xml:space="preserve"> </w:t>
      </w:r>
      <w:r>
        <w:t xml:space="preserve">of the target, a focus on other fuels, more incentives and support for research and</w:t>
      </w:r>
      <w:r>
        <w:t xml:space="preserve"> </w:t>
      </w:r>
      <w:r>
        <w:t xml:space="preserve">innovation. The importance of investing in, incentivising or even legislating the recycling</w:t>
      </w:r>
      <w:r>
        <w:t xml:space="preserve"> </w:t>
      </w:r>
      <w:r>
        <w:t xml:space="preserve">of batteries was also mentioned mainly by industry respondents in order to improve</w:t>
      </w:r>
      <w:r>
        <w:t xml:space="preserve"> </w:t>
      </w:r>
      <w:r>
        <w:t xml:space="preserve">circularity.</w:t>
      </w:r>
      <w:r>
        <w:br/>
      </w:r>
      <w:r>
        <w:t xml:space="preserve">Support for keeping the 2035 CO2 emissions targets for cars and vans unchanged varied</w:t>
      </w:r>
      <w:r>
        <w:t xml:space="preserve"> </w:t>
      </w:r>
      <w:r>
        <w:t xml:space="preserve">significantly amongst the respondents. Whereas only 19% (144 out of 775; 30 no</w:t>
      </w:r>
      <w:r>
        <w:t xml:space="preserve"> </w:t>
      </w:r>
      <w:r>
        <w:t xml:space="preserve">responses) of Italian citizens wanted to keep the 2035 targets unchanged, this the case for</w:t>
      </w:r>
      <w:r>
        <w:t xml:space="preserve"> </w:t>
      </w:r>
      <w:r>
        <w:t xml:space="preserve">a majority of the other respondents (52%, 132 out of 255; 55 no responses). Also, most</w:t>
      </w:r>
      <w:r>
        <w:t xml:space="preserve"> </w:t>
      </w:r>
      <w:r>
        <w:t xml:space="preserve">academics, NGOs and those involved in the electricity supply sector called for the targets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to be maintained in their current form, in order to provide certainty for investors and</w:t>
      </w:r>
      <w:r>
        <w:t xml:space="preserve"> </w:t>
      </w:r>
      <w:r>
        <w:t xml:space="preserve">industry, as well as to ensure that the EU’s climate neutrality targets could be met.</w:t>
      </w:r>
      <w:r>
        <w:t xml:space="preserve"> </w:t>
      </w:r>
      <w:r>
        <w:t xml:space="preserve">The respondents answering “No” to the question “should the EU keep targets on 2035 CO2</w:t>
      </w:r>
      <w:r>
        <w:t xml:space="preserve"> </w:t>
      </w:r>
      <w:r>
        <w:t xml:space="preserve">emission level for cars and vans unchanged” were asked what should be changed. For</w:t>
      </w:r>
      <w:r>
        <w:t xml:space="preserve"> </w:t>
      </w:r>
      <w:r>
        <w:t xml:space="preserve">both cars and vans, the highest scoring response amongst Italian citizens was for the 100%</w:t>
      </w:r>
      <w:r>
        <w:t xml:space="preserve"> </w:t>
      </w:r>
      <w:r>
        <w:t xml:space="preserve">target to be postponed (for cars: 38%; 242 out of 630; one no response9; for vans: 39%;</w:t>
      </w:r>
      <w:r>
        <w:t xml:space="preserve"> </w:t>
      </w:r>
      <w:r>
        <w:t xml:space="preserve">243 out of 627; four no responses). For the remaining respondents, the highest scoring</w:t>
      </w:r>
      <w:r>
        <w:t xml:space="preserve"> </w:t>
      </w:r>
      <w:r>
        <w:t xml:space="preserve">answer was ‘Other’ (for cars: 48%; 53 out of 111; for vans: 44%; 49 out of 112; 12 and 11</w:t>
      </w:r>
      <w:r>
        <w:t xml:space="preserve"> </w:t>
      </w:r>
      <w:r>
        <w:t xml:space="preserve">no responses, respectively). In clarifying what ‘other’ change they would suggest, many</w:t>
      </w:r>
      <w:r>
        <w:t xml:space="preserve"> </w:t>
      </w:r>
      <w:r>
        <w:t xml:space="preserve">fuel suppliers and vehicle manufacturers (large and small) called for a technology neutral</w:t>
      </w:r>
      <w:r>
        <w:t xml:space="preserve"> </w:t>
      </w:r>
      <w:r>
        <w:t xml:space="preserve">approach and/or the use of a lifecycle approach (LCA), arguing that this would allow</w:t>
      </w:r>
      <w:r>
        <w:t xml:space="preserve"> </w:t>
      </w:r>
      <w:r>
        <w:t xml:space="preserve">industry to meet the CO2 reduction targets taking account of a wider range of technologies,</w:t>
      </w:r>
      <w:r>
        <w:t xml:space="preserve"> </w:t>
      </w:r>
      <w:r>
        <w:t xml:space="preserve">such as renewable fuels and biofuels. Some industry respondents argued that the current</w:t>
      </w:r>
      <w:r>
        <w:t xml:space="preserve"> </w:t>
      </w:r>
      <w:r>
        <w:t xml:space="preserve">targets would otherwise not be achievable, given the slower than expected uptake of BEVs.</w:t>
      </w:r>
      <w:r>
        <w:br/>
      </w:r>
      <w:r>
        <w:t xml:space="preserve">The survey asked respondents to indicate their level of agreement with statements</w:t>
      </w:r>
      <w:r>
        <w:t xml:space="preserve"> </w:t>
      </w:r>
      <w:r>
        <w:t xml:space="preserve">regarding the need for additional flexibilities from 2030 to help CO2 target compliance.</w:t>
      </w:r>
      <w:r>
        <w:t xml:space="preserve"> </w:t>
      </w:r>
      <w:r>
        <w:t xml:space="preserve">A majority of Italian citizens (69%, 454 out of 712; 93 no responses), SMEs (27 out of 41;</w:t>
      </w:r>
      <w:r>
        <w:t xml:space="preserve"> </w:t>
      </w:r>
      <w:r>
        <w:t xml:space="preserve">16 no responses) and large industry (62 out of 85; 54 no responses) disagreed10 with the</w:t>
      </w:r>
      <w:r>
        <w:t xml:space="preserve"> </w:t>
      </w:r>
      <w:r>
        <w:t xml:space="preserve">statement “There is no need for additional flexibilities”. A majority of the public authorities</w:t>
      </w:r>
      <w:r>
        <w:t xml:space="preserve"> </w:t>
      </w:r>
      <w:r>
        <w:t xml:space="preserve">(four out of five; four no responses), ‘Other’ respondents (including NGOs, consumer</w:t>
      </w:r>
      <w:r>
        <w:t xml:space="preserve"> </w:t>
      </w:r>
      <w:r>
        <w:t xml:space="preserve">organisations and trade unions; 25 out of 43; six no responses) and non-Italian citizens (25</w:t>
      </w:r>
      <w:r>
        <w:t xml:space="preserve"> </w:t>
      </w:r>
      <w:r>
        <w:t xml:space="preserve">out of 45; 10 no responses) agreed11 that there was no need for additional flexibilities.</w:t>
      </w:r>
      <w:r>
        <w:t xml:space="preserve"> </w:t>
      </w:r>
      <w:r>
        <w:t xml:space="preserve">In terms of the additional flexibilities needed, only amongst large industry stakeholders</w:t>
      </w:r>
      <w:r>
        <w:t xml:space="preserve"> </w:t>
      </w:r>
      <w:r>
        <w:t xml:space="preserve">were more respondents in favour of than against both a three-year averaging for 2030-2032</w:t>
      </w:r>
      <w:r>
        <w:t xml:space="preserve"> </w:t>
      </w:r>
      <w:r>
        <w:t xml:space="preserve">(35 out of 74 in favour; 18 against; 65 no responses) and a five-year averaging for 2030-</w:t>
      </w:r>
      <w:r>
        <w:t xml:space="preserve"> </w:t>
      </w:r>
      <w:r>
        <w:t xml:space="preserve">2034 (45 out of 72; 18 against; 67 no responses). More SMEs were in favour of a five-year</w:t>
      </w:r>
      <w:r>
        <w:t xml:space="preserve"> </w:t>
      </w:r>
      <w:r>
        <w:t xml:space="preserve">averaging for 2030-2034 than against (15 out of 37; 14 against; 20 no responses). Amongst</w:t>
      </w:r>
      <w:r>
        <w:t xml:space="preserve"> </w:t>
      </w:r>
      <w:r>
        <w:t xml:space="preserve">other groups, more respondents were against averaging than were for it, with a majority</w:t>
      </w:r>
      <w:r>
        <w:t xml:space="preserve"> </w:t>
      </w:r>
      <w:r>
        <w:t xml:space="preserve">of non-Italian citizens and ‘Other’ respondents (including NGOs, consumer groups and</w:t>
      </w:r>
      <w:r>
        <w:t xml:space="preserve"> </w:t>
      </w:r>
      <w:r>
        <w:t xml:space="preserve">trade unions) against both three- and five-year averaging (non-Italian citizens/three year:</w:t>
      </w:r>
      <w:r>
        <w:t xml:space="preserve"> </w:t>
      </w:r>
      <w:r>
        <w:t xml:space="preserve">29 out of 45, 10 no responses; non-Italian citizens/five year: 30 out of 43, 12 no responses;</w:t>
      </w:r>
      <w:r>
        <w:t xml:space="preserve"> </w:t>
      </w:r>
      <w:r>
        <w:t xml:space="preserve">Other/three year: 27 out of 42, seven no responses; Other/five year: 29 out of 40, nine no</w:t>
      </w:r>
      <w:r>
        <w:t xml:space="preserve"> </w:t>
      </w:r>
      <w:r>
        <w:t xml:space="preserve">responses). A majority of both large industry (54 out of 74; 65 no responses), SMEs (21</w:t>
      </w:r>
      <w:r>
        <w:t xml:space="preserve"> </w:t>
      </w:r>
      <w:r>
        <w:t xml:space="preserve">out of 38; 19 no responses) and Italian citizens supported the introduction of additional</w:t>
      </w:r>
      <w:r>
        <w:t xml:space="preserve"> </w:t>
      </w:r>
      <w:r>
        <w:t xml:space="preserve">flexibilities (56%; 286 out of 642; 163 no responses).</w:t>
      </w:r>
      <w:r>
        <w:t xml:space="preserve"> </w:t>
      </w:r>
      <w:r>
        <w:t xml:space="preserve">Respondents were given the opportunity to further specify their replies. Supporters of</w:t>
      </w:r>
      <w:r>
        <w:t xml:space="preserve"> </w:t>
      </w:r>
      <w:r>
        <w:t xml:space="preserve">multi-annual averaging underlined the importance of such flexibility, while those against</w:t>
      </w:r>
      <w:r>
        <w:t xml:space="preserve"> </w:t>
      </w:r>
      <w:r>
        <w:t xml:space="preserve">argued that it would be delaying the implementation of the targets.</w:t>
      </w:r>
    </w:p>
    <w:p>
      <w:pPr>
        <w:pStyle w:val="BodyText"/>
      </w:pPr>
      <w:r>
        <w:t xml:space="preserve">9 The number of ‘no responses’ in this paragraph refers to those who did not respond to the follow-up question</w:t>
      </w:r>
      <w:r>
        <w:t xml:space="preserve"> </w:t>
      </w:r>
      <w:r>
        <w:t xml:space="preserve">about what should be changed. Those who either answered “Yes” to the initial question, or did not respond</w:t>
      </w:r>
      <w:r>
        <w:t xml:space="preserve"> </w:t>
      </w:r>
      <w:r>
        <w:t xml:space="preserve">to the initial question, are not included in the numbers as they were not asked the follow-up question.</w:t>
      </w:r>
      <w:r>
        <w:br/>
      </w:r>
      <w:r>
        <w:t xml:space="preserve">10 So responded “strongly disagree” or “rather disagree”.</w:t>
      </w:r>
      <w:r>
        <w:t xml:space="preserve"> </w:t>
      </w:r>
      <w:r>
        <w:t xml:space="preserve">11 So responded “strongly agree” or “rather agree”.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Respondents were asked for their views on the role of plug-in hybrids (PHEVs) and</w:t>
      </w:r>
      <w:r>
        <w:t xml:space="preserve"> </w:t>
      </w:r>
      <w:r>
        <w:t xml:space="preserve">electric range extended vehicles (EREVs) in the CO2 emission standards for cars and</w:t>
      </w:r>
      <w:r>
        <w:t xml:space="preserve"> </w:t>
      </w:r>
      <w:r>
        <w:t xml:space="preserve">vans. A majority of SMEs (34 out of 51; six no responses) and large industry (69 out of</w:t>
      </w:r>
      <w:r>
        <w:t xml:space="preserve"> </w:t>
      </w:r>
      <w:r>
        <w:t xml:space="preserve">103; 36 no responses), and half of Italian citizens (50%, 368 out of 731; 74 no responses),</w:t>
      </w:r>
      <w:r>
        <w:t xml:space="preserve"> </w:t>
      </w:r>
      <w:r>
        <w:t xml:space="preserve">indicated that the usefulness of PHEVs and EREVs should be recognised also in the longer-</w:t>
      </w:r>
      <w:r>
        <w:t xml:space="preserve"> </w:t>
      </w:r>
      <w:r>
        <w:t xml:space="preserve">term. On the other hand, a majority of public authorities (four out of six; four no responses),</w:t>
      </w:r>
      <w:r>
        <w:t xml:space="preserve"> </w:t>
      </w:r>
      <w:r>
        <w:t xml:space="preserve">non-Italian citizens (35 out of 50; five no responses) and ‘Other’ respondents (25 out of</w:t>
      </w:r>
      <w:r>
        <w:t xml:space="preserve"> </w:t>
      </w:r>
      <w:r>
        <w:t xml:space="preserve">43; six no responses) replied that there should be a limited role for PHEVs and EREVs as</w:t>
      </w:r>
      <w:r>
        <w:t xml:space="preserve"> </w:t>
      </w:r>
      <w:r>
        <w:t xml:space="preserve">a result of their limited environmental benefit.</w:t>
      </w:r>
      <w:r>
        <w:t xml:space="preserve"> </w:t>
      </w:r>
      <w:r>
        <w:t xml:space="preserve">Respondents were given the opportunity to provide additional views on the role of plug-</w:t>
      </w:r>
      <w:r>
        <w:t xml:space="preserve"> </w:t>
      </w:r>
      <w:r>
        <w:t xml:space="preserve">in hybrids and range extended vehicles. Supporters of PHEVs and EREVs argued that</w:t>
      </w:r>
      <w:r>
        <w:t xml:space="preserve"> </w:t>
      </w:r>
      <w:r>
        <w:t xml:space="preserve">they contributed to CO2 emission reductions, that they would be play a role if carbon-</w:t>
      </w:r>
      <w:r>
        <w:t xml:space="preserve"> </w:t>
      </w:r>
      <w:r>
        <w:t xml:space="preserve">neutral fuels were more widespread, and that they were important for journeys that were</w:t>
      </w:r>
      <w:r>
        <w:t xml:space="preserve"> </w:t>
      </w:r>
      <w:r>
        <w:t xml:space="preserve">not currently possible with a BEV. Others noted that PHEVS and EREVs supported the</w:t>
      </w:r>
      <w:r>
        <w:t xml:space="preserve"> </w:t>
      </w:r>
      <w:r>
        <w:t xml:space="preserve">existing value chain and made use of existing skills in ICE vehicles. Opponents argued that</w:t>
      </w:r>
      <w:r>
        <w:t xml:space="preserve"> </w:t>
      </w:r>
      <w:r>
        <w:t xml:space="preserve">PHEVs and EREVs emitted more in the real world than they did on the test cycle, and so</w:t>
      </w:r>
      <w:r>
        <w:t xml:space="preserve"> </w:t>
      </w:r>
      <w:r>
        <w:t xml:space="preserve">were little more than a short-term, transition technology.</w:t>
      </w:r>
      <w:r>
        <w:br/>
      </w:r>
      <w:r>
        <w:t xml:space="preserve">Respondents were asked which sustainable renewable fuels should have a role in the</w:t>
      </w:r>
      <w:r>
        <w:t xml:space="preserve"> </w:t>
      </w:r>
      <w:r>
        <w:t xml:space="preserve">CO2 emission standards for cars and vans. A majority of Italian citizens (77%, 598 out</w:t>
      </w:r>
      <w:r>
        <w:t xml:space="preserve"> </w:t>
      </w:r>
      <w:r>
        <w:t xml:space="preserve">of 774; 31 no responses), SMEs (48 out of 55; two no responses) and large industry (98</w:t>
      </w:r>
      <w:r>
        <w:t xml:space="preserve"> </w:t>
      </w:r>
      <w:r>
        <w:t xml:space="preserve">out of 122; 17 no responses) indicated that sustainable renewable fuels should have a role.</w:t>
      </w:r>
      <w:r>
        <w:t xml:space="preserve"> </w:t>
      </w:r>
      <w:r>
        <w:t xml:space="preserve">Amongst large industry, a majority of manufacturers supported sustainable renewable fuels</w:t>
      </w:r>
      <w:r>
        <w:t xml:space="preserve"> </w:t>
      </w:r>
      <w:r>
        <w:t xml:space="preserve">having a role (13 out of 17; four no responses), while only those involved in the electricity</w:t>
      </w:r>
      <w:r>
        <w:t xml:space="preserve"> </w:t>
      </w:r>
      <w:r>
        <w:t xml:space="preserve">supply sector (11 out of 12; three no responses) replied that sustainable renewable fuels</w:t>
      </w:r>
      <w:r>
        <w:t xml:space="preserve"> </w:t>
      </w:r>
      <w:r>
        <w:t xml:space="preserve">should not have a role. A majority of public authorities (four out of seven; three no</w:t>
      </w:r>
      <w:r>
        <w:t xml:space="preserve"> </w:t>
      </w:r>
      <w:r>
        <w:t xml:space="preserve">responses), non-Italian citizens (34 out of 51; four no responses) and ‘Other’ stakeholders</w:t>
      </w:r>
      <w:r>
        <w:t xml:space="preserve"> </w:t>
      </w:r>
      <w:r>
        <w:t xml:space="preserve">(24 out of 43; six no responses) also believed that sustainable renewable fuels should not</w:t>
      </w:r>
      <w:r>
        <w:t xml:space="preserve"> </w:t>
      </w:r>
      <w:r>
        <w:t xml:space="preserve">have a role, including a majority of NGOs (12 out of 14; zero no responses).</w:t>
      </w:r>
      <w:r>
        <w:br/>
      </w:r>
      <w:r>
        <w:t xml:space="preserve">Respondents were then asked for their views on which fuels should have a role. The</w:t>
      </w:r>
      <w:r>
        <w:t xml:space="preserve"> </w:t>
      </w:r>
      <w:r>
        <w:t xml:space="preserve">highest scoring response amongst Italian citizens was “advanced biofuels and renewable</w:t>
      </w:r>
      <w:r>
        <w:t xml:space="preserve"> </w:t>
      </w:r>
      <w:r>
        <w:t xml:space="preserve">fuels of non-biological origin” (43%; 346 out of 805), while amongst large industry (53%,</w:t>
      </w:r>
      <w:r>
        <w:t xml:space="preserve"> </w:t>
      </w:r>
      <w:r>
        <w:t xml:space="preserve">74 out of 139) and SMEs (40%, 23 out of 57) this was “other fuels”. “Other fuels” was</w:t>
      </w:r>
      <w:r>
        <w:t xml:space="preserve"> </w:t>
      </w:r>
      <w:r>
        <w:t xml:space="preserve">also the highest scoring response amongst fuel suppliers, both large ones (80%, 33 out of</w:t>
      </w:r>
      <w:r>
        <w:t xml:space="preserve"> </w:t>
      </w:r>
      <w:r>
        <w:t xml:space="preserve">41) and SMEs (75%, nine out of 12), and amongst manufacturers (38%, eight out of 21).</w:t>
      </w:r>
      <w:r>
        <w:br/>
      </w:r>
      <w:r>
        <w:t xml:space="preserve">When asked to specify which ‘other’ fuels should play a role, the most common response</w:t>
      </w:r>
      <w:r>
        <w:t xml:space="preserve"> </w:t>
      </w:r>
      <w:r>
        <w:t xml:space="preserve">(raised by 34 mainly industry respondents, particularly fuel suppliers) was all fuels that are</w:t>
      </w:r>
      <w:r>
        <w:t xml:space="preserve"> </w:t>
      </w:r>
      <w:r>
        <w:t xml:space="preserve">compliant with the sustainability and minimum GHG saving criteria set out in the</w:t>
      </w:r>
      <w:r>
        <w:t xml:space="preserve"> </w:t>
      </w:r>
      <w:r>
        <w:t xml:space="preserve">Renewable Energy Directive (EU) 2018/2001 (RED). Five fuel suppliers called for all</w:t>
      </w:r>
      <w:r>
        <w:t xml:space="preserve"> </w:t>
      </w:r>
      <w:r>
        <w:t xml:space="preserve">fuels complying with the definition of CO₂-neutral fuels proposed by the Working Group</w:t>
      </w:r>
      <w:r>
        <w:t xml:space="preserve"> </w:t>
      </w:r>
      <w:r>
        <w:t xml:space="preserve">on Monitoring Methodologies (WGMM) to be considered, while the consideration of fuels</w:t>
      </w:r>
      <w:r>
        <w:t xml:space="preserve"> </w:t>
      </w:r>
      <w:r>
        <w:t xml:space="preserve">of biological origin was called for by seven industry respondents. Italian citizens offered a</w:t>
      </w:r>
      <w:r>
        <w:t xml:space="preserve"> </w:t>
      </w:r>
      <w:r>
        <w:t xml:space="preserve">range of other options, of which petrol and/or diesel, fuels of biological origin, hydrogen</w:t>
      </w:r>
      <w:r>
        <w:t xml:space="preserve"> </w:t>
      </w:r>
      <w:r>
        <w:t xml:space="preserve">and LPG/methane were the most popular, with many also noting that any fuel that reduced</w:t>
      </w:r>
      <w:r>
        <w:t xml:space="preserve"> </w:t>
      </w:r>
      <w:r>
        <w:t xml:space="preserve">emissions should be considered.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 general, those who supported the use of other fuels argued that all routes to reduce CO2</w:t>
      </w:r>
      <w:r>
        <w:t xml:space="preserve"> </w:t>
      </w:r>
      <w:r>
        <w:t xml:space="preserve">emissions from transport should be considered, whereas those who opposed the use of</w:t>
      </w:r>
      <w:r>
        <w:t xml:space="preserve"> </w:t>
      </w:r>
      <w:r>
        <w:t xml:space="preserve">other fuels argued that such fuels did not deliver the same level of emissions reductions as</w:t>
      </w:r>
      <w:r>
        <w:t xml:space="preserve"> </w:t>
      </w:r>
      <w:r>
        <w:t xml:space="preserve">electricity, for example, and/or that other sectors needed the limited e-fuels and/or biofuels</w:t>
      </w:r>
      <w:r>
        <w:t xml:space="preserve"> </w:t>
      </w:r>
      <w:r>
        <w:t xml:space="preserve">that were available.</w:t>
      </w:r>
      <w:r>
        <w:br/>
      </w:r>
      <w:r>
        <w:t xml:space="preserve">Respondents were asked about the design of the mechanism to include sustainable</w:t>
      </w:r>
      <w:r>
        <w:t xml:space="preserve"> </w:t>
      </w:r>
      <w:r>
        <w:t xml:space="preserve">renewable fuels in the CO2 emission standards for cars and vans. Common responses</w:t>
      </w:r>
      <w:r>
        <w:t xml:space="preserve"> </w:t>
      </w:r>
      <w:r>
        <w:t xml:space="preserve">were for the definition of a new vehicle class for vehicles that only use CO2 neutral fuel</w:t>
      </w:r>
      <w:r>
        <w:t xml:space="preserve"> </w:t>
      </w:r>
      <w:r>
        <w:t xml:space="preserve">(CNF; 26 times, mainly industry respondents, particularly fuel suppliers), to use a carbon</w:t>
      </w:r>
      <w:r>
        <w:t xml:space="preserve"> </w:t>
      </w:r>
      <w:r>
        <w:t xml:space="preserve">correction factor (CCF) in the Regulation to reflect the fuel mix (64 times, mainly industry</w:t>
      </w:r>
      <w:r>
        <w:t xml:space="preserve"> </w:t>
      </w:r>
      <w:r>
        <w:t xml:space="preserve">respondents, particularly fuel suppliers) or for the use of LCA and/or a technology neutral</w:t>
      </w:r>
      <w:r>
        <w:t xml:space="preserve"> </w:t>
      </w:r>
      <w:r>
        <w:t xml:space="preserve">approach (32, mainly industry respondents, particularly fuel suppliers), or some</w:t>
      </w:r>
      <w:r>
        <w:t xml:space="preserve"> </w:t>
      </w:r>
      <w:r>
        <w:t xml:space="preserve">combination of these.</w:t>
      </w:r>
      <w:r>
        <w:br/>
      </w:r>
      <w:r>
        <w:t xml:space="preserve">Respondents were asked to indicate their level of agreement with a number of statements</w:t>
      </w:r>
      <w:r>
        <w:t xml:space="preserve"> </w:t>
      </w:r>
      <w:r>
        <w:t xml:space="preserve">regarding the impacts of sustainable renewable fuels playing a role in the CO2 emission</w:t>
      </w:r>
      <w:r>
        <w:t xml:space="preserve"> </w:t>
      </w:r>
      <w:r>
        <w:t xml:space="preserve">standards for cars and vans. A majority of large industry (81%, 96 out of 118, 21 no</w:t>
      </w:r>
      <w:r>
        <w:t xml:space="preserve"> </w:t>
      </w:r>
      <w:r>
        <w:t xml:space="preserve">responses), SMEs (70%, 35 out of 50, seven no responses) and Italian citizens (59%; 431</w:t>
      </w:r>
      <w:r>
        <w:t xml:space="preserve"> </w:t>
      </w:r>
      <w:r>
        <w:t xml:space="preserve">out of 725, 80 no responses) agreed that this would provide for a more technology neutral</w:t>
      </w:r>
      <w:r>
        <w:t xml:space="preserve"> </w:t>
      </w:r>
      <w:r>
        <w:t xml:space="preserve">approach. Amongst large industry respondents, manufacturers also agreed (71%, 12 out of</w:t>
      </w:r>
      <w:r>
        <w:t xml:space="preserve"> </w:t>
      </w:r>
      <w:r>
        <w:t xml:space="preserve">17; four no responses), whereas the electricity supply sector was the only one for which a</w:t>
      </w:r>
      <w:r>
        <w:t xml:space="preserve"> </w:t>
      </w:r>
      <w:r>
        <w:t xml:space="preserve">majority of respondents disagreed with this (82%, nine out of 11; four no responses). Five</w:t>
      </w:r>
      <w:r>
        <w:t xml:space="preserve"> </w:t>
      </w:r>
      <w:r>
        <w:t xml:space="preserve">out of six public authorities responding to the question (four gave no response) and a</w:t>
      </w:r>
      <w:r>
        <w:t xml:space="preserve"> </w:t>
      </w:r>
      <w:r>
        <w:t xml:space="preserve">majority of non-Italian citizens (57%, 27 out of 47; eight no responses) also disagreed with</w:t>
      </w:r>
      <w:r>
        <w:t xml:space="preserve"> </w:t>
      </w:r>
      <w:r>
        <w:t xml:space="preserve">the contribution of such fuels to technology neutrality.</w:t>
      </w:r>
      <w:r>
        <w:t xml:space="preserve"> </w:t>
      </w:r>
      <w:r>
        <w:t xml:space="preserve">This pattern was reversed for each of the other statements, each of which focused on a</w:t>
      </w:r>
      <w:r>
        <w:t xml:space="preserve"> </w:t>
      </w:r>
      <w:r>
        <w:t xml:space="preserve">potential negative impact of a greater role for sustainable renewable fuels. For example, a</w:t>
      </w:r>
      <w:r>
        <w:t xml:space="preserve"> </w:t>
      </w:r>
      <w:r>
        <w:t xml:space="preserve">majority of non-Italian citizens (24 out of 45; 10 no responses) agreed that the inclusion</w:t>
      </w:r>
      <w:r>
        <w:t xml:space="preserve"> </w:t>
      </w:r>
      <w:r>
        <w:t xml:space="preserve">of sustainable renewable fuels would come at the expense of the availability of those fuels</w:t>
      </w:r>
      <w:r>
        <w:t xml:space="preserve"> </w:t>
      </w:r>
      <w:r>
        <w:t xml:space="preserve">for other sectors or transport modes that have more challenges to decarbonise, whereas a</w:t>
      </w:r>
      <w:r>
        <w:t xml:space="preserve"> </w:t>
      </w:r>
      <w:r>
        <w:t xml:space="preserve">majority of large industry disagreed (88 out of 119, 20 no responses). Similarly, a majority</w:t>
      </w:r>
      <w:r>
        <w:t xml:space="preserve"> </w:t>
      </w:r>
      <w:r>
        <w:t xml:space="preserve">of non-Italian citizens (29 out of 48; seven no responses) agreed that the inclusion of</w:t>
      </w:r>
      <w:r>
        <w:t xml:space="preserve"> </w:t>
      </w:r>
      <w:r>
        <w:t xml:space="preserve">sustainable renewable fuels could weaken the long-term certainty needed for investments</w:t>
      </w:r>
      <w:r>
        <w:t xml:space="preserve"> </w:t>
      </w:r>
      <w:r>
        <w:t xml:space="preserve">in zero emission technologies, whereas a majority of large industry disagreed (91 out of</w:t>
      </w:r>
      <w:r>
        <w:t xml:space="preserve"> </w:t>
      </w:r>
      <w:r>
        <w:t xml:space="preserve">120, 19 no responses).</w:t>
      </w:r>
      <w:r>
        <w:t xml:space="preserve"> </w:t>
      </w:r>
      <w:r>
        <w:t xml:space="preserve">Respondents were asked how the revenues from excess emissions premiums should be</w:t>
      </w:r>
      <w:r>
        <w:t xml:space="preserve"> </w:t>
      </w:r>
      <w:r>
        <w:t xml:space="preserve">used. The highest scoring response amongst Italian citizens (43%, 349 out of 805) was that</w:t>
      </w:r>
      <w:r>
        <w:t xml:space="preserve"> </w:t>
      </w:r>
      <w:r>
        <w:t xml:space="preserve">the revenues should be used to support the companies and regions most affected by job</w:t>
      </w:r>
      <w:r>
        <w:t xml:space="preserve"> </w:t>
      </w:r>
      <w:r>
        <w:t xml:space="preserve">losses or value chain restructuring, followed by support for the zero-emission transport</w:t>
      </w:r>
      <w:r>
        <w:t xml:space="preserve"> </w:t>
      </w:r>
      <w:r>
        <w:t xml:space="preserve">transition (27%, 215 out of 805). The latter was the highest scoring option for the use of</w:t>
      </w:r>
      <w:r>
        <w:t xml:space="preserve"> </w:t>
      </w:r>
      <w:r>
        <w:t xml:space="preserve">revenues amongst the remaining respondents (37%, 116 out of 310), followed by ‘Other’</w:t>
      </w:r>
      <w:r>
        <w:t xml:space="preserve"> </w:t>
      </w:r>
      <w:r>
        <w:t xml:space="preserve">(23%, 70 out of 310).</w:t>
      </w:r>
      <w:r>
        <w:t xml:space="preserve"> </w:t>
      </w:r>
      <w:r>
        <w:t xml:space="preserve">If a respondent indicated ’other’, they were asked to specify what this should be. Common</w:t>
      </w:r>
      <w:r>
        <w:t xml:space="preserve"> </w:t>
      </w:r>
      <w:r>
        <w:t xml:space="preserve">responses mentioned the installation of BEV charging infrastructure, consumer incentives</w:t>
      </w:r>
      <w:r>
        <w:t xml:space="preserve"> </w:t>
      </w:r>
      <w:r>
        <w:t xml:space="preserve">to purchase BEVs and support for the development of low carbon fuels. Some respondents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called for the premiums to be removed, which was by far the most common response</w:t>
      </w:r>
      <w:r>
        <w:t xml:space="preserve"> </w:t>
      </w:r>
      <w:r>
        <w:t xml:space="preserve">amongst Italian citizens.</w:t>
      </w:r>
      <w:r>
        <w:t xml:space="preserve"> </w:t>
      </w:r>
      <w:r>
        <w:t xml:space="preserve">Vehicle labelling</w:t>
      </w:r>
      <w:r>
        <w:t xml:space="preserve"> </w:t>
      </w:r>
      <w:r>
        <w:t xml:space="preserve">In response to a question asking for views on the potential harmonisation of the label, at</w:t>
      </w:r>
      <w:r>
        <w:t xml:space="preserve"> </w:t>
      </w:r>
      <w:r>
        <w:t xml:space="preserve">least two thirds of respondents from all of the main categories of stakeholders agreed with</w:t>
      </w:r>
      <w:r>
        <w:t xml:space="preserve"> </w:t>
      </w:r>
      <w:r>
        <w:t xml:space="preserve">the statement that “the label design should be the same in all Member States”, including</w:t>
      </w:r>
      <w:r>
        <w:t xml:space="preserve"> </w:t>
      </w:r>
      <w:r>
        <w:t xml:space="preserve">80% of Italian citizens (558 out of 700, 105 no responses) and 86% of the other respondents</w:t>
      </w:r>
      <w:r>
        <w:t xml:space="preserve"> </w:t>
      </w:r>
      <w:r>
        <w:t xml:space="preserve">(160 out of 186, 124 no responses). Nearly all large industry respondents (93%; 54 out of</w:t>
      </w:r>
      <w:r>
        <w:t xml:space="preserve"> </w:t>
      </w:r>
      <w:r>
        <w:t xml:space="preserve">58, 81 no responses) and around three quarters of SMEs (71%, 27 out of 38, 19 no</w:t>
      </w:r>
      <w:r>
        <w:t xml:space="preserve"> </w:t>
      </w:r>
      <w:r>
        <w:t xml:space="preserve">responses) supported the same label design being used in all Member States. All public</w:t>
      </w:r>
      <w:r>
        <w:t xml:space="preserve"> </w:t>
      </w:r>
      <w:r>
        <w:t xml:space="preserve">authorities (seven out of seven, three no responses) and the majority of ‘Other’</w:t>
      </w:r>
      <w:r>
        <w:t xml:space="preserve"> </w:t>
      </w:r>
      <w:r>
        <w:t xml:space="preserve">respondents12 (34 out of 40, nine no responses) also agreed that there should be the same</w:t>
      </w:r>
      <w:r>
        <w:t xml:space="preserve"> </w:t>
      </w:r>
      <w:r>
        <w:t xml:space="preserve">label design in all Member States.</w:t>
      </w:r>
      <w:r>
        <w:br/>
      </w:r>
      <w:r>
        <w:t xml:space="preserve">Respondents were asked for views on the importance of including four specific pieces of</w:t>
      </w:r>
      <w:r>
        <w:t xml:space="preserve"> </w:t>
      </w:r>
      <w:r>
        <w:t xml:space="preserve">information for zero emission vehicles on the label, specifically: energy consumption,</w:t>
      </w:r>
      <w:r>
        <w:t xml:space="preserve"> </w:t>
      </w:r>
      <w:r>
        <w:t xml:space="preserve">electric range, charging time and battery capacity. A majority of respondents from each</w:t>
      </w:r>
      <w:r>
        <w:t xml:space="preserve"> </w:t>
      </w:r>
      <w:r>
        <w:t xml:space="preserve">stakeholder sub-category considered that it was important to include each of these pieces</w:t>
      </w:r>
      <w:r>
        <w:t xml:space="preserve"> </w:t>
      </w:r>
      <w:r>
        <w:t xml:space="preserve">of information. The inclusion of ‘energy consumption’ was deemed important by around</w:t>
      </w:r>
      <w:r>
        <w:t xml:space="preserve"> </w:t>
      </w:r>
      <w:r>
        <w:t xml:space="preserve">three-quarters of respondents, including amongst Italian citizens (80%, 506 out of 721, 81</w:t>
      </w:r>
      <w:r>
        <w:t xml:space="preserve"> </w:t>
      </w:r>
      <w:r>
        <w:t xml:space="preserve">no responses), other stakeholders (83%, 156 out of 188, 122 no responses), and SMEs</w:t>
      </w:r>
      <w:r>
        <w:t xml:space="preserve"> </w:t>
      </w:r>
      <w:r>
        <w:t xml:space="preserve">(74%, 28 out of 38, 19 no responses). When asked to rank the most important additional</w:t>
      </w:r>
      <w:r>
        <w:t xml:space="preserve"> </w:t>
      </w:r>
      <w:r>
        <w:t xml:space="preserve">information that should be displayed on the label, ‘real-world fuel or energy</w:t>
      </w:r>
      <w:r>
        <w:t xml:space="preserve"> </w:t>
      </w:r>
      <w:r>
        <w:t xml:space="preserve">consumption’ received the highest score amongst both Italian citizens (30%, 244 out of</w:t>
      </w:r>
      <w:r>
        <w:t xml:space="preserve"> </w:t>
      </w:r>
      <w:r>
        <w:t xml:space="preserve">805) and other respondents (28%, 87 out of 310). ‘Lifecycle CO2 emissions’ received the</w:t>
      </w:r>
      <w:r>
        <w:t xml:space="preserve"> </w:t>
      </w:r>
      <w:r>
        <w:t xml:space="preserve">second highest score in both cases (Italian citizens: 27%, 221 out of 805; other</w:t>
      </w:r>
      <w:r>
        <w:t xml:space="preserve"> </w:t>
      </w:r>
      <w:r>
        <w:t xml:space="preserve">stakeholders: 22%, 674 out of 310).</w:t>
      </w:r>
      <w:r>
        <w:br/>
      </w:r>
      <w:r>
        <w:t xml:space="preserve">At least two thirds of all types of stakeholders agreed with all of the statements in relation</w:t>
      </w:r>
      <w:r>
        <w:t xml:space="preserve"> </w:t>
      </w:r>
      <w:r>
        <w:t xml:space="preserve">to the use of information channels and digital tools. When asked whether the ‘label</w:t>
      </w:r>
      <w:r>
        <w:t xml:space="preserve"> </w:t>
      </w:r>
      <w:r>
        <w:t xml:space="preserve">should be shown at the point of sale’, 69% (398 out of 686, 119 no responses) of Italian</w:t>
      </w:r>
      <w:r>
        <w:t xml:space="preserve"> </w:t>
      </w:r>
      <w:r>
        <w:t xml:space="preserve">citizens and 78% (142 out of 181, 129 no responses) of other stakeholders agreed. The</w:t>
      </w:r>
      <w:r>
        <w:t xml:space="preserve"> </w:t>
      </w:r>
      <w:r>
        <w:t xml:space="preserve">lowest level of agreement was 67% (24 out of 36, 21 no responses) amongst SMEs. A</w:t>
      </w:r>
      <w:r>
        <w:t xml:space="preserve"> </w:t>
      </w:r>
      <w:r>
        <w:t xml:space="preserve">larger share of respondents from all stakeholder groups agreed that the ‘label should be</w:t>
      </w:r>
      <w:r>
        <w:t xml:space="preserve"> </w:t>
      </w:r>
      <w:r>
        <w:t xml:space="preserve">accessible online’, including 83% (596 out of 715, 90 no responses) of Italian citizens,</w:t>
      </w:r>
      <w:r>
        <w:t xml:space="preserve"> </w:t>
      </w:r>
      <w:r>
        <w:t xml:space="preserve">which was the lowest share of any stakeholder group, and 90% of other respondents (164</w:t>
      </w:r>
      <w:r>
        <w:t xml:space="preserve"> </w:t>
      </w:r>
      <w:r>
        <w:t xml:space="preserve">out of 183, 127 no responses). The majority also agreed that the ‘label should include a</w:t>
      </w:r>
      <w:r>
        <w:t xml:space="preserve"> </w:t>
      </w:r>
      <w:r>
        <w:t xml:space="preserve">weblink to other relevant information’, including 72% of Italians (494 out of 683, 122 no</w:t>
      </w:r>
      <w:r>
        <w:t xml:space="preserve"> </w:t>
      </w:r>
      <w:r>
        <w:t xml:space="preserve">responses), which was the lowest share of agreement alongside SMEs (26 out of 36, 21 no</w:t>
      </w:r>
      <w:r>
        <w:t xml:space="preserve"> </w:t>
      </w:r>
      <w:r>
        <w:t xml:space="preserve">responses), and 80% of other stakeholders (143 out of 179, 131 no responses).</w:t>
      </w:r>
      <w:r>
        <w:br/>
      </w:r>
      <w:r>
        <w:t xml:space="preserve">When asked about the scope of the Directive, more citizens and industry respondents</w:t>
      </w:r>
      <w:r>
        <w:t xml:space="preserve"> </w:t>
      </w:r>
      <w:r>
        <w:t xml:space="preserve">thought that it was important to retain the scope of the Directive (so to only cover new</w:t>
      </w:r>
      <w:r>
        <w:t xml:space="preserve"> </w:t>
      </w:r>
      <w:r>
        <w:t xml:space="preserve">passenger cars) than considered it important to expand this (Italians: 49% important, 329</w:t>
      </w:r>
    </w:p>
    <w:p>
      <w:pPr>
        <w:pStyle w:val="BodyText"/>
      </w:pPr>
      <w:r>
        <w:t xml:space="preserve">12 NGOs, consumer groups and trade unions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out of 671, 34% unimportant, 231, 134 no responses; other citizens: 51% important, 19 out</w:t>
      </w:r>
      <w:r>
        <w:t xml:space="preserve"> </w:t>
      </w:r>
      <w:r>
        <w:t xml:space="preserve">of 37, 32% unimportant, 12, 18 no responses; SMEs: 49% important, 17 out of 35, 29%</w:t>
      </w:r>
      <w:r>
        <w:t xml:space="preserve"> </w:t>
      </w:r>
      <w:r>
        <w:t xml:space="preserve">unimportant, 10, 18 no responses; and large industry: 49% important, 20 out of 41, 41%</w:t>
      </w:r>
      <w:r>
        <w:t xml:space="preserve"> </w:t>
      </w:r>
      <w:r>
        <w:t xml:space="preserve">unimportant, 17, 98 no responses). A majority of both public authorities and ‘Other’</w:t>
      </w:r>
      <w:r>
        <w:t xml:space="preserve"> </w:t>
      </w:r>
      <w:r>
        <w:t xml:space="preserve">respondents (which includes NGOs, consumer groups and trade unions) considered that it</w:t>
      </w:r>
      <w:r>
        <w:t xml:space="preserve"> </w:t>
      </w:r>
      <w:r>
        <w:t xml:space="preserve">was important to expand the current scope (public authorities: 71%, five out of seven,</w:t>
      </w:r>
      <w:r>
        <w:t xml:space="preserve"> </w:t>
      </w:r>
      <w:r>
        <w:t xml:space="preserve">three no responses; Others (including NGOs and consumer organisations): 72%, 26 out of</w:t>
      </w:r>
      <w:r>
        <w:t xml:space="preserve"> </w:t>
      </w:r>
      <w:r>
        <w:t xml:space="preserve">36, 13 no responses).</w:t>
      </w:r>
      <w:r>
        <w:br/>
      </w:r>
      <w:r>
        <w:t xml:space="preserve">There was no majority from any stakeholder group that considered extending the scope to</w:t>
      </w:r>
      <w:r>
        <w:t xml:space="preserve"> </w:t>
      </w:r>
      <w:r>
        <w:t xml:space="preserve">‘cover all second-hand passengers’ cars was important. ‘Others’, which includes NGOs,</w:t>
      </w:r>
      <w:r>
        <w:t xml:space="preserve"> </w:t>
      </w:r>
      <w:r>
        <w:t xml:space="preserve">consumer groups and trade unions, was the group with the largest share that considered</w:t>
      </w:r>
      <w:r>
        <w:t xml:space="preserve"> </w:t>
      </w:r>
      <w:r>
        <w:t xml:space="preserve">extending the scope to all second-hand cars to be important (46%, 16 out of 35, 14 no</w:t>
      </w:r>
      <w:r>
        <w:t xml:space="preserve"> </w:t>
      </w:r>
      <w:r>
        <w:t xml:space="preserve">responses), with SMEs having the lowest share considering it to be important (26%, nine</w:t>
      </w:r>
      <w:r>
        <w:t xml:space="preserve"> </w:t>
      </w:r>
      <w:r>
        <w:t xml:space="preserve">out of 35, 22 no responses). On the other hand, a majority of both Italian citizens (53%,</w:t>
      </w:r>
      <w:r>
        <w:t xml:space="preserve"> </w:t>
      </w:r>
      <w:r>
        <w:t xml:space="preserve">350 out of 657, 148 no responses) and SMEs (19 out of 35, 22 no responses) considered</w:t>
      </w:r>
      <w:r>
        <w:t xml:space="preserve"> </w:t>
      </w:r>
      <w:r>
        <w:t xml:space="preserve">extending the scope to all second-hand cars not to be important.</w:t>
      </w:r>
      <w:r>
        <w:t xml:space="preserve"> </w:t>
      </w:r>
      <w:r>
        <w:t xml:space="preserve">3.</w:t>
      </w:r>
      <w:r>
        <w:t xml:space="preserve"> </w:t>
      </w:r>
      <w:r>
        <w:t xml:space="preserve">ADDITIONAL COMMENTS PROVIDED BY RESPONDENTS</w:t>
      </w:r>
      <w:r>
        <w:t xml:space="preserve"> </w:t>
      </w:r>
      <w:r>
        <w:t xml:space="preserve">While supporting the target of eventually reducing CO2 emissions from cars and vans by</w:t>
      </w:r>
      <w:r>
        <w:t xml:space="preserve"> </w:t>
      </w:r>
      <w:r>
        <w:t xml:space="preserve">100%, some manufacturers expressed concern about the current timescales. ACEA</w:t>
      </w:r>
      <w:r>
        <w:t xml:space="preserve"> </w:t>
      </w:r>
      <w:r>
        <w:t xml:space="preserve">(vehicle manufacturers’ trade association) commented that the 2030 and 2035 targets were</w:t>
      </w:r>
      <w:r>
        <w:t xml:space="preserve"> </w:t>
      </w:r>
      <w:r>
        <w:t xml:space="preserve">not attainable without regulatory adjustments, while ANFIA (Italian manufacturers’</w:t>
      </w:r>
      <w:r>
        <w:t xml:space="preserve"> </w:t>
      </w:r>
      <w:r>
        <w:t xml:space="preserve">association) called for a rethinking of the “unachievable” targets. VW, Toyota and Honda</w:t>
      </w:r>
      <w:r>
        <w:t xml:space="preserve"> </w:t>
      </w:r>
      <w:r>
        <w:t xml:space="preserve">called for a longer transition to the 100% reduction target, given the current market</w:t>
      </w:r>
      <w:r>
        <w:t xml:space="preserve"> </w:t>
      </w:r>
      <w:r>
        <w:t xml:space="preserve">conditions, trends and/or global geopolitics. BDI (Federation of German Industries) and</w:t>
      </w:r>
      <w:r>
        <w:t xml:space="preserve"> </w:t>
      </w:r>
      <w:r>
        <w:t xml:space="preserve">UNITI (German fuel retailers) called for “lifting the ban on internal combustion engine</w:t>
      </w:r>
      <w:r>
        <w:t xml:space="preserve"> </w:t>
      </w:r>
      <w:r>
        <w:t xml:space="preserve">vehicles”. On the other hand, several respondents underlined the importance of</w:t>
      </w:r>
      <w:r>
        <w:t xml:space="preserve"> </w:t>
      </w:r>
      <w:r>
        <w:t xml:space="preserve">maintaining the 2035 targets, including the French and Danish Authorities, the City of</w:t>
      </w:r>
      <w:r>
        <w:t xml:space="preserve"> </w:t>
      </w:r>
      <w:r>
        <w:t xml:space="preserve">Stockholm, E-Mobility Europe (Europe’s e-mobility sector), ChargeUp Europe (EV</w:t>
      </w:r>
      <w:r>
        <w:t xml:space="preserve"> </w:t>
      </w:r>
      <w:r>
        <w:t xml:space="preserve">charging operators), Charge France (French EV charging operators), T&amp;E (environmental</w:t>
      </w:r>
      <w:r>
        <w:t xml:space="preserve"> </w:t>
      </w:r>
      <w:r>
        <w:t xml:space="preserve">NGO), BDEW (German Federal Association of Energy and Water Management), the</w:t>
      </w:r>
      <w:r>
        <w:t xml:space="preserve"> </w:t>
      </w:r>
      <w:r>
        <w:t xml:space="preserve">Institut Mobilités en Transition (IMT-Iddri), and Zero (Portuguese NGO). One electric van</w:t>
      </w:r>
      <w:r>
        <w:t xml:space="preserve"> </w:t>
      </w:r>
      <w:r>
        <w:t xml:space="preserve">manufacturer (Flexis) called for both the 2030 and 2035 targets for vans to be maintained.</w:t>
      </w:r>
      <w:r>
        <w:t xml:space="preserve"> </w:t>
      </w:r>
      <w:r>
        <w:t xml:space="preserve">Eurocities called for an increase in the stringency of the 2030 target, as well as for an</w:t>
      </w:r>
      <w:r>
        <w:t xml:space="preserve"> </w:t>
      </w:r>
      <w:r>
        <w:t xml:space="preserve">interim target for 2027, to ensure that the LDV CO2 emission standards Regulation was in</w:t>
      </w:r>
      <w:r>
        <w:t xml:space="preserve"> </w:t>
      </w:r>
      <w:r>
        <w:t xml:space="preserve">line with the EU being net zero by 2050. They also called for the phase out of fossil-fuelled</w:t>
      </w:r>
      <w:r>
        <w:t xml:space="preserve"> </w:t>
      </w:r>
      <w:r>
        <w:t xml:space="preserve">vehicles by 2035, and for Member States to be allowed to set an earlier target. E-Mobility</w:t>
      </w:r>
      <w:r>
        <w:t xml:space="preserve"> </w:t>
      </w:r>
      <w:r>
        <w:t xml:space="preserve">Europe, T&amp;E and Zero called for annual CO2 emission reduction steps.</w:t>
      </w:r>
      <w:r>
        <w:t xml:space="preserve"> </w:t>
      </w:r>
      <w:r>
        <w:t xml:space="preserve">As regards additional flexibilities facilitating target compliance, ACEA, ANFIA, VW,</w:t>
      </w:r>
      <w:r>
        <w:t xml:space="preserve"> </w:t>
      </w:r>
      <w:r>
        <w:t xml:space="preserve">Toyota and Honda called for multi-annual averaging of emissions for cars between 2028</w:t>
      </w:r>
      <w:r>
        <w:t xml:space="preserve"> </w:t>
      </w:r>
      <w:r>
        <w:t xml:space="preserve">and 2032. ACEA and VW called for the same approach to be applied to vans. ACEA and</w:t>
      </w:r>
      <w:r>
        <w:t xml:space="preserve"> </w:t>
      </w:r>
      <w:r>
        <w:t xml:space="preserve">VW also called for a less stringent 2030 van target to reflect the lower-than-anticipated</w:t>
      </w:r>
      <w:r>
        <w:t xml:space="preserve"> </w:t>
      </w:r>
      <w:r>
        <w:t xml:space="preserve">uptake of BEVs. Toyota called for both the 2030 and 2035 targets for vans to be adjusted.</w:t>
      </w:r>
      <w:r>
        <w:t xml:space="preserve"> </w:t>
      </w:r>
      <w:r>
        <w:t xml:space="preserve">VDA (the German manufacturers’ trade association) called for a two-year phase-in period</w:t>
      </w:r>
      <w:r>
        <w:t xml:space="preserve"> </w:t>
      </w:r>
      <w:r>
        <w:t xml:space="preserve">for both the 2030 and 2035 targets and for the 2035 target for vans to be adjusted to 90%.</w:t>
      </w:r>
      <w:r>
        <w:t xml:space="preserve"> </w:t>
      </w:r>
      <w:r>
        <w:t xml:space="preserve">CLEPA (automotive suppliers) called for a three-year average or phase in for both 2030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and 2035. From 2030, CLEPA also called for the definition of a “new electrified vehicle</w:t>
      </w:r>
      <w:r>
        <w:t xml:space="preserve"> </w:t>
      </w:r>
      <w:r>
        <w:t xml:space="preserve">category” that would include advanced PHEVs and EREVs meeting specified criteria. BDI</w:t>
      </w:r>
      <w:r>
        <w:t xml:space="preserve"> </w:t>
      </w:r>
      <w:r>
        <w:t xml:space="preserve">suggested that certain PHEVs should be considered to be zero emission. The Portuguese</w:t>
      </w:r>
      <w:r>
        <w:t xml:space="preserve"> </w:t>
      </w:r>
      <w:r>
        <w:t xml:space="preserve">NGO Zero called for banking and borrowing to be allowed.</w:t>
      </w:r>
      <w:r>
        <w:t xml:space="preserve"> </w:t>
      </w:r>
      <w:r>
        <w:t xml:space="preserve">ACEA, VDA, ANFIA, VW, Toyota, CLEPA, BDI, IG Metall (German metalworkers</w:t>
      </w:r>
      <w:r>
        <w:t xml:space="preserve"> </w:t>
      </w:r>
      <w:r>
        <w:t xml:space="preserve">union) and Bosch called for the PHEV utility factor to be maintained at the level set in</w:t>
      </w:r>
      <w:r>
        <w:t xml:space="preserve"> </w:t>
      </w:r>
      <w:r>
        <w:t xml:space="preserve">Euro 6e-bis. On the other hand, E-Mobility Europe, ChargeUp Europe, T&amp;E, Charge</w:t>
      </w:r>
      <w:r>
        <w:t xml:space="preserve"> </w:t>
      </w:r>
      <w:r>
        <w:t xml:space="preserve">France, BDEW, ECTRI (transport research institutes), IMT-Iddri and Zero argued that</w:t>
      </w:r>
      <w:r>
        <w:t xml:space="preserve"> </w:t>
      </w:r>
      <w:r>
        <w:t xml:space="preserve">PHEVs should not be given special consideration as they have high real-world emissions.</w:t>
      </w:r>
      <w:r>
        <w:t xml:space="preserve"> </w:t>
      </w:r>
      <w:r>
        <w:t xml:space="preserve">The French Authorities and the Danish Government supported the revision of the utility</w:t>
      </w:r>
      <w:r>
        <w:t xml:space="preserve"> </w:t>
      </w:r>
      <w:r>
        <w:t xml:space="preserve">factor to reflect real-world PHEV CO2 emission performance.</w:t>
      </w:r>
      <w:r>
        <w:br/>
      </w:r>
      <w:r>
        <w:t xml:space="preserve">In their additional contributions, many respondents involved with the supply of fuel or</w:t>
      </w:r>
      <w:r>
        <w:t xml:space="preserve"> </w:t>
      </w:r>
      <w:r>
        <w:t xml:space="preserve">components to the automotive sector called for flexibility to include different types of fuel.</w:t>
      </w:r>
      <w:r>
        <w:t xml:space="preserve"> </w:t>
      </w:r>
      <w:r>
        <w:t xml:space="preserve">The eFuel Alliance, ePure (renewable ethanol), AECC (emissions control devices),</w:t>
      </w:r>
      <w:r>
        <w:t xml:space="preserve"> </w:t>
      </w:r>
      <w:r>
        <w:t xml:space="preserve">CLEPA, Assopetroli/Assoenergia (Italian energy distributors), Assogasmetano (Italian</w:t>
      </w:r>
      <w:r>
        <w:t xml:space="preserve"> </w:t>
      </w:r>
      <w:r>
        <w:t xml:space="preserve">methane distributors) and Bosch each called for three specific measures: the definition of</w:t>
      </w:r>
      <w:r>
        <w:t xml:space="preserve"> </w:t>
      </w:r>
      <w:r>
        <w:t xml:space="preserve">a new class of vehicle that can only use CNF; to use a CCF in the Regulation to reflect the</w:t>
      </w:r>
      <w:r>
        <w:t xml:space="preserve"> </w:t>
      </w:r>
      <w:r>
        <w:t xml:space="preserve">fuel mix; and for the use of LCA. Other stakeholders supported the use of a CCF, alongside</w:t>
      </w:r>
      <w:r>
        <w:t xml:space="preserve"> </w:t>
      </w:r>
      <w:r>
        <w:t xml:space="preserve">one of these other measures, e.g. AECDR (dealers and repairers) supported the use of a</w:t>
      </w:r>
      <w:r>
        <w:t xml:space="preserve"> </w:t>
      </w:r>
      <w:r>
        <w:t xml:space="preserve">CCF alongside an LCA, and the Network for Sustainable Mobility, Saipol (French</w:t>
      </w:r>
      <w:r>
        <w:t xml:space="preserve"> </w:t>
      </w:r>
      <w:r>
        <w:t xml:space="preserve">sustainable biofuels producer), Shell (fuel company) and BDI called for a CCF alongside</w:t>
      </w:r>
      <w:r>
        <w:t xml:space="preserve"> </w:t>
      </w:r>
      <w:r>
        <w:t xml:space="preserve">the definition of a CNF vehicle category. Others called for the use of a CCF as part of a</w:t>
      </w:r>
      <w:r>
        <w:t xml:space="preserve"> </w:t>
      </w:r>
      <w:r>
        <w:t xml:space="preserve">technology-neutral approach (EWABA (Waste-based &amp; Advanced Biofuels), AGU</w:t>
      </w:r>
      <w:r>
        <w:t xml:space="preserve"> </w:t>
      </w:r>
      <w:r>
        <w:t xml:space="preserve">(Automotive Grade Urea Cefic (chemical industry) sector group), AME (vehicle dealers</w:t>
      </w:r>
      <w:r>
        <w:t xml:space="preserve"> </w:t>
      </w:r>
      <w:r>
        <w:t xml:space="preserve">and repairers), ZDK (Germany dealers and repairers) and UNEM (Italian petroleum</w:t>
      </w:r>
      <w:r>
        <w:t xml:space="preserve"> </w:t>
      </w:r>
      <w:r>
        <w:t xml:space="preserve">industry)). UNITI and INEOS Grenadier also called for LCA.</w:t>
      </w:r>
      <w:r>
        <w:br/>
      </w:r>
      <w:r>
        <w:t xml:space="preserve">Other stakeholders commented explicitly on the use of CNF. The Network for Sustainable</w:t>
      </w:r>
      <w:r>
        <w:t xml:space="preserve"> </w:t>
      </w:r>
      <w:r>
        <w:t xml:space="preserve">Mobility, AGU, CLEPA and Repsol (fuel company) each called for CNF to be defined in</w:t>
      </w:r>
      <w:r>
        <w:t xml:space="preserve"> </w:t>
      </w:r>
      <w:r>
        <w:t xml:space="preserve">the LDV CO2 standards Regulation in the same way as it is defined in the RED. Shell</w:t>
      </w:r>
      <w:r>
        <w:t xml:space="preserve"> </w:t>
      </w:r>
      <w:r>
        <w:t xml:space="preserve">suggested that after 2035, CNF-only vehicles should be considered as a zero-emission as</w:t>
      </w:r>
      <w:r>
        <w:t xml:space="preserve"> </w:t>
      </w:r>
      <w:r>
        <w:t xml:space="preserve">long as their supply was matched by a corresponding volume of CNF, while Repsol called</w:t>
      </w:r>
      <w:r>
        <w:t xml:space="preserve"> </w:t>
      </w:r>
      <w:r>
        <w:t xml:space="preserve">for technology neutrality and for CNF cars to be considered as zero emission. Others called</w:t>
      </w:r>
      <w:r>
        <w:t xml:space="preserve"> </w:t>
      </w:r>
      <w:r>
        <w:t xml:space="preserve">for more support for renewable/CNF fuels as part of a technology-neutral approach</w:t>
      </w:r>
      <w:r>
        <w:t xml:space="preserve"> </w:t>
      </w:r>
      <w:r>
        <w:t xml:space="preserve">(CLECAT (freight forwarders), Johnson Matthey and IRU (commercial operators)).</w:t>
      </w:r>
      <w:r>
        <w:br/>
      </w:r>
      <w:r>
        <w:t xml:space="preserve">Other contributions called for explicit recognition of certain fuels. Johnson Matthey called</w:t>
      </w:r>
      <w:r>
        <w:t xml:space="preserve"> </w:t>
      </w:r>
      <w:r>
        <w:t xml:space="preserve">for a recognition of the strategic role of hydrogen, OG Clean Fuels called for biomethane</w:t>
      </w:r>
      <w:r>
        <w:t xml:space="preserve"> </w:t>
      </w:r>
      <w:r>
        <w:t xml:space="preserve">to be recognised as a CNF, Federmetano (owners of CNG and LNG refuelling stations in</w:t>
      </w:r>
      <w:r>
        <w:t xml:space="preserve"> </w:t>
      </w:r>
      <w:r>
        <w:t xml:space="preserve">Italy) for the recognition of bioCNG and bioLNG as CNF and GDFS (gas distributors)</w:t>
      </w:r>
      <w:r>
        <w:t xml:space="preserve"> </w:t>
      </w:r>
      <w:r>
        <w:t xml:space="preserve">called for a LCA to ensure technology neutrality. CSIAM (French automotive industry)</w:t>
      </w:r>
      <w:r>
        <w:t xml:space="preserve"> </w:t>
      </w:r>
      <w:r>
        <w:t xml:space="preserve">and AECDR called for the potential benefit of synthetic and e-fuels to be recognised.</w:t>
      </w:r>
      <w:r>
        <w:br/>
      </w:r>
      <w:r>
        <w:t xml:space="preserve">Many of the additional responses received from vehicle manufacturers also mentioned</w:t>
      </w:r>
      <w:r>
        <w:t xml:space="preserve"> </w:t>
      </w:r>
      <w:r>
        <w:t xml:space="preserve">fuels. ACEA, VW, Toyota, Honda and Ferrari all called for a technology-neutral approach</w:t>
      </w:r>
      <w:r>
        <w:t xml:space="preserve"> </w:t>
      </w:r>
      <w:r>
        <w:t xml:space="preserve">with consideration of e-fuels, and, with the exception of Ferrari, also for a coefficient or</w:t>
      </w:r>
      <w:r>
        <w:t xml:space="preserve"> </w:t>
      </w:r>
      <w:r>
        <w:t xml:space="preserve">credit reflecting the renewable fuels on the market. VDA called for a greater role for CNF.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ANFIA supported the definition of a CNF vehicle category and the use of a CCF in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On the other hand, E-Mobility Europe, T&amp;E, IMT-Iddri and Zero each called for</w:t>
      </w:r>
      <w:r>
        <w:t xml:space="preserve"> </w:t>
      </w:r>
      <w:r>
        <w:t xml:space="preserve">maintaining the tailpipe-based approach to measuring emissions without mechanisms to</w:t>
      </w:r>
      <w:r>
        <w:t xml:space="preserve"> </w:t>
      </w:r>
      <w:r>
        <w:t xml:space="preserve">account for renewable fuels. The French and the Danish Authorities are against the</w:t>
      </w:r>
      <w:r>
        <w:t xml:space="preserve"> </w:t>
      </w:r>
      <w:r>
        <w:t xml:space="preserve">integration of sustainable biofuels, with the latter arguing that, if sustainable e-fuels were</w:t>
      </w:r>
      <w:r>
        <w:t xml:space="preserve"> </w:t>
      </w:r>
      <w:r>
        <w:t xml:space="preserve">included, they should be an option, not a requirement.</w:t>
      </w:r>
      <w:r>
        <w:t xml:space="preserve"> </w:t>
      </w:r>
      <w:r>
        <w:t xml:space="preserve">ACEA and Toyota called for the level of the excess emissions premiums to be modified</w:t>
      </w:r>
      <w:r>
        <w:t xml:space="preserve"> </w:t>
      </w:r>
      <w:r>
        <w:t xml:space="preserve">so that it should not exceed whichever is the lowest of either the current rate of EUR 95</w:t>
      </w:r>
      <w:r>
        <w:t xml:space="preserve"> </w:t>
      </w:r>
      <w:r>
        <w:t xml:space="preserve">g/km or the average price of an allowance under the EU’s emission trading scheme (ETS</w:t>
      </w:r>
      <w:r>
        <w:t xml:space="preserve"> </w:t>
      </w:r>
      <w:r>
        <w:t xml:space="preserve">1) in a given compliance year. Bosch called for an alternative compensation mechanism,</w:t>
      </w:r>
      <w:r>
        <w:t xml:space="preserve"> </w:t>
      </w:r>
      <w:r>
        <w:t xml:space="preserve">such as a fund into which manufacturers contribute and which would be used to support</w:t>
      </w:r>
      <w:r>
        <w:t xml:space="preserve"> </w:t>
      </w:r>
      <w:r>
        <w:t xml:space="preserve">strategic investments in the battery chain in Europe. AECDR and ZDK called for the</w:t>
      </w:r>
      <w:r>
        <w:t xml:space="preserve"> </w:t>
      </w:r>
      <w:r>
        <w:t xml:space="preserve">premiums to be abolished.</w:t>
      </w:r>
      <w:r>
        <w:t xml:space="preserve"> </w:t>
      </w:r>
      <w:r>
        <w:t xml:space="preserve">As regards vehicle labelling, ACEA (EU car manufacturers’ association), T&amp;E (transport</w:t>
      </w:r>
      <w:r>
        <w:t xml:space="preserve"> </w:t>
      </w:r>
      <w:r>
        <w:t xml:space="preserve">and environmental NGO) and EV100 (representing companies committed to decarbonising</w:t>
      </w:r>
      <w:r>
        <w:t xml:space="preserve"> </w:t>
      </w:r>
      <w:r>
        <w:t xml:space="preserve">their vehicle fleets) each called for the Directive to become a Regulation, so that there was</w:t>
      </w:r>
      <w:r>
        <w:t xml:space="preserve"> </w:t>
      </w:r>
      <w:r>
        <w:t xml:space="preserve">a harmonised approach across the EU. T&amp;E also called for an EU-wide database to</w:t>
      </w:r>
      <w:r>
        <w:t xml:space="preserve"> </w:t>
      </w:r>
      <w:r>
        <w:t xml:space="preserve">facilitate the development of comparative tools, monitoring and enforcement. AIG and</w:t>
      </w:r>
      <w:r>
        <w:t xml:space="preserve"> </w:t>
      </w:r>
      <w:r>
        <w:t xml:space="preserve">ZAW (European and German advertising industry) supported the harmonisation of the</w:t>
      </w:r>
      <w:r>
        <w:t xml:space="preserve"> </w:t>
      </w:r>
      <w:r>
        <w:t xml:space="preserve">label, but called for manufacturers to be able to voluntarily include additional information</w:t>
      </w:r>
      <w:r>
        <w:t xml:space="preserve"> </w:t>
      </w:r>
      <w:r>
        <w:t xml:space="preserve">to help them differentiate their brand. Ireland also supported the harmonisation of the label,</w:t>
      </w:r>
      <w:r>
        <w:t xml:space="preserve"> </w:t>
      </w:r>
      <w:r>
        <w:t xml:space="preserve">based on the colour-coded format of the EU energy label.</w:t>
      </w:r>
      <w:r>
        <w:br/>
      </w:r>
      <w:r>
        <w:t xml:space="preserve">ACEA called for the information included on the label to be taken from the CoC, and for</w:t>
      </w:r>
      <w:r>
        <w:t xml:space="preserve"> </w:t>
      </w:r>
      <w:r>
        <w:t xml:space="preserve">the consideration of existing tools for data exchange, such as those used by EReg. They</w:t>
      </w:r>
      <w:r>
        <w:t xml:space="preserve"> </w:t>
      </w:r>
      <w:r>
        <w:t xml:space="preserve">argued that WLTP-based information was sufficient for the label, at least in the short-term,</w:t>
      </w:r>
      <w:r>
        <w:t xml:space="preserve"> </w:t>
      </w:r>
      <w:r>
        <w:t xml:space="preserve">although in the long-term the inclusion of other information, including based on a lifecycle</w:t>
      </w:r>
      <w:r>
        <w:t xml:space="preserve"> </w:t>
      </w:r>
      <w:r>
        <w:t xml:space="preserve">approach could be an option. However, ACEA considered the inclusion of TCO to be</w:t>
      </w:r>
      <w:r>
        <w:t xml:space="preserve"> </w:t>
      </w:r>
      <w:r>
        <w:t xml:space="preserve">problematic, as a result of the uncertainties that drive costs.</w:t>
      </w:r>
      <w:r>
        <w:br/>
      </w:r>
      <w:r>
        <w:t xml:space="preserve">Lucid (BEV manufacturer) proposed using an ‘Energy Efficiency Index’ to distinguish</w:t>
      </w:r>
      <w:r>
        <w:t xml:space="preserve"> </w:t>
      </w:r>
      <w:r>
        <w:t xml:space="preserve">between car classes for the purpose of the label. Mobivia (company involved in automotive</w:t>
      </w:r>
      <w:r>
        <w:t xml:space="preserve"> </w:t>
      </w:r>
      <w:r>
        <w:t xml:space="preserve">equipment, maintenance and repair) called for the inclusion of a ‘repairability index’, in-</w:t>
      </w:r>
      <w:r>
        <w:t xml:space="preserve"> </w:t>
      </w:r>
      <w:r>
        <w:t xml:space="preserve">use noise and air pollution emissions and lifetime carbon footprint of the vehicle on the</w:t>
      </w:r>
      <w:r>
        <w:t xml:space="preserve"> </w:t>
      </w:r>
      <w:r>
        <w:t xml:space="preserve">label. CRECEMOS (Spanish renewable fuels value chain) called for a label for vehicles</w:t>
      </w:r>
      <w:r>
        <w:t xml:space="preserve"> </w:t>
      </w:r>
      <w:r>
        <w:t xml:space="preserve">that are only able to use carbon-neutral fuels, for the inclusion of information on fuel</w:t>
      </w:r>
      <w:r>
        <w:t xml:space="preserve"> </w:t>
      </w:r>
      <w:r>
        <w:t xml:space="preserve">consumption in different scenarios and of a vehicle’s lifecycle carbon footprint.</w:t>
      </w:r>
      <w:r>
        <w:br/>
      </w:r>
      <w:r>
        <w:t xml:space="preserve">E-Mobility Europe (Europe’s e-mobility sector) called for the label to be based on an EU-</w:t>
      </w:r>
      <w:r>
        <w:t xml:space="preserve"> </w:t>
      </w:r>
      <w:r>
        <w:t xml:space="preserve">wide vehicle ‘eco-score’ system, which could include energy efficiency and electric range</w:t>
      </w:r>
      <w:r>
        <w:t xml:space="preserve"> </w:t>
      </w:r>
      <w:r>
        <w:t xml:space="preserve">measured under the WLTP, the carbon footprint of the battery, embedded carbon emissions</w:t>
      </w:r>
      <w:r>
        <w:t xml:space="preserve"> </w:t>
      </w:r>
      <w:r>
        <w:t xml:space="preserve">of steel and aluminium and the level of recycled materials.</w:t>
      </w:r>
      <w:r>
        <w:t xml:space="preserve"> </w:t>
      </w:r>
      <w:r>
        <w:t xml:space="preserve">Ireland called for ensuring that the label remains applicable when the majority of new cars</w:t>
      </w:r>
      <w:r>
        <w:t xml:space="preserve"> </w:t>
      </w:r>
      <w:r>
        <w:t xml:space="preserve">were electric.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city of Hamburg (from the perspective of a market surveillance authority) noted that</w:t>
      </w:r>
      <w:r>
        <w:t xml:space="preserve"> </w:t>
      </w:r>
      <w:r>
        <w:t xml:space="preserve">enforcing the existing rules of the Directive was already a challenge, so the inclusion of</w:t>
      </w:r>
      <w:r>
        <w:t xml:space="preserve"> </w:t>
      </w:r>
      <w:r>
        <w:t xml:space="preserve">additional information, which would not be taken from the CoC would be a concern. They</w:t>
      </w:r>
      <w:r>
        <w:t xml:space="preserve"> </w:t>
      </w:r>
      <w:r>
        <w:t xml:space="preserve">also called for the inclusion of the Vehicle Identification Number (VIN) on the label to</w:t>
      </w:r>
      <w:r>
        <w:t xml:space="preserve"> </w:t>
      </w:r>
      <w:r>
        <w:t xml:space="preserve">support market surveillance authorities. While supporting the inclusion of carbon footprint</w:t>
      </w:r>
      <w:r>
        <w:t xml:space="preserve"> </w:t>
      </w:r>
      <w:r>
        <w:t xml:space="preserve">information, they underlined that this information had to be able to be easily verifiable.</w:t>
      </w:r>
      <w:r>
        <w:t xml:space="preserve"> </w:t>
      </w:r>
      <w:r>
        <w:t xml:space="preserve">They also called for information from the tyre label to be integrated into the car label.</w:t>
      </w:r>
      <w:r>
        <w:br/>
      </w:r>
      <w:r>
        <w:t xml:space="preserve">T&amp;E called for the limits for each label class to be defined on the basis of real-world</w:t>
      </w:r>
      <w:r>
        <w:t xml:space="preserve"> </w:t>
      </w:r>
      <w:r>
        <w:t xml:space="preserve">information. They also called for the inclusion of information on a vehicle’s carbon</w:t>
      </w:r>
      <w:r>
        <w:t xml:space="preserve"> </w:t>
      </w:r>
      <w:r>
        <w:t xml:space="preserve">footprint, local content, certified battery state-of-health, real world charging information,</w:t>
      </w:r>
      <w:r>
        <w:t xml:space="preserve"> </w:t>
      </w:r>
      <w:r>
        <w:t xml:space="preserve">TCO and air pollutants. T&amp;E also called for a country-specific part of the label to include</w:t>
      </w:r>
      <w:r>
        <w:t xml:space="preserve"> </w:t>
      </w:r>
      <w:r>
        <w:t xml:space="preserve">information on taxes, incentives and driving restrictions. EV100 called for the inclusion of</w:t>
      </w:r>
      <w:r>
        <w:t xml:space="preserve"> </w:t>
      </w:r>
      <w:r>
        <w:t xml:space="preserve">information on real world energy/fuel consumption based on OBFCM data, TCO, battery</w:t>
      </w:r>
      <w:r>
        <w:t xml:space="preserve"> </w:t>
      </w:r>
      <w:r>
        <w:t xml:space="preserve">capacity and health data, embedded carbon footprint and/or local content information and</w:t>
      </w:r>
      <w:r>
        <w:t xml:space="preserve"> </w:t>
      </w:r>
      <w:r>
        <w:t xml:space="preserve">air pollutants on the label. T&amp;E and EV100 called for the class system underlying the main</w:t>
      </w:r>
      <w:r>
        <w:t xml:space="preserve"> </w:t>
      </w:r>
      <w:r>
        <w:t xml:space="preserve">visual on the label to distinguish between ZEVs and non-ZEVs, with the best three rating</w:t>
      </w:r>
      <w:r>
        <w:t xml:space="preserve"> </w:t>
      </w:r>
      <w:r>
        <w:t xml:space="preserve">reserved for BEVs, differentiated by the carbon footprint of their materials, which would</w:t>
      </w:r>
      <w:r>
        <w:t xml:space="preserve"> </w:t>
      </w:r>
      <w:r>
        <w:t xml:space="preserve">favour smaller BEVs that are more affordable.</w:t>
      </w:r>
      <w:r>
        <w:br/>
      </w:r>
      <w:r>
        <w:t xml:space="preserve">In relation to the use of communication channels and digital tools, many stakeholders</w:t>
      </w:r>
      <w:r>
        <w:t xml:space="preserve"> </w:t>
      </w:r>
      <w:r>
        <w:t xml:space="preserve">underlined the importance of consumers researching their car purchase online and making</w:t>
      </w:r>
      <w:r>
        <w:t xml:space="preserve"> </w:t>
      </w:r>
      <w:r>
        <w:t xml:space="preserve">decisions before they visited a car showroom. ACEA argued that there was a need for a</w:t>
      </w:r>
      <w:r>
        <w:t xml:space="preserve"> </w:t>
      </w:r>
      <w:r>
        <w:t xml:space="preserve">customer-focused approach to displaying the information in the most appropriate form</w:t>
      </w:r>
      <w:r>
        <w:t xml:space="preserve"> </w:t>
      </w:r>
      <w:r>
        <w:t xml:space="preserve">online. T&amp;E and EV100 called for harmonised information to be provided on all</w:t>
      </w:r>
      <w:r>
        <w:t xml:space="preserve"> </w:t>
      </w:r>
      <w:r>
        <w:t xml:space="preserve">communication channels and points of sale, including promotional content, comparative</w:t>
      </w:r>
      <w:r>
        <w:t xml:space="preserve"> </w:t>
      </w:r>
      <w:r>
        <w:t xml:space="preserve">tools and manufacturers’ websites. T&amp;E also called for harmonised information to be</w:t>
      </w:r>
      <w:r>
        <w:t xml:space="preserve"> </w:t>
      </w:r>
      <w:r>
        <w:t xml:space="preserve">provided in the car. AIG, ZAW and BDZV (German newspaper and digital publishers)</w:t>
      </w:r>
      <w:r>
        <w:t xml:space="preserve"> </w:t>
      </w:r>
      <w:r>
        <w:t xml:space="preserve">called for the label to be available at the point of sale, either physically or online, and in</w:t>
      </w:r>
      <w:r>
        <w:t xml:space="preserve"> </w:t>
      </w:r>
      <w:r>
        <w:t xml:space="preserve">technical promotional material, but not in advertisements. Ireland called for the expansion</w:t>
      </w:r>
      <w:r>
        <w:t xml:space="preserve"> </w:t>
      </w:r>
      <w:r>
        <w:t xml:space="preserve">of the Directive to all promotional materials, including print, broadcast and digital media,</w:t>
      </w:r>
      <w:r>
        <w:t xml:space="preserve"> </w:t>
      </w:r>
      <w:r>
        <w:t xml:space="preserve">as well as billboards and electronic displays. Ireland also supported replacing the fuel</w:t>
      </w:r>
      <w:r>
        <w:t xml:space="preserve"> </w:t>
      </w:r>
      <w:r>
        <w:t xml:space="preserve">economy guide with a digital means of accessing this information. They also underlined</w:t>
      </w:r>
      <w:r>
        <w:t xml:space="preserve"> </w:t>
      </w:r>
      <w:r>
        <w:t xml:space="preserve">that enforcement – particularly relating to digital advertising – was challenging and so</w:t>
      </w:r>
      <w:r>
        <w:t xml:space="preserve"> </w:t>
      </w:r>
      <w:r>
        <w:t xml:space="preserve">proposed integrating the Directive into the EU’s Market Surveillance framework. This was</w:t>
      </w:r>
      <w:r>
        <w:t xml:space="preserve"> </w:t>
      </w:r>
      <w:r>
        <w:t xml:space="preserve">also proposed by the city of Hamburg.</w:t>
      </w:r>
      <w:r>
        <w:br/>
      </w:r>
      <w:r>
        <w:t xml:space="preserve">ACEA questioned the added value of extending the scope of the legislation to cover new</w:t>
      </w:r>
      <w:r>
        <w:t xml:space="preserve"> </w:t>
      </w:r>
      <w:r>
        <w:t xml:space="preserve">vans, arguing that commercial buyers were better informed than private car buyers about</w:t>
      </w:r>
      <w:r>
        <w:t xml:space="preserve"> </w:t>
      </w:r>
      <w:r>
        <w:t xml:space="preserve">the fuel consumption of vehicles, while also noting that obtaining accurate information for</w:t>
      </w:r>
      <w:r>
        <w:t xml:space="preserve"> </w:t>
      </w:r>
      <w:r>
        <w:t xml:space="preserve">multi-stage vans was difficult. They also considered there to be negligible added value in</w:t>
      </w:r>
      <w:r>
        <w:t xml:space="preserve"> </w:t>
      </w:r>
      <w:r>
        <w:t xml:space="preserve">extending the scope to used vehicles and noted the challenges of obtaining accurate data</w:t>
      </w:r>
      <w:r>
        <w:t xml:space="preserve"> </w:t>
      </w:r>
      <w:r>
        <w:t xml:space="preserve">for such vehicles. T&amp;E and EV100 called for the legislation to apply all second-hand cars.</w:t>
      </w:r>
      <w:r>
        <w:t xml:space="preserve"> </w:t>
      </w:r>
      <w:r>
        <w:t xml:space="preserve">Ireland supported the extension of the scope to new vans and second-hand cars. The city</w:t>
      </w:r>
      <w:r>
        <w:t xml:space="preserve"> </w:t>
      </w:r>
      <w:r>
        <w:t xml:space="preserve">of Hamburg underlined that, if the scope was extended to second-hand cars, a database</w:t>
      </w:r>
      <w:r>
        <w:t xml:space="preserve"> </w:t>
      </w:r>
      <w:r>
        <w:t xml:space="preserve">was needed to facilitate market surveillance.</w:t>
      </w:r>
    </w:p>
    <w:p>
      <w:pPr>
        <w:pStyle w:val="BodyText"/>
      </w:pPr>
      <w:r>
        <w:t xml:space="preserve">18</w:t>
      </w:r>
    </w:p>
    <w:p>
      <w:pPr>
        <w:pStyle w:val="Compact"/>
        <w:numPr>
          <w:ilvl w:val="0"/>
          <w:numId w:val="1002"/>
        </w:numPr>
      </w:pPr>
      <w:r>
        <w:t xml:space="preserve">REPLIES TO THE CALL FOR EVIDENCE</w:t>
      </w:r>
      <w:r>
        <w:t xml:space="preserve"> </w:t>
      </w:r>
      <w:r>
        <w:t xml:space="preserve">4.1.</w:t>
      </w:r>
      <w:r>
        <w:t xml:space="preserve"> </w:t>
      </w:r>
      <w:r>
        <w:t xml:space="preserve">Call for evidence for the revision of the LDV CO2 emission standards</w:t>
      </w:r>
      <w:r>
        <w:t xml:space="preserve"> </w:t>
      </w:r>
      <w:r>
        <w:t xml:space="preserve">Regulation</w:t>
      </w:r>
      <w:r>
        <w:t xml:space="preserve"> </w:t>
      </w:r>
      <w:r>
        <w:t xml:space="preserve">Twenty-four responses to the call for evidence for the revision of the LDV CO2 emission</w:t>
      </w:r>
      <w:r>
        <w:t xml:space="preserve"> </w:t>
      </w:r>
      <w:r>
        <w:t xml:space="preserve">standards Regulation were also submitted as part of the public consultation and so are</w:t>
      </w:r>
      <w:r>
        <w:t xml:space="preserve"> </w:t>
      </w:r>
      <w:r>
        <w:t xml:space="preserve">covered in Section 2 of this Annex. This Section analyses the other responses to the call</w:t>
      </w:r>
      <w:r>
        <w:t xml:space="preserve"> </w:t>
      </w:r>
      <w:r>
        <w:t xml:space="preserve">for evidence.</w:t>
      </w:r>
      <w:r>
        <w:br/>
      </w:r>
      <w:r>
        <w:t xml:space="preserve">BMW argued that since the 100% CO2 emissions reduction target for 2035 was set, actual</w:t>
      </w:r>
      <w:r>
        <w:t xml:space="preserve"> </w:t>
      </w:r>
      <w:r>
        <w:t xml:space="preserve">market developments, specifically the market share of BEVs and wider issues (including</w:t>
      </w:r>
      <w:r>
        <w:t xml:space="preserve"> </w:t>
      </w:r>
      <w:r>
        <w:t xml:space="preserve">volatile energy prices and dependence on imported critical materials) have not matched</w:t>
      </w:r>
      <w:r>
        <w:t xml:space="preserve"> </w:t>
      </w:r>
      <w:r>
        <w:t xml:space="preserve">regulatory expectations, resulting in a risk of market distortions, declining sales and an</w:t>
      </w:r>
      <w:r>
        <w:t xml:space="preserve"> </w:t>
      </w:r>
      <w:r>
        <w:t xml:space="preserve">ageing fleet. Consequently, they called for a revision of the CO2 targets to reflect the</w:t>
      </w:r>
      <w:r>
        <w:t xml:space="preserve"> </w:t>
      </w:r>
      <w:r>
        <w:t xml:space="preserve">market reality, the incentivisation of the integration of BEVs into the energy system and</w:t>
      </w:r>
      <w:r>
        <w:t xml:space="preserve"> </w:t>
      </w:r>
      <w:r>
        <w:t xml:space="preserve">an acknowledgement of the purchase price of lower carbon materials. Specifically, BMW</w:t>
      </w:r>
      <w:r>
        <w:t xml:space="preserve"> </w:t>
      </w:r>
      <w:r>
        <w:t xml:space="preserve">also called for the introduction of a carbon correction factor (CCF) for renewable and low</w:t>
      </w:r>
      <w:r>
        <w:t xml:space="preserve"> </w:t>
      </w:r>
      <w:r>
        <w:t xml:space="preserve">carbon fuels that are compliant with the Renewable Energy Directive (RED) and support</w:t>
      </w:r>
      <w:r>
        <w:t xml:space="preserve"> </w:t>
      </w:r>
      <w:r>
        <w:t xml:space="preserve">for vehicles certified as only able to use RED-compliant, carbon neutral fuels (CNFs)</w:t>
      </w:r>
      <w:r>
        <w:t xml:space="preserve"> </w:t>
      </w:r>
      <w:r>
        <w:t xml:space="preserve">through digital monitoring and verification. They also called for maintaining “realistic”</w:t>
      </w:r>
      <w:r>
        <w:t xml:space="preserve"> </w:t>
      </w:r>
      <w:r>
        <w:t xml:space="preserve">utility factors for PHEVs beyond 2025. In the longer-term, BMW called for comprehensive</w:t>
      </w:r>
      <w:r>
        <w:t xml:space="preserve"> </w:t>
      </w:r>
      <w:r>
        <w:t xml:space="preserve">carbon accounting based on life cycle assessment (LCA) and technology neutrality.</w:t>
      </w:r>
      <w:r>
        <w:br/>
      </w:r>
      <w:r>
        <w:t xml:space="preserve">Stellantis underlined that it fully supported ACEA’s submission (submitted and covered</w:t>
      </w:r>
      <w:r>
        <w:t xml:space="preserve"> </w:t>
      </w:r>
      <w:r>
        <w:t xml:space="preserve">as part of the OPC) and noted that experience in Norway suggested that electrifying light</w:t>
      </w:r>
      <w:r>
        <w:t xml:space="preserve"> </w:t>
      </w:r>
      <w:r>
        <w:t xml:space="preserve">commercial vehicles (LCVs) was challenging. Consequently for 2025 to 2029, they called</w:t>
      </w:r>
      <w:r>
        <w:t xml:space="preserve"> </w:t>
      </w:r>
      <w:r>
        <w:t xml:space="preserve">for extending the averaging period for the LCV reduction target to five years and</w:t>
      </w:r>
      <w:r>
        <w:t xml:space="preserve"> </w:t>
      </w:r>
      <w:r>
        <w:t xml:space="preserve">introducing credits to give more weight to electric LCVs when determining manufacturers’</w:t>
      </w:r>
      <w:r>
        <w:t xml:space="preserve"> </w:t>
      </w:r>
      <w:r>
        <w:t xml:space="preserve">emissions. For 2030 to 2034, they also called for five-year averaging, alongside an</w:t>
      </w:r>
      <w:r>
        <w:t xml:space="preserve"> </w:t>
      </w:r>
      <w:r>
        <w:t xml:space="preserve">adaptation of the target. For this same period for passenger cars, Stellantis again called for</w:t>
      </w:r>
      <w:r>
        <w:t xml:space="preserve"> </w:t>
      </w:r>
      <w:r>
        <w:t xml:space="preserve">five-year averaging, as well as super-credits for electric vehicles with “smaller-than-</w:t>
      </w:r>
      <w:r>
        <w:t xml:space="preserve"> </w:t>
      </w:r>
      <w:r>
        <w:t xml:space="preserve">average” batteries. They also emphasised the importance of enabling conditions,</w:t>
      </w:r>
      <w:r>
        <w:t xml:space="preserve"> </w:t>
      </w:r>
      <w:r>
        <w:t xml:space="preserve">specifically access to affordable, available and convenient charging, both at home and in</w:t>
      </w:r>
      <w:r>
        <w:t xml:space="preserve"> </w:t>
      </w:r>
      <w:r>
        <w:t xml:space="preserve">public.</w:t>
      </w:r>
      <w:r>
        <w:br/>
      </w:r>
      <w:r>
        <w:t xml:space="preserve">PFA (French automotive industry) underlined that consumers were not buying BEVs at</w:t>
      </w:r>
      <w:r>
        <w:t xml:space="preserve"> </w:t>
      </w:r>
      <w:r>
        <w:t xml:space="preserve">the level needed, which risked shrinking the market and undermining the viability of the</w:t>
      </w:r>
      <w:r>
        <w:t xml:space="preserve"> </w:t>
      </w:r>
      <w:r>
        <w:t xml:space="preserve">French automotive sector. They called for the adoption of an LCA-based approach. For</w:t>
      </w:r>
      <w:r>
        <w:t xml:space="preserve"> </w:t>
      </w:r>
      <w:r>
        <w:t xml:space="preserve">LCVs, they called for five-year averaging for 2025 to 2029, the introduction of super-</w:t>
      </w:r>
      <w:r>
        <w:t xml:space="preserve"> </w:t>
      </w:r>
      <w:r>
        <w:t xml:space="preserve">credits for fully electric LCVs and for the 2030 target to be adjusted to -30% based on five-</w:t>
      </w:r>
      <w:r>
        <w:t xml:space="preserve"> </w:t>
      </w:r>
      <w:r>
        <w:t xml:space="preserve">year averaging. In addition, for LCVs, PFA wanted to see rewards for manufacturers’</w:t>
      </w:r>
      <w:r>
        <w:t xml:space="preserve"> </w:t>
      </w:r>
      <w:r>
        <w:t xml:space="preserve">investments in decarbonisation, the slope to be adjusted to ensure that lightweight LCVs</w:t>
      </w:r>
      <w:r>
        <w:t xml:space="preserve"> </w:t>
      </w:r>
      <w:r>
        <w:t xml:space="preserve">contribute positively and an easing of the requirements applicable to larger (category N2)</w:t>
      </w:r>
      <w:r>
        <w:t xml:space="preserve"> </w:t>
      </w:r>
      <w:r>
        <w:t xml:space="preserve">LCVs. For cars, they also supported a five-year averaging between 2028 and 2032, and for</w:t>
      </w:r>
      <w:r>
        <w:t xml:space="preserve"> </w:t>
      </w:r>
      <w:r>
        <w:t xml:space="preserve">manufacturers’ investments in decarbonisation to be rewarded, particularly in relation to</w:t>
      </w:r>
      <w:r>
        <w:t xml:space="preserve"> </w:t>
      </w:r>
      <w:r>
        <w:t xml:space="preserve">accelerating fleet renewal. PFA also called for the introduction of a super-credit for small</w:t>
      </w:r>
      <w:r>
        <w:t xml:space="preserve"> </w:t>
      </w:r>
      <w:r>
        <w:t xml:space="preserve">BEVs with a battery capacity of 60 kWh or less. In order to restore “technological</w:t>
      </w:r>
      <w:r>
        <w:t xml:space="preserve"> </w:t>
      </w:r>
      <w:r>
        <w:t xml:space="preserve">freedom”, they sought the introduction of a CCF, the creation of a new ZEV category for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“CNF only”, the maintenance of the PHEV utility factor at the Euro 6e-bis level and the</w:t>
      </w:r>
      <w:r>
        <w:t xml:space="preserve"> </w:t>
      </w:r>
      <w:r>
        <w:t xml:space="preserve">establishment of a ZEV-PHEV category for PHEVs equipped with fast charging and</w:t>
      </w:r>
      <w:r>
        <w:t xml:space="preserve"> </w:t>
      </w:r>
      <w:r>
        <w:t xml:space="preserve">having a minimum electric range. PFA also called for the definition of a European content</w:t>
      </w:r>
      <w:r>
        <w:t xml:space="preserve"> </w:t>
      </w:r>
      <w:r>
        <w:t xml:space="preserve">requirement for vehicles, and for this to be integrated into relevant legislation, including</w:t>
      </w:r>
      <w:r>
        <w:t xml:space="preserve"> </w:t>
      </w:r>
      <w:r>
        <w:t xml:space="preserve">the CO2 standards. Finally, they underlined the importance of accelerating the deployment</w:t>
      </w:r>
      <w:r>
        <w:t xml:space="preserve"> </w:t>
      </w:r>
      <w:r>
        <w:t xml:space="preserve">of BEV charging infrastructure, not least by strengthening the Alternative Fuels</w:t>
      </w:r>
      <w:r>
        <w:t xml:space="preserve"> </w:t>
      </w:r>
      <w:r>
        <w:t xml:space="preserve">Infrastructure Regulation (AFIR), and for targeted incentives and subsidies to improve the</w:t>
      </w:r>
      <w:r>
        <w:t xml:space="preserve"> </w:t>
      </w:r>
      <w:r>
        <w:t xml:space="preserve">TCO of BEVs.</w:t>
      </w:r>
      <w:r>
        <w:t xml:space="preserve"> </w:t>
      </w:r>
      <w:r>
        <w:t xml:space="preserve">Auto SAP (Czech automotive industry) outlined the challenges that the industry was</w:t>
      </w:r>
      <w:r>
        <w:t xml:space="preserve"> </w:t>
      </w:r>
      <w:r>
        <w:t xml:space="preserve">facing, not least the rate of uptake of BEVs and the challenges that this poses to meeting</w:t>
      </w:r>
      <w:r>
        <w:t xml:space="preserve"> </w:t>
      </w:r>
      <w:r>
        <w:t xml:space="preserve">the CO2 reduction targets. For cars, they called for a five-year averaging for the 2030 target</w:t>
      </w:r>
      <w:r>
        <w:t xml:space="preserve"> </w:t>
      </w:r>
      <w:r>
        <w:t xml:space="preserve">between 2028 and 2032 and the suspension of increases to the PHEV utility factor beyond</w:t>
      </w:r>
      <w:r>
        <w:t xml:space="preserve"> </w:t>
      </w:r>
      <w:r>
        <w:t xml:space="preserve">the Euro 6e-bis level, as well as for a lower threshold (15%) and no cap for the ZLEV</w:t>
      </w:r>
      <w:r>
        <w:t xml:space="preserve"> </w:t>
      </w:r>
      <w:r>
        <w:t xml:space="preserve">incentive for 2025 to 2029, and for a higher threshold (35%) and no cap for the period</w:t>
      </w:r>
      <w:r>
        <w:t xml:space="preserve"> </w:t>
      </w:r>
      <w:r>
        <w:t xml:space="preserve">2030-2034. Relating to fuels, Auto SAP wanted to see the creation of a CNF only vehicle</w:t>
      </w:r>
      <w:r>
        <w:t xml:space="preserve"> </w:t>
      </w:r>
      <w:r>
        <w:t xml:space="preserve">category that counted as a ZEV, as well as the introduction of a Renewable Fuels</w:t>
      </w:r>
      <w:r>
        <w:t xml:space="preserve"> </w:t>
      </w:r>
      <w:r>
        <w:t xml:space="preserve">Coefficient based on the EU average mix. They also called for super-credits for BEVs with</w:t>
      </w:r>
      <w:r>
        <w:t xml:space="preserve"> </w:t>
      </w:r>
      <w:r>
        <w:t xml:space="preserve">small battery capacities and energy efficient BEVs, making detailed proposals for both.</w:t>
      </w:r>
      <w:r>
        <w:t xml:space="preserve"> </w:t>
      </w:r>
      <w:r>
        <w:t xml:space="preserve">Finally, Auto SAP sought the gradual, voluntary introduction of an LCA-based approach,</w:t>
      </w:r>
      <w:r>
        <w:t xml:space="preserve"> </w:t>
      </w:r>
      <w:r>
        <w:t xml:space="preserve">legislative reviews in 2029 and 2033 and for any negative slope to be set to zero to avoid</w:t>
      </w:r>
      <w:r>
        <w:t xml:space="preserve"> </w:t>
      </w:r>
      <w:r>
        <w:t xml:space="preserve">the penalisation of heavier BEVs.</w:t>
      </w:r>
      <w:r>
        <w:br/>
      </w:r>
      <w:r>
        <w:t xml:space="preserve">ANFAC (Spanish automotive industry) highlighted the different geopolitical and market</w:t>
      </w:r>
      <w:r>
        <w:t xml:space="preserve"> </w:t>
      </w:r>
      <w:r>
        <w:t xml:space="preserve">situation that exists now compared to when the current targets were set. They argued that</w:t>
      </w:r>
      <w:r>
        <w:t xml:space="preserve"> </w:t>
      </w:r>
      <w:r>
        <w:t xml:space="preserve">the 2030 reduction target was unattainable and so called for revisions to the regulatory</w:t>
      </w:r>
      <w:r>
        <w:t xml:space="preserve"> </w:t>
      </w:r>
      <w:r>
        <w:t xml:space="preserve">framework. They underlined that these must ensure the affordability of BEVs and ensure</w:t>
      </w:r>
      <w:r>
        <w:t xml:space="preserve"> </w:t>
      </w:r>
      <w:r>
        <w:t xml:space="preserve">fair competition between manufacturers with different vehicle portfolios, while</w:t>
      </w:r>
      <w:r>
        <w:t xml:space="preserve"> </w:t>
      </w:r>
      <w:r>
        <w:t xml:space="preserve">maintaining the commitment to electrification. ANFAC called for flexibilities to encourage</w:t>
      </w:r>
      <w:r>
        <w:t xml:space="preserve"> </w:t>
      </w:r>
      <w:r>
        <w:t xml:space="preserve">smaller BEVs, a simplification of monitoring and reporting procedures and for the</w:t>
      </w:r>
      <w:r>
        <w:t xml:space="preserve"> </w:t>
      </w:r>
      <w:r>
        <w:t xml:space="preserve">maintenance of a strong European value chain.</w:t>
      </w:r>
      <w:r>
        <w:t xml:space="preserve"> </w:t>
      </w:r>
      <w:r>
        <w:t xml:space="preserve">UNRAE (foreign vehicle manufacturers operating in Italy) underlined the importance of</w:t>
      </w:r>
      <w:r>
        <w:t xml:space="preserve"> </w:t>
      </w:r>
      <w:r>
        <w:t xml:space="preserve">technology neutrality, so that the use of renewable fuels and advanced technologies were</w:t>
      </w:r>
      <w:r>
        <w:t xml:space="preserve"> </w:t>
      </w:r>
      <w:r>
        <w:t xml:space="preserve">able to complement electrification. They also called for the goal of decarbonisation to be</w:t>
      </w:r>
      <w:r>
        <w:t xml:space="preserve"> </w:t>
      </w:r>
      <w:r>
        <w:t xml:space="preserve">pursued in an economically sustainable and socially equitable way. UNRAE also</w:t>
      </w:r>
      <w:r>
        <w:t xml:space="preserve"> </w:t>
      </w:r>
      <w:r>
        <w:t xml:space="preserve">underlined the importance of providing accessible and affordable charging infrastructure</w:t>
      </w:r>
      <w:r>
        <w:t xml:space="preserve"> </w:t>
      </w:r>
      <w:r>
        <w:t xml:space="preserve">and of giving support to the market. They also called for consistency between different EU</w:t>
      </w:r>
      <w:r>
        <w:t xml:space="preserve"> </w:t>
      </w:r>
      <w:r>
        <w:t xml:space="preserve">regulation and for the revision to be based on widespread consultation and evidence.</w:t>
      </w:r>
      <w:r>
        <w:br/>
      </w:r>
      <w:r>
        <w:t xml:space="preserve">Lucid (BEV manufacturer) argued that the 2035 zero emission target protected European</w:t>
      </w:r>
      <w:r>
        <w:t xml:space="preserve"> </w:t>
      </w:r>
      <w:r>
        <w:t xml:space="preserve">competitiveness and so the target should be maintained, as the transition to BEVs will</w:t>
      </w:r>
      <w:r>
        <w:t xml:space="preserve"> </w:t>
      </w:r>
      <w:r>
        <w:t xml:space="preserve">occur and it was important to provide a stable regulatory environment to support</w:t>
      </w:r>
      <w:r>
        <w:t xml:space="preserve"> </w:t>
      </w:r>
      <w:r>
        <w:t xml:space="preserve">investment. Furthermore, they argued that hybrids, e-fuels and other low carbon fuels were</w:t>
      </w:r>
      <w:r>
        <w:t xml:space="preserve"> </w:t>
      </w:r>
      <w:r>
        <w:t xml:space="preserve">not solutions, as they involved burning fossil fuels, wasting electricity and contributing to</w:t>
      </w:r>
      <w:r>
        <w:t xml:space="preserve"> </w:t>
      </w:r>
      <w:r>
        <w:t xml:space="preserve">air pollution.</w:t>
      </w:r>
      <w:r>
        <w:br/>
      </w:r>
      <w:r>
        <w:t xml:space="preserve">Horse (powertrain manufacturer) underlined the importance of a technology neutral</w:t>
      </w:r>
      <w:r>
        <w:t xml:space="preserve"> </w:t>
      </w:r>
      <w:r>
        <w:t xml:space="preserve">approach and the need for a LCA approach. They called for the introduction of a CCF to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reflect lifecycle emissions, for a CNF fuel to be defined as one that delivers a GHG</w:t>
      </w:r>
      <w:r>
        <w:t xml:space="preserve"> </w:t>
      </w:r>
      <w:r>
        <w:t xml:space="preserve">reduction of at least 70% and for vehicles using CNF to be considered as a ZEV in the</w:t>
      </w:r>
      <w:r>
        <w:t xml:space="preserve"> </w:t>
      </w:r>
      <w:r>
        <w:t xml:space="preserve">context of the CO2 emission standards Regulation.</w:t>
      </w:r>
      <w:r>
        <w:br/>
      </w:r>
      <w:r>
        <w:t xml:space="preserve">EBA (European Biogas Association) noted that the focus of the CO2 emission standards</w:t>
      </w:r>
      <w:r>
        <w:t xml:space="preserve"> </w:t>
      </w:r>
      <w:r>
        <w:t xml:space="preserve">on tailpipe emissions overlooked the decarbonisation potential over the whole vehicle</w:t>
      </w:r>
      <w:r>
        <w:t xml:space="preserve"> </w:t>
      </w:r>
      <w:r>
        <w:t xml:space="preserve">lifecycle, particularly of renewable fuels of biological origin that are compliant with the</w:t>
      </w:r>
      <w:r>
        <w:t xml:space="preserve"> </w:t>
      </w:r>
      <w:r>
        <w:t xml:space="preserve">sustainability criteria of the RED. Consequently, they called for the CO2 emissions</w:t>
      </w:r>
      <w:r>
        <w:t xml:space="preserve"> </w:t>
      </w:r>
      <w:r>
        <w:t xml:space="preserve">standards Regulation to consider the important role of biogases and biomethane in</w:t>
      </w:r>
      <w:r>
        <w:t xml:space="preserve"> </w:t>
      </w:r>
      <w:r>
        <w:t xml:space="preserve">decarbonising road transport, and for these fuels to be monitored and verified according to</w:t>
      </w:r>
      <w:r>
        <w:t xml:space="preserve"> </w:t>
      </w:r>
      <w:r>
        <w:t xml:space="preserve">Union-wide standards. EBA called for a formal recognition of CNF as an integral part of</w:t>
      </w:r>
      <w:r>
        <w:t xml:space="preserve"> </w:t>
      </w:r>
      <w:r>
        <w:t xml:space="preserve">the EU’s road transport decarbonisation strategy, arguing that this would help to support</w:t>
      </w:r>
      <w:r>
        <w:t xml:space="preserve"> </w:t>
      </w:r>
      <w:r>
        <w:t xml:space="preserve">the EU’s competitiveness. They underlined the importance of a well-to-wheel (WTW)</w:t>
      </w:r>
      <w:r>
        <w:t xml:space="preserve"> </w:t>
      </w:r>
      <w:r>
        <w:t xml:space="preserve">approach for assessing emissions and called for the introduction of a CCF and a dedicated</w:t>
      </w:r>
      <w:r>
        <w:t xml:space="preserve"> </w:t>
      </w:r>
      <w:r>
        <w:t xml:space="preserve">vehicle category for vehicles powered exclusively by CNF.</w:t>
      </w:r>
      <w:r>
        <w:br/>
      </w:r>
      <w:r>
        <w:t xml:space="preserve">EBB (European Biodiesel Board) called for a technology neutral approach in order to</w:t>
      </w:r>
      <w:r>
        <w:t xml:space="preserve"> </w:t>
      </w:r>
      <w:r>
        <w:t xml:space="preserve">recognise all potential solutions for decarbonising transport, including biofuels.</w:t>
      </w:r>
      <w:r>
        <w:t xml:space="preserve"> </w:t>
      </w:r>
      <w:r>
        <w:t xml:space="preserve">Specifically, they called for the implementation of a new category of vehicle powered</w:t>
      </w:r>
      <w:r>
        <w:t xml:space="preserve"> </w:t>
      </w:r>
      <w:r>
        <w:t xml:space="preserve">exclusively by CNF and the introduction of a CCF to reflect the benefits of biofuels and</w:t>
      </w:r>
      <w:r>
        <w:t xml:space="preserve"> </w:t>
      </w:r>
      <w:r>
        <w:t xml:space="preserve">other RED-compliant fuels.</w:t>
      </w:r>
      <w:r>
        <w:br/>
      </w:r>
      <w:r>
        <w:t xml:space="preserve">MVaK (advanced biofuels producers) called for a technology-inclusive approach that</w:t>
      </w:r>
      <w:r>
        <w:t xml:space="preserve"> </w:t>
      </w:r>
      <w:r>
        <w:t xml:space="preserve">recognised sustainable fuels alongside electrification. In particular, they called for a</w:t>
      </w:r>
      <w:r>
        <w:t xml:space="preserve"> </w:t>
      </w:r>
      <w:r>
        <w:t xml:space="preserve">technology-neutral definition of CNF, based on that in the RED, the introduction of a CCF</w:t>
      </w:r>
      <w:r>
        <w:t xml:space="preserve"> </w:t>
      </w:r>
      <w:r>
        <w:t xml:space="preserve">and for a dedicated category for vehicles powered exclusively by CNF and for these</w:t>
      </w:r>
      <w:r>
        <w:t xml:space="preserve"> </w:t>
      </w:r>
      <w:r>
        <w:t xml:space="preserve">vehicles to be considered a ZEV.</w:t>
      </w:r>
      <w:r>
        <w:br/>
      </w:r>
      <w:r>
        <w:t xml:space="preserve">UPEI (independent energy and mobility suppliers) called for a technology-inclusive</w:t>
      </w:r>
      <w:r>
        <w:t xml:space="preserve"> </w:t>
      </w:r>
      <w:r>
        <w:t xml:space="preserve">definition of CNF based on the RED and WGMM (Working Group on Monitoring</w:t>
      </w:r>
      <w:r>
        <w:t xml:space="preserve"> </w:t>
      </w:r>
      <w:r>
        <w:t xml:space="preserve">Methodologies of CNF) definitions, the introduction of a CCF based on a WTW approach,</w:t>
      </w:r>
      <w:r>
        <w:t xml:space="preserve"> </w:t>
      </w:r>
      <w:r>
        <w:t xml:space="preserve">and for a new category of vehicle exclusively powered by CNF.</w:t>
      </w:r>
      <w:r>
        <w:t xml:space="preserve"> </w:t>
      </w:r>
      <w:r>
        <w:t xml:space="preserve">There was also support for similar interventions from national associations and companies</w:t>
      </w:r>
      <w:r>
        <w:t xml:space="preserve"> </w:t>
      </w:r>
      <w:r>
        <w:t xml:space="preserve">working on different fuels.</w:t>
      </w:r>
      <w:r>
        <w:br/>
      </w:r>
      <w:r>
        <w:t xml:space="preserve">BDBe (German bioethanol producers) called for the recognition of CNF in the CO2</w:t>
      </w:r>
      <w:r>
        <w:t xml:space="preserve"> </w:t>
      </w:r>
      <w:r>
        <w:t xml:space="preserve">emissions standards Regulation, based on the approach set out by the WGMM, to ensure</w:t>
      </w:r>
      <w:r>
        <w:t xml:space="preserve"> </w:t>
      </w:r>
      <w:r>
        <w:t xml:space="preserve">a technologically neutral approach that enabled the achievement of the Regulation’s</w:t>
      </w:r>
      <w:r>
        <w:t xml:space="preserve"> </w:t>
      </w:r>
      <w:r>
        <w:t xml:space="preserve">objectives within a realistic timeframe. In order to take account of the contribution to</w:t>
      </w:r>
      <w:r>
        <w:t xml:space="preserve"> </w:t>
      </w:r>
      <w:r>
        <w:t xml:space="preserve">emissions reduction of CNF, they wanted to see the adoption of a WTW approach. BDBe</w:t>
      </w:r>
      <w:r>
        <w:t xml:space="preserve"> </w:t>
      </w:r>
      <w:r>
        <w:t xml:space="preserve">concluded by underlining the risks of taking an approach that relied on a single technology,</w:t>
      </w:r>
      <w:r>
        <w:t xml:space="preserve"> </w:t>
      </w:r>
      <w:r>
        <w:t xml:space="preserve">namely electrification.</w:t>
      </w:r>
      <w:r>
        <w:br/>
      </w:r>
      <w:r>
        <w:t xml:space="preserve">CRECEMOS (Spanish renewable fuels value chain) noted that electrification would play</w:t>
      </w:r>
      <w:r>
        <w:t xml:space="preserve"> </w:t>
      </w:r>
      <w:r>
        <w:t xml:space="preserve">an important role in decarbonising road transport, but underlined that relying solely on it</w:t>
      </w:r>
      <w:r>
        <w:t xml:space="preserve"> </w:t>
      </w:r>
      <w:r>
        <w:t xml:space="preserve">was risky and called for more attention to be paid to the use of CNF in ICEVs. They sought</w:t>
      </w:r>
      <w:r>
        <w:t xml:space="preserve"> </w:t>
      </w:r>
      <w:r>
        <w:t xml:space="preserve">a move to an approach based on WTW and LCA. Specifically, CRECEMOS called for the</w:t>
      </w:r>
      <w:r>
        <w:t xml:space="preserve"> </w:t>
      </w:r>
      <w:r>
        <w:t xml:space="preserve">removal of the de facto ban on ICEVs, the establishment of a carbon-neutral vehicle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category that counted as a ZEV and for consideration of the WGMM methodologies for</w:t>
      </w:r>
      <w:r>
        <w:t xml:space="preserve"> </w:t>
      </w:r>
      <w:r>
        <w:t xml:space="preserve">certifying and tracking the use of CNF.</w:t>
      </w:r>
      <w:r>
        <w:br/>
      </w:r>
      <w:r>
        <w:t xml:space="preserve">The USGBC (developing export markets for US bioproducts) called for the CO2 emission</w:t>
      </w:r>
      <w:r>
        <w:t xml:space="preserve"> </w:t>
      </w:r>
      <w:r>
        <w:t xml:space="preserve">standards Regulation to not only focus on electrification, but also ICEVs running on low</w:t>
      </w:r>
      <w:r>
        <w:t xml:space="preserve"> </w:t>
      </w:r>
      <w:r>
        <w:t xml:space="preserve">carbon fuels, including sustainable bioethanol. They wanted to see an emphasis on</w:t>
      </w:r>
      <w:r>
        <w:t xml:space="preserve"> </w:t>
      </w:r>
      <w:r>
        <w:t xml:space="preserve">technological neutrality, which defined a CNF in the same way as the RED.</w:t>
      </w:r>
      <w:r>
        <w:br/>
      </w:r>
      <w:r>
        <w:t xml:space="preserve">NGV Italy (Italian gas-powered transport) and Federauto (Italian auto concessionaries)</w:t>
      </w:r>
      <w:r>
        <w:t xml:space="preserve"> </w:t>
      </w:r>
      <w:r>
        <w:t xml:space="preserve">both argued that focusing on electrification was not compatible with decarbonising road</w:t>
      </w:r>
      <w:r>
        <w:t xml:space="preserve"> </w:t>
      </w:r>
      <w:r>
        <w:t xml:space="preserve">transport. They both underlined that the BEV market was not developing as it had been</w:t>
      </w:r>
      <w:r>
        <w:t xml:space="preserve"> </w:t>
      </w:r>
      <w:r>
        <w:t xml:space="preserve">anticipated and that the BEV charging network was not yet sufficient. As a result, both</w:t>
      </w:r>
      <w:r>
        <w:t xml:space="preserve"> </w:t>
      </w:r>
      <w:r>
        <w:t xml:space="preserve">called for the introduction of a CCF to take account of WTW and LCA emissions, giving</w:t>
      </w:r>
      <w:r>
        <w:t xml:space="preserve"> </w:t>
      </w:r>
      <w:r>
        <w:t xml:space="preserve">a higher priority to the potential role of renewable fuels and removing the excess emissions</w:t>
      </w:r>
      <w:r>
        <w:t xml:space="preserve"> </w:t>
      </w:r>
      <w:r>
        <w:t xml:space="preserve">premiums, as manufacturers were not solely responsible for meeting the CO2 emission</w:t>
      </w:r>
      <w:r>
        <w:t xml:space="preserve"> </w:t>
      </w:r>
      <w:r>
        <w:t xml:space="preserve">reduction targets.</w:t>
      </w:r>
      <w:r>
        <w:br/>
      </w:r>
      <w:r>
        <w:t xml:space="preserve">Moeve (Spanish renewable fuels and BEV charging company) called for the ambition of</w:t>
      </w:r>
      <w:r>
        <w:t xml:space="preserve"> </w:t>
      </w:r>
      <w:r>
        <w:t xml:space="preserve">the CO2 emission standards Regulation to be maintained, although with a shift to a</w:t>
      </w:r>
      <w:r>
        <w:t xml:space="preserve"> </w:t>
      </w:r>
      <w:r>
        <w:t xml:space="preserve">technology-neutral approach. In this context, they wanted to see the creation of a new</w:t>
      </w:r>
      <w:r>
        <w:t xml:space="preserve"> </w:t>
      </w:r>
      <w:r>
        <w:t xml:space="preserve">vehicle category of vehicle that uses CNF, defined as any RED-compliant fuel, and the</w:t>
      </w:r>
      <w:r>
        <w:t xml:space="preserve"> </w:t>
      </w:r>
      <w:r>
        <w:t xml:space="preserve">introduction of a CCF.</w:t>
      </w:r>
      <w:r>
        <w:br/>
      </w:r>
      <w:r>
        <w:t xml:space="preserve">Raizen (Brazil-based bioenergy producer) underlined the importance of technology</w:t>
      </w:r>
      <w:r>
        <w:t xml:space="preserve"> </w:t>
      </w:r>
      <w:r>
        <w:t xml:space="preserve">neutrality, drawing on experience in Brazil, in order to allow all low carbon technologies</w:t>
      </w:r>
      <w:r>
        <w:t xml:space="preserve"> </w:t>
      </w:r>
      <w:r>
        <w:t xml:space="preserve">to compete based on their lifecycle performance.</w:t>
      </w:r>
      <w:r>
        <w:br/>
      </w:r>
      <w:r>
        <w:t xml:space="preserve">EDF (electricity company) called for maintaining the current approach, as this would boost</w:t>
      </w:r>
      <w:r>
        <w:t xml:space="preserve"> </w:t>
      </w:r>
      <w:r>
        <w:t xml:space="preserve">the competitiveness of EU manufacturers, empower consumers and strengthen energy</w:t>
      </w:r>
      <w:r>
        <w:t xml:space="preserve"> </w:t>
      </w:r>
      <w:r>
        <w:t xml:space="preserve">sovereignty. They underlined that PHEVs had higher costs and lower environmental</w:t>
      </w:r>
      <w:r>
        <w:t xml:space="preserve"> </w:t>
      </w:r>
      <w:r>
        <w:t xml:space="preserve">benefits than BEVs, and that alternative fuels, including hydrogen, delivered less CO2</w:t>
      </w:r>
      <w:r>
        <w:t xml:space="preserve"> </w:t>
      </w:r>
      <w:r>
        <w:t xml:space="preserve">reduction for higher costs.</w:t>
      </w:r>
      <w:r>
        <w:br/>
      </w:r>
      <w:r>
        <w:t xml:space="preserve">Iberdrola (renewable energy company) called for the current approach to be maintained to</w:t>
      </w:r>
      <w:r>
        <w:t xml:space="preserve"> </w:t>
      </w:r>
      <w:r>
        <w:t xml:space="preserve">ensure regulatory certainty, but noted that the deployment of charging infrastructure</w:t>
      </w:r>
      <w:r>
        <w:t xml:space="preserve"> </w:t>
      </w:r>
      <w:r>
        <w:t xml:space="preserve">needed to be strengthened and that measures were needed to support the affordability and</w:t>
      </w:r>
      <w:r>
        <w:t xml:space="preserve"> </w:t>
      </w:r>
      <w:r>
        <w:t xml:space="preserve">uptake of ZEVs.</w:t>
      </w:r>
      <w:r>
        <w:br/>
      </w:r>
      <w:r>
        <w:t xml:space="preserve">Atlante (charging infrastructure developer) also called for maintaining the 2035 zero</w:t>
      </w:r>
      <w:r>
        <w:t xml:space="preserve"> </w:t>
      </w:r>
      <w:r>
        <w:t xml:space="preserve">emission target, and for only recognising alternative fuels as transitional, in order to</w:t>
      </w:r>
      <w:r>
        <w:t xml:space="preserve"> </w:t>
      </w:r>
      <w:r>
        <w:t xml:space="preserve">support investment planning for the companies involved, to maintain confidence in the</w:t>
      </w:r>
      <w:r>
        <w:t xml:space="preserve"> </w:t>
      </w:r>
      <w:r>
        <w:t xml:space="preserve">stability of EU Regulation and to maintain the EU’s leadership in the global transition to</w:t>
      </w:r>
      <w:r>
        <w:t xml:space="preserve"> </w:t>
      </w:r>
      <w:r>
        <w:t xml:space="preserve">BEVs.</w:t>
      </w:r>
      <w:r>
        <w:br/>
      </w:r>
      <w:r>
        <w:t xml:space="preserve">AKL (Finnish motor trades and repairs) underlined the importance of a technology neutral</w:t>
      </w:r>
      <w:r>
        <w:t xml:space="preserve"> </w:t>
      </w:r>
      <w:r>
        <w:t xml:space="preserve">approach that made use of e-fuels to deliver the necessary emissions reductions, alongside</w:t>
      </w:r>
      <w:r>
        <w:t xml:space="preserve"> </w:t>
      </w:r>
      <w:r>
        <w:t xml:space="preserve">the continued promotion of BEVs. They also noted that there was a need to strengthen</w:t>
      </w:r>
      <w:r>
        <w:t xml:space="preserve"> </w:t>
      </w:r>
      <w:r>
        <w:t xml:space="preserve">consumer demand for low emission vehicles and for more charging infrastructure.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VFAS (Swiss car trade) called for a weakening of the targets for both cars and LCVs (to</w:t>
      </w:r>
      <w:r>
        <w:t xml:space="preserve"> </w:t>
      </w:r>
      <w:r>
        <w:t xml:space="preserve">reach a 75% reduction for cars, and a 66% for vans, by 2040), as well as for lower rates</w:t>
      </w:r>
      <w:r>
        <w:t xml:space="preserve"> </w:t>
      </w:r>
      <w:r>
        <w:t xml:space="preserve">for the excess emissions premiums and for a two-year phase-in period for all targets.</w:t>
      </w:r>
      <w:r>
        <w:br/>
      </w:r>
      <w:r>
        <w:t xml:space="preserve">Mobilians (French mobility services) also called for technology neutrality and for the</w:t>
      </w:r>
      <w:r>
        <w:t xml:space="preserve"> </w:t>
      </w:r>
      <w:r>
        <w:t xml:space="preserve">introduction of a CCF to recognise the role of other energy carriers alongside BEVs. They</w:t>
      </w:r>
      <w:r>
        <w:t xml:space="preserve"> </w:t>
      </w:r>
      <w:r>
        <w:t xml:space="preserve">underlined the importance of a simplification of monitoring and reporting by using digital</w:t>
      </w:r>
      <w:r>
        <w:t xml:space="preserve"> </w:t>
      </w:r>
      <w:r>
        <w:t xml:space="preserve">tools, and for the vans CO2 emissions standards to acknowledge their different use cases</w:t>
      </w:r>
      <w:r>
        <w:t xml:space="preserve"> </w:t>
      </w:r>
      <w:r>
        <w:t xml:space="preserve">and infrastructure needs compared to cars. Mobilians also wanted to see more incentives</w:t>
      </w:r>
      <w:r>
        <w:t xml:space="preserve"> </w:t>
      </w:r>
      <w:r>
        <w:t xml:space="preserve">and tax breaks, as well as a robust charging network, to support the uptake of BEVs.</w:t>
      </w:r>
      <w:r>
        <w:br/>
      </w:r>
      <w:r>
        <w:t xml:space="preserve">NLA (Nordic Logistics Association) called for the removal of regulatory barriers to the</w:t>
      </w:r>
      <w:r>
        <w:t xml:space="preserve"> </w:t>
      </w:r>
      <w:r>
        <w:t xml:space="preserve">uptake of battery electric vans, specifically the fact that electric-powered vans that have a</w:t>
      </w:r>
      <w:r>
        <w:t xml:space="preserve"> </w:t>
      </w:r>
      <w:r>
        <w:t xml:space="preserve">total permissible laden weight between 3,501-4,250 kg are subject to rules for small trucks.</w:t>
      </w:r>
      <w:r>
        <w:t xml:space="preserve"> </w:t>
      </w:r>
      <w:r>
        <w:t xml:space="preserve">They wanted to see the raising of the weight threshold for electric-powered vans from</w:t>
      </w:r>
      <w:r>
        <w:t xml:space="preserve"> </w:t>
      </w:r>
      <w:r>
        <w:t xml:space="preserve">3,500 kg to 4,250 kg to address this concern, which would help to increase the market</w:t>
      </w:r>
      <w:r>
        <w:t xml:space="preserve"> </w:t>
      </w:r>
      <w:r>
        <w:t xml:space="preserve">uptake of heavier electric vans. In addition, they underlined the importance of subsidies</w:t>
      </w:r>
      <w:r>
        <w:t xml:space="preserve"> </w:t>
      </w:r>
      <w:r>
        <w:t xml:space="preserve">and incentives, rolling out charging infrastructure and adequate grid capacity.</w:t>
      </w:r>
      <w:r>
        <w:br/>
      </w:r>
      <w:r>
        <w:t xml:space="preserve">VW Stahl (German Steel Association) called for the consideration of the production phase</w:t>
      </w:r>
      <w:r>
        <w:t xml:space="preserve"> </w:t>
      </w:r>
      <w:r>
        <w:t xml:space="preserve">of vehicles in the CO2 emission standards Regulation, through the inclusion of a super-</w:t>
      </w:r>
      <w:r>
        <w:t xml:space="preserve"> </w:t>
      </w:r>
      <w:r>
        <w:t xml:space="preserve">credit to encourage manufacturers to increase the share of low emission steel produced in</w:t>
      </w:r>
      <w:r>
        <w:t xml:space="preserve"> </w:t>
      </w:r>
      <w:r>
        <w:t xml:space="preserve">the EU that they use in vehicle manufacture. They underlined that the verification of the</w:t>
      </w:r>
      <w:r>
        <w:t xml:space="preserve"> </w:t>
      </w:r>
      <w:r>
        <w:t xml:space="preserve">related emission savings should be transparent and based on the Low Emission Steel</w:t>
      </w:r>
      <w:r>
        <w:t xml:space="preserve"> </w:t>
      </w:r>
      <w:r>
        <w:t xml:space="preserve">Standard.</w:t>
      </w:r>
      <w:r>
        <w:t xml:space="preserve"> </w:t>
      </w:r>
      <w:r>
        <w:t xml:space="preserve">DIHK (German chambers of commerce and industry) underlined that companies would</w:t>
      </w:r>
      <w:r>
        <w:t xml:space="preserve"> </w:t>
      </w:r>
      <w:r>
        <w:t xml:space="preserve">generally not want to see further adjustments or tightening of the CO2 emission standards.</w:t>
      </w:r>
      <w:r>
        <w:t xml:space="preserve"> </w:t>
      </w:r>
      <w:r>
        <w:t xml:space="preserve">They called for a technology-neutral and market-driven approach that supports different</w:t>
      </w:r>
      <w:r>
        <w:t xml:space="preserve"> </w:t>
      </w:r>
      <w:r>
        <w:t xml:space="preserve">low and zero carbon options on equal terms, including sustainable, locally produced</w:t>
      </w:r>
      <w:r>
        <w:t xml:space="preserve"> </w:t>
      </w:r>
      <w:r>
        <w:t xml:space="preserve">biogas, synthetic fuels and green hydrogen, as well as for an examination of how the rules</w:t>
      </w:r>
      <w:r>
        <w:t xml:space="preserve"> </w:t>
      </w:r>
      <w:r>
        <w:t xml:space="preserve">could be simplified to reduce administrative burden.</w:t>
      </w:r>
      <w:r>
        <w:br/>
      </w:r>
      <w:r>
        <w:t xml:space="preserve">VDMA (German Engineering Federation) argued that the current targets were unrealistic</w:t>
      </w:r>
      <w:r>
        <w:t xml:space="preserve"> </w:t>
      </w:r>
      <w:r>
        <w:t xml:space="preserve">and so called for the CO2 emissions standards to be more technologically open to include</w:t>
      </w:r>
      <w:r>
        <w:t xml:space="preserve"> </w:t>
      </w:r>
      <w:r>
        <w:t xml:space="preserve">a role for PHEVs and ICEVs using e-fuels beyond 2035. They wanted a WTW approach</w:t>
      </w:r>
      <w:r>
        <w:t xml:space="preserve"> </w:t>
      </w:r>
      <w:r>
        <w:t xml:space="preserve">to be used to determine a vehicle’s CO2 emissions and asked for a freezing of the PHEV</w:t>
      </w:r>
      <w:r>
        <w:t xml:space="preserve"> </w:t>
      </w:r>
      <w:r>
        <w:t xml:space="preserve">utility factor at 2025 levels.</w:t>
      </w:r>
      <w:r>
        <w:br/>
      </w:r>
      <w:r>
        <w:t xml:space="preserve">Digital Trade 4 EU (supporting digitalisation) called for the CO2 emissions standards</w:t>
      </w:r>
      <w:r>
        <w:t xml:space="preserve"> </w:t>
      </w:r>
      <w:r>
        <w:t xml:space="preserve">Regulation to be linked to digital product passports to enhance compliance and reduce</w:t>
      </w:r>
      <w:r>
        <w:t xml:space="preserve"> </w:t>
      </w:r>
      <w:r>
        <w:t xml:space="preserve">administrative burden.</w:t>
      </w:r>
      <w:r>
        <w:br/>
      </w:r>
      <w:r>
        <w:t xml:space="preserve">ZVEI (German electrical and digital industry) highlighted the importance of maintaining</w:t>
      </w:r>
      <w:r>
        <w:t xml:space="preserve"> </w:t>
      </w:r>
      <w:r>
        <w:t xml:space="preserve">the current legislative framework and the current targets, as they considered that this</w:t>
      </w:r>
      <w:r>
        <w:t xml:space="preserve"> </w:t>
      </w:r>
      <w:r>
        <w:t xml:space="preserve">provided sufficient lead time for the transition and noted that the increased number of new</w:t>
      </w:r>
      <w:r>
        <w:t xml:space="preserve"> </w:t>
      </w:r>
      <w:r>
        <w:t xml:space="preserve">ZEV registrations in the EU during the first half of 2025 demonstrated the effect of the</w:t>
      </w:r>
      <w:r>
        <w:t xml:space="preserve"> </w:t>
      </w:r>
      <w:r>
        <w:t xml:space="preserve">targets. ZVEI also called for the inclusion of an e-fuel powered vehicles as a ZEV for the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purpose of the CO2 emissions targets. They also highlighted the importance of expanding</w:t>
      </w:r>
      <w:r>
        <w:t xml:space="preserve"> </w:t>
      </w:r>
      <w:r>
        <w:t xml:space="preserve">charging infrastructure and of having support measures to encourage ZEV uptake.</w:t>
      </w:r>
      <w:r>
        <w:br/>
      </w:r>
      <w:r>
        <w:t xml:space="preserve">WKO (Austrian Federal Economic Chamber) wanted to see a technologically neutral</w:t>
      </w:r>
      <w:r>
        <w:t xml:space="preserve"> </w:t>
      </w:r>
      <w:r>
        <w:t xml:space="preserve">approach that allowed for the inclusion of PHEVs and ICEVs powered by certified CNF.</w:t>
      </w:r>
      <w:r>
        <w:t xml:space="preserve"> </w:t>
      </w:r>
      <w:r>
        <w:t xml:space="preserve">They also called for an adjustment to the 2035 target, given that BEV technology and</w:t>
      </w:r>
      <w:r>
        <w:t xml:space="preserve"> </w:t>
      </w:r>
      <w:r>
        <w:t xml:space="preserve">charging infrastructure are not likely to be sufficiently developed in the 2030s, and a</w:t>
      </w:r>
      <w:r>
        <w:t xml:space="preserve"> </w:t>
      </w:r>
      <w:r>
        <w:t xml:space="preserve">recognition that new battery electric vans should be affordable for SMEs, so as not to</w:t>
      </w:r>
      <w:r>
        <w:t xml:space="preserve"> </w:t>
      </w:r>
      <w:r>
        <w:t xml:space="preserve">adversely affect their competitiveness. WKO want the CO2 standards Regulation to set a</w:t>
      </w:r>
      <w:r>
        <w:t xml:space="preserve"> </w:t>
      </w:r>
      <w:r>
        <w:t xml:space="preserve">pragmatic path towards the use of CNF by recognising a vehicle powered exclusively by</w:t>
      </w:r>
      <w:r>
        <w:t xml:space="preserve"> </w:t>
      </w:r>
      <w:r>
        <w:t xml:space="preserve">e-fuels as a ZEV, maintaining the PHEV utility factor at the Euro 6e-bis level and</w:t>
      </w:r>
      <w:r>
        <w:t xml:space="preserve"> </w:t>
      </w:r>
      <w:r>
        <w:t xml:space="preserve">transitioning to an LCA approach.</w:t>
      </w:r>
      <w:r>
        <w:br/>
      </w:r>
      <w:r>
        <w:t xml:space="preserve">Ingevity (a chemicals company) called on a revision of the Euro 7 emissions standard to</w:t>
      </w:r>
      <w:r>
        <w:t xml:space="preserve"> </w:t>
      </w:r>
      <w:r>
        <w:t xml:space="preserve">be undertaken alongside the review of the CO2 emission standards, if the latter review</w:t>
      </w:r>
      <w:r>
        <w:t xml:space="preserve"> </w:t>
      </w:r>
      <w:r>
        <w:t xml:space="preserve">weakened the CO2 reduction targets.</w:t>
      </w:r>
      <w:r>
        <w:br/>
      </w:r>
      <w:r>
        <w:t xml:space="preserve">The OECC (Spanish Office for Climate Change) underlined that the targets should remain</w:t>
      </w:r>
      <w:r>
        <w:t xml:space="preserve"> </w:t>
      </w:r>
      <w:r>
        <w:t xml:space="preserve">unchanged in order to ensure long-term security and predictability. They argued that the</w:t>
      </w:r>
      <w:r>
        <w:t xml:space="preserve"> </w:t>
      </w:r>
      <w:r>
        <w:t xml:space="preserve">role of PHEVs should be limited, as their real-world fuel consumption and emissions were</w:t>
      </w:r>
      <w:r>
        <w:t xml:space="preserve"> </w:t>
      </w:r>
      <w:r>
        <w:t xml:space="preserve">higher than their test cycle values, although they did see a role for 100% renewable fuels</w:t>
      </w:r>
      <w:r>
        <w:t xml:space="preserve"> </w:t>
      </w:r>
      <w:r>
        <w:t xml:space="preserve">of non-biological origin in applications that were difficult to electrify or where it was</w:t>
      </w:r>
      <w:r>
        <w:t xml:space="preserve"> </w:t>
      </w:r>
      <w:r>
        <w:t xml:space="preserve">important to accelerate decarbonisation. However, they believed that such fuels should be</w:t>
      </w:r>
      <w:r>
        <w:t xml:space="preserve"> </w:t>
      </w:r>
      <w:r>
        <w:t xml:space="preserve">used exclusively, rather than blended, as it would not be possible to ensure the carbon</w:t>
      </w:r>
      <w:r>
        <w:t xml:space="preserve"> </w:t>
      </w:r>
      <w:r>
        <w:t xml:space="preserve">footprint of blended fuels. The OECC also called for revenues from excess emissions</w:t>
      </w:r>
      <w:r>
        <w:t xml:space="preserve"> </w:t>
      </w:r>
      <w:r>
        <w:t xml:space="preserve">premiums to be used to support BEVs, as these were the most mature and cost-efficient</w:t>
      </w:r>
      <w:r>
        <w:t xml:space="preserve"> </w:t>
      </w:r>
      <w:r>
        <w:t xml:space="preserve">decarbonisation technology.</w:t>
      </w:r>
      <w:r>
        <w:br/>
      </w:r>
      <w:r>
        <w:t xml:space="preserve">The German region of Bavaria called for the CO2 emission standards, particularly the</w:t>
      </w:r>
      <w:r>
        <w:t xml:space="preserve"> </w:t>
      </w:r>
      <w:r>
        <w:t xml:space="preserve">targets, to be adapted so as not to cause lasting damage to the EU automotive sector. They</w:t>
      </w:r>
      <w:r>
        <w:t xml:space="preserve"> </w:t>
      </w:r>
      <w:r>
        <w:t xml:space="preserve">wanted a framework to be developed for the inclusion of vehicles that exclusively used</w:t>
      </w:r>
      <w:r>
        <w:t xml:space="preserve"> </w:t>
      </w:r>
      <w:r>
        <w:t xml:space="preserve">CNF, and for a broader technology neutral approach that ensured that PHEVs and range</w:t>
      </w:r>
      <w:r>
        <w:t xml:space="preserve"> </w:t>
      </w:r>
      <w:r>
        <w:t xml:space="preserve">extended vehicles were able to be used in the long term. Bavaria also called a reduction in</w:t>
      </w:r>
      <w:r>
        <w:t xml:space="preserve"> </w:t>
      </w:r>
      <w:r>
        <w:t xml:space="preserve">administrative burden, appropriate consideration of a vehicle’s entire CO2 footprint and</w:t>
      </w:r>
      <w:r>
        <w:t xml:space="preserve"> </w:t>
      </w:r>
      <w:r>
        <w:t xml:space="preserve">the development of a competitive and affordable charging network for electric and</w:t>
      </w:r>
      <w:r>
        <w:t xml:space="preserve"> </w:t>
      </w:r>
      <w:r>
        <w:t xml:space="preserve">hydrogen vehicles.</w:t>
      </w:r>
      <w:r>
        <w:br/>
      </w:r>
      <w:r>
        <w:t xml:space="preserve">The Italian region of Lombardy wanted an urgent review of the CO2 emission reduction</w:t>
      </w:r>
      <w:r>
        <w:t xml:space="preserve"> </w:t>
      </w:r>
      <w:r>
        <w:t xml:space="preserve">targets and for the 2035 targets to be amended to reflect the role of alternative fuels,</w:t>
      </w:r>
      <w:r>
        <w:t xml:space="preserve"> </w:t>
      </w:r>
      <w:r>
        <w:t xml:space="preserve">particularly biofuels, in reducing emissions. They also called for an urgent review of the</w:t>
      </w:r>
      <w:r>
        <w:t xml:space="preserve"> </w:t>
      </w:r>
      <w:r>
        <w:t xml:space="preserve">excess emissions premiums, as well as for the application of the principle of technology</w:t>
      </w:r>
      <w:r>
        <w:t xml:space="preserve"> </w:t>
      </w:r>
      <w:r>
        <w:t xml:space="preserve">neutrality and the application of LCA.</w:t>
      </w:r>
      <w:r>
        <w:br/>
      </w:r>
      <w:r>
        <w:t xml:space="preserve">VZVB (German consumers) called for the maintenance of the existing targets, arguing that</w:t>
      </w:r>
      <w:r>
        <w:t xml:space="preserve"> </w:t>
      </w:r>
      <w:r>
        <w:t xml:space="preserve">weakening them would delay the transition and leave consumers to pay the price, both</w:t>
      </w:r>
      <w:r>
        <w:t xml:space="preserve"> </w:t>
      </w:r>
      <w:r>
        <w:t xml:space="preserve">economically and ecologically. They wanted to see BEVs having to meet weight-</w:t>
      </w:r>
      <w:r>
        <w:t xml:space="preserve"> </w:t>
      </w:r>
      <w:r>
        <w:t xml:space="preserve">independent efficiency standards from 2030, that would operate in the same way as the</w:t>
      </w:r>
      <w:r>
        <w:t xml:space="preserve"> </w:t>
      </w:r>
      <w:r>
        <w:t xml:space="preserve">CO2 emissions standards (with a proposed fleet-wide target of 16 kWh/100 km), with</w:t>
      </w:r>
      <w:r>
        <w:t xml:space="preserve"> </w:t>
      </w:r>
      <w:r>
        <w:t xml:space="preserve">penalties for manufacturers that exceed these limits, in order to encourage smaller, more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efficient models. VZVB also called for mandatory reporting of lifecycle emissions to</w:t>
      </w:r>
      <w:r>
        <w:t xml:space="preserve"> </w:t>
      </w:r>
      <w:r>
        <w:t xml:space="preserve">replace the current voluntary approach, so that this could be used as the basis of setting</w:t>
      </w:r>
      <w:r>
        <w:t xml:space="preserve"> </w:t>
      </w:r>
      <w:r>
        <w:t xml:space="preserve">threshold values for the entire lifecycle of a vehicle, and its individual components.</w:t>
      </w:r>
      <w:r>
        <w:br/>
      </w:r>
      <w:r>
        <w:t xml:space="preserve">UVE (Portuguese BEV users) underlined the importance of maintaining the current targets,</w:t>
      </w:r>
      <w:r>
        <w:t xml:space="preserve"> </w:t>
      </w:r>
      <w:r>
        <w:t xml:space="preserve">arguing that this was important to meet climate targets and to ensure the competitiveness</w:t>
      </w:r>
      <w:r>
        <w:t xml:space="preserve"> </w:t>
      </w:r>
      <w:r>
        <w:t xml:space="preserve">of the European automotive industry. They cautioned about extending the role of</w:t>
      </w:r>
      <w:r>
        <w:t xml:space="preserve"> </w:t>
      </w:r>
      <w:r>
        <w:t xml:space="preserve">alternative fuels, arguing that hydrogen was inefficient compared to direct electrification,</w:t>
      </w:r>
      <w:r>
        <w:t xml:space="preserve"> </w:t>
      </w:r>
      <w:r>
        <w:t xml:space="preserve">that producing e-fuels had a high energy intensity and that biofuels risked taking land away</w:t>
      </w:r>
      <w:r>
        <w:t xml:space="preserve"> </w:t>
      </w:r>
      <w:r>
        <w:t xml:space="preserve">from fuel production and did nothing to reduce air pollution. UVE also called for a</w:t>
      </w:r>
      <w:r>
        <w:t xml:space="preserve"> </w:t>
      </w:r>
      <w:r>
        <w:t xml:space="preserve">strengthening of targets for the deployment of fast- and high-power charging infrastructure</w:t>
      </w:r>
      <w:r>
        <w:t xml:space="preserve"> </w:t>
      </w:r>
      <w:r>
        <w:t xml:space="preserve">and incentives and fiscal measures to support BEV uptake.</w:t>
      </w:r>
      <w:r>
        <w:br/>
      </w:r>
      <w:r>
        <w:t xml:space="preserve">DUH (German environmental and consumer NGO) strongly rejected calls for weakening</w:t>
      </w:r>
      <w:r>
        <w:t xml:space="preserve"> </w:t>
      </w:r>
      <w:r>
        <w:t xml:space="preserve">the current targets, or for increased flexibility, particularly in relation to the inclusion of</w:t>
      </w:r>
      <w:r>
        <w:t xml:space="preserve"> </w:t>
      </w:r>
      <w:r>
        <w:t xml:space="preserve">biofuels or synthetic fuels and preferential treatment for PHEVs or range extended</w:t>
      </w:r>
      <w:r>
        <w:t xml:space="preserve"> </w:t>
      </w:r>
      <w:r>
        <w:t xml:space="preserve">vehicles. They argued that crop-based biofuels had major lifecycle emissions, and even</w:t>
      </w:r>
      <w:r>
        <w:t xml:space="preserve"> </w:t>
      </w:r>
      <w:r>
        <w:t xml:space="preserve">advanced biofuels risked displacement effects and often failed to meet sustainability</w:t>
      </w:r>
      <w:r>
        <w:t xml:space="preserve"> </w:t>
      </w:r>
      <w:r>
        <w:t xml:space="preserve">criteria in practice. DUH underlined that synthetic e-fuels were around 6.5 less efficient</w:t>
      </w:r>
      <w:r>
        <w:t xml:space="preserve"> </w:t>
      </w:r>
      <w:r>
        <w:t xml:space="preserve">than direct electrification. In relation to PHEVs, they noted that studies had shown that</w:t>
      </w:r>
      <w:r>
        <w:t xml:space="preserve"> </w:t>
      </w:r>
      <w:r>
        <w:t xml:space="preserve">these vehicles emit a lot more in the real world than their WLTP values would suggest,</w:t>
      </w:r>
      <w:r>
        <w:t xml:space="preserve"> </w:t>
      </w:r>
      <w:r>
        <w:t xml:space="preserve">and so supported the adoption of a utility factor that better reflected real world emissions.</w:t>
      </w:r>
      <w:r>
        <w:t xml:space="preserve"> </w:t>
      </w:r>
      <w:r>
        <w:t xml:space="preserve">DUH argued that the current 2035 targets were achievable and, if anything, the</w:t>
      </w:r>
      <w:r>
        <w:t xml:space="preserve"> </w:t>
      </w:r>
      <w:r>
        <w:t xml:space="preserve">Commission should assess whether there should be more ambitious interim targets. While</w:t>
      </w:r>
      <w:r>
        <w:t xml:space="preserve"> </w:t>
      </w:r>
      <w:r>
        <w:t xml:space="preserve">acknowledging the importance of promoting smaller, more efficient vehicles, they argued</w:t>
      </w:r>
      <w:r>
        <w:t xml:space="preserve"> </w:t>
      </w:r>
      <w:r>
        <w:t xml:space="preserve">that any ‘small car credit’ should have strict limits and not offset sales of high emission</w:t>
      </w:r>
      <w:r>
        <w:t xml:space="preserve"> </w:t>
      </w:r>
      <w:r>
        <w:t xml:space="preserve">vehicles.</w:t>
      </w:r>
      <w:r>
        <w:br/>
      </w:r>
      <w:r>
        <w:t xml:space="preserve">IASTEC (sustainable drivetrain and technology research) called for the revision of the CO2</w:t>
      </w:r>
      <w:r>
        <w:t xml:space="preserve"> </w:t>
      </w:r>
      <w:r>
        <w:t xml:space="preserve">standards Regulation to include an ambitious CCF, the introduction of a new class of ICEV</w:t>
      </w:r>
      <w:r>
        <w:t xml:space="preserve"> </w:t>
      </w:r>
      <w:r>
        <w:t xml:space="preserve">that uses CNF and to postpone the 100% reduction target from 2035 to 2040.</w:t>
      </w:r>
      <w:r>
        <w:t xml:space="preserve"> </w:t>
      </w:r>
      <w:r>
        <w:t xml:space="preserve">4.2 Call for evidence for the revision of the Car Labelling Directive</w:t>
      </w:r>
      <w:r>
        <w:t xml:space="preserve"> </w:t>
      </w:r>
      <w:r>
        <w:t xml:space="preserve">Automotive Mobility Europe (AME, dealers and repair shops) and Mobilians (French</w:t>
      </w:r>
      <w:r>
        <w:t xml:space="preserve"> </w:t>
      </w:r>
      <w:r>
        <w:t xml:space="preserve">mobility services) called for the label to be produced upstream, arguing that the party that</w:t>
      </w:r>
      <w:r>
        <w:t xml:space="preserve"> </w:t>
      </w:r>
      <w:r>
        <w:t xml:space="preserve">places a vehicle on the market was best placed to ensure that the information on the label</w:t>
      </w:r>
      <w:r>
        <w:t xml:space="preserve"> </w:t>
      </w:r>
      <w:r>
        <w:t xml:space="preserve">was accurate, complete and consistent. AME and Mobilians also supported</w:t>
      </w:r>
      <w:r>
        <w:t xml:space="preserve"> </w:t>
      </w:r>
      <w:r>
        <w:t xml:space="preserve">harmonisation, both of the physical label and a VIN-linked page accessible via a QR code</w:t>
      </w:r>
      <w:r>
        <w:t xml:space="preserve"> </w:t>
      </w:r>
      <w:r>
        <w:t xml:space="preserve">with information about the vehicle that users and dealers could access throughout the</w:t>
      </w:r>
      <w:r>
        <w:t xml:space="preserve"> </w:t>
      </w:r>
      <w:r>
        <w:t xml:space="preserve">vehicle’s lifetime. AME and Mobilians cautioned about including information on the label</w:t>
      </w:r>
      <w:r>
        <w:t xml:space="preserve"> </w:t>
      </w:r>
      <w:r>
        <w:t xml:space="preserve">that had the potential to mislead customers and call for the inclusion of a repairability</w:t>
      </w:r>
      <w:r>
        <w:t xml:space="preserve"> </w:t>
      </w:r>
      <w:r>
        <w:t xml:space="preserve">criterion. While supporting the extension of labelling requirements to used vehicles,</w:t>
      </w:r>
      <w:r>
        <w:t xml:space="preserve"> </w:t>
      </w:r>
      <w:r>
        <w:t xml:space="preserve">AME and Mobilians noted that the source of the data and the allocation of responsibilities</w:t>
      </w:r>
      <w:r>
        <w:t xml:space="preserve"> </w:t>
      </w:r>
      <w:r>
        <w:t xml:space="preserve">would need to be clear. They also cautioned against any approach that delayed sales or</w:t>
      </w:r>
      <w:r>
        <w:t xml:space="preserve"> </w:t>
      </w:r>
      <w:r>
        <w:t xml:space="preserve">imposed disproportionate costs on SMEs.</w:t>
      </w:r>
      <w:r>
        <w:br/>
      </w:r>
      <w:r>
        <w:t xml:space="preserve">AKL (Finnish motor trade and repairs) underlined that the review of the Directive needed</w:t>
      </w:r>
      <w:r>
        <w:t xml:space="preserve"> </w:t>
      </w:r>
      <w:r>
        <w:t xml:space="preserve">to address the varying implementation across the EU, which has decreased its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effectiveness and efficiency, potentially leading to higher costs for industry. AKL called</w:t>
      </w:r>
      <w:r>
        <w:t xml:space="preserve"> </w:t>
      </w:r>
      <w:r>
        <w:t xml:space="preserve">on avoiding a paper label, as information is available digitally.</w:t>
      </w:r>
      <w:r>
        <w:br/>
      </w:r>
      <w:r>
        <w:t xml:space="preserve">EDF (electricity company) called for the label to be based on real-world emissions data</w:t>
      </w:r>
      <w:r>
        <w:t xml:space="preserve"> </w:t>
      </w:r>
      <w:r>
        <w:t xml:space="preserve">and for the highest energy classes to be reserved for electric vehicles.</w:t>
      </w:r>
      <w:r>
        <w:br/>
      </w:r>
      <w:r>
        <w:t xml:space="preserve">Iberdrola (renewable energy company) called for the harmonisation of the label across</w:t>
      </w:r>
      <w:r>
        <w:t xml:space="preserve"> </w:t>
      </w:r>
      <w:r>
        <w:t xml:space="preserve">Member States and for information on ZEVs to be included, such as their energy</w:t>
      </w:r>
      <w:r>
        <w:t xml:space="preserve"> </w:t>
      </w:r>
      <w:r>
        <w:t xml:space="preserve">consumption, range, charging time and battery durability.</w:t>
      </w:r>
      <w:r>
        <w:br/>
      </w:r>
      <w:r>
        <w:t xml:space="preserve">EGCA (advanced carbon and graphite materials) called for the inclusion of lifecycle</w:t>
      </w:r>
      <w:r>
        <w:t xml:space="preserve"> </w:t>
      </w:r>
      <w:r>
        <w:t xml:space="preserve">emissions on the label, as this would help underline the benefits of using European</w:t>
      </w:r>
      <w:r>
        <w:t xml:space="preserve"> </w:t>
      </w:r>
      <w:r>
        <w:t xml:space="preserve">graphite in batteries and potentially increase the market for EU battery material producers.</w:t>
      </w:r>
      <w:r>
        <w:t xml:space="preserve"> </w:t>
      </w:r>
      <w:r>
        <w:t xml:space="preserve">They also called for information from the battery passport to be included.</w:t>
      </w:r>
      <w:r>
        <w:br/>
      </w:r>
      <w:r>
        <w:t xml:space="preserve">DIHK (German chambers of commerce and industry) considered that the label had limited</w:t>
      </w:r>
      <w:r>
        <w:t xml:space="preserve"> </w:t>
      </w:r>
      <w:r>
        <w:t xml:space="preserve">effects on consumer choices, and called for the Commission to consider withdrawing the</w:t>
      </w:r>
      <w:r>
        <w:t xml:space="preserve"> </w:t>
      </w:r>
      <w:r>
        <w:t xml:space="preserve">Directive if its impact was not sufficient. In order to reduce administrative burden, if the</w:t>
      </w:r>
      <w:r>
        <w:t xml:space="preserve"> </w:t>
      </w:r>
      <w:r>
        <w:t xml:space="preserve">Directive is retained, its requirements should be harmonised. DIHK opposed the inclusion</w:t>
      </w:r>
      <w:r>
        <w:t xml:space="preserve"> </w:t>
      </w:r>
      <w:r>
        <w:t xml:space="preserve">of air pollutant values, carbon content of key materials or TCO, as the latter varies</w:t>
      </w:r>
      <w:r>
        <w:t xml:space="preserve"> </w:t>
      </w:r>
      <w:r>
        <w:t xml:space="preserve">constantly. If used vehicles were included in the scope of the legislation, DIHK cautioned</w:t>
      </w:r>
      <w:r>
        <w:t xml:space="preserve"> </w:t>
      </w:r>
      <w:r>
        <w:t xml:space="preserve">against including new metrics on the label. Finally, they called for the removal of the</w:t>
      </w:r>
      <w:r>
        <w:t xml:space="preserve"> </w:t>
      </w:r>
      <w:r>
        <w:t xml:space="preserve">requirement to provide printed material.</w:t>
      </w:r>
      <w:r>
        <w:br/>
      </w:r>
      <w:r>
        <w:t xml:space="preserve">The Swedish Energy Agency underlined the importance of including information on</w:t>
      </w:r>
      <w:r>
        <w:t xml:space="preserve"> </w:t>
      </w:r>
      <w:r>
        <w:t xml:space="preserve">lifecycle emissions on the label and for the label to be colour-coded and based on a</w:t>
      </w:r>
      <w:r>
        <w:t xml:space="preserve"> </w:t>
      </w:r>
      <w:r>
        <w:t xml:space="preserve">vehicle’s energy efficiency, as this allows for differentiation between electric vehicles.</w:t>
      </w:r>
      <w:r>
        <w:t xml:space="preserve"> </w:t>
      </w:r>
      <w:r>
        <w:t xml:space="preserve">They also called for the inclusion of more detailed information on PHEVs, including on</w:t>
      </w:r>
      <w:r>
        <w:t xml:space="preserve"> </w:t>
      </w:r>
      <w:r>
        <w:t xml:space="preserve">their energy use in both electric and fuel mode. They also called for the inclusion of a QR</w:t>
      </w:r>
      <w:r>
        <w:t xml:space="preserve"> </w:t>
      </w:r>
      <w:r>
        <w:t xml:space="preserve">code on the label, as well as potentially in other marketing contexts, with a link to a vehicle</w:t>
      </w:r>
      <w:r>
        <w:t xml:space="preserve"> </w:t>
      </w:r>
      <w:r>
        <w:t xml:space="preserve">specific ‘product information sheet’, as is done under the EU’s energy labelling scheme,</w:t>
      </w:r>
      <w:r>
        <w:t xml:space="preserve"> </w:t>
      </w:r>
      <w:r>
        <w:t xml:space="preserve">. and for the possibility to include information on repairability, durability, warranties and</w:t>
      </w:r>
      <w:r>
        <w:t xml:space="preserve"> </w:t>
      </w:r>
      <w:r>
        <w:t xml:space="preserve">other factors that potentially contribute to a longer vehicle lifespan.</w:t>
      </w:r>
      <w:r>
        <w:br/>
      </w:r>
      <w:r>
        <w:t xml:space="preserve">BEUC (European consumers’ organisation) called for a labelling Regulation applying to</w:t>
      </w:r>
      <w:r>
        <w:t xml:space="preserve"> </w:t>
      </w:r>
      <w:r>
        <w:t xml:space="preserve">both new and second-hand cars that defines a standardised label to be used in all Member</w:t>
      </w:r>
      <w:r>
        <w:t xml:space="preserve"> </w:t>
      </w:r>
      <w:r>
        <w:t xml:space="preserve">States. They also called for the development of an EU-wide database, potentially based on</w:t>
      </w:r>
      <w:r>
        <w:t xml:space="preserve"> </w:t>
      </w:r>
      <w:r>
        <w:t xml:space="preserve">the existing real-world CO2 values dataset. BEUC underlined the importance of providing</w:t>
      </w:r>
      <w:r>
        <w:t xml:space="preserve"> </w:t>
      </w:r>
      <w:r>
        <w:t xml:space="preserve">the basic information on a car’s real-world environmental performance to customers on all</w:t>
      </w:r>
      <w:r>
        <w:t xml:space="preserve"> </w:t>
      </w:r>
      <w:r>
        <w:t xml:space="preserve">promotional content. They see the car label becoming a passport that accompanies a</w:t>
      </w:r>
      <w:r>
        <w:t xml:space="preserve"> </w:t>
      </w:r>
      <w:r>
        <w:t xml:space="preserve">vehicle over the course of its lifetime, in the same way as the Environmental Vehicle</w:t>
      </w:r>
      <w:r>
        <w:t xml:space="preserve"> </w:t>
      </w:r>
      <w:r>
        <w:t xml:space="preserve">Passport. They supported the use of a label design based on the EU’s energy label for</w:t>
      </w:r>
      <w:r>
        <w:t xml:space="preserve"> </w:t>
      </w:r>
      <w:r>
        <w:t xml:space="preserve">products, indicating a car’s test cycle and real-world CO2 emissions performance. They</w:t>
      </w:r>
      <w:r>
        <w:t xml:space="preserve"> </w:t>
      </w:r>
      <w:r>
        <w:t xml:space="preserve">called for the best three categories of the label to be reserved for BEVs and hydrogen</w:t>
      </w:r>
      <w:r>
        <w:t xml:space="preserve"> </w:t>
      </w:r>
      <w:r>
        <w:t xml:space="preserve">powered cars, with ZEVs distinguished by an overall ‘eco-score’, and for a country-</w:t>
      </w:r>
      <w:r>
        <w:t xml:space="preserve"> </w:t>
      </w:r>
      <w:r>
        <w:t xml:space="preserve">specific section of the label to include information about national incentives, taxes and</w:t>
      </w:r>
      <w:r>
        <w:t xml:space="preserve"> </w:t>
      </w:r>
      <w:r>
        <w:t xml:space="preserve">driving restrictions. Finally, BEUC proposed the inclusion of a QR code with a link to</w:t>
      </w:r>
      <w:r>
        <w:t xml:space="preserve"> </w:t>
      </w:r>
      <w:r>
        <w:t xml:space="preserve">complementary, vehicle-specific information, similar to Belgium’s ‘Car Pass’.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BZVB (German consumers’ organisation) called for an EU-wide harmonised label, with</w:t>
      </w:r>
      <w:r>
        <w:t xml:space="preserve"> </w:t>
      </w:r>
      <w:r>
        <w:t xml:space="preserve">clearly defined and uniform energy classes based on a vehicle’s absolute energy</w:t>
      </w:r>
      <w:r>
        <w:t xml:space="preserve"> </w:t>
      </w:r>
      <w:r>
        <w:t xml:space="preserve">consumption. They also called for electric cars to be classified into energy efficiency</w:t>
      </w:r>
      <w:r>
        <w:t xml:space="preserve"> </w:t>
      </w:r>
      <w:r>
        <w:t xml:space="preserve">classes based on their specific energy consumption, and also for meaningful and</w:t>
      </w:r>
      <w:r>
        <w:t xml:space="preserve"> </w:t>
      </w:r>
      <w:r>
        <w:t xml:space="preserve">comparable information on charging performance to be included on the label. BZVB</w:t>
      </w:r>
      <w:r>
        <w:t xml:space="preserve"> </w:t>
      </w:r>
      <w:r>
        <w:t xml:space="preserve">argued that real-world information should be used for the label, rather than WLTP values.</w:t>
      </w:r>
      <w:r>
        <w:t xml:space="preserve"> </w:t>
      </w:r>
      <w:r>
        <w:t xml:space="preserve">While underlining that a label should be kept simple, they proposed the creation of a digital</w:t>
      </w:r>
      <w:r>
        <w:t xml:space="preserve"> </w:t>
      </w:r>
      <w:r>
        <w:t xml:space="preserve">product passport for vehicles, accessible via a QR code on the label, where information</w:t>
      </w:r>
      <w:r>
        <w:t xml:space="preserve"> </w:t>
      </w:r>
      <w:r>
        <w:t xml:space="preserve">on the battery, resource consumption, repairability and disposal could be found, as well as</w:t>
      </w:r>
      <w:r>
        <w:t xml:space="preserve"> </w:t>
      </w:r>
      <w:r>
        <w:t xml:space="preserve">potentially lifecycle information. BZVB also called for an extension of the scope to all</w:t>
      </w:r>
      <w:r>
        <w:t xml:space="preserve"> </w:t>
      </w:r>
      <w:r>
        <w:t xml:space="preserve">new cars, including long-term rentals, and used cars.</w:t>
      </w:r>
      <w:r>
        <w:br/>
      </w:r>
      <w:r>
        <w:t xml:space="preserve">U.Di.Con (Italian consumers) noted that consumers had a right to receive clear, reliable</w:t>
      </w:r>
      <w:r>
        <w:t xml:space="preserve"> </w:t>
      </w:r>
      <w:r>
        <w:t xml:space="preserve">and comparable information. They also called for a gradual harmonisation of the label</w:t>
      </w:r>
      <w:r>
        <w:t xml:space="preserve"> </w:t>
      </w:r>
      <w:r>
        <w:t xml:space="preserve">amongst Member States to ensure that all consumers receive the same information.</w:t>
      </w:r>
      <w:r>
        <w:t xml:space="preserve"> </w:t>
      </w:r>
      <w:r>
        <w:t xml:space="preserve">DUH (German environmental and consumer NGO) supported the adoption of a uniform</w:t>
      </w:r>
      <w:r>
        <w:t xml:space="preserve"> </w:t>
      </w:r>
      <w:r>
        <w:t xml:space="preserve">colour-coded label across the EU based on the EU label for energy-related products, , and</w:t>
      </w:r>
      <w:r>
        <w:t xml:space="preserve"> </w:t>
      </w:r>
      <w:r>
        <w:t xml:space="preserve">based on absolute measurements. They called for the classification of BEVs to be based</w:t>
      </w:r>
      <w:r>
        <w:t xml:space="preserve"> </w:t>
      </w:r>
      <w:r>
        <w:t xml:space="preserve">on electricity consumption (including charging losses) and for ICEVs on CO2 emissions.</w:t>
      </w:r>
      <w:r>
        <w:t xml:space="preserve"> </w:t>
      </w:r>
      <w:r>
        <w:t xml:space="preserve">For PHEVs, they called for two classes, one based solely on the electric mode, and the</w:t>
      </w:r>
      <w:r>
        <w:t xml:space="preserve"> </w:t>
      </w:r>
      <w:r>
        <w:t xml:space="preserve">other based solely on the ICE mode, both using the same classification as for BEVs and</w:t>
      </w:r>
      <w:r>
        <w:t xml:space="preserve"> </w:t>
      </w:r>
      <w:r>
        <w:t xml:space="preserve">ICEVs, respectively. DUH called for relying on real-world values, but rejected the use of</w:t>
      </w:r>
      <w:r>
        <w:t xml:space="preserve"> </w:t>
      </w:r>
      <w:r>
        <w:t xml:space="preserve">lifecycle information as they considered that this was too complex and not understandable</w:t>
      </w:r>
      <w:r>
        <w:t xml:space="preserve"> </w:t>
      </w:r>
      <w:r>
        <w:t xml:space="preserve">to consumers. They also proposed that the classification limits be tightened by around</w:t>
      </w:r>
      <w:r>
        <w:t xml:space="preserve"> </w:t>
      </w:r>
      <w:r>
        <w:t xml:space="preserve">10% every three years and for maximum fuel consumption limits to be set for cars to be</w:t>
      </w:r>
      <w:r>
        <w:t xml:space="preserve"> </w:t>
      </w:r>
      <w:r>
        <w:t xml:space="preserve">allowed onto the EU market. DUH also supported extending the scope of the Directive to</w:t>
      </w:r>
      <w:r>
        <w:t xml:space="preserve"> </w:t>
      </w:r>
      <w:r>
        <w:t xml:space="preserve">cover used cars, vans and individually approved vehicles They also called for cost</w:t>
      </w:r>
      <w:r>
        <w:t xml:space="preserve"> </w:t>
      </w:r>
      <w:r>
        <w:t xml:space="preserve">information to be included, as well as a repairability index, while also supporting access to</w:t>
      </w:r>
      <w:r>
        <w:t xml:space="preserve"> </w:t>
      </w:r>
      <w:r>
        <w:t xml:space="preserve">the Circularity Vehicle Passport via a QR code. DUH also called for the inclusion of energy</w:t>
      </w:r>
      <w:r>
        <w:t xml:space="preserve"> </w:t>
      </w:r>
      <w:r>
        <w:t xml:space="preserve">consumption information and CO2 emissions in all advertising material distributed</w:t>
      </w:r>
      <w:r>
        <w:t xml:space="preserve"> </w:t>
      </w:r>
      <w:r>
        <w:t xml:space="preserve">electronically, and in online advertisements. Finally, they called for the inclusion of</w:t>
      </w:r>
      <w:r>
        <w:t xml:space="preserve"> </w:t>
      </w:r>
      <w:r>
        <w:t xml:space="preserve">market surveillance in the Directive and for associated annual reporting requirements for</w:t>
      </w:r>
      <w:r>
        <w:t xml:space="preserve"> </w:t>
      </w:r>
      <w:r>
        <w:t xml:space="preserve">Member States.</w:t>
      </w:r>
      <w:r>
        <w:br/>
      </w:r>
      <w:r>
        <w:t xml:space="preserve">ECTRI (transport research institutes) agreed with the results of the Commission’s</w:t>
      </w:r>
      <w:r>
        <w:t xml:space="preserve"> </w:t>
      </w:r>
      <w:r>
        <w:t xml:space="preserve">evaluation of the Directive and so called for harmonisation among Member States, and</w:t>
      </w:r>
      <w:r>
        <w:t xml:space="preserve"> </w:t>
      </w:r>
      <w:r>
        <w:t xml:space="preserve">for the facilitation of access and comparison of information on the label using digital</w:t>
      </w:r>
      <w:r>
        <w:t xml:space="preserve"> </w:t>
      </w:r>
      <w:r>
        <w:t xml:space="preserve">tools. They consider it useful to include on the label lifecycle GHG emissions, power</w:t>
      </w:r>
      <w:r>
        <w:t xml:space="preserve"> </w:t>
      </w:r>
      <w:r>
        <w:t xml:space="preserve">consumption and electric range for BEVs and, for PHEVs, information for both electric</w:t>
      </w:r>
      <w:r>
        <w:t xml:space="preserve"> </w:t>
      </w:r>
      <w:r>
        <w:t xml:space="preserve">and combustion engine modes. ECTRI also noted the potential benefits of including</w:t>
      </w:r>
      <w:r>
        <w:t xml:space="preserve"> </w:t>
      </w:r>
      <w:r>
        <w:t xml:space="preserve">information on TCO, including energy and CO2 costs, and the expected salvage value.</w:t>
      </w:r>
      <w:r>
        <w:br/>
      </w:r>
      <w:r>
        <w:t xml:space="preserve">Oeko-Institut and ICCT submitted a report of a study on the further development of the car</w:t>
      </w:r>
      <w:r>
        <w:t xml:space="preserve"> </w:t>
      </w:r>
      <w:r>
        <w:t xml:space="preserve">label. They recommended harmonising the label across the EU based on the colour-coded</w:t>
      </w:r>
      <w:r>
        <w:t xml:space="preserve"> </w:t>
      </w:r>
      <w:r>
        <w:t xml:space="preserve">format of the existing EU energy label and that the metric to be used to allocate vehicles</w:t>
      </w:r>
      <w:r>
        <w:t xml:space="preserve"> </w:t>
      </w:r>
      <w:r>
        <w:t xml:space="preserve">to different classes should be final energy consumption. For PHEVs, they proposed that</w:t>
      </w:r>
      <w:r>
        <w:t xml:space="preserve"> </w:t>
      </w:r>
      <w:r>
        <w:t xml:space="preserve">the final energy consumption rating be displayed separately for charge sustaining and</w:t>
      </w:r>
      <w:r>
        <w:t xml:space="preserve"> </w:t>
      </w:r>
      <w:r>
        <w:t xml:space="preserve">charge depleting modes. They also proposed that other information, such as energy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consumption of BEVs in different temperatures, BEV charging speed and CO2 emissions</w:t>
      </w:r>
      <w:r>
        <w:t xml:space="preserve"> </w:t>
      </w:r>
      <w:r>
        <w:t xml:space="preserve">of PHEVs in charge sustaining mode, was included on the label, with additional</w:t>
      </w:r>
      <w:r>
        <w:t xml:space="preserve"> </w:t>
      </w:r>
      <w:r>
        <w:t xml:space="preserve">information (energy consumption in different driving conditions, air pollutant emissions)</w:t>
      </w:r>
      <w:r>
        <w:t xml:space="preserve"> </w:t>
      </w:r>
      <w:r>
        <w:t xml:space="preserve">being accessible in a product information sheet.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ANNEX 3: WHO IS AFFECTED AND HOW?</w:t>
      </w:r>
      <w:r>
        <w:br/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following key target groups of this initiative have been identified.</w:t>
      </w:r>
      <w:r>
        <w:t xml:space="preserve"> </w:t>
      </w:r>
      <w:r>
        <w:t xml:space="preserve">•</w:t>
      </w:r>
      <w:r>
        <w:t xml:space="preserve"> </w:t>
      </w:r>
      <w:r>
        <w:t xml:space="preserve">Vehicle Manufacturers</w:t>
      </w:r>
      <w:r>
        <w:br/>
      </w:r>
      <w:r>
        <w:t xml:space="preserve">•</w:t>
      </w:r>
      <w:r>
        <w:t xml:space="preserve"> </w:t>
      </w:r>
      <w:r>
        <w:t xml:space="preserve">Suppliers of automotive components and materials</w:t>
      </w:r>
      <w:r>
        <w:br/>
      </w:r>
      <w:r>
        <w:t xml:space="preserve">•</w:t>
      </w:r>
      <w:r>
        <w:t xml:space="preserve"> </w:t>
      </w:r>
      <w:r>
        <w:t xml:space="preserve">Buyers and users of vehicles, both individuals and businesses</w:t>
      </w:r>
      <w:r>
        <w:t xml:space="preserve"> </w:t>
      </w:r>
      <w:r>
        <w:t xml:space="preserve">•</w:t>
      </w:r>
      <w:r>
        <w:t xml:space="preserve"> </w:t>
      </w:r>
      <w:r>
        <w:t xml:space="preserve">Fuel and energy suppliers</w:t>
      </w:r>
      <w:r>
        <w:br/>
      </w:r>
      <w:r>
        <w:t xml:space="preserve">•</w:t>
      </w:r>
      <w:r>
        <w:t xml:space="preserve"> </w:t>
      </w:r>
      <w:r>
        <w:t xml:space="preserve">Vehicle repair and maintenance businesses</w:t>
      </w:r>
      <w:r>
        <w:t xml:space="preserve"> </w:t>
      </w:r>
      <w:r>
        <w:t xml:space="preserve">•</w:t>
      </w:r>
      <w:r>
        <w:t xml:space="preserve"> </w:t>
      </w:r>
      <w:r>
        <w:t xml:space="preserve">Vehicle dealerships</w:t>
      </w:r>
      <w:r>
        <w:br/>
      </w:r>
      <w:r>
        <w:t xml:space="preserve">•</w:t>
      </w:r>
      <w:r>
        <w:t xml:space="preserve"> </w:t>
      </w:r>
      <w:r>
        <w:t xml:space="preserve">Society at large</w:t>
      </w:r>
    </w:p>
    <w:p>
      <w:pPr>
        <w:pStyle w:val="BodyText"/>
      </w:pPr>
      <w:r>
        <w:t xml:space="preserve">The below table summarises how these target groups are affected by this policy initiative.</w:t>
      </w:r>
      <w:r>
        <w:br/>
      </w:r>
      <w:r>
        <w:t xml:space="preserve">Type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Practical implications</w:t>
      </w:r>
      <w:r>
        <w:t xml:space="preserve"> </w:t>
      </w:r>
      <w:r>
        <w:t xml:space="preserve">Vehicle</w:t>
      </w:r>
      <w:r>
        <w:t xml:space="preserve"> </w:t>
      </w:r>
      <w:r>
        <w:t xml:space="preserve">Manufacturers</w:t>
      </w:r>
      <w:r>
        <w:br/>
      </w:r>
      <w:r>
        <w:t xml:space="preserve">The EU automotive sector has already invested massively in</w:t>
      </w:r>
      <w:r>
        <w:t xml:space="preserve"> </w:t>
      </w:r>
      <w:r>
        <w:t xml:space="preserve">electrification, and committed to invest more than EUR 250</w:t>
      </w:r>
      <w:r>
        <w:t xml:space="preserve"> </w:t>
      </w:r>
      <w:r>
        <w:t xml:space="preserve">billion by 2030. As the sector is undergoing a structural crisis and</w:t>
      </w:r>
      <w:r>
        <w:t xml:space="preserve"> </w:t>
      </w:r>
      <w:r>
        <w:t xml:space="preserve">its profits having recently reduced (see Driver 3), the flexibilities</w:t>
      </w:r>
      <w:r>
        <w:t xml:space="preserve"> </w:t>
      </w:r>
      <w:r>
        <w:t xml:space="preserve">offered by the initiative will allow vehicle manufacturers to better</w:t>
      </w:r>
      <w:r>
        <w:t xml:space="preserve"> </w:t>
      </w:r>
      <w:r>
        <w:t xml:space="preserve">optimise their portfolio to support safeguarding profits that can</w:t>
      </w:r>
      <w:r>
        <w:t xml:space="preserve"> </w:t>
      </w:r>
      <w:r>
        <w:t xml:space="preserve">be used to invest, including in the transition to zero-emission</w:t>
      </w:r>
      <w:r>
        <w:t xml:space="preserve"> </w:t>
      </w:r>
      <w:r>
        <w:t xml:space="preserve">vehicles.</w:t>
      </w:r>
      <w:r>
        <w:t xml:space="preserve"> </w:t>
      </w:r>
      <w:r>
        <w:t xml:space="preserve">Safeguarding a limited market for vehicles, fitted with an ICE</w:t>
      </w:r>
      <w:r>
        <w:t xml:space="preserve"> </w:t>
      </w:r>
      <w:r>
        <w:t xml:space="preserve">will support manufacturers in optimising their global production</w:t>
      </w:r>
      <w:r>
        <w:t xml:space="preserve"> </w:t>
      </w:r>
      <w:r>
        <w:t xml:space="preserve">output by still producing in Europe such vehicles for both</w:t>
      </w:r>
      <w:r>
        <w:t xml:space="preserve"> </w:t>
      </w:r>
      <w:r>
        <w:t xml:space="preserve">domestic and export markets.</w:t>
      </w:r>
      <w:r>
        <w:t xml:space="preserve"> </w:t>
      </w:r>
      <w:r>
        <w:t xml:space="preserve">Suppliers of</w:t>
      </w:r>
      <w:r>
        <w:t xml:space="preserve"> </w:t>
      </w:r>
      <w:r>
        <w:t xml:space="preserve">automotive</w:t>
      </w:r>
      <w:r>
        <w:t xml:space="preserve"> </w:t>
      </w:r>
      <w:r>
        <w:t xml:space="preserve">components and</w:t>
      </w:r>
      <w:r>
        <w:t xml:space="preserve"> </w:t>
      </w:r>
      <w:r>
        <w:t xml:space="preserve">materials</w:t>
      </w:r>
      <w:r>
        <w:br/>
      </w:r>
      <w:r>
        <w:t xml:space="preserve">Suppliers affected by the shift towards zero-emission mobility, in</w:t>
      </w:r>
      <w:r>
        <w:t xml:space="preserve"> </w:t>
      </w:r>
      <w:r>
        <w:t xml:space="preserve">particular SMEs focused on the ICE value chain, may benefit</w:t>
      </w:r>
      <w:r>
        <w:t xml:space="preserve"> </w:t>
      </w:r>
      <w:r>
        <w:t xml:space="preserve">from more technology openness that safeguards some EU market</w:t>
      </w:r>
      <w:r>
        <w:t xml:space="preserve"> </w:t>
      </w:r>
      <w:r>
        <w:t xml:space="preserve">for those technologies. This could support some investment in</w:t>
      </w:r>
      <w:r>
        <w:t xml:space="preserve"> </w:t>
      </w:r>
      <w:r>
        <w:t xml:space="preserve">this value chain while also providing more time to adapt to the</w:t>
      </w:r>
      <w:r>
        <w:t xml:space="preserve"> </w:t>
      </w:r>
      <w:r>
        <w:t xml:space="preserve">transition, including to mitigate employment impacts and adapt</w:t>
      </w:r>
      <w:r>
        <w:t xml:space="preserve"> </w:t>
      </w:r>
      <w:r>
        <w:t xml:space="preserve">portfolios.</w:t>
      </w:r>
      <w:r>
        <w:br/>
      </w:r>
      <w:r>
        <w:t xml:space="preserve">Safeguarding a limited market for vehicles fitted with an ICE will</w:t>
      </w:r>
      <w:r>
        <w:t xml:space="preserve"> </w:t>
      </w:r>
      <w:r>
        <w:t xml:space="preserve">support suppliers specialised in the ICE value chain that may</w:t>
      </w:r>
      <w:r>
        <w:t xml:space="preserve"> </w:t>
      </w:r>
      <w:r>
        <w:t xml:space="preserve">keep producing in Europe for both domestic and export markets.</w:t>
      </w:r>
      <w:r>
        <w:t xml:space="preserve"> </w:t>
      </w:r>
      <w:r>
        <w:t xml:space="preserve">Buyers and users</w:t>
      </w:r>
      <w:r>
        <w:t xml:space="preserve"> </w:t>
      </w:r>
      <w:r>
        <w:t xml:space="preserve">of vehicles, both</w:t>
      </w:r>
      <w:r>
        <w:t xml:space="preserve"> </w:t>
      </w:r>
      <w:r>
        <w:t xml:space="preserve">individuals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Vehicle buyers would have more options to buy than only zero-</w:t>
      </w:r>
      <w:r>
        <w:t xml:space="preserve"> </w:t>
      </w:r>
      <w:r>
        <w:t xml:space="preserve">emission vehicles even after 2035, allowing them to potentially</w:t>
      </w:r>
      <w:r>
        <w:t xml:space="preserve"> </w:t>
      </w:r>
      <w:r>
        <w:t xml:space="preserve">adapt better their purchase to specific needs. However, this would</w:t>
      </w:r>
      <w:r>
        <w:t xml:space="preserve"> </w:t>
      </w:r>
      <w:r>
        <w:t xml:space="preserve">increase the total cost of ownership.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Potential vehicle buyers, both of cars and vans, would be better</w:t>
      </w:r>
      <w:r>
        <w:t xml:space="preserve"> </w:t>
      </w:r>
      <w:r>
        <w:t xml:space="preserve">informed about the CO2 emissions and energy performance of the</w:t>
      </w:r>
      <w:r>
        <w:t xml:space="preserve"> </w:t>
      </w:r>
      <w:r>
        <w:t xml:space="preserve">vehicles offered for sale or lease.</w:t>
      </w:r>
      <w:r>
        <w:t xml:space="preserve"> </w:t>
      </w:r>
      <w:r>
        <w:t xml:space="preserve">Vehicle users would on average experience higher running costs.</w:t>
      </w:r>
      <w:r>
        <w:t xml:space="preserve"> </w:t>
      </w:r>
      <w:r>
        <w:t xml:space="preserve">Fuels and energy</w:t>
      </w:r>
      <w:r>
        <w:t xml:space="preserve"> </w:t>
      </w:r>
      <w:r>
        <w:t xml:space="preserve">suppliers</w:t>
      </w:r>
      <w:r>
        <w:br/>
      </w:r>
      <w:r>
        <w:t xml:space="preserve">There will be increased demand for sustainable renewable fuels</w:t>
      </w:r>
      <w:r>
        <w:t xml:space="preserve"> </w:t>
      </w:r>
      <w:r>
        <w:t xml:space="preserve">in road transport, which will trigger additional investment and</w:t>
      </w:r>
      <w:r>
        <w:t xml:space="preserve"> </w:t>
      </w:r>
      <w:r>
        <w:t xml:space="preserve">opportunities for fuels suppliers.</w:t>
      </w:r>
      <w:r>
        <w:t xml:space="preserve"> </w:t>
      </w:r>
      <w:r>
        <w:t xml:space="preserve">Electricity suppliers may adjust downwards their investment as</w:t>
      </w:r>
      <w:r>
        <w:t xml:space="preserve"> </w:t>
      </w:r>
      <w:r>
        <w:t xml:space="preserve">the market for electric vehicles and related electric energy</w:t>
      </w:r>
      <w:r>
        <w:t xml:space="preserve"> </w:t>
      </w:r>
      <w:r>
        <w:t xml:space="preserve">consumption will be lower than anticipated.</w:t>
      </w:r>
      <w:r>
        <w:t xml:space="preserve"> </w:t>
      </w:r>
      <w:r>
        <w:t xml:space="preserve">Vehicle repair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businesses</w:t>
      </w:r>
      <w:r>
        <w:t xml:space="preserve"> </w:t>
      </w:r>
      <w:r>
        <w:t xml:space="preserve">Vehicles fitted with an ICE requiring more maintenance than</w:t>
      </w:r>
      <w:r>
        <w:t xml:space="preserve"> </w:t>
      </w:r>
      <w:r>
        <w:t xml:space="preserve">BEV, this could moderately affect positively the vehicle repair</w:t>
      </w:r>
      <w:r>
        <w:t xml:space="preserve"> </w:t>
      </w:r>
      <w:r>
        <w:t xml:space="preserve">and maintenance business. OVC-HEV having both electric and</w:t>
      </w:r>
      <w:r>
        <w:t xml:space="preserve"> </w:t>
      </w:r>
      <w:r>
        <w:t xml:space="preserve">ICE powertrains, their needs for repair and maintenance are even</w:t>
      </w:r>
      <w:r>
        <w:t xml:space="preserve"> </w:t>
      </w:r>
      <w:r>
        <w:t xml:space="preserve">greater which will further reinforce the impact.</w:t>
      </w:r>
      <w:r>
        <w:t xml:space="preserve"> </w:t>
      </w:r>
      <w:r>
        <w:t xml:space="preserve">Vehicle dealerships Extension of the scope for vehicle labelling to include vans and</w:t>
      </w:r>
      <w:r>
        <w:t xml:space="preserve"> </w:t>
      </w:r>
      <w:r>
        <w:t xml:space="preserve">second-hand vehicles will add some cost. However, the</w:t>
      </w:r>
      <w:r>
        <w:t xml:space="preserve"> </w:t>
      </w:r>
      <w:r>
        <w:t xml:space="preserve">harmonisation across all Member States of the vehicle label will</w:t>
      </w:r>
      <w:r>
        <w:t xml:space="preserve"> </w:t>
      </w:r>
      <w:r>
        <w:t xml:space="preserve">simplify the process, leading to cost reduction and less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Society at large</w:t>
      </w:r>
      <w:r>
        <w:t xml:space="preserve"> </w:t>
      </w:r>
      <w:r>
        <w:t xml:space="preserve">Citizens could face limited worsened air quality, especially in</w:t>
      </w:r>
      <w:r>
        <w:t xml:space="preserve"> </w:t>
      </w:r>
      <w:r>
        <w:t xml:space="preserve">urban areas, as some new vehicles will still emit air pollutants</w:t>
      </w:r>
      <w:r>
        <w:t xml:space="preserve"> </w:t>
      </w:r>
      <w:r>
        <w:t xml:space="preserve">after 2035. Transport will be overall slightly more expensive than</w:t>
      </w:r>
      <w:r>
        <w:t xml:space="preserve"> </w:t>
      </w:r>
      <w:r>
        <w:t xml:space="preserve">it would have been with only zero-emission vehicles.</w:t>
      </w:r>
    </w:p>
    <w:p>
      <w:pPr>
        <w:pStyle w:val="BodyText"/>
      </w:pPr>
      <w:r>
        <w:t xml:space="preserve">30</w:t>
      </w:r>
    </w:p>
    <w:p>
      <w:pPr>
        <w:pStyle w:val="Compact"/>
        <w:numPr>
          <w:ilvl w:val="0"/>
          <w:numId w:val="1003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Cost savings for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due to change in 2030</w:t>
      </w:r>
      <w:r>
        <w:t xml:space="preserve"> </w:t>
      </w:r>
      <w:r>
        <w:t xml:space="preserve">target for vans and</w:t>
      </w:r>
      <w:r>
        <w:t xml:space="preserve"> </w:t>
      </w:r>
      <w:r>
        <w:t xml:space="preserve">additional flexibilities</w:t>
      </w:r>
      <w:r>
        <w:t xml:space="preserve"> </w:t>
      </w:r>
      <w:r>
        <w:t xml:space="preserve">Costs for vehicle manufacturers will</w:t>
      </w:r>
      <w:r>
        <w:t xml:space="preserve"> </w:t>
      </w:r>
      <w:r>
        <w:t xml:space="preserve">decrease by EUR 89 and 41 per car</w:t>
      </w:r>
      <w:r>
        <w:t xml:space="preserve"> </w:t>
      </w:r>
      <w:r>
        <w:t xml:space="preserve">and EUR 172 and 88 per van, in 2035</w:t>
      </w:r>
      <w:r>
        <w:t xml:space="preserve"> </w:t>
      </w:r>
      <w:r>
        <w:t xml:space="preserve">and 2040 respectively.</w:t>
      </w:r>
    </w:p>
    <w:p>
      <w:pPr>
        <w:pStyle w:val="FirstParagraph"/>
      </w:pPr>
      <w:r>
        <w:t xml:space="preserve">Cost savings for</w:t>
      </w:r>
      <w:r>
        <w:t xml:space="preserve"> </w:t>
      </w:r>
      <w:r>
        <w:t xml:space="preserve">businesses and</w:t>
      </w:r>
      <w:r>
        <w:t xml:space="preserve"> </w:t>
      </w:r>
      <w:r>
        <w:t xml:space="preserve">authorities resulting</w:t>
      </w:r>
      <w:r>
        <w:t xml:space="preserve"> </w:t>
      </w:r>
      <w:r>
        <w:t xml:space="preserve">from harmonisation of</w:t>
      </w:r>
      <w:r>
        <w:t xml:space="preserve"> </w:t>
      </w:r>
      <w:r>
        <w:t xml:space="preserve">vehicle label</w:t>
      </w:r>
      <w:r>
        <w:t xml:space="preserve"> </w:t>
      </w:r>
      <w:r>
        <w:t xml:space="preserve">Cost savings of EUR 11 million/year</w:t>
      </w:r>
      <w:r>
        <w:t xml:space="preserve"> </w:t>
      </w:r>
      <w:r>
        <w:t xml:space="preserve">for businesses and EUR 4 million/year</w:t>
      </w:r>
      <w:r>
        <w:t xml:space="preserve"> </w:t>
      </w:r>
      <w:r>
        <w:t xml:space="preserve">for national authorities</w:t>
      </w:r>
      <w:r>
        <w:t xml:space="preserve"> </w:t>
      </w:r>
      <w:r>
        <w:t xml:space="preserve">Vehicle dealers will save costs by</w:t>
      </w:r>
      <w:r>
        <w:t xml:space="preserve"> </w:t>
      </w:r>
      <w:r>
        <w:t xml:space="preserve">using the harmonised label and</w:t>
      </w:r>
      <w:r>
        <w:t xml:space="preserve"> </w:t>
      </w:r>
      <w:r>
        <w:t xml:space="preserve">removal of the requirement of a</w:t>
      </w:r>
      <w:r>
        <w:t xml:space="preserve"> </w:t>
      </w:r>
      <w:r>
        <w:t xml:space="preserve">poster.</w:t>
      </w:r>
      <w:r>
        <w:t xml:space="preserve"> </w:t>
      </w:r>
      <w:r>
        <w:t xml:space="preserve">National authorities will save</w:t>
      </w:r>
      <w:r>
        <w:t xml:space="preserve"> </w:t>
      </w:r>
      <w:r>
        <w:t xml:space="preserve">costs as there is no need anymore</w:t>
      </w:r>
      <w:r>
        <w:t xml:space="preserve"> </w:t>
      </w:r>
      <w:r>
        <w:t xml:space="preserve">for a national label and database.</w:t>
      </w:r>
      <w:r>
        <w:br/>
      </w:r>
      <w:r>
        <w:t xml:space="preserve">Flexibility in reaching</w:t>
      </w:r>
      <w:r>
        <w:t xml:space="preserve"> </w:t>
      </w:r>
      <w:r>
        <w:t xml:space="preserve">the targets</w:t>
      </w:r>
      <w:r>
        <w:t xml:space="preserve"> </w:t>
      </w:r>
      <w:r>
        <w:t xml:space="preserve">Manufacturers are provided with</w:t>
      </w:r>
      <w:r>
        <w:t xml:space="preserve"> </w:t>
      </w:r>
      <w:r>
        <w:t xml:space="preserve">additional flexibility to reach the CO2</w:t>
      </w:r>
      <w:r>
        <w:t xml:space="preserve"> </w:t>
      </w:r>
      <w:r>
        <w:t xml:space="preserve">targets, which will allow them to</w:t>
      </w:r>
      <w:r>
        <w:t xml:space="preserve"> </w:t>
      </w:r>
      <w:r>
        <w:t xml:space="preserve">better optimise their product portfolio</w:t>
      </w:r>
      <w:r>
        <w:t xml:space="preserve"> </w:t>
      </w:r>
      <w:r>
        <w:t xml:space="preserve">in the most cost-efficient way, also</w:t>
      </w:r>
      <w:r>
        <w:t xml:space="preserve"> </w:t>
      </w:r>
      <w:r>
        <w:t xml:space="preserve">taking into account potential year-to-</w:t>
      </w:r>
      <w:r>
        <w:t xml:space="preserve"> </w:t>
      </w:r>
      <w:r>
        <w:t xml:space="preserve">year fluctuations in demand for zero-</w:t>
      </w:r>
      <w:r>
        <w:t xml:space="preserve"> </w:t>
      </w:r>
      <w:r>
        <w:t xml:space="preserve">emission</w:t>
      </w:r>
      <w:r>
        <w:t xml:space="preserve"> </w:t>
      </w:r>
      <w:r>
        <w:t xml:space="preserve">vehicles,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cumulative savings of 7 billion EUR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Continued investment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Manufacturers may continue</w:t>
      </w:r>
      <w:r>
        <w:t xml:space="preserve"> </w:t>
      </w:r>
      <w:r>
        <w:t xml:space="preserve">investing in technologies other than</w:t>
      </w:r>
      <w:r>
        <w:t xml:space="preserve"> </w:t>
      </w:r>
      <w:r>
        <w:t xml:space="preserve">zero-emission powertrains (OVC-</w:t>
      </w:r>
      <w:r>
        <w:t xml:space="preserve"> </w:t>
      </w:r>
      <w:r>
        <w:t xml:space="preserve">HEV, VEEF) for the EU market,</w:t>
      </w:r>
      <w:r>
        <w:t xml:space="preserve"> </w:t>
      </w:r>
      <w:r>
        <w:t xml:space="preserve">which will be useful for specific use</w:t>
      </w:r>
      <w:r>
        <w:t xml:space="preserve"> </w:t>
      </w:r>
      <w:r>
        <w:t xml:space="preserve">case and some export markets.</w:t>
      </w:r>
    </w:p>
    <w:p>
      <w:pPr>
        <w:pStyle w:val="BodyText"/>
      </w:pPr>
      <w:r>
        <w:t xml:space="preserve">Avoided risk of</w:t>
      </w:r>
      <w:r>
        <w:t xml:space="preserve"> </w:t>
      </w:r>
      <w:r>
        <w:t xml:space="preserve">potential fines for vans</w:t>
      </w:r>
      <w:r>
        <w:t xml:space="preserve"> </w:t>
      </w:r>
      <w:r>
        <w:t xml:space="preserve">manufacturers</w:t>
      </w:r>
      <w:r>
        <w:t xml:space="preserve"> </w:t>
      </w:r>
      <w:r>
        <w:t xml:space="preserve">For vans, the relaxed 2030 target will</w:t>
      </w:r>
      <w:r>
        <w:t xml:space="preserve"> </w:t>
      </w:r>
      <w:r>
        <w:t xml:space="preserve">significantly reduce the risk of</w:t>
      </w:r>
      <w:r>
        <w:t xml:space="preserve"> </w:t>
      </w:r>
      <w:r>
        <w:t xml:space="preserve">manufacturers having to pay high</w:t>
      </w:r>
      <w:r>
        <w:t xml:space="preserve"> </w:t>
      </w:r>
      <w:r>
        <w:t xml:space="preserve">fines.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COMBI_</w:t>
      </w:r>
      <w:r>
        <w:t xml:space="preserve"> </w:t>
      </w:r>
      <w:r>
        <w:t xml:space="preserve">1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TCO for car</w:t>
      </w:r>
      <w:r>
        <w:t xml:space="preserve"> </w:t>
      </w:r>
      <w:r>
        <w:t xml:space="preserve">owners</w:t>
      </w:r>
      <w:r>
        <w:t xml:space="preserve"> </w:t>
      </w:r>
      <w:r>
        <w:t xml:space="preserve">increases by</w:t>
      </w:r>
      <w:r>
        <w:t xml:space="preserve"> </w:t>
      </w:r>
      <w:r>
        <w:t xml:space="preserve">up to EUR</w:t>
      </w:r>
      <w:r>
        <w:t xml:space="preserve"> </w:t>
      </w:r>
      <w:r>
        <w:t xml:space="preserve">250 for each</w:t>
      </w:r>
      <w:r>
        <w:t xml:space="preserve"> </w:t>
      </w:r>
      <w:r>
        <w:t xml:space="preserve">end user in</w:t>
      </w:r>
      <w:r>
        <w:t xml:space="preserve"> </w:t>
      </w:r>
      <w:r>
        <w:t xml:space="preserve">2035</w:t>
      </w:r>
      <w:r>
        <w:t xml:space="preserve"> </w:t>
      </w:r>
      <w:r>
        <w:t xml:space="preserve">and</w:t>
      </w:r>
      <w:r>
        <w:t xml:space="preserve"> </w:t>
      </w:r>
      <w:r>
        <w:t xml:space="preserve">2040.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TCO</w:t>
      </w:r>
      <w:r>
        <w:t xml:space="preserve"> </w:t>
      </w:r>
      <w:r>
        <w:t xml:space="preserve">for</w:t>
      </w:r>
      <w:r>
        <w:t xml:space="preserve"> </w:t>
      </w:r>
      <w:r>
        <w:t xml:space="preserve">van owners</w:t>
      </w:r>
      <w:r>
        <w:t xml:space="preserve"> </w:t>
      </w:r>
      <w:r>
        <w:t xml:space="preserve">increases by</w:t>
      </w:r>
      <w:r>
        <w:t xml:space="preserve"> </w:t>
      </w:r>
      <w:r>
        <w:t xml:space="preserve">up to EUR</w:t>
      </w:r>
      <w:r>
        <w:t xml:space="preserve"> </w:t>
      </w:r>
      <w:r>
        <w:t xml:space="preserve">1000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end</w:t>
      </w:r>
      <w:r>
        <w:t xml:space="preserve"> </w:t>
      </w:r>
      <w:r>
        <w:t xml:space="preserve">user in 2035</w:t>
      </w:r>
      <w:r>
        <w:t xml:space="preserve"> </w:t>
      </w:r>
      <w:r>
        <w:t xml:space="preserve">and 2040.</w:t>
      </w:r>
    </w:p>
    <w:p>
      <w:pPr>
        <w:pStyle w:val="BodyText"/>
      </w:pP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system</w:t>
      </w:r>
      <w:r>
        <w:t xml:space="preserve"> </w:t>
      </w:r>
      <w:r>
        <w:t xml:space="preserve">perspective,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increase by</w:t>
      </w:r>
      <w:r>
        <w:t xml:space="preserve"> </w:t>
      </w:r>
      <w:r>
        <w:t xml:space="preserve">about 7 bn €</w:t>
      </w:r>
      <w:r>
        <w:t xml:space="preserve"> </w:t>
      </w:r>
      <w:r>
        <w:t xml:space="preserve">(out</w:t>
      </w:r>
      <w:r>
        <w:t xml:space="preserve"> </w:t>
      </w:r>
      <w:r>
        <w:t xml:space="preserve">of</w:t>
      </w:r>
      <w:r>
        <w:t xml:space="preserve"> </w:t>
      </w:r>
      <w:r>
        <w:t xml:space="preserve">which 3 bn€</w:t>
      </w:r>
      <w:r>
        <w:t xml:space="preserve"> </w:t>
      </w:r>
      <w:r>
        <w:t xml:space="preserve">of</w:t>
      </w:r>
      <w:r>
        <w:br/>
      </w:r>
      <w:r>
        <w:t xml:space="preserve">environmen</w:t>
      </w:r>
      <w:r>
        <w:t xml:space="preserve"> </w:t>
      </w:r>
      <w:r>
        <w:t xml:space="preserve">tal</w:t>
      </w:r>
      <w:r>
        <w:t xml:space="preserve"> </w:t>
      </w:r>
      <w:r>
        <w:t xml:space="preserve">externalities</w:t>
      </w:r>
      <w:r>
        <w:t xml:space="preserve"> </w:t>
      </w:r>
      <w:r>
        <w:t xml:space="preserve">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REV_SC</w:t>
      </w:r>
      <w:r>
        <w:t xml:space="preserve"> </w:t>
      </w:r>
      <w:r>
        <w:t xml:space="preserve">F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LAB_2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vehicle</w:t>
      </w:r>
      <w:r>
        <w:t xml:space="preserve"> </w:t>
      </w:r>
      <w:r>
        <w:t xml:space="preserve">manufactur</w:t>
      </w:r>
      <w:r>
        <w:t xml:space="preserve"> </w:t>
      </w:r>
      <w:r>
        <w:t xml:space="preserve">ers</w:t>
      </w:r>
      <w:r>
        <w:t xml:space="preserve"> </w:t>
      </w:r>
      <w:r>
        <w:t xml:space="preserve">and</w:t>
      </w:r>
      <w:r>
        <w:t xml:space="preserve"> </w:t>
      </w:r>
      <w:r>
        <w:t xml:space="preserve">vehicle</w:t>
      </w:r>
      <w:r>
        <w:t xml:space="preserve"> </w:t>
      </w:r>
      <w:r>
        <w:t xml:space="preserve">dealers:</w:t>
      </w:r>
      <w:r>
        <w:t xml:space="preserve"> </w:t>
      </w:r>
      <w:r>
        <w:t xml:space="preserve">EUR 116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implementa</w:t>
      </w:r>
      <w:r>
        <w:t xml:space="preserve"> </w:t>
      </w:r>
      <w:r>
        <w:t xml:space="preserve">tion</w:t>
      </w:r>
      <w:r>
        <w:t xml:space="preserve"> </w:t>
      </w:r>
      <w:r>
        <w:t xml:space="preserve">For vehicle</w:t>
      </w:r>
      <w:r>
        <w:t xml:space="preserve"> </w:t>
      </w:r>
      <w:r>
        <w:t xml:space="preserve">manufactur</w:t>
      </w:r>
      <w:r>
        <w:t xml:space="preserve"> </w:t>
      </w:r>
      <w:r>
        <w:t xml:space="preserve">ers</w:t>
      </w:r>
      <w:r>
        <w:t xml:space="preserve"> </w:t>
      </w:r>
      <w:r>
        <w:t xml:space="preserve">and</w:t>
      </w:r>
      <w:r>
        <w:t xml:space="preserve"> </w:t>
      </w:r>
      <w:r>
        <w:t xml:space="preserve">vehicle</w:t>
      </w:r>
      <w:r>
        <w:t xml:space="preserve"> </w:t>
      </w:r>
      <w:r>
        <w:t xml:space="preserve">dealers:</w:t>
      </w:r>
      <w:r>
        <w:t xml:space="preserve"> </w:t>
      </w:r>
      <w:r>
        <w:t xml:space="preserve">EUR</w:t>
      </w:r>
      <w:r>
        <w:t xml:space="preserve"> </w:t>
      </w:r>
      <w:r>
        <w:t xml:space="preserve">48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administrati</w:t>
      </w:r>
      <w:r>
        <w:t xml:space="preserve"> </w:t>
      </w:r>
      <w:r>
        <w:t xml:space="preserve">ons: EUR 4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6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  <w:r>
        <w:t xml:space="preserve"> </w:t>
      </w: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FirstParagraph"/>
      </w:pP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For vehicle</w:t>
      </w:r>
      <w:r>
        <w:t xml:space="preserve"> </w:t>
      </w:r>
      <w:r>
        <w:t xml:space="preserve">manufacturers and</w:t>
      </w:r>
      <w:r>
        <w:t xml:space="preserve"> </w:t>
      </w:r>
      <w:r>
        <w:t xml:space="preserve">vehicle dealers: EUR</w:t>
      </w:r>
      <w:r>
        <w:br/>
      </w:r>
      <w:r>
        <w:t xml:space="preserve">116 million in the first</w:t>
      </w:r>
      <w:r>
        <w:t xml:space="preserve"> </w:t>
      </w:r>
      <w:r>
        <w:t xml:space="preserve">year of implementation</w:t>
      </w:r>
      <w:r>
        <w:t xml:space="preserve"> </w:t>
      </w:r>
      <w:r>
        <w:t xml:space="preserve">For vehicle manufacturers and</w:t>
      </w:r>
      <w:r>
        <w:t xml:space="preserve"> </w:t>
      </w:r>
      <w:r>
        <w:t xml:space="preserve">vehicle dealers: EUR 48</w:t>
      </w:r>
      <w:r>
        <w:t xml:space="preserve"> </w:t>
      </w:r>
      <w:r>
        <w:t xml:space="preserve">million per year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TCO for car owners increases</w:t>
      </w:r>
      <w:r>
        <w:t xml:space="preserve"> </w:t>
      </w:r>
      <w:r>
        <w:t xml:space="preserve">by up to EUR 250 for each end</w:t>
      </w:r>
      <w:r>
        <w:t xml:space="preserve"> </w:t>
      </w:r>
      <w:r>
        <w:t xml:space="preserve">user in 2035 and 2040.</w:t>
      </w:r>
      <w:r>
        <w:t xml:space="preserve"> </w:t>
      </w:r>
      <w:r>
        <w:t xml:space="preserve">TCO for van owners increases</w:t>
      </w:r>
      <w:r>
        <w:t xml:space="preserve"> </w:t>
      </w:r>
      <w:r>
        <w:t xml:space="preserve">by up to EUR 1 000 for each</w:t>
      </w:r>
      <w:r>
        <w:t xml:space="preserve"> </w:t>
      </w:r>
      <w:r>
        <w:t xml:space="preserve">end user in 2035 and 2040.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above. Non-annualised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</w:t>
      </w:r>
      <w:r>
        <w:t xml:space="preserve"> </w:t>
      </w:r>
      <w:r>
        <w:t xml:space="preserve">for citizens.</w:t>
      </w:r>
    </w:p>
    <w:p>
      <w:pPr>
        <w:pStyle w:val="BodyText"/>
      </w:pPr>
      <w:r>
        <w:t xml:space="preserve">34</w:t>
      </w:r>
    </w:p>
    <w:p>
      <w:pPr>
        <w:pStyle w:val="Compact"/>
        <w:numPr>
          <w:ilvl w:val="0"/>
          <w:numId w:val="1007"/>
        </w:numPr>
      </w:pPr>
      <w:r>
        <w:t xml:space="preserve">RELEVANT SUSTAINABLE DEVELOPMENT GOALS</w:t>
      </w:r>
      <w:r>
        <w:t xml:space="preserve"> </w:t>
      </w: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3: 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Ensure healthy lives and</w:t>
      </w:r>
      <w:r>
        <w:t xml:space="preserve"> </w:t>
      </w:r>
      <w:r>
        <w:t xml:space="preserve">promote well-being for all at</w:t>
      </w:r>
      <w:r>
        <w:t xml:space="preserve"> </w:t>
      </w:r>
      <w:r>
        <w:t xml:space="preserve">all ages</w:t>
      </w:r>
      <w:r>
        <w:t xml:space="preserve"> </w:t>
      </w:r>
      <w:r>
        <w:t xml:space="preserve">Option LAB_2 ensures the provision of</w:t>
      </w:r>
      <w:r>
        <w:t xml:space="preserve"> </w:t>
      </w:r>
      <w:r>
        <w:t xml:space="preserve">information affecting consumers’ purchasing</w:t>
      </w:r>
      <w:r>
        <w:t xml:space="preserve"> </w:t>
      </w:r>
      <w:r>
        <w:t xml:space="preserve">behaviour towards vehicles with lower CO2</w:t>
      </w:r>
      <w:r>
        <w:t xml:space="preserve"> </w:t>
      </w:r>
      <w:r>
        <w:t xml:space="preserve">emissions, which would also have air quality</w:t>
      </w:r>
      <w:r>
        <w:t xml:space="preserve"> </w:t>
      </w:r>
      <w:r>
        <w:t xml:space="preserve">and hence health benefits.</w:t>
      </w:r>
      <w:r>
        <w:t xml:space="preserve"> </w:t>
      </w:r>
      <w:r>
        <w:t xml:space="preserve">Option COMBI_1 provides reduced</w:t>
      </w:r>
      <w:r>
        <w:t xml:space="preserve"> </w:t>
      </w:r>
      <w:r>
        <w:t xml:space="preserve">pollutant emissions compared to today and</w:t>
      </w:r>
      <w:r>
        <w:t xml:space="preserve"> </w:t>
      </w:r>
      <w:r>
        <w:t xml:space="preserve">improved air quality.</w:t>
      </w:r>
    </w:p>
    <w:p>
      <w:pPr>
        <w:pStyle w:val="FirstParagraph"/>
      </w:pPr>
      <w:r>
        <w:t xml:space="preserve">SDG 9: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Build resilient infrastructure,</w:t>
      </w:r>
      <w:r>
        <w:t xml:space="preserve"> </w:t>
      </w:r>
      <w:r>
        <w:t xml:space="preserve">promote inclusive and</w:t>
      </w:r>
      <w:r>
        <w:t xml:space="preserve"> </w:t>
      </w:r>
      <w:r>
        <w:t xml:space="preserve">sustainable industrialization</w:t>
      </w:r>
      <w:r>
        <w:t xml:space="preserve"> </w:t>
      </w:r>
      <w:r>
        <w:t xml:space="preserve">and foster innovation.</w:t>
      </w:r>
      <w:r>
        <w:t xml:space="preserve"> </w:t>
      </w:r>
      <w:r>
        <w:t xml:space="preserve">Option COMBI_1 provides some flexibility</w:t>
      </w:r>
      <w:r>
        <w:t xml:space="preserve"> </w:t>
      </w:r>
      <w:r>
        <w:t xml:space="preserve">and short-term relief for automotive industry</w:t>
      </w:r>
      <w:r>
        <w:t xml:space="preserve"> </w:t>
      </w:r>
      <w:r>
        <w:t xml:space="preserve">in meeting the CO2 targets and provides</w:t>
      </w:r>
      <w:r>
        <w:t xml:space="preserve"> </w:t>
      </w:r>
      <w:r>
        <w:t xml:space="preserve">innovation opportunities in the fields of</w:t>
      </w:r>
      <w:r>
        <w:t xml:space="preserve"> </w:t>
      </w:r>
      <w:r>
        <w:t xml:space="preserve">internal combustion engines and sustainable</w:t>
      </w:r>
      <w:r>
        <w:t xml:space="preserve"> </w:t>
      </w:r>
      <w:r>
        <w:t xml:space="preserve">renewable fuels, while maintaining a strong</w:t>
      </w:r>
      <w:r>
        <w:t xml:space="preserve"> </w:t>
      </w:r>
      <w:r>
        <w:t xml:space="preserve">long-term signal to continue the industrial</w:t>
      </w:r>
      <w:r>
        <w:t xml:space="preserve"> </w:t>
      </w:r>
      <w:r>
        <w:t xml:space="preserve">transformation towards low-carbon</w:t>
      </w:r>
      <w:r>
        <w:t xml:space="preserve"> </w:t>
      </w:r>
      <w:r>
        <w:t xml:space="preserve">technologies, battery innovation, and</w:t>
      </w:r>
      <w:r>
        <w:t xml:space="preserve"> </w:t>
      </w:r>
      <w:r>
        <w:t xml:space="preserve">recharging networks.</w:t>
      </w:r>
    </w:p>
    <w:p>
      <w:pPr>
        <w:pStyle w:val="BodyText"/>
      </w:pPr>
      <w:r>
        <w:t xml:space="preserve">SDG 12: Responsible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Ensure sustainable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patterns.</w:t>
      </w:r>
      <w:r>
        <w:t xml:space="preserve"> </w:t>
      </w:r>
      <w:r>
        <w:t xml:space="preserve">Option LAB_2 encourages informed</w:t>
      </w:r>
      <w:r>
        <w:t xml:space="preserve"> </w:t>
      </w:r>
      <w:r>
        <w:t xml:space="preserve">consumer choices, which could lead to more</w:t>
      </w:r>
      <w:r>
        <w:t xml:space="preserve"> </w:t>
      </w:r>
      <w:r>
        <w:t xml:space="preserve">sustainable consumption behaviours, and</w:t>
      </w:r>
      <w:r>
        <w:t xml:space="preserve"> </w:t>
      </w:r>
      <w:r>
        <w:t xml:space="preserve">increases transparency on vehicle emissions.</w:t>
      </w:r>
    </w:p>
    <w:p>
      <w:pPr>
        <w:pStyle w:val="BodyText"/>
      </w:pPr>
      <w:r>
        <w:t xml:space="preserve">SDG 13: Climate Action</w:t>
      </w:r>
      <w:r>
        <w:t xml:space="preserve"> </w:t>
      </w:r>
      <w:r>
        <w:t xml:space="preserve">Take urgent action to combat</w:t>
      </w:r>
      <w:r>
        <w:t xml:space="preserve"> </w:t>
      </w:r>
      <w:r>
        <w:t xml:space="preserve">climate change and its impacts</w:t>
      </w:r>
      <w:r>
        <w:t xml:space="preserve"> </w:t>
      </w:r>
      <w:r>
        <w:t xml:space="preserve">Option COMBI_1 maintains the long term</w:t>
      </w:r>
      <w:r>
        <w:t xml:space="preserve"> </w:t>
      </w:r>
      <w:r>
        <w:t xml:space="preserve">CO2 emission targets, ensuring that emission</w:t>
      </w:r>
      <w:r>
        <w:t xml:space="preserve"> </w:t>
      </w:r>
      <w:r>
        <w:t xml:space="preserve">reduction and climate objectives will be met,</w:t>
      </w:r>
      <w:r>
        <w:t xml:space="preserve"> </w:t>
      </w:r>
      <w:r>
        <w:t xml:space="preserve">while providing for safeguards on the</w:t>
      </w:r>
      <w:r>
        <w:t xml:space="preserve"> </w:t>
      </w:r>
      <w:r>
        <w:t xml:space="preserve">flexibilities offered to manufacturers, which</w:t>
      </w:r>
      <w:r>
        <w:t xml:space="preserve"> </w:t>
      </w:r>
      <w:r>
        <w:t xml:space="preserve">ensure adequate real-world emission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baseline for the assessment is built on a scenario which achieves 87% reduction of net</w:t>
      </w:r>
      <w:r>
        <w:t xml:space="preserve"> </w:t>
      </w:r>
      <w:r>
        <w:t xml:space="preserve">GHG emissions in 2040 (compared with 1990) and climate neutrality in 2050, in line with</w:t>
      </w:r>
      <w:r>
        <w:t xml:space="preserve"> </w:t>
      </w:r>
      <w:r>
        <w:t xml:space="preserve">the 2040 climate target as proposed by the Commission13.</w:t>
      </w:r>
      <w:r>
        <w:t xml:space="preserve"> </w:t>
      </w:r>
      <w:r>
        <w:t xml:space="preserve">It takes into account the objectives and policies put forward by Member States in their</w:t>
      </w:r>
      <w:r>
        <w:t xml:space="preserve"> </w:t>
      </w:r>
      <w:r>
        <w:t xml:space="preserve">National energy and climate plans, submitted in 2024 and 202514.</w:t>
      </w:r>
      <w:r>
        <w:t xml:space="preserve"> </w:t>
      </w:r>
      <w:r>
        <w:t xml:space="preserve">Aiming at covering the entire GHG emissions from the EU economy, and combining</w:t>
      </w:r>
      <w:r>
        <w:t xml:space="preserve"> </w:t>
      </w:r>
      <w:r>
        <w:t xml:space="preserve">horizontal and sectoral instruments, the various pieces of legislation mentioned in Chapter</w:t>
      </w:r>
      <w:r>
        <w:t xml:space="preserve"> </w:t>
      </w:r>
      <w:r>
        <w:t xml:space="preserve">1 strongly interlink, either because they cover common economic sectors (e.g. the road</w:t>
      </w:r>
      <w:r>
        <w:t xml:space="preserve"> </w:t>
      </w:r>
      <w:r>
        <w:t xml:space="preserve">transport sector is currently addressed the CO2 standards and by renewables policies, but</w:t>
      </w:r>
      <w:r>
        <w:t xml:space="preserve"> </w:t>
      </w:r>
      <w:r>
        <w:t xml:space="preserve">also falls in the scope of the extended ETS, together with the building sector) or by the</w:t>
      </w:r>
      <w:r>
        <w:t xml:space="preserve"> </w:t>
      </w:r>
      <w:r>
        <w:t xml:space="preserve">direct and indirect interactions between these sectors (e.g. electricity supply sector and</w:t>
      </w:r>
      <w:r>
        <w:t xml:space="preserve"> </w:t>
      </w:r>
      <w:r>
        <w:t xml:space="preserve">final demand sectors using electricity, including road transport).</w:t>
      </w:r>
      <w:r>
        <w:t xml:space="preserve"> </w:t>
      </w:r>
      <w:r>
        <w:t xml:space="preserve">The analytical work underpinning this Impact Assessment uses a series of models:</w:t>
      </w:r>
      <w:r>
        <w:t xml:space="preserve"> </w:t>
      </w:r>
      <w:r>
        <w:t xml:space="preserve">PRIMES, PRIMES-TREMOVE, GEM-E3, JRC DIONE. They have a successful record of</w:t>
      </w:r>
      <w:r>
        <w:t xml:space="preserve"> </w:t>
      </w:r>
      <w:r>
        <w:t xml:space="preserve">use in the Commission’s transport, energy and climate policy impact assessments.</w:t>
      </w:r>
      <w:r>
        <w:t xml:space="preserve"> </w:t>
      </w:r>
      <w:r>
        <w:t xml:space="preserve">This Annex describes the tools used to produce the common baseline (referred to as the</w:t>
      </w:r>
      <w:r>
        <w:t xml:space="preserve"> </w:t>
      </w:r>
      <w:r>
        <w:t xml:space="preserve">87% scenario), the policy scenarios, and also the key assumptions underpinning the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8"/>
        </w:numPr>
      </w:pPr>
      <w:r>
        <w:t xml:space="preserve">MODELLING TOOLS USED FOR THE BASELINE</w:t>
      </w:r>
      <w:r>
        <w:t xml:space="preserve"> </w:t>
      </w:r>
      <w:r>
        <w:t xml:space="preserve">The quantitative results of the assessment can be considered robust. The two different</w:t>
      </w:r>
      <w:r>
        <w:t xml:space="preserve"> </w:t>
      </w:r>
      <w:r>
        <w:t xml:space="preserve">models apply different modelling approaches and perspectives (details are provided below)</w:t>
      </w:r>
      <w:r>
        <w:t xml:space="preserve"> </w:t>
      </w:r>
      <w:r>
        <w:t xml:space="preserve">and provide congruent results from which the same policy related conclusions can be</w:t>
      </w:r>
      <w:r>
        <w:t xml:space="preserve"> </w:t>
      </w:r>
      <w:r>
        <w:t xml:space="preserve">drawn.</w:t>
      </w:r>
      <w:r>
        <w:t xml:space="preserve"> </w:t>
      </w:r>
      <w:r>
        <w:t xml:space="preserve">The main model suite used to produce the scenarios presented in this impact assessment</w:t>
      </w:r>
      <w:r>
        <w:t xml:space="preserve"> </w:t>
      </w:r>
      <w:r>
        <w:t xml:space="preserve">has a successful record of use in the Commission’s energy, transport and climate policy</w:t>
      </w:r>
      <w:r>
        <w:t xml:space="preserve"> </w:t>
      </w:r>
      <w:r>
        <w:t xml:space="preserve">assessments. In particular, it has been used for the Commission’s proposals for the Climate</w:t>
      </w:r>
      <w:r>
        <w:t xml:space="preserve"> </w:t>
      </w:r>
      <w:r>
        <w:t xml:space="preserve">Target Law to analyse the increased 2040 mitigation target and the Climate neutrality</w:t>
      </w:r>
      <w:r>
        <w:t xml:space="preserve"> </w:t>
      </w:r>
      <w:r>
        <w:t xml:space="preserve">targets and for the proposal accompanying the Fit for 55 package.</w:t>
      </w:r>
      <w:r>
        <w:br/>
      </w:r>
      <w:r>
        <w:t xml:space="preserve">The PRIMES and PRIMES-TREMOVE models are the core elements of the modelling</w:t>
      </w:r>
      <w:r>
        <w:t xml:space="preserve"> </w:t>
      </w:r>
      <w:r>
        <w:t xml:space="preserve">framework for energy, transport and CO2 emission projections. DIONE then assesses the</w:t>
      </w:r>
      <w:r>
        <w:t xml:space="preserve"> </w:t>
      </w:r>
      <w:r>
        <w:t xml:space="preserve">implications of future road vehicle fleet composition, efficiency and drive patterns on</w:t>
      </w:r>
      <w:r>
        <w:t xml:space="preserve"> </w:t>
      </w:r>
      <w:r>
        <w:t xml:space="preserve">vehicle capital costs, fuel/energy consumption, and total costs of ownership.</w:t>
      </w:r>
    </w:p>
    <w:p>
      <w:pPr>
        <w:pStyle w:val="FirstParagraph"/>
      </w:pPr>
      <w:r>
        <w:t xml:space="preserve">13 COM(2025) 524 final</w:t>
      </w:r>
      <w:r>
        <w:t xml:space="preserve"> </w:t>
      </w:r>
      <w:r>
        <w:t xml:space="preserve">14 https://commission.europa.eu/energy-climate-change-environment/implementation-eu-countries/energy-</w:t>
      </w:r>
      <w:r>
        <w:t xml:space="preserve"> </w:t>
      </w:r>
      <w:r>
        <w:t xml:space="preserve">and-climate-governance-and-reporting/national-energy-and-climate-plans_en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Additionally, the following model have been used to define the baseline: the GAINS model</w:t>
      </w:r>
      <w:r>
        <w:t xml:space="preserve"> </w:t>
      </w:r>
      <w:r>
        <w:t xml:space="preserve">is used for non-CO2 greenhouse gas emission projections, the GLOBIOM-G4M models</w:t>
      </w:r>
      <w:r>
        <w:t xml:space="preserve"> </w:t>
      </w:r>
      <w:r>
        <w:t xml:space="preserve">for projections of LULUCF emissions and removals and the CAPRI model is used for</w:t>
      </w:r>
      <w:r>
        <w:t xml:space="preserve"> </w:t>
      </w:r>
      <w:r>
        <w:t xml:space="preserve">impacts on agriculture for economic and environmental, biodiversity-related variables.</w:t>
      </w:r>
      <w:r>
        <w:t xml:space="preserve"> </w:t>
      </w:r>
      <w:r>
        <w:t xml:space="preserve">Their description is available in the Impact Assessment supporting the Communication</w:t>
      </w:r>
      <w:r>
        <w:t xml:space="preserve"> </w:t>
      </w:r>
      <w:r>
        <w:t xml:space="preserve">“Europe’s 2040 climate target and path to climate neutrality by 2050 building a sustainable,</w:t>
      </w:r>
      <w:r>
        <w:t xml:space="preserve"> </w:t>
      </w:r>
      <w:r>
        <w:t xml:space="preserve">just and prosperous society”15</w:t>
      </w:r>
      <w:r>
        <w:br/>
      </w:r>
      <w:r>
        <w:t xml:space="preserve">The model suite thus covers:</w:t>
      </w:r>
      <w:r>
        <w:t xml:space="preserve"> </w:t>
      </w:r>
      <w:r>
        <w:t xml:space="preserve">• The entire energy system (energy demand, supply, prices and investments to the</w:t>
      </w:r>
      <w:r>
        <w:t xml:space="preserve"> </w:t>
      </w:r>
      <w:r>
        <w:t xml:space="preserve">future) and all GHG emissions and removals from the EU economy.</w:t>
      </w:r>
      <w:r>
        <w:t xml:space="preserve"> </w:t>
      </w:r>
      <w:r>
        <w:t xml:space="preserve">• Time horizon: 1990 to 2050 (5-year time steps).</w:t>
      </w:r>
      <w:r>
        <w:t xml:space="preserve"> </w:t>
      </w:r>
      <w:r>
        <w:t xml:space="preserve">• Geography: individually all EU Member States, EU candidate countries and, where</w:t>
      </w:r>
      <w:r>
        <w:t xml:space="preserve"> </w:t>
      </w:r>
      <w:r>
        <w:t xml:space="preserve">relevant the United Kingdom, Norway, Switzerland and Bosnia and Herzegovina.</w:t>
      </w:r>
      <w:r>
        <w:t xml:space="preserve"> </w:t>
      </w:r>
      <w:r>
        <w:t xml:space="preserve">• Impacts: energy system (PRIMES and its satellite model on biomass), transport</w:t>
      </w:r>
      <w:r>
        <w:t xml:space="preserve"> </w:t>
      </w:r>
      <w:r>
        <w:t xml:space="preserve">(PRIMES-TREMOVE and DIONE), agriculture, waste and other non-CO2 emissions</w:t>
      </w:r>
      <w:r>
        <w:t xml:space="preserve"> </w:t>
      </w:r>
      <w:r>
        <w:t xml:space="preserve">(GAINS), forestry and land use (GLOBIOM-G4M), atmospheric dispersion, health</w:t>
      </w:r>
      <w:r>
        <w:t xml:space="preserve"> </w:t>
      </w:r>
      <w:r>
        <w:t xml:space="preserve">and ecosystems (acidification, eutrophication) (GAINS).</w:t>
      </w:r>
      <w:r>
        <w:t xml:space="preserve"> </w:t>
      </w:r>
      <w:r>
        <w:t xml:space="preserve">The modelling suite has been continuously updated over the past decade. Updates include</w:t>
      </w:r>
      <w:r>
        <w:t xml:space="preserve"> </w:t>
      </w:r>
      <w:r>
        <w:t xml:space="preserve">the addition of a new buildings module in PRIMES, improved representation of the</w:t>
      </w:r>
      <w:r>
        <w:t xml:space="preserve"> </w:t>
      </w:r>
      <w:r>
        <w:t xml:space="preserve">electricity sector (renewables and storage), more granular representation of hydrogen</w:t>
      </w:r>
      <w:r>
        <w:t xml:space="preserve"> </w:t>
      </w:r>
      <w:r>
        <w:t xml:space="preserve">(including cross-border trade16) and other innovative fuels, including the link between</w:t>
      </w:r>
      <w:r>
        <w:t xml:space="preserve"> </w:t>
      </w:r>
      <w:r>
        <w:t xml:space="preserve">carbon dioxide capture and removals with its use for synthetic hydrocarbons, different CO2</w:t>
      </w:r>
      <w:r>
        <w:t xml:space="preserve"> </w:t>
      </w:r>
      <w:r>
        <w:t xml:space="preserve">feedstock, etc., improved representation of the heavy duty vehicles, aviation and maritime</w:t>
      </w:r>
      <w:r>
        <w:t xml:space="preserve"> </w:t>
      </w:r>
      <w:r>
        <w:t xml:space="preserve">transport sector, as well updated interlinkages of the models to improve land use and non-</w:t>
      </w:r>
      <w:r>
        <w:t xml:space="preserve"> </w:t>
      </w:r>
      <w:r>
        <w:t xml:space="preserve">CO2 modelling. Most recently a major update was done of the policy assumptions,</w:t>
      </w:r>
      <w:r>
        <w:t xml:space="preserve"> </w:t>
      </w:r>
      <w:r>
        <w:t xml:space="preserve">technology costs and macro-economic assumptions.</w:t>
      </w:r>
      <w:r>
        <w:t xml:space="preserve"> </w:t>
      </w:r>
      <w:r>
        <w:t xml:space="preserve">The models are linked with each other in such a way to ensure consistency in the building</w:t>
      </w:r>
      <w:r>
        <w:t xml:space="preserve"> </w:t>
      </w:r>
      <w:r>
        <w:t xml:space="preserve">of scenarios (Figure 1)Figure 1. These inter-linkages are necessary to provide the core of</w:t>
      </w:r>
      <w:r>
        <w:t xml:space="preserve"> </w:t>
      </w:r>
      <w:r>
        <w:t xml:space="preserve">the analysis, which are interdependent energy, transport and GHG emissions trends.</w:t>
      </w:r>
      <w:r>
        <w:t xml:space="preserve"> </w:t>
      </w:r>
      <w:r>
        <w:t xml:space="preserve">DIONE receives input from PRIMES and PRIMES-TREMOVE.</w:t>
      </w:r>
    </w:p>
    <w:p>
      <w:pPr>
        <w:pStyle w:val="BodyText"/>
      </w:pPr>
      <w:r>
        <w:t xml:space="preserve">15 SWD(2024) 63 final</w:t>
      </w:r>
      <w:r>
        <w:t xml:space="preserve"> </w:t>
      </w:r>
      <w:r>
        <w:t xml:space="preserve">16 While cross-border trade is possible, the assumption is that there are no imports from outside EU as the</w:t>
      </w:r>
      <w:r>
        <w:t xml:space="preserve"> </w:t>
      </w:r>
      <w:r>
        <w:t xml:space="preserve">opposite would require global modelling of hydrogen trade.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Figure 1: Interlinkages between models</w:t>
      </w:r>
    </w:p>
    <w:p>
      <w:pPr>
        <w:pStyle w:val="Compact"/>
        <w:numPr>
          <w:ilvl w:val="0"/>
          <w:numId w:val="1009"/>
        </w:numPr>
      </w:pPr>
      <w:r>
        <w:t xml:space="preserve">ENERGY: THE PRIMES MODEL</w:t>
      </w:r>
      <w:r>
        <w:t xml:space="preserve"> </w:t>
      </w:r>
      <w:r>
        <w:t xml:space="preserve">The PRIMES model (Price-Induced Market Equilibrium System)17 is a large scale applied</w:t>
      </w:r>
      <w:r>
        <w:t xml:space="preserve"> </w:t>
      </w:r>
      <w:r>
        <w:t xml:space="preserve">energy system model that provides detailed projections of energy demand, supply, prices</w:t>
      </w:r>
      <w:r>
        <w:t xml:space="preserve"> </w:t>
      </w:r>
      <w:r>
        <w:t xml:space="preserve">and investment to the future, covering the entire energy system including emissions. The</w:t>
      </w:r>
      <w:r>
        <w:t xml:space="preserve"> </w:t>
      </w:r>
      <w:r>
        <w:t xml:space="preserve">distinctive feature of PRIMES is the combination of behavioural modelling (following a</w:t>
      </w:r>
      <w:r>
        <w:t xml:space="preserve"> </w:t>
      </w:r>
      <w:r>
        <w:t xml:space="preserve">micro-economic foundation) with engineering aspects, covering all energy sectors and</w:t>
      </w:r>
      <w:r>
        <w:t xml:space="preserve"> </w:t>
      </w:r>
      <w:r>
        <w:t xml:space="preserve">markets. The model has a detailed representation of policy instruments related to energy</w:t>
      </w:r>
      <w:r>
        <w:t xml:space="preserve"> </w:t>
      </w:r>
      <w:r>
        <w:t xml:space="preserve">markets and climate, including market drivers, standards, and targets by sector or overall.</w:t>
      </w:r>
      <w:r>
        <w:t xml:space="preserve"> </w:t>
      </w:r>
      <w:r>
        <w:t xml:space="preserve">It simulates the EU Emissions Trading System. It handles multiple policy objectives, such</w:t>
      </w:r>
      <w:r>
        <w:t xml:space="preserve"> </w:t>
      </w:r>
      <w:r>
        <w:t xml:space="preserve">as GHG emissions reductions, energy efficiency, and renewable energy targets, and</w:t>
      </w:r>
      <w:r>
        <w:t xml:space="preserve"> </w:t>
      </w:r>
      <w:r>
        <w:t xml:space="preserve">provides pan-European simulation of internal markets for electricity and gas. The model</w:t>
      </w:r>
      <w:r>
        <w:t xml:space="preserve"> </w:t>
      </w:r>
      <w:r>
        <w:t xml:space="preserve">covers the horizon up to 2070 in 5-year interval periods and includes all Member States of</w:t>
      </w:r>
      <w:r>
        <w:t xml:space="preserve"> </w:t>
      </w:r>
      <w:r>
        <w:t xml:space="preserve">the EU individually, as well as neighbouring and candidate countries.</w:t>
      </w:r>
      <w:r>
        <w:br/>
      </w:r>
      <w:r>
        <w:t xml:space="preserve">PRIMES offer the possibility of handling market distortions, barriers to rational decisions,</w:t>
      </w:r>
      <w:r>
        <w:t xml:space="preserve"> </w:t>
      </w:r>
      <w:r>
        <w:t xml:space="preserve">behaviours and market coordination issues and it has full accounting of costs (CAPEX and</w:t>
      </w:r>
      <w:r>
        <w:t xml:space="preserve"> </w:t>
      </w:r>
      <w:r>
        <w:t xml:space="preserve">OPEX) and investment on infrastructure needs. PRIMES is designed to analyse complex</w:t>
      </w:r>
      <w:r>
        <w:t xml:space="preserve"> </w:t>
      </w:r>
      <w:r>
        <w:t xml:space="preserve">interactions within the energy system in a multiple agent – multiple markets framework.</w:t>
      </w:r>
      <w:r>
        <w:t xml:space="preserve"> </w:t>
      </w:r>
      <w:r>
        <w:t xml:space="preserve">Decisions by agents are formulated based on microeconomic foundation (utility</w:t>
      </w:r>
      <w:r>
        <w:t xml:space="preserve"> </w:t>
      </w:r>
      <w:r>
        <w:t xml:space="preserve">maximization, cost minimization and market equilibrium) embedding engineering</w:t>
      </w:r>
      <w:r>
        <w:t xml:space="preserve"> </w:t>
      </w:r>
      <w:r>
        <w:t xml:space="preserve">constraints and explicit representation of technologies and vintages, thus allowing for</w:t>
      </w:r>
      <w:r>
        <w:t xml:space="preserve"> </w:t>
      </w:r>
      <w:r>
        <w:t xml:space="preserve">foresight for the modelling of investment in all sectors. PRIMES allows simulating long-</w:t>
      </w:r>
      <w:r>
        <w:t xml:space="preserve"> </w:t>
      </w:r>
      <w:r>
        <w:t xml:space="preserve">term transformations/transitions and includes non-linear formulation of potentials by type</w:t>
      </w:r>
      <w:r>
        <w:t xml:space="preserve"> </w:t>
      </w:r>
      <w:r>
        <w:t xml:space="preserve">(resources, sites, acceptability etc.) and technology learning. Figure 2 shows a schematic</w:t>
      </w:r>
      <w:r>
        <w:t xml:space="preserve"> </w:t>
      </w:r>
      <w:r>
        <w:t xml:space="preserve">representation of the PRIMES model.</w:t>
      </w:r>
    </w:p>
    <w:p>
      <w:pPr>
        <w:pStyle w:val="FirstParagraph"/>
      </w:pPr>
      <w:r>
        <w:t xml:space="preserve">17 More information and model documentation: https://e3modelling.com/modelling-tools/primes/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Figure 2: Schematic representation of the PRIMES model</w:t>
      </w:r>
    </w:p>
    <w:p>
      <w:pPr>
        <w:pStyle w:val="BodyText"/>
      </w:pPr>
      <w:r>
        <w:t xml:space="preserve">It includes a detailed numerical model on biomass supply, namely PRIMES-Biomass,</w:t>
      </w:r>
      <w:r>
        <w:t xml:space="preserve"> </w:t>
      </w:r>
      <w:r>
        <w:t xml:space="preserve">which simulates the economics of current and future supply of biomass and waste for</w:t>
      </w:r>
      <w:r>
        <w:t xml:space="preserve"> </w:t>
      </w:r>
      <w:r>
        <w:t xml:space="preserve">energy purposes. The model calculates the inputs in terms of primary feedstock of biomass</w:t>
      </w:r>
      <w:r>
        <w:t xml:space="preserve"> </w:t>
      </w:r>
      <w:r>
        <w:t xml:space="preserve">and waste to satisfy a given demand for bio-energy and provides quantification of the</w:t>
      </w:r>
      <w:r>
        <w:t xml:space="preserve"> </w:t>
      </w:r>
      <w:r>
        <w:t xml:space="preserve">required capacity to transform feedstock into bioenergy commodities. The resulting</w:t>
      </w:r>
      <w:r>
        <w:t xml:space="preserve"> </w:t>
      </w:r>
      <w:r>
        <w:t xml:space="preserve">production costs and prices are quantified. The PRIMES-Biomass model is a key link of</w:t>
      </w:r>
      <w:r>
        <w:t xml:space="preserve"> </w:t>
      </w:r>
      <w:r>
        <w:t xml:space="preserve">communication between the energy system projections obtained by the core PRIMES</w:t>
      </w:r>
      <w:r>
        <w:t xml:space="preserve"> </w:t>
      </w:r>
      <w:r>
        <w:t xml:space="preserve">energy system model and the projections on agriculture, forestry and non-CO2 emissions</w:t>
      </w:r>
      <w:r>
        <w:t xml:space="preserve"> </w:t>
      </w:r>
      <w:r>
        <w:t xml:space="preserve">provided by other modelling tools participating in the scenario modelling suite (CAPRI,</w:t>
      </w:r>
      <w:r>
        <w:t xml:space="preserve"> </w:t>
      </w:r>
      <w:r>
        <w:t xml:space="preserve">GLOBIOM/G4M, GAINS). It also includes a simple module which projects industrial</w:t>
      </w:r>
      <w:r>
        <w:t xml:space="preserve"> </w:t>
      </w:r>
      <w:r>
        <w:t xml:space="preserve">process GHG emissions. PRIMES is a private model maintained by E3Modelling, part of</w:t>
      </w:r>
      <w:r>
        <w:t xml:space="preserve"> </w:t>
      </w:r>
      <w:r>
        <w:t xml:space="preserve">Ricardo, originally developed in the context of a series of research programmes co-</w:t>
      </w:r>
      <w:r>
        <w:t xml:space="preserve"> </w:t>
      </w:r>
      <w:r>
        <w:t xml:space="preserve">financed by the European Commission. The model has been successfully peer-reviewed,</w:t>
      </w:r>
      <w:r>
        <w:t xml:space="preserve"> </w:t>
      </w:r>
      <w:r>
        <w:t xml:space="preserve">last in 201118; team members regularly participate in international conferences and publish</w:t>
      </w:r>
      <w:r>
        <w:t xml:space="preserve"> </w:t>
      </w:r>
      <w:r>
        <w:t xml:space="preserve">in scientific peer-reviewed journals.</w:t>
      </w:r>
      <w:r>
        <w:t xml:space="preserve"> </w:t>
      </w:r>
      <w:r>
        <w:t xml:space="preserve">Sources for data inputs</w:t>
      </w:r>
      <w:r>
        <w:t xml:space="preserve"> </w:t>
      </w:r>
      <w:r>
        <w:t xml:space="preserve">A summary of database sources, in the current version of PRIMES, is provided below:</w:t>
      </w:r>
      <w:r>
        <w:t xml:space="preserve"> </w:t>
      </w:r>
      <w:r>
        <w:t xml:space="preserve">• Eurostat and EEA: Energy Balance sheets, Energy prices (complemented by other</w:t>
      </w:r>
      <w:r>
        <w:t xml:space="preserve"> </w:t>
      </w:r>
      <w:r>
        <w:t xml:space="preserve">sources, such IEA), macroeconomic and sectoral activity data (PRIMES sectors</w:t>
      </w:r>
      <w:r>
        <w:t xml:space="preserve"> </w:t>
      </w:r>
      <w:r>
        <w:t xml:space="preserve">correspond to NACE 3-digit classification), population data and projections, physical</w:t>
      </w:r>
      <w:r>
        <w:t xml:space="preserve"> </w:t>
      </w:r>
      <w:r>
        <w:t xml:space="preserve">activity data (complemented by other sources), CHP surveys, CO2 emission factors</w:t>
      </w:r>
      <w:r>
        <w:t xml:space="preserve"> </w:t>
      </w:r>
      <w:r>
        <w:t xml:space="preserve">(sectoral and reference approaches) and EU ETS registry for allocating emissions</w:t>
      </w:r>
      <w:r>
        <w:t xml:space="preserve"> </w:t>
      </w:r>
      <w:r>
        <w:t xml:space="preserve">between ETS and non ETS</w:t>
      </w:r>
    </w:p>
    <w:p>
      <w:pPr>
        <w:pStyle w:val="BodyText"/>
      </w:pPr>
      <w:r>
        <w:t xml:space="preserve">18 SEC(2011)1569 : https://ec.europa.eu/energy/sites/ener/files/documents/sec_2011_1569_2.pdf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• Technology databases: ODYSSEE-MURE19, ICARUS, Eco-design, VGB (power</w:t>
      </w:r>
      <w:r>
        <w:t xml:space="preserve"> </w:t>
      </w:r>
      <w:r>
        <w:t xml:space="preserve">technology costs), TECHPOL – supply sector technologies, NEMS model database20,</w:t>
      </w:r>
      <w:r>
        <w:t xml:space="preserve"> </w:t>
      </w:r>
      <w:r>
        <w:t xml:space="preserve">IPPC BAT Technologies21</w:t>
      </w:r>
      <w:r>
        <w:t xml:space="preserve"> </w:t>
      </w:r>
      <w:r>
        <w:t xml:space="preserve">• Power Plant Inventory: ESAP SA and PLATTS</w:t>
      </w:r>
      <w:r>
        <w:t xml:space="preserve"> </w:t>
      </w:r>
      <w:r>
        <w:t xml:space="preserve">• RES capacities, potential and availability: JRC ENSPRESO22, JRC EMHIRES23, RES</w:t>
      </w:r>
      <w:r>
        <w:t xml:space="preserve"> </w:t>
      </w:r>
      <w:r>
        <w:t xml:space="preserve">ninja24, ECN, DLR and Observer, IRENA</w:t>
      </w:r>
      <w:r>
        <w:t xml:space="preserve"> </w:t>
      </w:r>
      <w:r>
        <w:t xml:space="preserve">• Network infrastructure: ENTSOE, GIE, other operators</w:t>
      </w:r>
      <w:r>
        <w:t xml:space="preserve"> </w:t>
      </w:r>
      <w:r>
        <w:t xml:space="preserve">• Other databases: EU GHG inventories, district heating surveys (e.g. from COGEN),</w:t>
      </w:r>
      <w:r>
        <w:t xml:space="preserve"> </w:t>
      </w:r>
      <w:r>
        <w:t xml:space="preserve">buildings and houses statistics and surveys (various sources, including ENTRANZE</w:t>
      </w:r>
      <w:r>
        <w:t xml:space="preserve"> </w:t>
      </w:r>
      <w:r>
        <w:t xml:space="preserve">project25, INSPIRE archive, BPIE26), JRC-IDEES27, update to the EU Building stock</w:t>
      </w:r>
      <w:r>
        <w:t xml:space="preserve"> </w:t>
      </w:r>
      <w:r>
        <w:t xml:space="preserve">Observatory28</w:t>
      </w:r>
      <w:r>
        <w:t xml:space="preserve"> </w:t>
      </w:r>
      <w:r>
        <w:t xml:space="preserve">b. TRANSPORT: THE PRIMES-TREMOVE MODEL</w:t>
      </w:r>
      <w:r>
        <w:br/>
      </w:r>
      <w:r>
        <w:t xml:space="preserve">The PRIMES-TREMOVE transport model projects the evolution of demand for</w:t>
      </w:r>
      <w:r>
        <w:t xml:space="preserve"> </w:t>
      </w:r>
      <w:r>
        <w:t xml:space="preserve">passengers and freight transport, by transport mode, and transport vehicle/technology,</w:t>
      </w:r>
      <w:r>
        <w:t xml:space="preserve"> </w:t>
      </w:r>
      <w:r>
        <w:t xml:space="preserve">following a formulation based on microeconomic foundation of decisions of multiple</w:t>
      </w:r>
      <w:r>
        <w:t xml:space="preserve"> </w:t>
      </w:r>
      <w:r>
        <w:t xml:space="preserve">actors. Operation, investment and emission costs, various policy measures, utility factors</w:t>
      </w:r>
      <w:r>
        <w:t xml:space="preserve"> </w:t>
      </w:r>
      <w:r>
        <w:t xml:space="preserve">and congestion are among the drivers that influence the projections of the model. The</w:t>
      </w:r>
      <w:r>
        <w:t xml:space="preserve"> </w:t>
      </w:r>
      <w:r>
        <w:t xml:space="preserve">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  <w:r>
        <w:br/>
      </w:r>
      <w:r>
        <w:t xml:space="preserve">The PRIMES-TREMOVE transport model can therefore provide the quantitative analysis</w:t>
      </w:r>
      <w:r>
        <w:t xml:space="preserve"> </w:t>
      </w:r>
      <w:r>
        <w:t xml:space="preserve">for the transport sector in the EU, candidate and neighbouring countries covering activity,</w:t>
      </w:r>
      <w:r>
        <w:t xml:space="preserve"> </w:t>
      </w:r>
      <w:r>
        <w:t xml:space="preserve">equipment, energy and emissions. The model accounts for each country separately which</w:t>
      </w:r>
      <w:r>
        <w:t xml:space="preserve"> </w:t>
      </w:r>
      <w:r>
        <w:t xml:space="preserve">means that the detailed long-term outlooks are available both for each country and in</w:t>
      </w:r>
      <w:r>
        <w:t xml:space="preserve"> </w:t>
      </w:r>
      <w:r>
        <w:t xml:space="preserve">aggregate forms (e.g. EU level).</w:t>
      </w:r>
      <w:r>
        <w:t xml:space="preserve"> </w:t>
      </w:r>
      <w:r>
        <w:t xml:space="preserve">In the transport field, PRIMES-TREMOVE is suitable for modelling soft measures (e.g. </w:t>
      </w:r>
      <w:r>
        <w:t xml:space="preserve"> </w:t>
      </w:r>
      <w:r>
        <w:t xml:space="preserve">eco-driving, labelling); economic measures (e.g. subsidies and taxes on fuels, vehicles,</w:t>
      </w:r>
      <w:r>
        <w:t xml:space="preserve"> </w:t>
      </w:r>
      <w:r>
        <w:t xml:space="preserve">emissions; ETS for transport when linked with PRIMES; pricing of congestion and other</w:t>
      </w:r>
      <w:r>
        <w:t xml:space="preserve"> </w:t>
      </w:r>
      <w:r>
        <w:t xml:space="preserve">externalities such as air pollution, accidents and noise; measures supporting R&amp;D);</w:t>
      </w:r>
      <w:r>
        <w:t xml:space="preserve"> </w:t>
      </w:r>
      <w:r>
        <w:t xml:space="preserve">regulatory measures (e.g. CO2 emission performance standards for new light duty vehicles</w:t>
      </w:r>
      <w:r>
        <w:t xml:space="preserve"> </w:t>
      </w:r>
      <w:r>
        <w:t xml:space="preserve">and heavy duty vehicles; EURO standards on road transport vehicles; technology standards</w:t>
      </w:r>
      <w:r>
        <w:t xml:space="preserve"> </w:t>
      </w:r>
      <w:r>
        <w:t xml:space="preserve">for non-road transport technologies, deployment of Intelligent Transport Systems) and</w:t>
      </w:r>
      <w:r>
        <w:t xml:space="preserve"> </w:t>
      </w:r>
      <w:r>
        <w:t xml:space="preserve">infrastructure policies for alternative fuels (e.g. deployment of refuelling/recharging</w:t>
      </w:r>
      <w:r>
        <w:t xml:space="preserve"> </w:t>
      </w:r>
      <w:r>
        <w:t xml:space="preserve">infrastructure for electricity, hydrogen, LNG, CNG). Used as a module that contributes to</w:t>
      </w:r>
      <w:r>
        <w:t xml:space="preserve"> </w:t>
      </w:r>
      <w:r>
        <w:t xml:space="preserve">the PRIMES model energy system model, PRIMES-TREMOVE can show how policies</w:t>
      </w:r>
      <w:r>
        <w:t xml:space="preserve"> </w:t>
      </w:r>
      <w:r>
        <w:t xml:space="preserve">and trends in the field of transport contribute to economy-wide trends in energy use and</w:t>
      </w:r>
    </w:p>
    <w:p>
      <w:pPr>
        <w:pStyle w:val="BodyText"/>
      </w:pPr>
      <w:r>
        <w:t xml:space="preserve">19 https://www.odyssee-mure.eu/</w:t>
      </w:r>
      <w:r>
        <w:t xml:space="preserve"> </w:t>
      </w:r>
      <w:r>
        <w:t xml:space="preserve">20 Source: https://www.eia.gov/outlooks/aeo/info_nems_archive.php</w:t>
      </w:r>
      <w:r>
        <w:t xml:space="preserve"> </w:t>
      </w:r>
      <w:r>
        <w:t xml:space="preserve">21 Source: https://eippcb.jrc.ec.europa.eu/reference/</w:t>
      </w:r>
      <w:r>
        <w:br/>
      </w:r>
      <w:r>
        <w:t xml:space="preserve">22 Source: https://data.jrc.ec.europa.eu/collection/id-00138</w:t>
      </w:r>
      <w:r>
        <w:br/>
      </w:r>
      <w:r>
        <w:t xml:space="preserve">23 Source: https://data.jrc.ec.europa.eu/dataset/jrc-emhires-wind-generation-time-series</w:t>
      </w:r>
      <w:r>
        <w:br/>
      </w:r>
      <w:r>
        <w:t xml:space="preserve">24 Source: https://www.renewables.ninja/</w:t>
      </w:r>
      <w:r>
        <w:br/>
      </w:r>
      <w:r>
        <w:t xml:space="preserve">25 Source: https://www.entranze.eu/</w:t>
      </w:r>
      <w:r>
        <w:br/>
      </w:r>
      <w:r>
        <w:t xml:space="preserve">26Source: http://bpie.eu/</w:t>
      </w:r>
      <w:r>
        <w:br/>
      </w:r>
      <w:r>
        <w:t xml:space="preserve">27 Source: https://ec.europa.eu/jrc/en/potencia/jrc-idees</w:t>
      </w:r>
      <w:r>
        <w:br/>
      </w:r>
      <w:r>
        <w:t xml:space="preserve">28 Source: https://ec.europa.eu/energy/en/eubuildings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emissions. Using data disaggregated per Member State, the model can show differentiated</w:t>
      </w:r>
      <w:r>
        <w:t xml:space="preserve"> </w:t>
      </w:r>
      <w:r>
        <w:t xml:space="preserve">trends across Member States.</w:t>
      </w:r>
      <w:r>
        <w:br/>
      </w:r>
      <w:r>
        <w:t xml:space="preserve">The PRIMES-TREMOVE has been developed and is maintained by E3Modelling, based</w:t>
      </w:r>
      <w:r>
        <w:t xml:space="preserve"> </w:t>
      </w:r>
      <w:r>
        <w:t xml:space="preserve">on, but extending features of, the open source TREMOVE model developed by the</w:t>
      </w:r>
      <w:r>
        <w:t xml:space="preserve"> </w:t>
      </w:r>
      <w:r>
        <w:t xml:space="preserve">TREMOVE29 modelling community. Part of the model (e.g. the utility nested tree) was</w:t>
      </w:r>
      <w:r>
        <w:t xml:space="preserve"> </w:t>
      </w:r>
      <w:r>
        <w:t xml:space="preserve">built following the TREMOVE model.30 Other parts, like the component on fuel</w:t>
      </w:r>
      <w:r>
        <w:t xml:space="preserve"> </w:t>
      </w:r>
      <w:r>
        <w:t xml:space="preserve">consumption and emissions, follow 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</w:t>
      </w:r>
      <w:r>
        <w:t xml:space="preserve"> </w:t>
      </w:r>
      <w:r>
        <w:t xml:space="preserve">and energy consumption, comes from EUROSTAT database and from the Statistical</w:t>
      </w:r>
      <w:r>
        <w:t xml:space="preserve"> </w:t>
      </w:r>
      <w:r>
        <w:t xml:space="preserve">Pocketbook “EU transport in figures31. Excise taxes are derived from DG TAXUD excise</w:t>
      </w:r>
      <w:r>
        <w:t xml:space="preserve"> </w:t>
      </w:r>
      <w:r>
        <w:t xml:space="preserve">duty tables. Other data comes from different sources such as the European Alternative</w:t>
      </w:r>
      <w:r>
        <w:t xml:space="preserve"> </w:t>
      </w:r>
      <w:r>
        <w:t xml:space="preserve">Fuels Observatory (EAFO)32, research projects (e.g. the Study on New Mobility Patterns</w:t>
      </w:r>
      <w:r>
        <w:t xml:space="preserve"> </w:t>
      </w:r>
      <w:r>
        <w:t xml:space="preserve">in European Cities33) and reports.</w:t>
      </w:r>
      <w:r>
        <w:t xml:space="preserve"> </w:t>
      </w:r>
      <w:r>
        <w:t xml:space="preserve">In the context of this exercise, the PRIMES-TREMOVE transport model is calibrated to</w:t>
      </w:r>
      <w:r>
        <w:t xml:space="preserve"> </w:t>
      </w:r>
      <w:r>
        <w:t xml:space="preserve">2005, 2010, 2015 and 2020 historical data. Available data on 2023 and 2024 market shares</w:t>
      </w:r>
      <w:r>
        <w:t xml:space="preserve"> </w:t>
      </w:r>
      <w:r>
        <w:t xml:space="preserve">of different powertrain types, energy balances and transport statistics have also been taken</w:t>
      </w:r>
      <w:r>
        <w:t xml:space="preserve"> </w:t>
      </w:r>
      <w:r>
        <w:t xml:space="preserve">into account to semi-calibrate the year 2025.</w:t>
      </w:r>
      <w:r>
        <w:t xml:space="preserve"> </w:t>
      </w:r>
      <w:r>
        <w:t xml:space="preserve">c. DIONE MODEL (JRC)</w:t>
      </w:r>
      <w:r>
        <w:t xml:space="preserve"> </w:t>
      </w:r>
      <w:r>
        <w:t xml:space="preserve">The DIONE model suite is developed, maintained and run by the JRC. It has been used for</w:t>
      </w:r>
      <w:r>
        <w:t xml:space="preserve"> </w:t>
      </w:r>
      <w:r>
        <w:t xml:space="preserve">the assessment of capital, fuel/energy and other operating costs presented in Chapter 6 of</w:t>
      </w:r>
      <w:r>
        <w:t xml:space="preserve"> </w:t>
      </w:r>
      <w:r>
        <w:t xml:space="preserve">the Impact Assessment. The suite consists of different modules, such as:</w:t>
      </w:r>
      <w:r>
        <w:t xml:space="preserve"> </w:t>
      </w:r>
      <w:r>
        <w:t xml:space="preserve">• DIONE Fleet Impact Model</w:t>
      </w:r>
      <w:r>
        <w:t xml:space="preserve"> </w:t>
      </w:r>
      <w:r>
        <w:t xml:space="preserve">• DIONE Cost Curve Model</w:t>
      </w:r>
      <w:r>
        <w:t xml:space="preserve"> </w:t>
      </w:r>
      <w:r>
        <w:t xml:space="preserve">• DIONE Cross-Optimization Module</w:t>
      </w:r>
      <w:r>
        <w:t xml:space="preserve"> </w:t>
      </w:r>
      <w:r>
        <w:t xml:space="preserve">• DIONE Fuel and Energy Cost Module</w:t>
      </w:r>
      <w:r>
        <w:t xml:space="preserve"> </w:t>
      </w:r>
      <w:r>
        <w:t xml:space="preserve">• DIONE TCO and Payback Module</w:t>
      </w:r>
    </w:p>
    <w:p>
      <w:pPr>
        <w:pStyle w:val="BodyText"/>
      </w:pPr>
      <w:r>
        <w:t xml:space="preserve">29 Source : https://www.tmleuven.be/en/navigation/TREMOVE</w:t>
      </w:r>
      <w:r>
        <w:t xml:space="preserve"> </w:t>
      </w:r>
      <w:r>
        <w:t xml:space="preserve">30 Several model enhancements were made compared to the standard TREMOVE model, for example: for</w:t>
      </w:r>
      <w:r>
        <w:t xml:space="preserve"> </w:t>
      </w:r>
      <w:r>
        <w:t xml:space="preserve">the number of vintages (allowing representation of the choice of second-hand cars); for the technology</w:t>
      </w:r>
      <w:r>
        <w:t xml:space="preserve"> </w:t>
      </w:r>
      <w:r>
        <w:t xml:space="preserve">categories which include vehicle types using electricity from the grid and fuel cells. The model also</w:t>
      </w:r>
      <w:r>
        <w:t xml:space="preserve"> </w:t>
      </w:r>
      <w:r>
        <w:t xml:space="preserve">incorporates additional fuel types, such as biofuels (when they differ from standard fossil fuel technologies),</w:t>
      </w:r>
      <w:r>
        <w:t xml:space="preserve"> </w:t>
      </w:r>
      <w:r>
        <w:t xml:space="preserve">LPG, LNG, hydrogen and e-fuels. In addition, representation of infrastructure for refuelling and recharging</w:t>
      </w:r>
      <w:r>
        <w:t xml:space="preserve"> </w:t>
      </w:r>
      <w:r>
        <w:t xml:space="preserve">are among the model refinements, influencing fuel choices. A major model enhancement concerns the</w:t>
      </w:r>
      <w:r>
        <w:t xml:space="preserve"> </w:t>
      </w:r>
      <w:r>
        <w:t xml:space="preserve">inclusion of heterogeneity in the distance of stylised trips; the model considers that the trip distances follow</w:t>
      </w:r>
      <w:r>
        <w:t xml:space="preserve"> </w:t>
      </w:r>
      <w:r>
        <w:t xml:space="preserve">a distribution function with different distances and frequencies. The inclusion of heterogeneity was found to</w:t>
      </w:r>
      <w:r>
        <w:t xml:space="preserve"> </w:t>
      </w:r>
      <w:r>
        <w:t xml:space="preserve">be of significant influence in the choice of vehicle-fuels especially for vehicles-fuels with range limitations.</w:t>
      </w:r>
      <w:r>
        <w:t xml:space="preserve"> </w:t>
      </w:r>
      <w:r>
        <w:t xml:space="preserve">31 Source: https://ec.europa.eu/transport/facts-fundings/statistics_en</w:t>
      </w:r>
      <w:r>
        <w:br/>
      </w:r>
      <w:r>
        <w:t xml:space="preserve">32 https://alternative-fuels-observatory.ec.europa.eu/</w:t>
      </w:r>
      <w:r>
        <w:t xml:space="preserve"> </w:t>
      </w:r>
      <w:r>
        <w:t xml:space="preserve">33 Sustainable transport Studies - European Commission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Many of them were developed specifically for the analysis of the total cost of ownership</w:t>
      </w:r>
      <w:r>
        <w:t xml:space="preserve"> </w:t>
      </w:r>
      <w:r>
        <w:t xml:space="preserve">of vehicles in the framework of EC impact assessments34 and continuously updated35. The</w:t>
      </w:r>
      <w:r>
        <w:t xml:space="preserve"> </w:t>
      </w:r>
      <w:r>
        <w:t xml:space="preserve">DIONE model was previously used in support of the analytic work supporting the current</w:t>
      </w:r>
      <w:r>
        <w:t xml:space="preserve"> </w:t>
      </w:r>
      <w:r>
        <w:t xml:space="preserve">regulations setting CO2 standards for light-duty vehicles (Regulation (EU) 2019/631) and</w:t>
      </w:r>
      <w:r>
        <w:t xml:space="preserve"> </w:t>
      </w:r>
      <w:r>
        <w:t xml:space="preserve">for heavy-duty vehicles (Regulation (EU) 2019/1242).</w:t>
      </w:r>
      <w:r>
        <w:t xml:space="preserve"> </w:t>
      </w:r>
      <w:r>
        <w:t xml:space="preserve">For this Impact Assessment, the DIONE Cost Curve Model was run to update previous</w:t>
      </w:r>
      <w:r>
        <w:t xml:space="preserve"> </w:t>
      </w:r>
      <w:r>
        <w:t xml:space="preserve">light-duty vehicle cost curves in several regards. In particular, recent battery development</w:t>
      </w:r>
      <w:r>
        <w:t xml:space="preserve"> </w:t>
      </w:r>
      <w:r>
        <w:t xml:space="preserve">trends were reflected, and new range and utility factor settings for PHEV were considered,</w:t>
      </w:r>
      <w:r>
        <w:t xml:space="preserve"> </w:t>
      </w:r>
      <w:r>
        <w:t xml:space="preserve">in line with the assumptions made in the baseline and scenarios, by updating the cost curves</w:t>
      </w:r>
      <w:r>
        <w:t xml:space="preserve"> </w:t>
      </w:r>
      <w:r>
        <w:t xml:space="preserve">for advanced electrified vehicles (SI PHEV, SI REEV, CI PHEV, CI REEV, BEV).</w:t>
      </w:r>
      <w:r>
        <w:t xml:space="preserve"> </w:t>
      </w:r>
      <w:r>
        <w:t xml:space="preserve">On the basis of the cost curves, the DIONE Cross-Optimization Module determines the</w:t>
      </w:r>
      <w:r>
        <w:t xml:space="preserve"> </w:t>
      </w:r>
      <w:r>
        <w:t xml:space="preserve">optimal (i.e. cost minimizing) CO2 and energy consumption reduction for each powertrain</w:t>
      </w:r>
      <w:r>
        <w:t xml:space="preserve"> </w:t>
      </w:r>
      <w:r>
        <w:t xml:space="preserve">and segment, given the relevant targets36, fleet compositions and cost curves. As the cost</w:t>
      </w:r>
      <w:r>
        <w:t xml:space="preserve"> </w:t>
      </w:r>
      <w:r>
        <w:t xml:space="preserve">curves have positive first and second derivatives, this is a mathematical problem with a</w:t>
      </w:r>
      <w:r>
        <w:t xml:space="preserve"> </w:t>
      </w:r>
      <w:r>
        <w:t xml:space="preserve">unique solution.</w:t>
      </w:r>
      <w:r>
        <w:br/>
      </w:r>
      <w:r>
        <w:t xml:space="preserve">Outputs from the Cross-Optimization Module are optimal CO2 (for conventional vehicles</w:t>
      </w:r>
      <w:r>
        <w:t xml:space="preserve"> </w:t>
      </w:r>
      <w:r>
        <w:t xml:space="preserve">and PHEV, REEV) or energy consumption (for BEV, FCEV, PHEV) reduction per</w:t>
      </w:r>
      <w:r>
        <w:t xml:space="preserve"> </w:t>
      </w:r>
      <w:r>
        <w:t xml:space="preserve">segment and powertrain and the corresponding additional capital costs.</w:t>
      </w:r>
      <w:r>
        <w:t xml:space="preserve"> </w:t>
      </w:r>
      <w:r>
        <w:t xml:space="preserve">The DIONE Energy Cost Module is used to calculate fuel and energy costs. For each</w:t>
      </w:r>
      <w:r>
        <w:t xml:space="preserve"> </w:t>
      </w:r>
      <w:r>
        <w:t xml:space="preserve">powertrain and segment, the WLTP energy consumption (MJ/km) is derived from the CO2</w:t>
      </w:r>
      <w:r>
        <w:t xml:space="preserve"> </w:t>
      </w:r>
      <w:r>
        <w:t xml:space="preserve">emission reduction (to comply with the targets) using specific energy conversion factors.</w:t>
      </w:r>
      <w:r>
        <w:t xml:space="preserve"> </w:t>
      </w:r>
      <w:r>
        <w:t xml:space="preserve">Real World energy consumption is calculated by applying powertrain and segment-</w:t>
      </w:r>
      <w:r>
        <w:t xml:space="preserve"> </w:t>
      </w:r>
      <w:r>
        <w:t xml:space="preserve">specific factors37.</w:t>
      </w:r>
      <w:r>
        <w:t xml:space="preserve"> </w:t>
      </w:r>
      <w:r>
        <w:t xml:space="preserve">The fuel and energy cost per powertrain and segment is calculated taking into account the</w:t>
      </w:r>
      <w:r>
        <w:t xml:space="preserve"> </w:t>
      </w:r>
      <w:r>
        <w:t xml:space="preserve">specific energy consumption, vehicle mileage and fuel costs (EUR/MJ fuel). Vehicle</w:t>
      </w:r>
      <w:r>
        <w:t xml:space="preserve"> </w:t>
      </w:r>
      <w:r>
        <w:t xml:space="preserve">mileages per segment and powertrain as well as mileage profiles over vehicle lifetime are</w:t>
      </w:r>
      <w:r>
        <w:t xml:space="preserve"> </w:t>
      </w:r>
      <w:r>
        <w:t xml:space="preserve">based on JRC analysis of on-board fuel consumption monitoring data. Costs of</w:t>
      </w:r>
      <w:r>
        <w:t xml:space="preserve"> </w:t>
      </w:r>
      <w:r>
        <w:t xml:space="preserve">conventional fuels, and electricity and hydrogen are aligned with PRIMES outputs for the</w:t>
      </w:r>
      <w:r>
        <w:t xml:space="preserve"> </w:t>
      </w:r>
      <w:r>
        <w:t xml:space="preserve">respective scenarios. They are discounted and weighted by powertrain / segment activity</w:t>
      </w:r>
      <w:r>
        <w:t xml:space="preserve"> </w:t>
      </w:r>
      <w:r>
        <w:t xml:space="preserve">over vehicle age.</w:t>
      </w:r>
    </w:p>
    <w:p>
      <w:pPr>
        <w:pStyle w:val="BodyText"/>
      </w:pPr>
      <w:r>
        <w:t xml:space="preserve">34 Krause, J., Donati, A.V., Thiel, C. (2017), Light-Duty Vehicle CO2 Emission Reduction Cost Curves and</w:t>
      </w:r>
      <w:r>
        <w:t xml:space="preserve"> </w:t>
      </w:r>
      <w:r>
        <w:t xml:space="preserve">Cost Assessment - the DIONE Model, EUR 28821 EN, Publications Office of the European Union,</w:t>
      </w:r>
      <w:r>
        <w:t xml:space="preserve"> </w:t>
      </w:r>
      <w:r>
        <w:t xml:space="preserve">Luxembourg,</w:t>
      </w:r>
      <w:r>
        <w:t xml:space="preserve"> </w:t>
      </w:r>
      <w:r>
        <w:t xml:space="preserve">http://publications.jrc.ec.europa.eu/repository/handle/JRC108725;</w:t>
      </w:r>
      <w:r>
        <w:t xml:space="preserve"> </w:t>
      </w:r>
      <w:r>
        <w:t xml:space="preserve">and</w:t>
      </w:r>
      <w:r>
        <w:br/>
      </w:r>
      <w:r>
        <w:t xml:space="preserve">Krause, J., Donati, A.V., Heavy-duty vehicle CO2 emission reduction cost curves and cost assessment –</w:t>
      </w:r>
      <w:r>
        <w:t xml:space="preserve"> </w:t>
      </w:r>
      <w:r>
        <w:t xml:space="preserve">enhancement of the DIONE model (2018), EUR 29284 EN, ISBN 978-92-79-88812-0, doi:10.2760/555936,</w:t>
      </w:r>
      <w:r>
        <w:t xml:space="preserve"> </w:t>
      </w:r>
      <w:r>
        <w:t xml:space="preserve">JRC112013</w:t>
      </w:r>
      <w:r>
        <w:br/>
      </w:r>
      <w:r>
        <w:t xml:space="preserve">35 Krause, J., Le Corguille, J., Saporiti, F. and V. Arcidiacono, The JRC DIONE model version II – Assessing</w:t>
      </w:r>
      <w:r>
        <w:t xml:space="preserve"> </w:t>
      </w:r>
      <w:r>
        <w:t xml:space="preserve">the costs of road vehicle CO2 emission reduction, Publications Office of the European Union, 2024,</w:t>
      </w:r>
      <w:r>
        <w:t xml:space="preserve"> </w:t>
      </w:r>
      <w:r>
        <w:t xml:space="preserve">https://data.europa.eu/doi/10.2760/534058</w:t>
      </w:r>
      <w:r>
        <w:br/>
      </w:r>
      <w:r>
        <w:t xml:space="preserve">36 Suarez CJ, Komnos D, Ktistakis M, Fontaras G. 2025 and 2030 CO2 emission targets for Light Duty</w:t>
      </w:r>
      <w:r>
        <w:t xml:space="preserve"> </w:t>
      </w:r>
      <w:r>
        <w:t xml:space="preserve">Vehicles. JRC Publications Repository 2023. https://doi.org/10.2760/901734.</w:t>
      </w:r>
      <w:r>
        <w:t xml:space="preserve"> </w:t>
      </w:r>
      <w:r>
        <w:t xml:space="preserve">37 Komnos D, Smit R, Ntziachristos L, Fontaras G. A comparative analysis of car fleet efficiency evolution</w:t>
      </w:r>
      <w:r>
        <w:t xml:space="preserve"> </w:t>
      </w:r>
      <w:r>
        <w:t xml:space="preserve">in Europe and Australia insights on policy influence. Journal of Environmental Management</w:t>
      </w:r>
      <w:r>
        <w:t xml:space="preserve"> </w:t>
      </w:r>
      <w:r>
        <w:t xml:space="preserve">2025;373:123313. https://doi.org/10.1016/j.jenvman.2024.123313.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In the DIONE TCO (total cost of ownership) and Payback Module, technology costs and</w:t>
      </w:r>
      <w:r>
        <w:t xml:space="preserve"> </w:t>
      </w:r>
      <w:r>
        <w:t xml:space="preserve">operating costs are aggregated, discounted and weighted where appropriate, to calculate</w:t>
      </w:r>
      <w:r>
        <w:t xml:space="preserve"> </w:t>
      </w:r>
      <w:r>
        <w:t xml:space="preserve">total costs of ownership from the perspectives of end-users and society.</w:t>
      </w:r>
      <w:r>
        <w:t xml:space="preserve"> </w:t>
      </w:r>
      <w:r>
        <w:t xml:space="preserve">Main assumptions made for the costs assessment by DIONE are presented in Table 2.</w:t>
      </w:r>
      <w:r>
        <w:t xml:space="preserve"> </w:t>
      </w:r>
      <w:r>
        <w:t xml:space="preserve">Table 2: Main assumptions made for the costs assessment by DIONE</w:t>
      </w:r>
      <w:r>
        <w:t xml:space="preserve"> </w:t>
      </w:r>
      <w:r>
        <w:t xml:space="preserve">Element</w:t>
      </w:r>
      <w:r>
        <w:t xml:space="preserve"> </w:t>
      </w:r>
      <w:r>
        <w:t xml:space="preserve">Sub-category</w:t>
      </w:r>
      <w:r>
        <w:t xml:space="preserve"> </w:t>
      </w:r>
      <w:r>
        <w:t xml:space="preserve">Assumption Notes</w:t>
      </w:r>
      <w:r>
        <w:t xml:space="preserve"> </w:t>
      </w:r>
      <w:r>
        <w:t xml:space="preserve">Discount</w:t>
      </w:r>
      <w:r>
        <w:t xml:space="preserve"> </w:t>
      </w:r>
      <w:r>
        <w:t xml:space="preserve">Rate, %38</w:t>
      </w:r>
      <w:r>
        <w:t xml:space="preserve"> </w:t>
      </w:r>
      <w:r>
        <w:t xml:space="preserve">Societal</w:t>
      </w:r>
      <w:r>
        <w:t xml:space="preserve"> </w:t>
      </w:r>
      <w:r>
        <w:t xml:space="preserve">3%</w:t>
      </w:r>
      <w:r>
        <w:t xml:space="preserve"> </w:t>
      </w:r>
      <w:r>
        <w:t xml:space="preserve">This social discount rate is</w:t>
      </w:r>
      <w:r>
        <w:t xml:space="preserve"> </w:t>
      </w:r>
      <w:r>
        <w:t xml:space="preserve">recommended for Impact Assessments</w:t>
      </w:r>
      <w:r>
        <w:t xml:space="preserve"> </w:t>
      </w:r>
      <w:r>
        <w:t xml:space="preserve">in the Commission’s Better Regulation</w:t>
      </w:r>
      <w:r>
        <w:t xml:space="preserve"> </w:t>
      </w:r>
      <w:r>
        <w:t xml:space="preserve">guidelines39.</w:t>
      </w:r>
      <w:r>
        <w:t xml:space="preserve"> </w:t>
      </w:r>
      <w:r>
        <w:t xml:space="preserve">End user (cars)</w:t>
      </w:r>
      <w:r>
        <w:t xml:space="preserve"> </w:t>
      </w:r>
      <w:r>
        <w:t xml:space="preserve">11%</w:t>
      </w:r>
      <w:r>
        <w:t xml:space="preserve"> </w:t>
      </w:r>
      <w:r>
        <w:t xml:space="preserve">Consistent with the EU Reference</w:t>
      </w:r>
      <w:r>
        <w:t xml:space="preserve"> </w:t>
      </w:r>
      <w:r>
        <w:t xml:space="preserve">Scenario 2020</w:t>
      </w:r>
      <w:r>
        <w:t xml:space="preserve"> </w:t>
      </w:r>
      <w:r>
        <w:t xml:space="preserve">End user</w:t>
      </w:r>
      <w:r>
        <w:t xml:space="preserve"> </w:t>
      </w:r>
      <w:r>
        <w:t xml:space="preserve">(LCVs)</w:t>
      </w:r>
      <w:r>
        <w:t xml:space="preserve"> </w:t>
      </w:r>
      <w:r>
        <w:t xml:space="preserve">9.5%</w:t>
      </w:r>
      <w:r>
        <w:t xml:space="preserve"> </w:t>
      </w:r>
      <w:r>
        <w:t xml:space="preserve">Consistent with the EU Reference</w:t>
      </w:r>
      <w:r>
        <w:t xml:space="preserve"> </w:t>
      </w:r>
      <w:r>
        <w:t xml:space="preserve">Scenario 2020</w:t>
      </w:r>
      <w:r>
        <w:t xml:space="preserve"> </w:t>
      </w:r>
      <w:r>
        <w:t xml:space="preserve">Period/age,</w:t>
      </w:r>
      <w:r>
        <w:t xml:space="preserve"> </w:t>
      </w:r>
      <w:r>
        <w:t xml:space="preserve">years</w:t>
      </w:r>
      <w:r>
        <w:t xml:space="preserve"> </w:t>
      </w:r>
      <w:r>
        <w:t xml:space="preserve">Lifetime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First end-user</w:t>
      </w:r>
      <w:r>
        <w:t xml:space="preserve"> </w:t>
      </w:r>
      <w:r>
        <w:t xml:space="preserve">0-5</w:t>
      </w:r>
    </w:p>
    <w:p>
      <w:pPr>
        <w:pStyle w:val="BodyText"/>
      </w:pPr>
      <w:r>
        <w:t xml:space="preserve">Second end-</w:t>
      </w:r>
      <w:r>
        <w:t xml:space="preserve"> </w:t>
      </w:r>
      <w:r>
        <w:t xml:space="preserve">user</w:t>
      </w:r>
      <w:r>
        <w:t xml:space="preserve"> </w:t>
      </w:r>
      <w:r>
        <w:t xml:space="preserve">6-10</w:t>
      </w:r>
    </w:p>
    <w:p>
      <w:pPr>
        <w:pStyle w:val="BodyText"/>
      </w:pPr>
      <w:r>
        <w:t xml:space="preserve">Third end-user</w:t>
      </w:r>
      <w:r>
        <w:t xml:space="preserve"> </w:t>
      </w:r>
      <w:r>
        <w:t xml:space="preserve">11-15</w:t>
      </w:r>
    </w:p>
    <w:p>
      <w:pPr>
        <w:pStyle w:val="BodyText"/>
      </w:pPr>
      <w:r>
        <w:t xml:space="preserve">Capital costs</w:t>
      </w:r>
    </w:p>
    <w:p>
      <w:pPr>
        <w:pStyle w:val="BodyText"/>
      </w:pPr>
      <w:r>
        <w:t xml:space="preserve">% sales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 from</w:t>
      </w:r>
      <w:r>
        <w:t xml:space="preserve"> </w:t>
      </w:r>
      <w:r>
        <w:t xml:space="preserve">DIONE</w:t>
      </w:r>
      <w:r>
        <w:t xml:space="preserve"> </w:t>
      </w:r>
      <w:r>
        <w:t xml:space="preserve">Average marginal vehicle</w:t>
      </w:r>
      <w:r>
        <w:t xml:space="preserve"> </w:t>
      </w:r>
      <w:r>
        <w:t xml:space="preserve">manufacturing costs (including</w:t>
      </w:r>
      <w:r>
        <w:t xml:space="preserve"> </w:t>
      </w:r>
      <w:r>
        <w:t xml:space="preserve">manufacturer profit margins) calculated</w:t>
      </w:r>
      <w:r>
        <w:t xml:space="preserve"> </w:t>
      </w:r>
      <w:r>
        <w:t xml:space="preserve">by DIONE for a given scenario.</w:t>
      </w:r>
      <w:r>
        <w:t xml:space="preserve"> </w:t>
      </w:r>
      <w:r>
        <w:t xml:space="preserve">Depreciation</w:t>
      </w:r>
    </w:p>
    <w:p>
      <w:pPr>
        <w:pStyle w:val="BodyText"/>
      </w:pPr>
      <w:r>
        <w:t xml:space="preserve">Based on CE Delft et al. (2017)40 and</w:t>
      </w:r>
      <w:r>
        <w:t xml:space="preserve"> </w:t>
      </w:r>
      <w:r>
        <w:t xml:space="preserve">updated to 20 years vehicle lifetime.</w:t>
      </w:r>
      <w:r>
        <w:t xml:space="preserve"> </w:t>
      </w:r>
      <w:r>
        <w:t xml:space="preserve">Mileage</w:t>
      </w:r>
      <w:r>
        <w:t xml:space="preserve"> </w:t>
      </w:r>
      <w:r>
        <w:t xml:space="preserve">profile</w:t>
      </w:r>
      <w:r>
        <w:t xml:space="preserve"> </w:t>
      </w:r>
      <w:r>
        <w:t xml:space="preserve">Total, and by</w:t>
      </w:r>
      <w:r>
        <w:t xml:space="preserve"> </w:t>
      </w:r>
      <w:r>
        <w:t xml:space="preserve">age profile</w:t>
      </w:r>
    </w:p>
    <w:p>
      <w:pPr>
        <w:pStyle w:val="BodyText"/>
      </w:pPr>
      <w:r>
        <w:t xml:space="preserve">The overall mileage is distributed over</w:t>
      </w:r>
      <w:r>
        <w:t xml:space="preserve"> </w:t>
      </w:r>
      <w:r>
        <w:t xml:space="preserve">the assumed lifetime of the vehicle in</w:t>
      </w:r>
      <w:r>
        <w:t xml:space="preserve"> </w:t>
      </w:r>
      <w:r>
        <w:t xml:space="preserve">the analysis, according to an age-</w:t>
      </w:r>
      <w:r>
        <w:t xml:space="preserve"> </w:t>
      </w:r>
      <w:r>
        <w:t xml:space="preserve">dependant mileage profile estimated</w:t>
      </w:r>
      <w:r>
        <w:t xml:space="preserve"> </w:t>
      </w:r>
      <w:r>
        <w:t xml:space="preserve">based on recent data from vehicle on-</w:t>
      </w:r>
    </w:p>
    <w:p>
      <w:pPr>
        <w:pStyle w:val="BodyText"/>
      </w:pPr>
      <w:r>
        <w:t xml:space="preserve">38 The discount rates are consistent with the Reference Scenario 2020</w:t>
      </w:r>
      <w:r>
        <w:br/>
      </w:r>
      <w:r>
        <w:t xml:space="preserve">39 Tool 64 of https://commission.europa.eu/law/law-making-process/better-regulation/better-regulation-</w:t>
      </w:r>
      <w:r>
        <w:t xml:space="preserve"> </w:t>
      </w:r>
      <w:r>
        <w:t xml:space="preserve">guidelines-and-toolbox/better-regulation-toolbox_en</w:t>
      </w:r>
      <w:r>
        <w:t xml:space="preserve"> </w:t>
      </w:r>
      <w:r>
        <w:t xml:space="preserve">40 CE Delft and TNO (2017) Assessment of the Modalities for LDV CO2 Regulations beyond 2020 (report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CLIMA)</w:t>
      </w:r>
      <w:r>
        <w:t xml:space="preserve"> </w:t>
      </w:r>
      <w:r>
        <w:t xml:space="preserve">-</w:t>
      </w:r>
      <w:r>
        <w:t xml:space="preserve"> </w:t>
      </w:r>
      <w:r>
        <w:t xml:space="preserve">https://ec.europa.eu/clima/sites/default/files/transport/vehicles/docs/ldv_co2_modalities_for_regulations_b</w:t>
      </w:r>
      <w:r>
        <w:t xml:space="preserve"> </w:t>
      </w:r>
      <w:r>
        <w:t xml:space="preserve">eyond_2020_en.pdf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board fuel consumption41,42.</w:t>
      </w:r>
      <w:r>
        <w:br/>
      </w:r>
      <w:r>
        <w:t xml:space="preserve">measurement.</w:t>
      </w:r>
      <w:r>
        <w:br/>
      </w:r>
      <w:r>
        <w:t xml:space="preserve">Mark-up</w:t>
      </w:r>
      <w:r>
        <w:t xml:space="preserve"> </w:t>
      </w:r>
      <w:r>
        <w:t xml:space="preserve">factor</w:t>
      </w:r>
      <w:r>
        <w:t xml:space="preserve"> </w:t>
      </w:r>
      <w:r>
        <w:t xml:space="preserve">Cars</w:t>
      </w:r>
      <w:r>
        <w:t xml:space="preserve"> </w:t>
      </w:r>
      <w:r>
        <w:t xml:space="preserve">1.40</w:t>
      </w:r>
      <w:r>
        <w:t xml:space="preserve"> </w:t>
      </w:r>
      <w:r>
        <w:t xml:space="preserve">Used to convert total manufacturing</w:t>
      </w:r>
      <w:r>
        <w:t xml:space="preserve"> </w:t>
      </w:r>
      <w:r>
        <w:t xml:space="preserve">costs to prices, including dealer</w:t>
      </w:r>
      <w:r>
        <w:t xml:space="preserve"> </w:t>
      </w:r>
      <w:r>
        <w:t xml:space="preserve">margins, logistics and marketing costs</w:t>
      </w:r>
      <w:r>
        <w:t xml:space="preserve"> </w:t>
      </w:r>
      <w:r>
        <w:t xml:space="preserve">and relevant taxes. Consistent with</w:t>
      </w:r>
      <w:r>
        <w:t xml:space="preserve"> </w:t>
      </w:r>
      <w:r>
        <w:t xml:space="preserve">values used in previous IA analysis43,44.</w:t>
      </w:r>
      <w:r>
        <w:t xml:space="preserve"> </w:t>
      </w:r>
      <w:r>
        <w:t xml:space="preserve">The mark-up for LCVs excludes VAT,</w:t>
      </w:r>
      <w:r>
        <w:t xml:space="preserve"> </w:t>
      </w:r>
      <w:r>
        <w:t xml:space="preserve">as the vast majority of new purchases</w:t>
      </w:r>
      <w:r>
        <w:t xml:space="preserve"> </w:t>
      </w:r>
      <w:r>
        <w:t xml:space="preserve">of LCVs are by businesses, where VAT</w:t>
      </w:r>
      <w:r>
        <w:t xml:space="preserve"> </w:t>
      </w:r>
      <w:r>
        <w:t xml:space="preserve">is not applicable.</w:t>
      </w:r>
      <w:r>
        <w:t xml:space="preserve"> </w:t>
      </w:r>
      <w:r>
        <w:t xml:space="preserve">LCVs</w:t>
      </w:r>
      <w:r>
        <w:t xml:space="preserve"> </w:t>
      </w:r>
      <w:r>
        <w:t xml:space="preserve">1.11</w:t>
      </w:r>
      <w:r>
        <w:t xml:space="preserve"> </w:t>
      </w:r>
      <w:r>
        <w:t xml:space="preserve">O&amp;M costs</w:t>
      </w:r>
      <w:r>
        <w:t xml:space="preserve"> </w:t>
      </w:r>
      <w:r>
        <w:t xml:space="preserve">By LDV</w:t>
      </w:r>
      <w:r>
        <w:t xml:space="preserve"> </w:t>
      </w:r>
      <w:r>
        <w:t xml:space="preserve">segment,</w:t>
      </w:r>
      <w:r>
        <w:t xml:space="preserve"> </w:t>
      </w:r>
      <w:r>
        <w:t xml:space="preserve">powertrain</w:t>
      </w:r>
      <w:r>
        <w:t xml:space="preserve"> </w:t>
      </w:r>
      <w:r>
        <w:t xml:space="preserve">type.</w:t>
      </w:r>
      <w:r>
        <w:t xml:space="preserve"> </w:t>
      </w:r>
      <w:r>
        <w:t xml:space="preserve">% sales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 of</w:t>
      </w:r>
      <w:r>
        <w:t xml:space="preserve"> </w:t>
      </w:r>
      <w:r>
        <w:t xml:space="preserve">updated</w:t>
      </w:r>
      <w:r>
        <w:t xml:space="preserve"> </w:t>
      </w:r>
      <w:r>
        <w:t xml:space="preserve">O&amp;M costs.</w:t>
      </w:r>
      <w:r>
        <w:t xml:space="preserve"> </w:t>
      </w:r>
      <w:r>
        <w:t xml:space="preserve">The calculation of the O&amp;M costs is</w:t>
      </w:r>
      <w:r>
        <w:t xml:space="preserve"> </w:t>
      </w:r>
      <w:r>
        <w:t xml:space="preserve">based on the assumptions made in</w:t>
      </w:r>
      <w:r>
        <w:t xml:space="preserve"> </w:t>
      </w:r>
      <w:r>
        <w:t xml:space="preserve">PRIMES-TREMOVE. These are based</w:t>
      </w:r>
      <w:r>
        <w:t xml:space="preserve"> </w:t>
      </w:r>
      <w:r>
        <w:t xml:space="preserve">on the TRACCS project database and</w:t>
      </w:r>
      <w:r>
        <w:t xml:space="preserve"> </w:t>
      </w:r>
      <w:r>
        <w:t xml:space="preserve">have been revised in light of new</w:t>
      </w:r>
      <w:r>
        <w:t xml:space="preserve"> </w:t>
      </w:r>
      <w:r>
        <w:t xml:space="preserve">evidence with respect to the costs for</w:t>
      </w:r>
      <w:r>
        <w:t xml:space="preserve"> </w:t>
      </w:r>
      <w:r>
        <w:t xml:space="preserve">electrified powertrain types. The O&amp;M</w:t>
      </w:r>
      <w:r>
        <w:t xml:space="preserve"> </w:t>
      </w:r>
      <w:r>
        <w:t xml:space="preserve">costs are subdivided into three main</w:t>
      </w:r>
      <w:r>
        <w:t xml:space="preserve"> </w:t>
      </w:r>
      <w:r>
        <w:t xml:space="preserve">components: (1) annual insurance</w:t>
      </w:r>
      <w:r>
        <w:t xml:space="preserve"> </w:t>
      </w:r>
      <w:r>
        <w:t xml:space="preserve">costs, (2) annual maintenance costs, (3)</w:t>
      </w:r>
      <w:r>
        <w:t xml:space="preserve"> </w:t>
      </w:r>
      <w:r>
        <w:t xml:space="preserve">other ownership costs, mainly</w:t>
      </w:r>
      <w:r>
        <w:t xml:space="preserve"> </w:t>
      </w:r>
      <w:r>
        <w:t xml:space="preserve">including fixed annual taxes. The</w:t>
      </w:r>
      <w:r>
        <w:t xml:space="preserve"> </w:t>
      </w:r>
      <w:r>
        <w:t xml:space="preserve">maintenance and insurance costs</w:t>
      </w:r>
      <w:r>
        <w:t xml:space="preserve"> </w:t>
      </w:r>
      <w:r>
        <w:t xml:space="preserve">comprise the largest shares of the</w:t>
      </w:r>
      <w:r>
        <w:t xml:space="preserve"> </w:t>
      </w:r>
      <w:r>
        <w:t xml:space="preserve">overall total O&amp;M costs. The O&amp;M</w:t>
      </w:r>
      <w:r>
        <w:t xml:space="preserve"> </w:t>
      </w:r>
      <w:r>
        <w:t xml:space="preserve">cost assumptions used are based on</w:t>
      </w:r>
      <w:r>
        <w:t xml:space="preserve"> </w:t>
      </w:r>
      <w:r>
        <w:t xml:space="preserve">recent estimates for maintenance and</w:t>
      </w:r>
      <w:r>
        <w:t xml:space="preserve"> </w:t>
      </w:r>
      <w:r>
        <w:t xml:space="preserve">insurance costs45. No assumption is</w:t>
      </w:r>
    </w:p>
    <w:p>
      <w:pPr>
        <w:pStyle w:val="BodyText"/>
      </w:pPr>
      <w:r>
        <w:t xml:space="preserve">41 Suarez J, Tansini A, Ktistakis MA, Marin AL, Komnos D, Pavlovic J, et al. Towards zero CO2 emissions:</w:t>
      </w:r>
      <w:r>
        <w:t xml:space="preserve"> </w:t>
      </w:r>
      <w:r>
        <w:t xml:space="preserve">Insights from EU vehicle on-board data. Science of The Total Environment 2025;1001:180454.</w:t>
      </w:r>
      <w:r>
        <w:t xml:space="preserve"> </w:t>
      </w:r>
      <w:r>
        <w:t xml:space="preserve">https://doi.org/10.1016/j.scitotenv.2025.180454.</w:t>
      </w:r>
      <w:r>
        <w:t xml:space="preserve"> </w:t>
      </w:r>
      <w:r>
        <w:t xml:space="preserve">42 Tansini A, Marin AL, Suarez J, Aguirre NF, Fontaras G. Learning from the real-world: Insights on light-</w:t>
      </w:r>
      <w:r>
        <w:t xml:space="preserve"> </w:t>
      </w:r>
      <w:r>
        <w:t xml:space="preserve">vehicle efficiency and CO2 emissions from long-term on-board fuel and energy consumption data collection.</w:t>
      </w:r>
      <w:r>
        <w:t xml:space="preserve"> </w:t>
      </w:r>
      <w:r>
        <w:t xml:space="preserve">Energy Conversion and Management 2025;335:119816. https://doi.org/10.1016/j.enconman.2025.119816.</w:t>
      </w:r>
      <w:r>
        <w:t xml:space="preserve"> </w:t>
      </w:r>
      <w:r>
        <w:t xml:space="preserve">43 TNO, AEA, CE Delft, Ökopol, TML, Ricardo and IHS Global Insight (2011) Support for the revision of</w:t>
      </w:r>
      <w:r>
        <w:t xml:space="preserve"> </w:t>
      </w:r>
      <w:r>
        <w:t xml:space="preserve">Regulation (EC) No 443/2009 on CO2 emissions from cars (report for the European Commission, DG</w:t>
      </w:r>
      <w:r>
        <w:t xml:space="preserve"> </w:t>
      </w:r>
      <w:r>
        <w:t xml:space="preserve">CLIMA) - https://ec.europa.eu/clima/sites/clima/files/transport/vehicles/cars/docs/study_car_2011_en.pdf</w:t>
      </w:r>
      <w:r>
        <w:t xml:space="preserve"> </w:t>
      </w:r>
      <w:r>
        <w:t xml:space="preserve">44 AEA, TNO, CE Delft, Öko-Institut (2009) Assessment with respect to long term CO2 emission targets for</w:t>
      </w:r>
      <w:r>
        <w:t xml:space="preserve"> </w:t>
      </w:r>
      <w:r>
        <w:t xml:space="preserve">passenger</w:t>
      </w:r>
      <w:r>
        <w:t xml:space="preserve"> </w:t>
      </w:r>
      <w:r>
        <w:t xml:space="preserve">cars</w:t>
      </w:r>
      <w:r>
        <w:t xml:space="preserve"> </w:t>
      </w:r>
      <w:r>
        <w:t xml:space="preserve">and</w:t>
      </w:r>
      <w:r>
        <w:t xml:space="preserve"> </w:t>
      </w:r>
      <w:r>
        <w:t xml:space="preserve">vans</w:t>
      </w:r>
      <w:r>
        <w:t xml:space="preserve"> </w:t>
      </w:r>
      <w:r>
        <w:t xml:space="preserve">(report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CLIMA)</w:t>
      </w:r>
      <w:r>
        <w:t xml:space="preserve"> </w:t>
      </w:r>
      <w:r>
        <w:t xml:space="preserve">-</w:t>
      </w:r>
      <w:r>
        <w:t xml:space="preserve"> </w:t>
      </w:r>
      <w:r>
        <w:t xml:space="preserve">https://ec.europa.eu/clima/sites/clima/files/transport/vehicles/docs/2009_co2_car_vans_en.pdf</w:t>
      </w:r>
      <w:r>
        <w:t xml:space="preserve"> </w:t>
      </w:r>
      <w:r>
        <w:t xml:space="preserve">45</w:t>
      </w:r>
      <w:r>
        <w:t xml:space="preserve"> </w:t>
      </w:r>
      <w:r>
        <w:t xml:space="preserve">Sources:</w:t>
      </w:r>
      <w:r>
        <w:t xml:space="preserve"> </w:t>
      </w:r>
      <w:r>
        <w:t xml:space="preserve">Aviva.</w:t>
      </w:r>
      <w:r>
        <w:t xml:space="preserve"> </w:t>
      </w:r>
      <w:r>
        <w:t xml:space="preserve">(2017).</w:t>
      </w:r>
      <w:r>
        <w:t xml:space="preserve"> </w:t>
      </w:r>
      <w:r>
        <w:t xml:space="preserve">Your</w:t>
      </w:r>
      <w:r>
        <w:t xml:space="preserve"> </w:t>
      </w:r>
      <w:r>
        <w:t xml:space="preserve">car</w:t>
      </w:r>
      <w:r>
        <w:t xml:space="preserve"> </w:t>
      </w:r>
      <w:r>
        <w:t xml:space="preserve">insurance price</w:t>
      </w:r>
      <w:r>
        <w:t xml:space="preserve"> </w:t>
      </w:r>
      <w:r>
        <w:t xml:space="preserve">explained.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Aviva:</w:t>
      </w:r>
      <w:r>
        <w:t xml:space="preserve"> </w:t>
      </w:r>
      <w:r>
        <w:t xml:space="preserve">http://www.aviva.co.uk/car-insurance/your-car-price-explained/; FleetNews. (2015). Electric vehicles offer</w:t>
      </w:r>
      <w:r>
        <w:t xml:space="preserve"> </w:t>
      </w:r>
      <w:r>
        <w:t xml:space="preserve">big</w:t>
      </w:r>
      <w:r>
        <w:t xml:space="preserve"> </w:t>
      </w:r>
      <w:r>
        <w:t xml:space="preserve">SMR</w:t>
      </w:r>
      <w:r>
        <w:t xml:space="preserve"> </w:t>
      </w:r>
      <w:r>
        <w:t xml:space="preserve">cost</w:t>
      </w:r>
      <w:r>
        <w:t xml:space="preserve"> </w:t>
      </w:r>
      <w:r>
        <w:t xml:space="preserve">savings.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FleetNews:</w:t>
      </w:r>
      <w:r>
        <w:t xml:space="preserve"> </w:t>
      </w:r>
      <w:r>
        <w:t xml:space="preserve">http://www.fleetnews.co.uk/fleet-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made on the evolution of the O&amp;M</w:t>
      </w:r>
      <w:r>
        <w:t xml:space="preserve"> </w:t>
      </w:r>
      <w:r>
        <w:t xml:space="preserve">costs over time, due to lack of available</w:t>
      </w:r>
      <w:r>
        <w:t xml:space="preserve"> </w:t>
      </w:r>
      <w:r>
        <w:t xml:space="preserve">quantitative data.</w:t>
      </w:r>
      <w:r>
        <w:t xml:space="preserve"> </w:t>
      </w:r>
      <w:r>
        <w:t xml:space="preserve">VAT % rate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Used to convert O&amp;M costs including</w:t>
      </w:r>
      <w:r>
        <w:t xml:space="preserve"> </w:t>
      </w:r>
      <w:r>
        <w:t xml:space="preserve">tax, to values excluding tax for social</w:t>
      </w:r>
      <w:r>
        <w:t xml:space="preserve"> </w:t>
      </w:r>
      <w:r>
        <w:t xml:space="preserve">perspective.</w:t>
      </w:r>
      <w:r>
        <w:t xml:space="preserve"> </w:t>
      </w:r>
      <w:r>
        <w:t xml:space="preserve">For the TCO analysis, the direct economic impacts of the options have been assessed by</w:t>
      </w:r>
      <w:r>
        <w:t xml:space="preserve"> </w:t>
      </w:r>
      <w:r>
        <w:t xml:space="preserve">considering the changes (compared to the baseline) in capital costs, fuel costs, and</w:t>
      </w:r>
      <w:r>
        <w:t xml:space="preserve"> </w:t>
      </w:r>
      <w:r>
        <w:t xml:space="preserve">operating and maintenance (O&amp;M) costs for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 (or used, in the case of</w:t>
      </w:r>
      <w:r>
        <w:t xml:space="preserve"> </w:t>
      </w:r>
      <w:r>
        <w:t xml:space="preserve">second and third vehicle owners) vehicle (car or van), registered in the time periods</w:t>
      </w:r>
      <w:r>
        <w:t xml:space="preserve"> </w:t>
      </w:r>
      <w:r>
        <w:t xml:space="preserve">considered.</w:t>
      </w:r>
      <w:r>
        <w:t xml:space="preserve"> </w:t>
      </w:r>
      <w:r>
        <w:t xml:space="preserve">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 vehicle of a given year is defined by averaging the contributions of the</w:t>
      </w:r>
      <w:r>
        <w:t xml:space="preserve"> </w:t>
      </w:r>
      <w:r>
        <w:t xml:space="preserve">different segments of small, medium, large vehicles and powertrains by weighting them</w:t>
      </w:r>
      <w:r>
        <w:t xml:space="preserve"> </w:t>
      </w:r>
      <w:r>
        <w:t xml:space="preserve">according to their market penetration as projected. The PRIMES-TREMOVE model</w:t>
      </w:r>
      <w:r>
        <w:t xml:space="preserve"> </w:t>
      </w:r>
      <w:r>
        <w:t xml:space="preserve">projects the new fleet composition in a given year as a result of the need to comply with</w:t>
      </w:r>
      <w:r>
        <w:t xml:space="preserve"> </w:t>
      </w:r>
      <w:r>
        <w:t xml:space="preserve">the requirements of the new policy. Therefore, the different policy options lead to different</w:t>
      </w:r>
      <w:r>
        <w:t xml:space="preserve"> </w:t>
      </w:r>
      <w:r>
        <w:t xml:space="preserve">projected fleet compositions, characterised by different shares of powertrain types in the</w:t>
      </w:r>
      <w:r>
        <w:t xml:space="preserve"> </w:t>
      </w:r>
      <w:r>
        <w:t xml:space="preserve">different market segments. The net savings / costs for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vehicle are calculated</w:t>
      </w:r>
      <w:r>
        <w:t xml:space="preserve"> </w:t>
      </w:r>
      <w:r>
        <w:t xml:space="preserve">as the difference between scenario and baseline of the weighted average of the costs and</w:t>
      </w:r>
      <w:r>
        <w:t xml:space="preserve"> </w:t>
      </w:r>
      <w:r>
        <w:t xml:space="preserve">savings of the different powertrain types and segments, using the projected shares as</w:t>
      </w:r>
      <w:r>
        <w:t xml:space="preserve"> </w:t>
      </w:r>
      <w:r>
        <w:t xml:space="preserve">weights. The cost indicators are used to represent the economic impacts for the new fleet</w:t>
      </w:r>
      <w:r>
        <w:t xml:space="preserve"> </w:t>
      </w:r>
      <w:r>
        <w:t xml:space="preserve">of vehicles over time.</w:t>
      </w:r>
      <w:r>
        <w:br/>
      </w:r>
      <w:r>
        <w:t xml:space="preserve">For this analysis, the following indicators have been used:</w:t>
      </w:r>
      <w:r>
        <w:t xml:space="preserve"> </w:t>
      </w:r>
      <w:r>
        <w:t xml:space="preserve">• Net economic savings over the vehicle lifetime from a societal perspective</w:t>
      </w:r>
      <w:r>
        <w:t xml:space="preserve"> </w:t>
      </w:r>
      <w:r>
        <w:t xml:space="preserve">This indicator reflects the change in costs over the lifetime of 20 years of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 vehicle, without considering taxes and using a discount rate of 3%. In this case,</w:t>
      </w:r>
      <w:r>
        <w:t xml:space="preserve"> </w:t>
      </w:r>
      <w:r>
        <w:t xml:space="preserve">the costs considered also include the external cost of CO2 emissions (WTW) but does</w:t>
      </w:r>
      <w:r>
        <w:t xml:space="preserve"> </w:t>
      </w:r>
      <w:r>
        <w:t xml:space="preserve">not include taxes.</w:t>
      </w:r>
      <w:r>
        <w:t xml:space="preserve"> </w:t>
      </w:r>
      <w:r>
        <w:t xml:space="preserve">• Net savings from an end-user perspective, using three different indicators:</w:t>
      </w:r>
      <w:r>
        <w:t xml:space="preserve"> </w:t>
      </w:r>
      <w:r>
        <w:t xml:space="preserve">o Total Cost of Ownership (TCO) for the 1st (years 1 to 5), 2nd (years 6 to 10)</w:t>
      </w:r>
      <w:r>
        <w:t xml:space="preserve"> </w:t>
      </w:r>
      <w:r>
        <w:t xml:space="preserve">and 3rd (years 11 to 15) end-user.</w:t>
      </w:r>
      <w:r>
        <w:br/>
      </w:r>
      <w:r>
        <w:t xml:space="preserve">This indicator reflects the change in costs of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 vehicle. In this case,</w:t>
      </w:r>
      <w:r>
        <w:t xml:space="preserve"> </w:t>
      </w:r>
      <w:r>
        <w:t xml:space="preserve">given the end-user perspective, taxes are included and a discount rate of 11% for cars</w:t>
      </w:r>
      <w:r>
        <w:t xml:space="preserve"> </w:t>
      </w:r>
      <w:r>
        <w:t xml:space="preserve">or 9.5% for vans is used.</w:t>
      </w:r>
    </w:p>
    <w:p>
      <w:pPr>
        <w:pStyle w:val="BodyText"/>
      </w:pPr>
      <w:r>
        <w:t xml:space="preserve">management/environment/electric-vehicles-offer-big-smr-cost-savings; UBS. (2017). Q-Series: UBS</w:t>
      </w:r>
      <w:r>
        <w:t xml:space="preserve"> </w:t>
      </w:r>
      <w:r>
        <w:t xml:space="preserve">Evidence Lab Electric Car Teardown – Disruption Ahead? UBS Global Research. Retrieved from</w:t>
      </w:r>
      <w:r>
        <w:t xml:space="preserve"> </w:t>
      </w:r>
      <w:r>
        <w:t xml:space="preserve">https://neo.ubs.com/shared/d1BwmpNZLi/</w:t>
      </w:r>
    </w:p>
    <w:p>
      <w:pPr>
        <w:pStyle w:val="BodyText"/>
      </w:pPr>
      <w:r>
        <w:t xml:space="preserve">45</w:t>
      </w:r>
    </w:p>
    <w:p>
      <w:pPr>
        <w:pStyle w:val="Compact"/>
        <w:numPr>
          <w:ilvl w:val="0"/>
          <w:numId w:val="1010"/>
        </w:numPr>
      </w:pPr>
      <w:r>
        <w:t xml:space="preserve">GEM-E3 MACROECONOMIC MODEL</w:t>
      </w:r>
      <w:r>
        <w:t xml:space="preserve"> </w:t>
      </w:r>
      <w:r>
        <w:t xml:space="preserve">GEM-E3 is a general equilibrium model that draws strongly on supply-driven neoclassical</w:t>
      </w:r>
      <w:r>
        <w:t xml:space="preserve"> </w:t>
      </w:r>
      <w:r>
        <w:t xml:space="preserve">economic theory and optimising behaviour of rational economic agents who ensure that</w:t>
      </w:r>
      <w:r>
        <w:t xml:space="preserve"> </w:t>
      </w:r>
      <w:r>
        <w:t xml:space="preserve">markets always clear46.</w:t>
      </w:r>
      <w:r>
        <w:br/>
      </w:r>
      <w:r>
        <w:t xml:space="preserve">It assumes that capital resources are optimally allocated in the economy (given existing tax</w:t>
      </w:r>
      <w:r>
        <w:t xml:space="preserve"> </w:t>
      </w:r>
      <w:r>
        <w:t xml:space="preserve">“distortions”</w:t>
      </w:r>
      <w:r>
        <w:t xml:space="preserve">), and a policy intervention to increase investments in a particular sector (e.g. </w:t>
      </w:r>
      <w:r>
        <w:t xml:space="preserve"> </w:t>
      </w:r>
      <w:r>
        <w:t xml:space="preserve">energy efficiency) is likely to take place at the expense of limiting capital availability, as</w:t>
      </w:r>
      <w:r>
        <w:t xml:space="preserve"> </w:t>
      </w:r>
      <w:r>
        <w:t xml:space="preserve">a factor of production, for other profitable sectors (</w:t>
      </w:r>
      <w:r>
        <w:t xml:space="preserve">“crowding out”</w:t>
      </w:r>
      <w:r>
        <w:t xml:space="preserve"> </w:t>
      </w:r>
      <w:r>
        <w:t xml:space="preserve">effect). In other words,</w:t>
      </w:r>
      <w:r>
        <w:t xml:space="preserve"> </w:t>
      </w:r>
      <w:r>
        <w:t xml:space="preserve">in GEM-E3, the total effect on the economy depends on the net effect of core offsetting</w:t>
      </w:r>
      <w:r>
        <w:t xml:space="preserve"> </w:t>
      </w:r>
      <w:r>
        <w:t xml:space="preserve">factors, particularly between positive improved energy efficiency and economic expansion</w:t>
      </w:r>
      <w:r>
        <w:t xml:space="preserve"> </w:t>
      </w:r>
      <w:r>
        <w:t xml:space="preserve">effects (Keynesian multiplier), on one hand, and negative economic effects stemming from</w:t>
      </w:r>
      <w:r>
        <w:t xml:space="preserve"> </w:t>
      </w:r>
      <w:r>
        <w:t xml:space="preserve">crowding out, pressures on primary factor markets and competitiveness losses, on the other</w:t>
      </w:r>
      <w:r>
        <w:t xml:space="preserve"> </w:t>
      </w:r>
      <w:r>
        <w:t xml:space="preserve">hand. A very detailed financial model has been added to GEM-E3 to represent the banking</w:t>
      </w:r>
      <w:r>
        <w:t xml:space="preserve"> </w:t>
      </w:r>
      <w:r>
        <w:t xml:space="preserve">system, the bonds, the borrowing and lending mechanisms, projecting into the future</w:t>
      </w:r>
      <w:r>
        <w:t xml:space="preserve"> </w:t>
      </w:r>
      <w:r>
        <w:t xml:space="preserve">interest rates of equilibrium both for public sector finance and for the private sector. This</w:t>
      </w:r>
      <w:r>
        <w:t xml:space="preserve"> </w:t>
      </w:r>
      <w:r>
        <w:t xml:space="preserve">changes the dynamics of crowding out effects as opposed to standard computable general</w:t>
      </w:r>
      <w:r>
        <w:t xml:space="preserve"> </w:t>
      </w:r>
      <w:r>
        <w:t xml:space="preserve">equilibrium (CGE) models without a banking sector.</w:t>
      </w:r>
      <w:r>
        <w:br/>
      </w:r>
      <w:r>
        <w:t xml:space="preserve">The GEM-E3 model has been developed and is maintained by E3Modelling- RICARDO47,</w:t>
      </w:r>
      <w:r>
        <w:t xml:space="preserve"> </w:t>
      </w:r>
      <w:r>
        <w:t xml:space="preserve">JRC-IPTS48 and others. It is documented in detail but the specific versions are private. A</w:t>
      </w:r>
      <w:r>
        <w:t xml:space="preserve"> </w:t>
      </w:r>
      <w:r>
        <w:t xml:space="preserve">full description of the model is available at https://www.ricardo.com/media/zt4pgiyu/gem-</w:t>
      </w:r>
      <w:r>
        <w:t xml:space="preserve"> </w:t>
      </w:r>
      <w:r>
        <w:t xml:space="preserve">e3_manual_2017.pdf</w:t>
      </w:r>
      <w:r>
        <w:br/>
      </w:r>
      <w:r>
        <w:t xml:space="preserve">Figure 3: GEM-E3 system dimensions</w:t>
      </w:r>
    </w:p>
    <w:p>
      <w:pPr>
        <w:pStyle w:val="FirstParagraph"/>
      </w:pPr>
      <w:r>
        <w:t xml:space="preserve">The model has been used by E3Modelling to provide the macro assumptions for the</w:t>
      </w:r>
      <w:r>
        <w:t xml:space="preserve"> </w:t>
      </w:r>
      <w:r>
        <w:t xml:space="preserve">baseline and for the policy scenarios.</w:t>
      </w:r>
      <w:r>
        <w:t xml:space="preserve"> </w:t>
      </w:r>
      <w:r>
        <w:t xml:space="preserve">The GEM-E3 model is a multi-regional, multi-sectoral, recursive dynamic computable</w:t>
      </w:r>
      <w:r>
        <w:t xml:space="preserve"> </w:t>
      </w:r>
      <w:r>
        <w:t xml:space="preserve">general equilibrium (CGE) model which provides details on the macro-economy and its</w:t>
      </w:r>
      <w:r>
        <w:t xml:space="preserve"> </w:t>
      </w:r>
      <w:r>
        <w:t xml:space="preserve">interaction with the environment and the energy system. It is an empirical, large scale</w:t>
      </w:r>
    </w:p>
    <w:p>
      <w:pPr>
        <w:pStyle w:val="BodyText"/>
      </w:pPr>
      <w:r>
        <w:t xml:space="preserve">46 Market clearance in GEM-E3 is achieved through the full adjustment of prices which allow supply to equal</w:t>
      </w:r>
      <w:r>
        <w:t xml:space="preserve"> </w:t>
      </w:r>
      <w:r>
        <w:t xml:space="preserve">demand and thus a ‘general’ equilibrium is reached and maintained throughout the system.</w:t>
      </w:r>
      <w:r>
        <w:t xml:space="preserve"> </w:t>
      </w:r>
      <w:r>
        <w:t xml:space="preserve">47 https://www.ricardo.com/en/news-and-insights/campaigns/gem-e3</w:t>
      </w:r>
      <w:r>
        <w:t xml:space="preserve"> </w:t>
      </w:r>
      <w:r>
        <w:t xml:space="preserve">48 https://ec.europa.eu/jrc/en/institutes/ipts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model, written entirely in structural form. GEM-E3 allows for a consistent comparative</w:t>
      </w:r>
      <w:r>
        <w:t xml:space="preserve"> </w:t>
      </w:r>
      <w:r>
        <w:t xml:space="preserve">analysis of policy scenarios since it ensures that in all scenarios, the economic system</w:t>
      </w:r>
      <w:r>
        <w:t xml:space="preserve"> </w:t>
      </w:r>
      <w:r>
        <w:t xml:space="preserve">remains in general equilibrium. In addition it incorporates micro-economic mechanisms</w:t>
      </w:r>
      <w:r>
        <w:t xml:space="preserve"> </w:t>
      </w:r>
      <w:r>
        <w:t xml:space="preserve">and institutional features within a consistent macro-economic framework and avoids the</w:t>
      </w:r>
      <w:r>
        <w:t xml:space="preserve"> </w:t>
      </w:r>
      <w:r>
        <w:t xml:space="preserve">representation of behaviour in reduced form. The model is built on rigorous</w:t>
      </w:r>
      <w:r>
        <w:t xml:space="preserve"> </w:t>
      </w:r>
      <w:r>
        <w:t xml:space="preserve">microeconomic foundations and is able to provide in a transparent way insights on the</w:t>
      </w:r>
      <w:r>
        <w:t xml:space="preserve"> </w:t>
      </w:r>
      <w:r>
        <w:t xml:space="preserve">distributional aspects of long-term structural adjustments. The GEM-E3 model is</w:t>
      </w:r>
      <w:r>
        <w:t xml:space="preserve"> </w:t>
      </w:r>
      <w:r>
        <w:t xml:space="preserve">extensively used as a tool of policy analysis and impact assessment. It is updated regularly</w:t>
      </w:r>
      <w:r>
        <w:t xml:space="preserve"> </w:t>
      </w:r>
      <w:r>
        <w:t xml:space="preserve">using the latest revisions of the GTAP database and Eurostat statistics for the EU Member</w:t>
      </w:r>
      <w:r>
        <w:t xml:space="preserve"> </w:t>
      </w:r>
      <w:r>
        <w:t xml:space="preserve">States.</w:t>
      </w:r>
      <w:r>
        <w:br/>
      </w:r>
      <w:r>
        <w:t xml:space="preserve">The model has a global coverage, with 47 regions, where the G-20 countries, EU27</w:t>
      </w:r>
      <w:r>
        <w:t xml:space="preserve"> </w:t>
      </w:r>
      <w:r>
        <w:t xml:space="preserve">Member States, and major equipment manufacturing or energy exporting countries are</w:t>
      </w:r>
      <w:r>
        <w:t xml:space="preserve"> </w:t>
      </w:r>
      <w:r>
        <w:t xml:space="preserve">represented individually and countries are linked through bilateral trade. All countries are</w:t>
      </w:r>
      <w:r>
        <w:t xml:space="preserve"> </w:t>
      </w:r>
      <w:r>
        <w:t xml:space="preserve">linked through endogenous bilateral trade transactions. The model explicitly represents 50</w:t>
      </w:r>
      <w:r>
        <w:t xml:space="preserve"> </w:t>
      </w:r>
      <w:r>
        <w:t xml:space="preserve">distinct economic activities, which are interlinked across the production and consumption</w:t>
      </w:r>
      <w:r>
        <w:t xml:space="preserve"> </w:t>
      </w:r>
      <w:r>
        <w:t xml:space="preserve">value chain.  </w:t>
      </w:r>
      <w:r>
        <w:t xml:space="preserve"> </w:t>
      </w:r>
      <w:r>
        <w:t xml:space="preserve">The version of the GEM-E3 model used for this Impact assessment features an explicit</w:t>
      </w:r>
      <w:r>
        <w:t xml:space="preserve"> </w:t>
      </w:r>
      <w:r>
        <w:t xml:space="preserve">representation of clean technology manufacturing sectors and their complete value chain,</w:t>
      </w:r>
      <w:r>
        <w:t xml:space="preserve"> </w:t>
      </w:r>
      <w:r>
        <w:t xml:space="preserve">such as batteries, electric vehicles, PV panels, hydrogen, biofuels and more. Bilateral trade</w:t>
      </w:r>
      <w:r>
        <w:t xml:space="preserve"> </w:t>
      </w:r>
      <w:r>
        <w:t xml:space="preserve">and global market shares of these sectors are represented and dynamically assessed in</w:t>
      </w:r>
      <w:r>
        <w:t xml:space="preserve"> </w:t>
      </w:r>
      <w:r>
        <w:t xml:space="preserve">policy evaluation.</w:t>
      </w:r>
      <w:r>
        <w:t xml:space="preserve"> </w:t>
      </w:r>
      <w:r>
        <w:t xml:space="preserve">The version of the GEM-E3 model used for this Impact assessment features a significantly</w:t>
      </w:r>
      <w:r>
        <w:t xml:space="preserve"> </w:t>
      </w:r>
      <w:r>
        <w:t xml:space="preserve">enhanced representation of the transport sector. The enhanced model version is referred to</w:t>
      </w:r>
      <w:r>
        <w:t xml:space="preserve"> </w:t>
      </w:r>
      <w:r>
        <w:t xml:space="preserve">as GEM-E3T. The model is detailed regarding the transport sectors, representing explicitly</w:t>
      </w:r>
      <w:r>
        <w:t xml:space="preserve"> </w:t>
      </w:r>
      <w:r>
        <w:t xml:space="preserve">transport by mode, separating private from business transport services, and representing in</w:t>
      </w:r>
      <w:r>
        <w:t xml:space="preserve"> </w:t>
      </w:r>
      <w:r>
        <w:t xml:space="preserve">detail fuel production and distribution including biofuels linked to production by</w:t>
      </w:r>
      <w:r>
        <w:t xml:space="preserve"> </w:t>
      </w:r>
      <w:r>
        <w:t xml:space="preserve">agricultural sectors.</w:t>
      </w:r>
      <w:r>
        <w:t xml:space="preserve"> </w:t>
      </w:r>
      <w:r>
        <w:t xml:space="preserve">GEM-E3 formulates separately the supply or demand behaviour of the economic agents</w:t>
      </w:r>
      <w:r>
        <w:t xml:space="preserve"> </w:t>
      </w:r>
      <w:r>
        <w:t xml:space="preserve">who are considered to optimise individually their objective while market derived prices</w:t>
      </w:r>
      <w:r>
        <w:t xml:space="preserve"> </w:t>
      </w:r>
      <w:r>
        <w:t xml:space="preserve">guarantee global equilibrium, allowing the consistent evaluation of distributional effects</w:t>
      </w:r>
      <w:r>
        <w:t xml:space="preserve"> </w:t>
      </w:r>
      <w:r>
        <w:t xml:space="preserve">of policies. It also considers explicitly the market clearing mechanism and the related price</w:t>
      </w:r>
      <w:r>
        <w:t xml:space="preserve"> </w:t>
      </w:r>
      <w:r>
        <w:t xml:space="preserve">formation in the energy, environment and economy markets: prices are computed by the</w:t>
      </w:r>
      <w:r>
        <w:t xml:space="preserve"> </w:t>
      </w:r>
      <w:r>
        <w:t xml:space="preserve">model as a result of supply and demand interactions in the markets and different market</w:t>
      </w:r>
      <w:r>
        <w:t xml:space="preserve"> </w:t>
      </w:r>
      <w:r>
        <w:t xml:space="preserve">clearing mechanisms, in addition to perfect competition, are allowed.</w:t>
      </w:r>
      <w:r>
        <w:br/>
      </w:r>
      <w:r>
        <w:t xml:space="preserve">GEM-E3 has a detailed representation of the labour markets being able to project effects</w:t>
      </w:r>
      <w:r>
        <w:t xml:space="preserve"> </w:t>
      </w:r>
      <w:r>
        <w:t xml:space="preserve">on employment. Intensities in the use of labour, capital, materials, energy, and other</w:t>
      </w:r>
      <w:r>
        <w:t xml:space="preserve"> </w:t>
      </w:r>
      <w:r>
        <w:t xml:space="preserve">intermediate goods for clean technologies, including batteries, were sourced from the</w:t>
      </w:r>
      <w:r>
        <w:t xml:space="preserve"> </w:t>
      </w:r>
      <w:r>
        <w:t xml:space="preserve">IEA’s Special Report on Clean Energy Manufacturing49. For several key technologies, the</w:t>
      </w:r>
      <w:r>
        <w:t xml:space="preserve"> </w:t>
      </w:r>
      <w:r>
        <w:t xml:space="preserve">analysis also incorporates a component-level cost breakdown, such as cathodes and anodes</w:t>
      </w:r>
      <w:r>
        <w:t xml:space="preserve"> </w:t>
      </w:r>
      <w:r>
        <w:t xml:space="preserve">for batteries. In the case of electric vehicles (EVs), it draws on academic literature50</w:t>
      </w:r>
      <w:r>
        <w:t xml:space="preserve"> </w:t>
      </w:r>
      <w:r>
        <w:t xml:space="preserve">estimating average input intensities for battery electric vehicles (BEVs) based on industry</w:t>
      </w:r>
      <w:r>
        <w:t xml:space="preserve"> </w:t>
      </w:r>
      <w:r>
        <w:t xml:space="preserve">and public data, cross-referenced with reports from organisations such as the International</w:t>
      </w:r>
    </w:p>
    <w:p>
      <w:pPr>
        <w:pStyle w:val="BodyText"/>
      </w:pPr>
      <w:r>
        <w:t xml:space="preserve">49 Advancing Clean Technology Manufacturing – Analysis - IEA</w:t>
      </w:r>
      <w:r>
        <w:t xml:space="preserve"> </w:t>
      </w:r>
      <w:r>
        <w:t xml:space="preserve">50 The transition to electrified vehicles: Evaluating the labor demand of manufacturing conventional versus</w:t>
      </w:r>
      <w:r>
        <w:t xml:space="preserve"> </w:t>
      </w:r>
      <w:r>
        <w:t xml:space="preserve">battery electric vehicle powertrains - ScienceDirect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Council on Clean Transportation51. Labour costs account for approximately 7% of total</w:t>
      </w:r>
      <w:r>
        <w:t xml:space="preserve"> </w:t>
      </w:r>
      <w:r>
        <w:t xml:space="preserve">manufacturing costs for EVs (compared to 13% of ICEVs) and 10% for batteries.</w:t>
      </w:r>
      <w:r>
        <w:br/>
      </w:r>
      <w:r>
        <w:t xml:space="preserve">e. METHODOLOGY FOR THE SOCIAL IMPACTS OF POLICY PACKAGES</w:t>
      </w:r>
      <w:r>
        <w:t xml:space="preserve"> </w:t>
      </w:r>
      <w:r>
        <w:t xml:space="preserve">Introduction and data used</w:t>
      </w:r>
      <w:r>
        <w:t xml:space="preserve"> </w:t>
      </w:r>
      <w:r>
        <w:t xml:space="preserve">The analysis of the social impacts takes into account particular characteristics of consumers</w:t>
      </w:r>
      <w:r>
        <w:t xml:space="preserve"> </w:t>
      </w:r>
      <w:r>
        <w:t xml:space="preserve">from different income groups and is aimed to highlight when and how these particularities</w:t>
      </w:r>
      <w:r>
        <w:t xml:space="preserve"> </w:t>
      </w:r>
      <w:r>
        <w:t xml:space="preserve">have implications in terms of impacts on consumers’ welfare. The whole analysis was</w:t>
      </w:r>
      <w:r>
        <w:t xml:space="preserve"> </w:t>
      </w:r>
      <w:r>
        <w:t xml:space="preserve">performed by Ricardo for the European Commission52.</w:t>
      </w:r>
      <w:r>
        <w:t xml:space="preserve"> </w:t>
      </w:r>
      <w:r>
        <w:t xml:space="preserve">Income groups</w:t>
      </w:r>
      <w:r>
        <w:t xml:space="preserve"> </w:t>
      </w:r>
      <w:r>
        <w:t xml:space="preserve">To analyse the potential impacts of different scenarios on consumers, they are split into</w:t>
      </w:r>
      <w:r>
        <w:t xml:space="preserve"> </w:t>
      </w:r>
      <w:r>
        <w:t xml:space="preserve">several consumer groups according to income (five income quintiles). Each group is</w:t>
      </w:r>
      <w:r>
        <w:t xml:space="preserve"> </w:t>
      </w:r>
      <w:r>
        <w:t xml:space="preserve">characterised in terms of economic characteristics, such as average annual income, average</w:t>
      </w:r>
      <w:r>
        <w:t xml:space="preserve"> </w:t>
      </w:r>
      <w:r>
        <w:t xml:space="preserve">savings53, interest rates they face, discount rates used for intertemporal analysis; as well as</w:t>
      </w:r>
      <w:r>
        <w:t xml:space="preserve"> </w:t>
      </w:r>
      <w:r>
        <w:t xml:space="preserve">driving behaviour (in this case average annual mileage).</w:t>
      </w:r>
      <w:r>
        <w:br/>
      </w:r>
      <w:r>
        <w:t xml:space="preserve">Table 3: Median disposable income and savings by income quintile, EUR 2025</w:t>
      </w:r>
    </w:p>
    <w:p>
      <w:pPr>
        <w:pStyle w:val="BodyText"/>
      </w:pPr>
      <w:r>
        <w:t xml:space="preserve">1st quintile 2nd</w:t>
      </w:r>
      <w:r>
        <w:t xml:space="preserve"> </w:t>
      </w:r>
      <w:r>
        <w:t xml:space="preserve">quintile</w:t>
      </w:r>
      <w:r>
        <w:t xml:space="preserve"> </w:t>
      </w:r>
      <w:r>
        <w:t xml:space="preserve">3rd</w:t>
      </w:r>
      <w:r>
        <w:t xml:space="preserve"> </w:t>
      </w:r>
      <w:r>
        <w:t xml:space="preserve">quintile</w:t>
      </w:r>
      <w:r>
        <w:t xml:space="preserve"> </w:t>
      </w:r>
      <w:r>
        <w:t xml:space="preserve">4th</w:t>
      </w:r>
      <w:r>
        <w:t xml:space="preserve"> </w:t>
      </w:r>
      <w:r>
        <w:t xml:space="preserve">quintile</w:t>
      </w:r>
      <w:r>
        <w:t xml:space="preserve"> </w:t>
      </w:r>
      <w:r>
        <w:t xml:space="preserve">5th</w:t>
      </w:r>
      <w:r>
        <w:t xml:space="preserve"> </w:t>
      </w:r>
      <w:r>
        <w:t xml:space="preserve">quintile</w:t>
      </w:r>
      <w:r>
        <w:t xml:space="preserve"> </w:t>
      </w:r>
      <w:r>
        <w:t xml:space="preserve">Disposable income</w:t>
      </w:r>
      <w:r>
        <w:t xml:space="preserve"> </w:t>
      </w:r>
      <w:r>
        <w:t xml:space="preserve">12,387</w:t>
      </w:r>
      <w:r>
        <w:br/>
      </w:r>
      <w:r>
        <w:t xml:space="preserve">23,066</w:t>
      </w:r>
      <w:r>
        <w:br/>
      </w:r>
      <w:r>
        <w:t xml:space="preserve">32,452</w:t>
      </w:r>
      <w:r>
        <w:br/>
      </w:r>
      <w:r>
        <w:t xml:space="preserve">43,236</w:t>
      </w:r>
      <w:r>
        <w:br/>
      </w:r>
      <w:r>
        <w:t xml:space="preserve">66,105</w:t>
      </w:r>
      <w:r>
        <w:br/>
      </w:r>
      <w:r>
        <w:t xml:space="preserve">Savings</w:t>
      </w:r>
      <w:r>
        <w:t xml:space="preserve"> </w:t>
      </w:r>
      <w:r>
        <w:t xml:space="preserve">3,757</w:t>
      </w:r>
      <w:r>
        <w:br/>
      </w:r>
      <w:r>
        <w:t xml:space="preserve">9,645</w:t>
      </w:r>
      <w:r>
        <w:br/>
      </w:r>
      <w:r>
        <w:t xml:space="preserve">17,764</w:t>
      </w:r>
      <w:r>
        <w:br/>
      </w:r>
      <w:r>
        <w:t xml:space="preserve">30,722</w:t>
      </w:r>
      <w:r>
        <w:br/>
      </w:r>
      <w:r>
        <w:t xml:space="preserve">83,729</w:t>
      </w:r>
      <w:r>
        <w:br/>
      </w:r>
      <w:r>
        <w:t xml:space="preserve">• Source: Ricardo, based on [icw_res_02] Mean and median economic resources of</w:t>
      </w:r>
      <w:r>
        <w:t xml:space="preserve"> </w:t>
      </w:r>
      <w:r>
        <w:t xml:space="preserve">households by income, consumption and wealth quantiles - experimental statistics</w:t>
      </w:r>
      <w:r>
        <w:br/>
      </w:r>
      <w:r>
        <w:t xml:space="preserve">and Household Finance and Consumption Survey: Methodological report for the</w:t>
      </w:r>
      <w:r>
        <w:t xml:space="preserve"> </w:t>
      </w:r>
      <w:r>
        <w:t xml:space="preserve">2021 wave</w:t>
      </w:r>
      <w:r>
        <w:t xml:space="preserve"> </w:t>
      </w:r>
      <w:r>
        <w:t xml:space="preserve">Table 3 shows the average annual disposable income and savings by income quintile</w:t>
      </w:r>
      <w:r>
        <w:t xml:space="preserve"> </w:t>
      </w:r>
      <w:r>
        <w:t xml:space="preserve">expressed in EUR 202554. Within each income quintile, the median was chosen as the input</w:t>
      </w:r>
      <w:r>
        <w:t xml:space="preserve"> </w:t>
      </w:r>
      <w:r>
        <w:t xml:space="preserve">to the modelling (instead of the mean) because it better reflects the central tendency of the</w:t>
      </w:r>
    </w:p>
    <w:p>
      <w:pPr>
        <w:pStyle w:val="BodyText"/>
      </w:pPr>
      <w:r>
        <w:t xml:space="preserve">51 Update on electric vehicle costs in the United States through 2030</w:t>
      </w:r>
      <w:r>
        <w:t xml:space="preserve"> </w:t>
      </w:r>
      <w:r>
        <w:t xml:space="preserve">52 Ricardo report (to be published)</w:t>
      </w:r>
      <w:r>
        <w:t xml:space="preserve"> </w:t>
      </w:r>
      <w:r>
        <w:t xml:space="preserve">53 Average savings reflect total financial assets of each income quintile and include deposits (sight and saving</w:t>
      </w:r>
      <w:r>
        <w:t xml:space="preserve"> </w:t>
      </w:r>
      <w:r>
        <w:t xml:space="preserve">accounts), mutual funds, bonds, shares, money owed to the households, value of voluntary pension plans and</w:t>
      </w:r>
      <w:r>
        <w:t xml:space="preserve"> </w:t>
      </w:r>
      <w:r>
        <w:t xml:space="preserve">whole life insurance policies of household members, and other financial assets items (ECB, 2017).</w:t>
      </w:r>
      <w:r>
        <w:t xml:space="preserve"> </w:t>
      </w:r>
      <w:r>
        <w:t xml:space="preserve">54 Average disposable income: original data has been sourced from Eurostat and corresponds to year 2020,</w:t>
      </w:r>
      <w:r>
        <w:t xml:space="preserve"> </w:t>
      </w:r>
      <w:r>
        <w:t xml:space="preserve">as the most recent year available with information on average disposable income by income quintile. Ricardo</w:t>
      </w:r>
      <w:r>
        <w:t xml:space="preserve"> </w:t>
      </w:r>
      <w:r>
        <w:t xml:space="preserve">has converted year 2020 data to year 2025 by applying the annual growth rates of disposable income per</w:t>
      </w:r>
      <w:r>
        <w:t xml:space="preserve"> </w:t>
      </w:r>
      <w:r>
        <w:t xml:space="preserve">capita in the EU27 for the years 2020 to 2024 and the compound average growth rate over the 2019-2024</w:t>
      </w:r>
      <w:r>
        <w:t xml:space="preserve"> </w:t>
      </w:r>
      <w:r>
        <w:t xml:space="preserve">period for the year 2025 [[tec00113] Adjusted gross disposable income of households per capita in PPS].</w:t>
      </w:r>
      <w:r>
        <w:t xml:space="preserve"> </w:t>
      </w:r>
      <w:r>
        <w:t xml:space="preserve">Average savings: original data has been sourced from the European Central Bank and corresponds to year</w:t>
      </w:r>
      <w:r>
        <w:t xml:space="preserve"> </w:t>
      </w:r>
      <w:r>
        <w:t xml:space="preserve">2021, as the most recent year available with information on net financial assets by income quintile. Original</w:t>
      </w:r>
      <w:r>
        <w:t xml:space="preserve"> </w:t>
      </w:r>
      <w:r>
        <w:t xml:space="preserve">data are Member State-specific and a population-weighted EU27 average was calculated based on available</w:t>
      </w:r>
      <w:r>
        <w:t xml:space="preserve"> </w:t>
      </w:r>
      <w:r>
        <w:t xml:space="preserve">Member State data. Ricardo has converted year 2021 data to year 2025 by applying data on HICP inflation</w:t>
      </w:r>
      <w:r>
        <w:t xml:space="preserve"> </w:t>
      </w:r>
      <w:r>
        <w:t xml:space="preserve">(All-items excluding energy and food) [Indices of Consumer Prices - ICP. Retrieved from ICP | ECB Data</w:t>
      </w:r>
      <w:r>
        <w:t xml:space="preserve"> </w:t>
      </w:r>
      <w:r>
        <w:t xml:space="preserve">Portal]. This adjustment was made solely to express values in 2025 price terms, not to assess changes in real</w:t>
      </w:r>
      <w:r>
        <w:t xml:space="preserve"> </w:t>
      </w:r>
      <w:r>
        <w:t xml:space="preserve">purchasing power. The HICP-based projection is retained only as a price adjustment factor to align data</w:t>
      </w:r>
      <w:r>
        <w:t xml:space="preserve"> </w:t>
      </w:r>
      <w:r>
        <w:t xml:space="preserve">across years.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data, reducing the influence of extreme values and providing a more accurate</w:t>
      </w:r>
      <w:r>
        <w:t xml:space="preserve"> </w:t>
      </w:r>
      <w:r>
        <w:t xml:space="preserve">representation of the typical household in the quintile.</w:t>
      </w:r>
      <w:r>
        <w:t xml:space="preserve"> </w:t>
      </w:r>
      <w:r>
        <w:t xml:space="preserve">Access to financing</w:t>
      </w:r>
      <w:r>
        <w:t xml:space="preserve"> </w:t>
      </w:r>
      <w:r>
        <w:t xml:space="preserve">As Table 3 shows, consumers in lower income quintiles tend to have lower savings. That</w:t>
      </w:r>
      <w:r>
        <w:t xml:space="preserve"> </w:t>
      </w:r>
      <w:r>
        <w:t xml:space="preserve">is why, to purchase a vehicle, lower income groups are first, more likely to need a loan,</w:t>
      </w:r>
      <w:r>
        <w:t xml:space="preserve"> </w:t>
      </w:r>
      <w:r>
        <w:t xml:space="preserve">and second, more likely to request larger loan amounts, leading to higher loan to income</w:t>
      </w:r>
      <w:r>
        <w:t xml:space="preserve"> </w:t>
      </w:r>
      <w:r>
        <w:t xml:space="preserve">ratios. As lower income limits the capacity to quickly repay the loan, these households will</w:t>
      </w:r>
      <w:r>
        <w:t xml:space="preserve"> </w:t>
      </w:r>
      <w:r>
        <w:t xml:space="preserve">likely need loans with longer maturities.</w:t>
      </w:r>
      <w:r>
        <w:br/>
      </w:r>
      <w:r>
        <w:t xml:space="preserve">Importantly, they are also likely to have overall higher debt to assets or debt to income</w:t>
      </w:r>
      <w:r>
        <w:t xml:space="preserve"> </w:t>
      </w:r>
      <w:r>
        <w:t xml:space="preserve">ratios and are less likely to be a homeowner. This translates to, on average, lower credit</w:t>
      </w:r>
      <w:r>
        <w:t xml:space="preserve"> </w:t>
      </w:r>
      <w:r>
        <w:t xml:space="preserve">scores for lower income groups, and higher interest rates as a consequence55.</w:t>
      </w:r>
      <w:r>
        <w:br/>
      </w:r>
      <w:r>
        <w:t xml:space="preserve">Table 4 shows the assumptions on average annualised percentage rate (APR or average</w:t>
      </w:r>
      <w:r>
        <w:t xml:space="preserve"> </w:t>
      </w:r>
      <w:r>
        <w:t xml:space="preserve">interest rate) for different income groups.</w:t>
      </w:r>
      <w:r>
        <w:br/>
      </w:r>
      <w:r>
        <w:t xml:space="preserve">Table 4: Interest rate distribution and assumed averages by income quintile</w:t>
      </w:r>
    </w:p>
    <w:p>
      <w:pPr>
        <w:pStyle w:val="BodyText"/>
      </w:pPr>
      <w:r>
        <w:t xml:space="preserve">1st quintile 2nd</w:t>
      </w:r>
      <w:r>
        <w:t xml:space="preserve"> </w:t>
      </w:r>
      <w:r>
        <w:t xml:space="preserve">quintile</w:t>
      </w:r>
      <w:r>
        <w:t xml:space="preserve"> </w:t>
      </w:r>
      <w:r>
        <w:t xml:space="preserve">3rd</w:t>
      </w:r>
      <w:r>
        <w:t xml:space="preserve"> </w:t>
      </w:r>
      <w:r>
        <w:t xml:space="preserve">quintile</w:t>
      </w:r>
      <w:r>
        <w:t xml:space="preserve"> </w:t>
      </w:r>
      <w:r>
        <w:t xml:space="preserve">4th quintile 5th quintile</w:t>
      </w:r>
      <w:r>
        <w:t xml:space="preserve"> </w:t>
      </w:r>
      <w:r>
        <w:t xml:space="preserve">Assumed average</w:t>
      </w:r>
      <w:r>
        <w:t xml:space="preserve"> </w:t>
      </w:r>
      <w:r>
        <w:t xml:space="preserve">11.6%</w:t>
      </w:r>
      <w:r>
        <w:t xml:space="preserve"> </w:t>
      </w:r>
      <w:r>
        <w:t xml:space="preserve">9.8%</w:t>
      </w:r>
      <w:r>
        <w:t xml:space="preserve"> </w:t>
      </w:r>
      <w:r>
        <w:t xml:space="preserve">7.5%</w:t>
      </w:r>
      <w:r>
        <w:t xml:space="preserve"> </w:t>
      </w:r>
      <w:r>
        <w:t xml:space="preserve">5.3%</w:t>
      </w:r>
      <w:r>
        <w:t xml:space="preserve"> </w:t>
      </w:r>
      <w:r>
        <w:t xml:space="preserve">4.1%</w:t>
      </w:r>
      <w:r>
        <w:t xml:space="preserve"> </w:t>
      </w:r>
      <w:r>
        <w:t xml:space="preserve">Source: Ricardo, based on ECB Bank interest rates - loans to households for consumption56</w:t>
      </w:r>
      <w:r>
        <w:t xml:space="preserve"> </w:t>
      </w:r>
      <w:r>
        <w:t xml:space="preserve">Great variability of interest rates is observed within Member States, and future rates may</w:t>
      </w:r>
      <w:r>
        <w:t xml:space="preserve"> </w:t>
      </w:r>
      <w:r>
        <w:t xml:space="preserve">be influenced by different factors57. To reflect this in the modelling, interest rates were</w:t>
      </w:r>
      <w:r>
        <w:t xml:space="preserve"> </w:t>
      </w:r>
      <w:r>
        <w:t xml:space="preserve">assigned to each income quintile based on empirical evidence. The middle-income group</w:t>
      </w:r>
      <w:r>
        <w:t xml:space="preserve"> </w:t>
      </w:r>
      <w:r>
        <w:t xml:space="preserve">(Q3) is anchored to ECB data on average consumption loan rates (ECB, 2025)58, while</w:t>
      </w:r>
      <w:r>
        <w:t xml:space="preserve"> </w:t>
      </w:r>
      <w:r>
        <w:t xml:space="preserve">rates for other quintiles are adjusted proportionally based on observed differentials by</w:t>
      </w:r>
      <w:r>
        <w:t xml:space="preserve"> </w:t>
      </w:r>
      <w:r>
        <w:t xml:space="preserve">income (Grunewald et al., 2023) (yahoo! finance, 2025). Specifically, interest rates were</w:t>
      </w:r>
      <w:r>
        <w:t xml:space="preserve"> </w:t>
      </w:r>
      <w:r>
        <w:t xml:space="preserve">assumed to be 30% and 55% higher for the second and first quintiles, respectively, and</w:t>
      </w:r>
      <w:r>
        <w:t xml:space="preserve"> </w:t>
      </w:r>
      <w:r>
        <w:t xml:space="preserve">30% and 45% lower for the fourth and fifth quintiles. This approach provides a more</w:t>
      </w:r>
      <w:r>
        <w:t xml:space="preserve"> </w:t>
      </w:r>
      <w:r>
        <w:t xml:space="preserve">realistic distribution of borrowing costs across income groups. The non-monotonous</w:t>
      </w:r>
      <w:r>
        <w:t xml:space="preserve"> </w:t>
      </w:r>
      <w:r>
        <w:t xml:space="preserve">pattern59 is not expected to materially affect the interpretation of results, as the relative</w:t>
      </w:r>
      <w:r>
        <w:t xml:space="preserve"> </w:t>
      </w:r>
      <w:r>
        <w:t xml:space="preserve">differences between quintiles remain broadly consistent.</w:t>
      </w:r>
      <w:r>
        <w:br/>
      </w:r>
      <w:r>
        <w:t xml:space="preserve">Discount rate</w:t>
      </w:r>
      <w:r>
        <w:t xml:space="preserve"> </w:t>
      </w:r>
      <w:r>
        <w:t xml:space="preserve">Lower income households or individuals are shown to value the present more, when</w:t>
      </w:r>
      <w:r>
        <w:t xml:space="preserve"> </w:t>
      </w:r>
      <w:r>
        <w:t xml:space="preserve">compared to higher income groups (Samwick, 1998) and (Gustman, 2005). There is no</w:t>
      </w:r>
      <w:r>
        <w:t xml:space="preserve"> </w:t>
      </w:r>
      <w:r>
        <w:t xml:space="preserve">common understanding or a general rule on how to translate differences in individual</w:t>
      </w:r>
      <w:r>
        <w:t xml:space="preserve"> </w:t>
      </w:r>
      <w:r>
        <w:t xml:space="preserve">preferences over time into subjective discount rates. In line with the approach of the</w:t>
      </w:r>
    </w:p>
    <w:p>
      <w:pPr>
        <w:pStyle w:val="BodyText"/>
      </w:pPr>
      <w:r>
        <w:t xml:space="preserve">55 Although there should not necessarily be causal relationship between credit score and household income,</w:t>
      </w:r>
      <w:r>
        <w:t xml:space="preserve"> </w:t>
      </w:r>
      <w:r>
        <w:t xml:space="preserve">in practice, a strong correlation is observed between these two variables according to the results of Household</w:t>
      </w:r>
      <w:r>
        <w:t xml:space="preserve"> </w:t>
      </w:r>
      <w:r>
        <w:t xml:space="preserve">Finance and Consumption Survey: Methodological report for the 2021 wave].</w:t>
      </w:r>
      <w:r>
        <w:t xml:space="preserve"> </w:t>
      </w:r>
      <w:r>
        <w:t xml:space="preserve">56 ICP | ECB Data Portal</w:t>
      </w:r>
      <w:r>
        <w:t xml:space="preserve"> </w:t>
      </w:r>
      <w:r>
        <w:t xml:space="preserve">57 The modelling assumes the interest rates stay constant in the future, to avoid making assumptions on</w:t>
      </w:r>
      <w:r>
        <w:t xml:space="preserve"> </w:t>
      </w:r>
      <w:r>
        <w:t xml:space="preserve">interest rate evolution, as there are no official projections that cover the whole period of analysis.</w:t>
      </w:r>
      <w:r>
        <w:t xml:space="preserve"> </w:t>
      </w:r>
      <w:r>
        <w:t xml:space="preserve">58 Average of the last six months available, i.e. February to July 2025.</w:t>
      </w:r>
      <w:r>
        <w:br/>
      </w:r>
      <w:r>
        <w:t xml:space="preserve">59 Non-monotonous means that interest rates do not change steadily (i.e., by the same number of percentage</w:t>
      </w:r>
      <w:r>
        <w:t xml:space="preserve"> </w:t>
      </w:r>
      <w:r>
        <w:t xml:space="preserve">points) between each quintile; instead, they vary based on observed patterns.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European Commission’s wider modelling and the baseline scenario for the Impact</w:t>
      </w:r>
      <w:r>
        <w:t xml:space="preserve"> </w:t>
      </w:r>
      <w:r>
        <w:t xml:space="preserve">Assessment, differentiated discount rates are used to analyse different consumer groups</w:t>
      </w:r>
      <w:r>
        <w:t xml:space="preserve"> </w:t>
      </w:r>
      <w:r>
        <w:t xml:space="preserve">(e.g. 11% for cars and 9.5% for vans, acknowledging the difference between households</w:t>
      </w:r>
      <w:r>
        <w:t xml:space="preserve"> </w:t>
      </w:r>
      <w:r>
        <w:t xml:space="preserve">and firms or self-employed professionals).</w:t>
      </w:r>
      <w:r>
        <w:t xml:space="preserve"> </w:t>
      </w:r>
      <w:r>
        <w:t xml:space="preserve">The academic literature suggests that utility discount rate is higher for the first income</w:t>
      </w:r>
      <w:r>
        <w:t xml:space="preserve"> </w:t>
      </w:r>
      <w:r>
        <w:t xml:space="preserve">quintile (estimates point around 15%), because in general they are composed by more</w:t>
      </w:r>
      <w:r>
        <w:t xml:space="preserve"> </w:t>
      </w:r>
      <w:r>
        <w:t xml:space="preserve">impatient individuals who value current consumption more. The opposite would be true</w:t>
      </w:r>
      <w:r>
        <w:t xml:space="preserve"> </w:t>
      </w:r>
      <w:r>
        <w:t xml:space="preserve">for the 5th quintile individuals, whose discount rate is estimated at 5%. In line with the</w:t>
      </w:r>
      <w:r>
        <w:t xml:space="preserve"> </w:t>
      </w:r>
      <w:r>
        <w:t xml:space="preserve">literature, our methodology assumes a private discount rate of 16% for 1st quintile</w:t>
      </w:r>
      <w:r>
        <w:t xml:space="preserve"> </w:t>
      </w:r>
      <w:r>
        <w:t xml:space="preserve">individuals, 6% for the 5th an apply a linear interpolation for the quintiles in between, being</w:t>
      </w:r>
      <w:r>
        <w:t xml:space="preserve"> </w:t>
      </w:r>
      <w:r>
        <w:t xml:space="preserve">11% the average. Table 5 shows subjective discount rate assumptions by income quintile,</w:t>
      </w:r>
      <w:r>
        <w:t xml:space="preserve"> </w:t>
      </w:r>
      <w:r>
        <w:t xml:space="preserve">based on the negative relationship between household income and the discount rate.</w:t>
      </w:r>
      <w:r>
        <w:t xml:space="preserve"> </w:t>
      </w:r>
      <w:r>
        <w:t xml:space="preserve">Table 5: Subjective discount rate assumptions by income quintile</w:t>
      </w:r>
    </w:p>
    <w:p>
      <w:pPr>
        <w:pStyle w:val="BodyText"/>
      </w:pPr>
      <w:r>
        <w:t xml:space="preserve">1st quintile</w:t>
      </w:r>
      <w:r>
        <w:t xml:space="preserve"> </w:t>
      </w:r>
      <w:r>
        <w:t xml:space="preserve">2nd quintile</w:t>
      </w:r>
      <w:r>
        <w:t xml:space="preserve"> </w:t>
      </w:r>
      <w:r>
        <w:t xml:space="preserve">3rd quintile</w:t>
      </w:r>
      <w:r>
        <w:t xml:space="preserve"> </w:t>
      </w:r>
      <w:r>
        <w:t xml:space="preserve">4th quintile</w:t>
      </w:r>
      <w:r>
        <w:t xml:space="preserve"> </w:t>
      </w:r>
      <w:r>
        <w:t xml:space="preserve">5th quintile</w:t>
      </w:r>
      <w:r>
        <w:t xml:space="preserve"> </w:t>
      </w:r>
      <w:r>
        <w:t xml:space="preserve">Discount rate 16.0%</w:t>
      </w:r>
      <w:r>
        <w:t xml:space="preserve"> </w:t>
      </w:r>
      <w:r>
        <w:t xml:space="preserve">13.5%</w:t>
      </w:r>
      <w:r>
        <w:t xml:space="preserve"> </w:t>
      </w:r>
      <w:r>
        <w:t xml:space="preserve">11.0%</w:t>
      </w:r>
      <w:r>
        <w:t xml:space="preserve"> </w:t>
      </w:r>
      <w:r>
        <w:t xml:space="preserve">8.5%</w:t>
      </w:r>
      <w:r>
        <w:t xml:space="preserve"> </w:t>
      </w:r>
      <w:r>
        <w:t xml:space="preserve">6.0%</w:t>
      </w:r>
      <w:r>
        <w:t xml:space="preserve"> </w:t>
      </w:r>
      <w:r>
        <w:t xml:space="preserve">Source: Ricardo, based on Samwick (1998)60 and Gustman (2005)61</w:t>
      </w:r>
      <w:r>
        <w:t xml:space="preserve"> </w:t>
      </w:r>
      <w:r>
        <w:t xml:space="preserve">Other assumptions</w:t>
      </w:r>
      <w:r>
        <w:t xml:space="preserve"> </w:t>
      </w:r>
      <w:r>
        <w:t xml:space="preserve">Mileage assumptions are presented in Table 6. Average mileage is assumed to be ~12 000</w:t>
      </w:r>
      <w:r>
        <w:t xml:space="preserve"> </w:t>
      </w:r>
      <w:r>
        <w:t xml:space="preserve">km/year (over a typical lifetime to end-of-life disposal of ~20 years and 240 000km).</w:t>
      </w:r>
      <w:r>
        <w:t xml:space="preserve"> </w:t>
      </w:r>
      <w:r>
        <w:t xml:space="preserve">Although there is no EU statistics on annual mileage by household income, it is recognised</w:t>
      </w:r>
      <w:r>
        <w:t xml:space="preserve"> </w:t>
      </w:r>
      <w:r>
        <w:t xml:space="preserve">internationally that higher income households make more trips and travel more miles than</w:t>
      </w:r>
      <w:r>
        <w:t xml:space="preserve"> </w:t>
      </w:r>
      <w:r>
        <w:t xml:space="preserve">lower income households and the differences are substantial (U.S. Bureau of</w:t>
      </w:r>
      <w:r>
        <w:t xml:space="preserve"> </w:t>
      </w:r>
      <w:r>
        <w:t xml:space="preserve">Transportation Statistics, 2012).</w:t>
      </w:r>
      <w:r>
        <w:t xml:space="preserve"> </w:t>
      </w:r>
      <w:r>
        <w:t xml:space="preserve">Assuming higher annual mileages for high income households is also consistent with user</w:t>
      </w:r>
      <w:r>
        <w:t xml:space="preserve"> </w:t>
      </w:r>
      <w:r>
        <w:t xml:space="preserve">group statistics. By economic characteristics of the income groups described above and</w:t>
      </w:r>
      <w:r>
        <w:t xml:space="preserve"> </w:t>
      </w:r>
      <w:r>
        <w:t xml:space="preserve">anticipating the conclusions of affordability analysis, lowest income households are most</w:t>
      </w:r>
      <w:r>
        <w:t xml:space="preserve"> </w:t>
      </w:r>
      <w:r>
        <w:t xml:space="preserve">likely to represent 3rd users, medium income households 2nd users, and high-income</w:t>
      </w:r>
      <w:r>
        <w:t xml:space="preserve"> </w:t>
      </w:r>
      <w:r>
        <w:t xml:space="preserve">households 1st users, with 2nd and 4th quintiles falling in between. For this analysis constant</w:t>
      </w:r>
      <w:r>
        <w:t xml:space="preserve"> </w:t>
      </w:r>
      <w:r>
        <w:t xml:space="preserve">mileage assumptions per income group were used to be able to analyse potential choices</w:t>
      </w:r>
      <w:r>
        <w:t xml:space="preserve"> </w:t>
      </w:r>
      <w:r>
        <w:t xml:space="preserve">of a single representative consumer, deciding between different powertrains, segments,</w:t>
      </w:r>
      <w:r>
        <w:t xml:space="preserve"> </w:t>
      </w:r>
      <w:r>
        <w:t xml:space="preserve">user group from subjective point of view.</w:t>
      </w:r>
      <w:r>
        <w:t xml:space="preserve"> </w:t>
      </w:r>
      <w:r>
        <w:t xml:space="preserve">Table 6: Annual mileage assumptions</w:t>
      </w:r>
    </w:p>
    <w:p>
      <w:pPr>
        <w:pStyle w:val="BodyText"/>
      </w:pPr>
      <w:r>
        <w:t xml:space="preserve">Mileage (km/ year)</w:t>
      </w:r>
      <w:r>
        <w:t xml:space="preserve"> </w:t>
      </w:r>
      <w:r>
        <w:t xml:space="preserve">ALL</w:t>
      </w:r>
      <w:r>
        <w:t xml:space="preserve"> </w:t>
      </w:r>
      <w:r>
        <w:t xml:space="preserve">12 000</w:t>
      </w:r>
      <w:r>
        <w:t xml:space="preserve"> </w:t>
      </w:r>
      <w:r>
        <w:t xml:space="preserve">Q1</w:t>
      </w:r>
      <w:r>
        <w:t xml:space="preserve"> </w:t>
      </w:r>
      <w:r>
        <w:t xml:space="preserve">7 500</w:t>
      </w:r>
      <w:r>
        <w:br/>
      </w:r>
      <w:r>
        <w:t xml:space="preserve">Q2</w:t>
      </w:r>
      <w:r>
        <w:t xml:space="preserve"> </w:t>
      </w:r>
      <w:r>
        <w:t xml:space="preserve">9 500</w:t>
      </w:r>
    </w:p>
    <w:p>
      <w:pPr>
        <w:pStyle w:val="BodyText"/>
      </w:pPr>
      <w:r>
        <w:t xml:space="preserve">60 Discount rate heterogeneity and social security reform. Journal of Development Economics, 57(1): 117-</w:t>
      </w:r>
      <w:r>
        <w:t xml:space="preserve"> </w:t>
      </w:r>
      <w:r>
        <w:t xml:space="preserve">146</w:t>
      </w:r>
      <w:r>
        <w:t xml:space="preserve"> </w:t>
      </w:r>
      <w:r>
        <w:t xml:space="preserve">61 The social security early entitlement age in a structural model of retirement and wealth. Journal of Public</w:t>
      </w:r>
      <w:r>
        <w:t xml:space="preserve"> </w:t>
      </w:r>
      <w:r>
        <w:t xml:space="preserve">Economics, 89(2-3): 441-463. https://doi.org/10.1016/j.jpubeco.2004.03.007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Mileage (km/ year)</w:t>
      </w:r>
      <w:r>
        <w:t xml:space="preserve"> </w:t>
      </w:r>
      <w:r>
        <w:t xml:space="preserve">Q3</w:t>
      </w:r>
      <w:r>
        <w:t xml:space="preserve"> </w:t>
      </w:r>
      <w:r>
        <w:t xml:space="preserve">12 000</w:t>
      </w:r>
      <w:r>
        <w:br/>
      </w:r>
      <w:r>
        <w:t xml:space="preserve">Q4</w:t>
      </w:r>
      <w:r>
        <w:t xml:space="preserve"> </w:t>
      </w:r>
      <w:r>
        <w:t xml:space="preserve">14 500</w:t>
      </w:r>
      <w:r>
        <w:br/>
      </w:r>
      <w:r>
        <w:t xml:space="preserve">Q5</w:t>
      </w:r>
      <w:r>
        <w:t xml:space="preserve"> </w:t>
      </w:r>
      <w:r>
        <w:t xml:space="preserve">16 500</w:t>
      </w:r>
    </w:p>
    <w:p>
      <w:pPr>
        <w:pStyle w:val="BodyText"/>
      </w:pPr>
      <w:r>
        <w:t xml:space="preserve">Table 7: Other assumptions</w:t>
      </w:r>
      <w:r>
        <w:br/>
      </w:r>
      <w:r>
        <w:t xml:space="preserve">Other assumptions</w:t>
      </w:r>
      <w:r>
        <w:t xml:space="preserve"> </w:t>
      </w:r>
      <w:r>
        <w:t xml:space="preserve">OEM mark-up</w:t>
      </w:r>
      <w:r>
        <w:t xml:space="preserve"> </w:t>
      </w:r>
      <w:r>
        <w:t xml:space="preserve">1.4</w:t>
      </w:r>
      <w:r>
        <w:t xml:space="preserve"> </w:t>
      </w:r>
      <w:r>
        <w:t xml:space="preserve">Ownership duration</w:t>
      </w:r>
      <w:r>
        <w:t xml:space="preserve"> </w:t>
      </w:r>
      <w:r>
        <w:t xml:space="preserve">5</w:t>
      </w:r>
      <w:r>
        <w:t xml:space="preserve"> </w:t>
      </w:r>
      <w:r>
        <w:t xml:space="preserve">Maximum savings spent</w:t>
      </w:r>
      <w:r>
        <w:t xml:space="preserve"> </w:t>
      </w:r>
      <w:r>
        <w:t xml:space="preserve">Up to an amount that preserves a 2-month</w:t>
      </w:r>
      <w:r>
        <w:t xml:space="preserve"> </w:t>
      </w:r>
      <w:r>
        <w:t xml:space="preserve">income buffer</w:t>
      </w:r>
      <w:r>
        <w:t xml:space="preserve"> </w:t>
      </w:r>
      <w:r>
        <w:t xml:space="preserve">Maximum loan quota (% of income)</w:t>
      </w:r>
      <w:r>
        <w:t xml:space="preserve"> </w:t>
      </w:r>
      <w:r>
        <w:t xml:space="preserve">15%</w:t>
      </w:r>
      <w:r>
        <w:t xml:space="preserve"> </w:t>
      </w:r>
      <w:r>
        <w:t xml:space="preserve">Maximum loan maturity (years)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The income dimension and the vehicle dimension were analysed jointly, as consumer</w:t>
      </w:r>
      <w:r>
        <w:t xml:space="preserve"> </w:t>
      </w:r>
      <w:r>
        <w:t xml:space="preserve">behaviour differs significantly across income groups with respect to their choices of</w:t>
      </w:r>
      <w:r>
        <w:t xml:space="preserve"> </w:t>
      </w:r>
      <w:r>
        <w:t xml:space="preserve">segment, powertrain and age of the car. It is also important to consider the fact that the</w:t>
      </w:r>
      <w:r>
        <w:t xml:space="preserve"> </w:t>
      </w:r>
      <w:r>
        <w:t xml:space="preserve">vehicle age groups are interconnected through the market for used cars, where 2nd and 3rd</w:t>
      </w:r>
      <w:r>
        <w:t xml:space="preserve"> </w:t>
      </w:r>
      <w:r>
        <w:t xml:space="preserve">users purchase their vehicles from the 1st and 2nd users respectively. All Q1 and half of Q2</w:t>
      </w:r>
      <w:r>
        <w:t xml:space="preserve"> </w:t>
      </w:r>
      <w:r>
        <w:t xml:space="preserve">are assumed to be 1st users, half Q2, all Q3 and half Q4 are assumed to be 2nd users</w:t>
      </w:r>
      <w:r>
        <w:t xml:space="preserve"> </w:t>
      </w:r>
      <w:r>
        <w:t xml:space="preserve">(purchasing from Q1 and half Q2), and half Q4 and all Q5 are assumed to be 3rd users</w:t>
      </w:r>
      <w:r>
        <w:t xml:space="preserve"> </w:t>
      </w:r>
      <w:r>
        <w:t xml:space="preserve">(purchasing from Q2, Q3 and Q4 2nd users).62</w:t>
      </w:r>
      <w:r>
        <w:t xml:space="preserve"> </w:t>
      </w:r>
      <w:r>
        <w:t xml:space="preserve">For the used cars market to function properly, that is to have a balanced supply and demand</w:t>
      </w:r>
      <w:r>
        <w:t xml:space="preserve"> </w:t>
      </w:r>
      <w:r>
        <w:t xml:space="preserve">for all user groups, different user groups should have sufficiently aligned preferences and</w:t>
      </w:r>
      <w:r>
        <w:t xml:space="preserve"> </w:t>
      </w:r>
      <w:r>
        <w:t xml:space="preserve">incentives. Otherwise, either selling or buying party would obtain higher bargaining power</w:t>
      </w:r>
      <w:r>
        <w:t xml:space="preserve"> </w:t>
      </w:r>
      <w:r>
        <w:t xml:space="preserve">over the other party, with potentially positive implications for some income groups and</w:t>
      </w:r>
      <w:r>
        <w:t xml:space="preserve"> </w:t>
      </w:r>
      <w:r>
        <w:t xml:space="preserve">negative for other groups.</w:t>
      </w:r>
      <w:r>
        <w:t xml:space="preserve"> </w:t>
      </w:r>
      <w:r>
        <w:t xml:space="preserve">The analysis of the social impacts looks at the impacts of the options considered on</w:t>
      </w:r>
      <w:r>
        <w:t xml:space="preserve"> </w:t>
      </w:r>
      <w:r>
        <w:t xml:space="preserve">different income groups in terms of (i) affordability of vehicles, and (ii) ‘subjective TCO’.</w:t>
      </w:r>
      <w:r>
        <w:br/>
      </w:r>
      <w:r>
        <w:t xml:space="preserve">Affordability reflects the variety of vehicle choices realistically available to the consumer</w:t>
      </w:r>
      <w:r>
        <w:t xml:space="preserve"> </w:t>
      </w:r>
      <w:r>
        <w:t xml:space="preserve">groups63. It is defined in terms of financial capacity for a given income group compared to</w:t>
      </w:r>
      <w:r>
        <w:t xml:space="preserve"> </w:t>
      </w:r>
      <w:r>
        <w:t xml:space="preserve">the vehicle upfront price. In this analysis, a vehicle model/powertrain/segment is thought</w:t>
      </w:r>
      <w:r>
        <w:t xml:space="preserve"> </w:t>
      </w:r>
      <w:r>
        <w:t xml:space="preserve">to be affordable if a household has sufficient savings to cover either an upfront purchase</w:t>
      </w:r>
      <w:r>
        <w:t xml:space="preserve"> </w:t>
      </w:r>
      <w:r>
        <w:t xml:space="preserve">or a down payment for a loan, while maintaining a buffer equivalent to two months of</w:t>
      </w:r>
    </w:p>
    <w:p>
      <w:pPr>
        <w:pStyle w:val="BodyText"/>
      </w:pPr>
      <w:r>
        <w:t xml:space="preserve">62 It is implicitly assumed that Q1 and Q2 consumers purchasing new cars are more likely to have more than</w:t>
      </w:r>
      <w:r>
        <w:t xml:space="preserve"> </w:t>
      </w:r>
      <w:r>
        <w:t xml:space="preserve">one car in the household, and that not all cars have 3rd users.</w:t>
      </w:r>
      <w:r>
        <w:t xml:space="preserve"> </w:t>
      </w:r>
      <w:r>
        <w:t xml:space="preserve">63 Analysis includes four vehicle segments (Small (S), Lower Medium (LM), Upper Medium (UM), Large</w:t>
      </w:r>
      <w:r>
        <w:t xml:space="preserve"> </w:t>
      </w:r>
      <w:r>
        <w:t xml:space="preserve">(L)), six powertrains (SI+Hybrid, CI+Hybrid, SI PHEV, CI PHEV, BEV, FCEV) and three vehicle age</w:t>
      </w:r>
      <w:r>
        <w:t xml:space="preserve"> </w:t>
      </w:r>
      <w:r>
        <w:t xml:space="preserve">groups (1st user, 0-5 years; 2nd user, 6-10 years; 3rd user, 11-15 years).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disposable income. Additionally, the household must have enough annual income to repay</w:t>
      </w:r>
      <w:r>
        <w:t xml:space="preserve"> </w:t>
      </w:r>
      <w:r>
        <w:t xml:space="preserve">the loan within five years, with loan repayments not exceeding 15% of annual income.</w:t>
      </w:r>
      <w:r>
        <w:t xml:space="preserve"> </w:t>
      </w:r>
      <w:r>
        <w:t xml:space="preserve">Subjective TCO reflects total costs associated to the ownership of the vehicle. It takes into</w:t>
      </w:r>
      <w:r>
        <w:t xml:space="preserve"> </w:t>
      </w:r>
      <w:r>
        <w:t xml:space="preserve">account income group-specific parameters and is considered in relation to average annual</w:t>
      </w:r>
      <w:r>
        <w:t xml:space="preserve"> </w:t>
      </w:r>
      <w:r>
        <w:t xml:space="preserve">income.</w:t>
      </w:r>
      <w:r>
        <w:t xml:space="preserve"> </w:t>
      </w:r>
      <w:r>
        <w:t xml:space="preserve">First, affordable options are determined and analysed for each income group, user group</w:t>
      </w:r>
      <w:r>
        <w:t xml:space="preserve"> </w:t>
      </w:r>
      <w:r>
        <w:t xml:space="preserve">and powertrain combination. This analysis gives an overview of choice available to each</w:t>
      </w:r>
      <w:r>
        <w:t xml:space="preserve"> </w:t>
      </w:r>
      <w:r>
        <w:t xml:space="preserve">of the income groups, as the function of their financial capacity.</w:t>
      </w:r>
      <w:r>
        <w:t xml:space="preserve"> </w:t>
      </w:r>
      <w:r>
        <w:t xml:space="preserve">For the affordable options, two key metrics were calculated for each of the combinations</w:t>
      </w:r>
      <w:r>
        <w:t xml:space="preserve"> </w:t>
      </w:r>
      <w:r>
        <w:t xml:space="preserve">of income quintile, vehicle segment, powertrain, user group and year:</w:t>
      </w:r>
      <w:r>
        <w:t xml:space="preserve"> </w:t>
      </w:r>
      <w:r>
        <w:t xml:space="preserve">• Extra capital costs are calculated as discounted sum of interest payments for a</w:t>
      </w:r>
      <w:r>
        <w:t xml:space="preserve"> </w:t>
      </w:r>
      <w:r>
        <w:t xml:space="preserve">loan (when the loan takes place) during the whole loan period until its maturity.</w:t>
      </w:r>
      <w:r>
        <w:t xml:space="preserve"> </w:t>
      </w:r>
      <w:r>
        <w:t xml:space="preserve">Loan amount and interest rates vary across income groups.</w:t>
      </w:r>
      <w:r>
        <w:br/>
      </w:r>
      <w:r>
        <w:t xml:space="preserve">• Subjective TCO is calculated as discounted sum of purchase price or loan</w:t>
      </w:r>
      <w:r>
        <w:t xml:space="preserve"> </w:t>
      </w:r>
      <w:r>
        <w:t xml:space="preserve">payments, operation, maintenance and insurance costs, fuel costs, minus the</w:t>
      </w:r>
      <w:r>
        <w:t xml:space="preserve"> </w:t>
      </w:r>
      <w:r>
        <w:t xml:space="preserve">residual value of the vehicle at the end of 5-year ownership period.</w:t>
      </w:r>
      <w:r>
        <w:br/>
      </w:r>
      <w:r>
        <w:t xml:space="preserve">These two metrics are compared in the baseline scenario and policy scenarios, in order to</w:t>
      </w:r>
      <w:r>
        <w:t xml:space="preserve"> </w:t>
      </w:r>
      <w:r>
        <w:t xml:space="preserve">conclude about the impacts on consumers.</w:t>
      </w:r>
      <w:r>
        <w:t xml:space="preserve"> </w:t>
      </w:r>
      <w:r>
        <w:t xml:space="preserve">In addition, some other barriers were considered, combining a range of non-monetary</w:t>
      </w:r>
      <w:r>
        <w:t xml:space="preserve"> </w:t>
      </w:r>
      <w:r>
        <w:t xml:space="preserve">factors that are likely to have unequal impacts for different income groups. The factors</w:t>
      </w:r>
      <w:r>
        <w:t xml:space="preserve"> </w:t>
      </w:r>
      <w:r>
        <w:t xml:space="preserve">assessed include unequal access to off-street parking (and home charging), access to</w:t>
      </w:r>
      <w:r>
        <w:t xml:space="preserve"> </w:t>
      </w:r>
      <w:r>
        <w:t xml:space="preserve">information and the level of consumer awareness about potential monetary savings. These</w:t>
      </w:r>
      <w:r>
        <w:t xml:space="preserve"> </w:t>
      </w:r>
      <w:r>
        <w:t xml:space="preserve">factors are analysed qualitatively.</w:t>
      </w:r>
      <w:r>
        <w:t xml:space="preserve"> </w:t>
      </w:r>
      <w:r>
        <w:t xml:space="preserve">Extra capital costs</w:t>
      </w:r>
      <w:r>
        <w:t xml:space="preserve"> </w:t>
      </w:r>
      <w:r>
        <w:t xml:space="preserve">For vehicles with higher initial purchase prices, consumers will require access to higher</w:t>
      </w:r>
      <w:r>
        <w:t xml:space="preserve"> </w:t>
      </w:r>
      <w:r>
        <w:t xml:space="preserve">initial capital, which is more limited for lower income groups.</w:t>
      </w:r>
      <w:r>
        <w:br/>
      </w:r>
      <w:r>
        <w:t xml:space="preserve">As long as access to finance and financing conditions are linked to household and/or</w:t>
      </w:r>
      <w:r>
        <w:t xml:space="preserve"> </w:t>
      </w:r>
      <w:r>
        <w:t xml:space="preserve">personal income, lower income groups would find it harder to be able to acquire a car due</w:t>
      </w:r>
      <w:r>
        <w:t xml:space="preserve"> </w:t>
      </w:r>
      <w:r>
        <w:t xml:space="preserve">to credit restrictions. That is, some consumers may not be able to afford a vehicle with</w:t>
      </w:r>
      <w:r>
        <w:t xml:space="preserve"> </w:t>
      </w:r>
      <w:r>
        <w:t xml:space="preserve">lower TCO, some will only be able to do so with a loan, and others will have enough</w:t>
      </w:r>
      <w:r>
        <w:t xml:space="preserve"> </w:t>
      </w:r>
      <w:r>
        <w:t xml:space="preserve">savings to cover the full upfront price.</w:t>
      </w:r>
      <w:r>
        <w:t xml:space="preserve"> </w:t>
      </w:r>
      <w:r>
        <w:t xml:space="preserve">Those who need a loan would also need to pay interests, which in its turn increases total</w:t>
      </w:r>
      <w:r>
        <w:t xml:space="preserve"> </w:t>
      </w:r>
      <w:r>
        <w:t xml:space="preserve">capital costs that the consumers face over the lifetime/ownership period. Extra capital costs</w:t>
      </w:r>
      <w:r>
        <w:t xml:space="preserve"> </w:t>
      </w:r>
      <w:r>
        <w:t xml:space="preserve">were calculated for each of the combinations as follows:</w:t>
      </w:r>
      <w:r>
        <w:t xml:space="preserve"> </w:t>
      </w:r>
      <w:r>
        <w:t xml:space="preserve">• First, how much each consumer group can afford to pay upfront is calculated</w:t>
      </w:r>
      <w:r>
        <w:t xml:space="preserve"> </w:t>
      </w:r>
      <w:r>
        <w:t xml:space="preserve">assuming that the down payment is capped at a level that preserves a savings buffer</w:t>
      </w:r>
      <w:r>
        <w:t xml:space="preserve"> </w:t>
      </w:r>
      <w:r>
        <w:t xml:space="preserve">equivalent to two months of household income. This assumption is made to reflect</w:t>
      </w:r>
      <w:r>
        <w:t xml:space="preserve"> </w:t>
      </w:r>
      <w:r>
        <w:t xml:space="preserve">the fact that households tend to keep a minimum buffer of savings in order to be</w:t>
      </w:r>
      <w:r>
        <w:t xml:space="preserve"> </w:t>
      </w:r>
      <w:r>
        <w:t xml:space="preserve">protected in case of unexpected negative shocks.</w:t>
      </w:r>
      <w:r>
        <w:t xml:space="preserve"> </w:t>
      </w:r>
      <w:r>
        <w:t xml:space="preserve">• Second, how much needs to be financed is calculated as the difference between</w:t>
      </w:r>
      <w:r>
        <w:t xml:space="preserve"> </w:t>
      </w:r>
      <w:r>
        <w:t xml:space="preserve">total upfront costs and the part covered by savings.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• Third, loan maturity is determined. It is assumed that up to 15% of household</w:t>
      </w:r>
      <w:r>
        <w:t xml:space="preserve"> </w:t>
      </w:r>
      <w:r>
        <w:t xml:space="preserve">income can be used for loan repayment.64 This maximum quota is used to calculate</w:t>
      </w:r>
      <w:r>
        <w:t xml:space="preserve"> </w:t>
      </w:r>
      <w:r>
        <w:t xml:space="preserve">loan maturity, as the number of periods needed to pay the loan given the payment.</w:t>
      </w:r>
      <w:r>
        <w:t xml:space="preserve"> </w:t>
      </w:r>
      <w:r>
        <w:t xml:space="preserve">If calculated loan maturity is more than 5 years, it is concluded that this particular</w:t>
      </w:r>
      <w:r>
        <w:t xml:space="preserve"> </w:t>
      </w:r>
      <w:r>
        <w:t xml:space="preserve">vehicle model cannot be afforded by the corresponding consumer, as the banks</w:t>
      </w:r>
      <w:r>
        <w:t xml:space="preserve"> </w:t>
      </w:r>
      <w:r>
        <w:t xml:space="preserve">usually do not extend car loans for a longer period. Only for the borrowers with</w:t>
      </w:r>
      <w:r>
        <w:t xml:space="preserve"> </w:t>
      </w:r>
      <w:r>
        <w:t xml:space="preserve">excellent credit score, banks offer longer maturities, up to 7 or 8 years65. In the</w:t>
      </w:r>
      <w:r>
        <w:t xml:space="preserve"> </w:t>
      </w:r>
      <w:r>
        <w:t xml:space="preserve">model, however, average consumers from higher income quintiles do not need</w:t>
      </w:r>
      <w:r>
        <w:t xml:space="preserve"> </w:t>
      </w:r>
      <w:r>
        <w:t xml:space="preserve">these longer maturities.</w:t>
      </w:r>
      <w:r>
        <w:t xml:space="preserve"> </w:t>
      </w:r>
      <w:r>
        <w:t xml:space="preserve">• Finally, extra capital costs are calculated for the cases when the calculated loan</w:t>
      </w:r>
      <w:r>
        <w:t xml:space="preserve"> </w:t>
      </w:r>
      <w:r>
        <w:t xml:space="preserve">maturity is 5 years or less. Income-group specific interest rate is used to calculate</w:t>
      </w:r>
      <w:r>
        <w:t xml:space="preserve"> </w:t>
      </w:r>
      <w:r>
        <w:t xml:space="preserve">total interest paid until the loan matures. The present value of all those interests</w:t>
      </w:r>
      <w:r>
        <w:t xml:space="preserve"> </w:t>
      </w:r>
      <w:r>
        <w:t xml:space="preserve">paid is calculated using social discount rate of 3%.66 This social discount rate is</w:t>
      </w:r>
      <w:r>
        <w:t xml:space="preserve"> </w:t>
      </w:r>
      <w:r>
        <w:t xml:space="preserve">used in this case in order to be able to compare total extra capital costs across</w:t>
      </w:r>
      <w:r>
        <w:t xml:space="preserve"> </w:t>
      </w:r>
      <w:r>
        <w:t xml:space="preserve">different income groups.</w:t>
      </w:r>
      <w:r>
        <w:t xml:space="preserve"> </w:t>
      </w:r>
      <w:r>
        <w:t xml:space="preserve">Subjective TCO</w:t>
      </w:r>
      <w:r>
        <w:t xml:space="preserve"> </w:t>
      </w:r>
      <w:r>
        <w:t xml:space="preserve">A number of parameters need to be adjusted to depart from TCO calculated for average</w:t>
      </w:r>
      <w:r>
        <w:t xml:space="preserve"> </w:t>
      </w:r>
      <w:r>
        <w:t xml:space="preserve">user and aim at estimating TCO as perceived by each particular income group. In addition</w:t>
      </w:r>
      <w:r>
        <w:t xml:space="preserve"> </w:t>
      </w:r>
      <w:r>
        <w:t xml:space="preserve">to differences in mileage, different consumers have different discount rates, reflecting time</w:t>
      </w:r>
      <w:r>
        <w:t xml:space="preserve"> </w:t>
      </w:r>
      <w:r>
        <w:t xml:space="preserve">patience regarding their cash flows. This exercise essentially will allow to compare</w:t>
      </w:r>
      <w:r>
        <w:t xml:space="preserve"> </w:t>
      </w:r>
      <w:r>
        <w:t xml:space="preserve">potential purchase choices of a representative consumer across powertrains, segments and</w:t>
      </w:r>
      <w:r>
        <w:t xml:space="preserve"> </w:t>
      </w:r>
      <w:r>
        <w:t xml:space="preserve">user groups (1st, 2nd and 3rd user – covering the first 15 years of an overall average lifetime</w:t>
      </w:r>
      <w:r>
        <w:t xml:space="preserve"> </w:t>
      </w:r>
      <w:r>
        <w:t xml:space="preserve">of ~20 years).</w:t>
      </w:r>
      <w:r>
        <w:t xml:space="preserve"> </w:t>
      </w:r>
      <w:r>
        <w:t xml:space="preserve">Subjective TCO was calculated according to standard TCO formula, but with three</w:t>
      </w:r>
      <w:r>
        <w:t xml:space="preserve"> </w:t>
      </w:r>
      <w:r>
        <w:t xml:space="preserve">modifications:</w:t>
      </w:r>
      <w:r>
        <w:t xml:space="preserve"> </w:t>
      </w:r>
      <w:r>
        <w:t xml:space="preserve">• In addition to capital costs, extra capital costs described above were incorporated.</w:t>
      </w:r>
      <w:r>
        <w:t xml:space="preserve"> </w:t>
      </w:r>
      <w:r>
        <w:t xml:space="preserve">At the end of user life, it is assumed that the vehicle is sold and subtract residual</w:t>
      </w:r>
      <w:r>
        <w:t xml:space="preserve"> </w:t>
      </w:r>
      <w:r>
        <w:t xml:space="preserve">value of the vehicle.</w:t>
      </w:r>
      <w:r>
        <w:t xml:space="preserve"> </w:t>
      </w:r>
      <w:r>
        <w:t xml:space="preserve">• For variable costs, fuel costs are calculated using user-specific annual mileage.</w:t>
      </w:r>
      <w:r>
        <w:t xml:space="preserve"> </w:t>
      </w:r>
      <w:r>
        <w:t xml:space="preserve">• User-specific discount rate is used to calculate present value of future loan</w:t>
      </w:r>
      <w:r>
        <w:t xml:space="preserve"> </w:t>
      </w:r>
      <w:r>
        <w:t xml:space="preserve">payments, fuel costs and operation, maintenance and insurance costs. Discount</w:t>
      </w:r>
      <w:r>
        <w:t xml:space="preserve"> </w:t>
      </w:r>
      <w:r>
        <w:t xml:space="preserve">rates are income-group specific in this case, in order to better reflect preferences</w:t>
      </w:r>
      <w:r>
        <w:t xml:space="preserve"> </w:t>
      </w:r>
      <w:r>
        <w:t xml:space="preserve">and decisions of each income group regarding different powertrains. Higher</w:t>
      </w:r>
      <w:r>
        <w:t xml:space="preserve"> </w:t>
      </w:r>
      <w:r>
        <w:t xml:space="preserve">discount rates for lower income groups mean that these groups value future fuel</w:t>
      </w:r>
      <w:r>
        <w:t xml:space="preserve"> </w:t>
      </w:r>
      <w:r>
        <w:t xml:space="preserve">savings less and upfront capital costs more compared to higher income groups.</w:t>
      </w:r>
      <w:r>
        <w:t xml:space="preserve"> </w:t>
      </w:r>
      <w:r>
        <w:t xml:space="preserve">Non-financial barriers</w:t>
      </w:r>
    </w:p>
    <w:p>
      <w:pPr>
        <w:pStyle w:val="BodyText"/>
      </w:pPr>
      <w:r>
        <w:t xml:space="preserve">64 15% debt-to-income ratio is a commonly accepted threshold for transport affordability, see for example</w:t>
      </w:r>
      <w:r>
        <w:t xml:space="preserve"> </w:t>
      </w:r>
      <w:r>
        <w:t xml:space="preserve">The social security early entitlement age in a structural model of retirement and wealth. Journal of Public</w:t>
      </w:r>
      <w:r>
        <w:t xml:space="preserve"> </w:t>
      </w:r>
      <w:r>
        <w:t xml:space="preserve">Economics, 89(2-3): 441-463. https://doi.org/10.1016/j.jpubeco.2004.03.007 and Klein, N. J., Palm, M., &amp;</w:t>
      </w:r>
      <w:r>
        <w:t xml:space="preserve"> </w:t>
      </w:r>
      <w:r>
        <w:t xml:space="preserve">Connaughton, S. (2025). Transport Affordability and Automobile Debt in the United States.</w:t>
      </w:r>
      <w:r>
        <w:t xml:space="preserve"> </w:t>
      </w:r>
      <w:r>
        <w:t xml:space="preserve">65 5 years loan maturity has been derived from the benchmark among online resources in the EU and the UK.</w:t>
      </w:r>
      <w:r>
        <w:t xml:space="preserve"> </w:t>
      </w:r>
      <w:r>
        <w:t xml:space="preserve">66 As required by the ‘Better regulation’ toolbox 2023, Tool #64: Discount factors.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It has been already mentioned access to credit representing a financial barrier for some</w:t>
      </w:r>
      <w:r>
        <w:t xml:space="preserve"> </w:t>
      </w:r>
      <w:r>
        <w:t xml:space="preserve">income groups and costs associated with home xEV charging being important determinants</w:t>
      </w:r>
      <w:r>
        <w:t xml:space="preserve"> </w:t>
      </w:r>
      <w:r>
        <w:t xml:space="preserve">of TCO. There are, however, also non-financial barriers for xEV uptake for some income</w:t>
      </w:r>
      <w:r>
        <w:t xml:space="preserve"> </w:t>
      </w:r>
      <w:r>
        <w:t xml:space="preserve">groups.</w:t>
      </w:r>
      <w:r>
        <w:t xml:space="preserve"> </w:t>
      </w:r>
      <w:r>
        <w:t xml:space="preserve">High income groups are more likely to have access to off-street parking, compared to lower</w:t>
      </w:r>
      <w:r>
        <w:t xml:space="preserve"> </w:t>
      </w:r>
      <w:r>
        <w:t xml:space="preserve">income groups. As long as home charging is cheaper than public charging (and it usually</w:t>
      </w:r>
      <w:r>
        <w:t xml:space="preserve"> </w:t>
      </w:r>
      <w:r>
        <w:t xml:space="preserve">is, in part, due to electricity prices and charging profiles, and in part because of the</w:t>
      </w:r>
      <w:r>
        <w:t xml:space="preserve"> </w:t>
      </w:r>
      <w:r>
        <w:t xml:space="preserve">infrastructure costs), lower income groups will not be able to enjoy the TCO savings of</w:t>
      </w:r>
      <w:r>
        <w:t xml:space="preserve"> </w:t>
      </w:r>
      <w:r>
        <w:t xml:space="preserve">xEV vehicles fully, as fully, as the part of savings will not be present due to higher</w:t>
      </w:r>
      <w:r>
        <w:t xml:space="preserve"> </w:t>
      </w:r>
      <w:r>
        <w:t xml:space="preserve">electricity costs, compared to households with private parking and charging points.</w:t>
      </w:r>
      <w:r>
        <w:br/>
      </w:r>
      <w:r>
        <w:t xml:space="preserve">Other non-financial barriers that may limit uptake of alternative powertrains for lower</w:t>
      </w:r>
      <w:r>
        <w:t xml:space="preserve"> </w:t>
      </w:r>
      <w:r>
        <w:t xml:space="preserve">income households, despite of them being affordable financially and having lower TCO,</w:t>
      </w:r>
      <w:r>
        <w:t xml:space="preserve"> </w:t>
      </w:r>
      <w:r>
        <w:t xml:space="preserve">may include access to information and consumer awareness about potential savings.</w:t>
      </w:r>
      <w:r>
        <w:t xml:space="preserve"> </w:t>
      </w:r>
      <w:r>
        <w:t xml:space="preserve">2. ASSUMPTIONS ON TECHNOLOGY, ECONOMICS AND ENERGY PRICES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a. ECONOMIC ASSUMPTIONS</w:t>
      </w:r>
      <w:r>
        <w:t xml:space="preserve"> </w:t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model and are used to estimate transport</w:t>
      </w:r>
      <w:r>
        <w:t xml:space="preserve"> </w:t>
      </w:r>
      <w:r>
        <w:t xml:space="preserve">activity, particularly relevant for this impact assessment.</w:t>
      </w:r>
      <w:r>
        <w:br/>
      </w:r>
      <w:r>
        <w:t xml:space="preserve">Population projections rely on Eurostat’s long-term projections (EUROPOP2023). The EU</w:t>
      </w:r>
      <w:r>
        <w:t xml:space="preserve"> </w:t>
      </w:r>
      <w:r>
        <w:t xml:space="preserve">population is projected to remain broadly stable over the projection period to 2050.</w:t>
      </w:r>
      <w:r>
        <w:t xml:space="preserve"> </w:t>
      </w:r>
      <w:r>
        <w:t xml:space="preserve">However, there is a noticeable trend towards the ageing of the population, with a 10%</w:t>
      </w:r>
      <w:r>
        <w:t xml:space="preserve"> </w:t>
      </w:r>
      <w:r>
        <w:t xml:space="preserve">decline in the working-age population aged 20 to 64 between 2025 and 2050 and an</w:t>
      </w:r>
      <w:r>
        <w:t xml:space="preserve"> </w:t>
      </w:r>
      <w:r>
        <w:t xml:space="preserve">increase in the old-age dependency ratio from 38% to 55.2% (Figure 4).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Figure 4: Population assumptions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Economic projections have taken place in an unusually unstable context in the past few</w:t>
      </w:r>
      <w:r>
        <w:t xml:space="preserve"> </w:t>
      </w:r>
      <w:r>
        <w:t xml:space="preserve">years, as the EU and world economies were hit first by the COVID pandemic and second</w:t>
      </w:r>
      <w:r>
        <w:t xml:space="preserve"> </w:t>
      </w:r>
      <w:r>
        <w:t xml:space="preserve">by Russia’s war of aggression against Ukraine, with the ensuing sharp increase in</w:t>
      </w:r>
      <w:r>
        <w:t xml:space="preserve"> </w:t>
      </w:r>
      <w:r>
        <w:t xml:space="preserve">international energy prices. The GDP projections for 2025 rely on the Spring Forecast67 of</w:t>
      </w:r>
      <w:r>
        <w:t xml:space="preserve"> </w:t>
      </w:r>
      <w:r>
        <w:t xml:space="preserve">the Directorate General for Economic and Financial Affairs (DG ECFIN). From 2025</w:t>
      </w:r>
      <w:r>
        <w:t xml:space="preserve"> </w:t>
      </w:r>
      <w:r>
        <w:t xml:space="preserve">onwards, the GDP growth projections converge to those prepared by DG ECFIN for the</w:t>
      </w:r>
      <w:r>
        <w:t xml:space="preserve"> </w:t>
      </w:r>
      <w:r>
        <w:t xml:space="preserve">2024 Ageing Report68. At EU level, real GDP is projected to be 23% higher in 2030 than</w:t>
      </w:r>
      <w:r>
        <w:t xml:space="preserve"> </w:t>
      </w:r>
      <w:r>
        <w:t xml:space="preserve">in 2015, 39% higher in 2040, and 60% higher in 2050 compared to 2015 (Figure 5).</w:t>
      </w:r>
      <w:r>
        <w:t xml:space="preserve"> </w:t>
      </w:r>
      <w:r>
        <w:t xml:space="preserve">Projections on the sectoral composition of GDP were prepared using the GEM-E3</w:t>
      </w:r>
      <w:r>
        <w:t xml:space="preserve"> </w:t>
      </w:r>
      <w:r>
        <w:t xml:space="preserve">computable general economic model. It is projected that the EU economy will continue to</w:t>
      </w:r>
      <w:r>
        <w:t xml:space="preserve"> </w:t>
      </w:r>
      <w:r>
        <w:t xml:space="preserve">become increasingly services-oriented, with the sector’s share rising from close to 74% of</w:t>
      </w:r>
      <w:r>
        <w:t xml:space="preserve"> </w:t>
      </w:r>
      <w:r>
        <w:t xml:space="preserve">total gross value added (GVA) in 2016-2020 to around 75% in 2040 and 76% in 2050.</w:t>
      </w:r>
      <w:r>
        <w:t xml:space="preserve"> </w:t>
      </w:r>
      <w:r>
        <w:t xml:space="preserve">While the share of the transport sector in total GVA declined during the COVID pandemic,</w:t>
      </w:r>
      <w:r>
        <w:t xml:space="preserve"> </w:t>
      </w:r>
      <w:r>
        <w:t xml:space="preserve">the projections assume that this was only a temporary phenomenon, and that the sector’s</w:t>
      </w:r>
      <w:r>
        <w:t xml:space="preserve"> </w:t>
      </w:r>
      <w:r>
        <w:t xml:space="preserve">share remains broadly constant at close to 5% of the total. This is consistent with recent</w:t>
      </w:r>
      <w:r>
        <w:t xml:space="preserve"> </w:t>
      </w:r>
      <w:r>
        <w:t xml:space="preserve">economic developments.</w:t>
      </w:r>
    </w:p>
    <w:p>
      <w:pPr>
        <w:pStyle w:val="BodyText"/>
      </w:pPr>
      <w:r>
        <w:t xml:space="preserve">67 DG ECFIN, European Economic Forecast. Spring 2024.</w:t>
      </w:r>
      <w:r>
        <w:t xml:space="preserve"> </w:t>
      </w:r>
      <w:r>
        <w:t xml:space="preserve">68 DG ECFIN, 2024 Ageing Report. Economic and budgetary projections for the EU Member States (2022-</w:t>
      </w:r>
      <w:r>
        <w:t xml:space="preserve"> </w:t>
      </w:r>
      <w:r>
        <w:t xml:space="preserve">2070).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Old-age dependency ratio (RHS)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Working-age population (20-64y)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Figure 5: EU GDP (2015 = 100) and GDP growth (%)</w:t>
      </w:r>
    </w:p>
    <w:p>
      <w:pPr>
        <w:pStyle w:val="BodyText"/>
      </w:pPr>
      <w:r>
        <w:t xml:space="preserve">Source: DG ECFIN</w:t>
      </w:r>
      <w:r>
        <w:t xml:space="preserve"> </w:t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Table 8 shows the oil prices assumptions of the baseline used in</w:t>
      </w:r>
      <w:r>
        <w:t xml:space="preserve"> </w:t>
      </w:r>
      <w:r>
        <w:t xml:space="preserve">this impact assessment.</w:t>
      </w:r>
      <w:r>
        <w:br/>
      </w:r>
      <w:r>
        <w:t xml:space="preserve">Table 8: Oil price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$’2023 per boe</w:t>
      </w:r>
      <w:r>
        <w:t xml:space="preserve"> </w:t>
      </w:r>
      <w:r>
        <w:t xml:space="preserve">62.6</w:t>
      </w:r>
      <w:r>
        <w:t xml:space="preserve"> </w:t>
      </w:r>
      <w:r>
        <w:t xml:space="preserve">48.0</w:t>
      </w:r>
      <w:r>
        <w:t xml:space="preserve"> </w:t>
      </w:r>
      <w:r>
        <w:t xml:space="preserve">92.8</w:t>
      </w:r>
      <w:r>
        <w:t xml:space="preserve"> </w:t>
      </w:r>
      <w:r>
        <w:t xml:space="preserve">105.7</w:t>
      </w:r>
      <w:r>
        <w:t xml:space="preserve"> </w:t>
      </w:r>
      <w:r>
        <w:t xml:space="preserve">131.6</w:t>
      </w:r>
      <w:r>
        <w:t xml:space="preserve"> </w:t>
      </w:r>
      <w:r>
        <w:t xml:space="preserve">in €’2023 per boe</w:t>
      </w:r>
      <w:r>
        <w:t xml:space="preserve"> </w:t>
      </w:r>
      <w:r>
        <w:t xml:space="preserve">57.5</w:t>
      </w:r>
      <w:r>
        <w:t xml:space="preserve"> </w:t>
      </w:r>
      <w:r>
        <w:t xml:space="preserve">44.0</w:t>
      </w:r>
      <w:r>
        <w:t xml:space="preserve"> </w:t>
      </w:r>
      <w:r>
        <w:t xml:space="preserve">85.2</w:t>
      </w:r>
      <w:r>
        <w:t xml:space="preserve"> </w:t>
      </w:r>
      <w:r>
        <w:t xml:space="preserve">97.0</w:t>
      </w:r>
      <w:r>
        <w:t xml:space="preserve"> </w:t>
      </w:r>
      <w:r>
        <w:t xml:space="preserve">120.7</w:t>
      </w:r>
      <w:r>
        <w:t xml:space="preserve"> </w:t>
      </w:r>
      <w:r>
        <w:t xml:space="preserve">b. TECHNOLOGY ASSUMPTIONS</w:t>
      </w:r>
      <w:r>
        <w:t xml:space="preserve"> </w:t>
      </w:r>
      <w:r>
        <w:t xml:space="preserve">Modelling scenarios on the evolution of the energy system is highly dependent on the</w:t>
      </w:r>
      <w:r>
        <w:t xml:space="preserve"> </w:t>
      </w:r>
      <w:r>
        <w:t xml:space="preserve">assumptions on the development of technologies - both in terms of performance and costs.</w:t>
      </w:r>
      <w:r>
        <w:t xml:space="preserve"> </w:t>
      </w:r>
      <w:r>
        <w:t xml:space="preserve">For the purpose of the development of the baseline, these assumptions have been updated</w:t>
      </w:r>
      <w:r>
        <w:t xml:space="preserve"> </w:t>
      </w:r>
      <w:r>
        <w:t xml:space="preserve">based on a rigorous literature review carried out by external consultants and reviewed by</w:t>
      </w:r>
      <w:r>
        <w:t xml:space="preserve"> </w:t>
      </w:r>
      <w:r>
        <w:t xml:space="preserve">the JRC. Continuing the approach adopted in the long-term strategy in 2018 and for the</w:t>
      </w:r>
      <w:r>
        <w:t xml:space="preserve"> </w:t>
      </w:r>
      <w:r>
        <w:t xml:space="preserve">Reference Scenario 2020, the Commission consulted on the technology assumption with</w:t>
      </w:r>
      <w:r>
        <w:t xml:space="preserve"> </w:t>
      </w:r>
      <w:r>
        <w:t xml:space="preserve">Member States and stakeholders in 2024. In particular, the technology database of the main</w:t>
      </w:r>
      <w:r>
        <w:t xml:space="preserve"> </w:t>
      </w:r>
      <w:r>
        <w:t xml:space="preserve">model suite (PRIMES, PRIMES-TREMOVE, GAINS, GLOBIOM, and CAPRI) were</w:t>
      </w:r>
      <w:r>
        <w:t xml:space="preserve"> </w:t>
      </w:r>
      <w:r>
        <w:t xml:space="preserve">discussed with Member State during a meeting of the Reference scenario expert group on</w:t>
      </w:r>
      <w:r>
        <w:t xml:space="preserve"> </w:t>
      </w:r>
      <w:r>
        <w:t xml:space="preserve">5 June 2024. They also benefited from a dedicated consultation workshop with</w:t>
      </w:r>
      <w:r>
        <w:t xml:space="preserve"> </w:t>
      </w:r>
      <w:r>
        <w:t xml:space="preserve">stakeholders, held on 22 and 23 October 2024.</w:t>
      </w:r>
      <w:r>
        <w:br/>
      </w:r>
      <w:r>
        <w:t xml:space="preserve">The battery cost trajectory considered is provided in Table 9.</w:t>
      </w:r>
      <w:r>
        <w:t xml:space="preserve"> </w:t>
      </w:r>
      <w:r>
        <w:t xml:space="preserve">Table 9: Battery cost trajectory</w:t>
      </w:r>
      <w:r>
        <w:t xml:space="preserve"> </w:t>
      </w:r>
      <w:r>
        <w:t xml:space="preserve">EUR/kWh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97</w:t>
      </w:r>
      <w:r>
        <w:t xml:space="preserve"> </w:t>
      </w:r>
      <w:r>
        <w:t xml:space="preserve">72</w:t>
      </w:r>
      <w:r>
        <w:t xml:space="preserve"> </w:t>
      </w:r>
      <w:r>
        <w:t xml:space="preserve">67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58</w:t>
      </w:r>
      <w:r>
        <w:t xml:space="preserve"> </w:t>
      </w: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2029</w:t>
      </w:r>
      <w:r>
        <w:t xml:space="preserve"> </w:t>
      </w:r>
      <w:r>
        <w:t xml:space="preserve">2031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2037</w:t>
      </w:r>
      <w:r>
        <w:t xml:space="preserve"> </w:t>
      </w:r>
      <w:r>
        <w:t xml:space="preserve">2039</w:t>
      </w:r>
      <w:r>
        <w:t xml:space="preserve"> </w:t>
      </w:r>
      <w:r>
        <w:t xml:space="preserve">2041</w:t>
      </w:r>
      <w:r>
        <w:t xml:space="preserve"> </w:t>
      </w:r>
      <w:r>
        <w:t xml:space="preserve">2043</w:t>
      </w:r>
      <w:r>
        <w:t xml:space="preserve"> </w:t>
      </w:r>
      <w:r>
        <w:t xml:space="preserve">2045</w:t>
      </w:r>
      <w:r>
        <w:t xml:space="preserve"> </w:t>
      </w:r>
      <w:r>
        <w:t xml:space="preserve">2047</w:t>
      </w:r>
      <w:r>
        <w:t xml:space="preserve"> </w:t>
      </w:r>
      <w:r>
        <w:t xml:space="preserve">2049</w:t>
      </w:r>
      <w:r>
        <w:t xml:space="preserve"> </w:t>
      </w:r>
      <w:r>
        <w:t xml:space="preserve">2015=100</w:t>
      </w:r>
      <w:r>
        <w:t xml:space="preserve"> </w:t>
      </w:r>
      <w:r>
        <w:t xml:space="preserve">Real GDP (2015=100)</w:t>
      </w:r>
      <w:r>
        <w:t xml:space="preserve"> </w:t>
      </w:r>
      <w:r>
        <w:t xml:space="preserve">Real GDP growth (RHS)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11"/>
        </w:numPr>
      </w:pPr>
      <w:r>
        <w:t xml:space="preserve">SUMMARY OF ASSESSMENT METHODOLOGY FOR VEHICLE LABELLING</w:t>
      </w:r>
      <w:r>
        <w:br/>
      </w:r>
      <w:r>
        <w:t xml:space="preserve">Qualitative assessment – scoring system</w:t>
      </w:r>
      <w:r>
        <w:t xml:space="preserve"> </w:t>
      </w:r>
      <w:r>
        <w:t xml:space="preserve">The assessment of the impacts of the vehicle labelling options largely relied on a</w:t>
      </w:r>
      <w:r>
        <w:t xml:space="preserve"> </w:t>
      </w:r>
      <w:r>
        <w:t xml:space="preserve">qualitative approach, based on data and evidence gathered via desk and field research,</w:t>
      </w:r>
      <w:r>
        <w:t xml:space="preserve"> </w:t>
      </w:r>
      <w:r>
        <w:t xml:space="preserve">including interviews with key stakeholders, in combination with expert judgment. This</w:t>
      </w:r>
      <w:r>
        <w:t xml:space="preserve"> </w:t>
      </w:r>
      <w:r>
        <w:t xml:space="preserve">approach was deemed more appropriate than attempting to quantify the impact69 of the</w:t>
      </w:r>
      <w:r>
        <w:t xml:space="preserve"> </w:t>
      </w:r>
      <w:r>
        <w:t xml:space="preserve">measures on purchase decisions or the consequential economic, environmental and social</w:t>
      </w:r>
      <w:r>
        <w:t xml:space="preserve"> </w:t>
      </w:r>
      <w:r>
        <w:t xml:space="preserve">effects, as that would require relying on assumptions concerning consumer choices that</w:t>
      </w:r>
      <w:r>
        <w:t xml:space="preserve"> </w:t>
      </w:r>
      <w:r>
        <w:t xml:space="preserve">would not be possible to verify.</w:t>
      </w:r>
      <w:r>
        <w:br/>
      </w:r>
      <w:r>
        <w:t xml:space="preserve">Taking into account the range of evidence available, expert judgment was used to score</w:t>
      </w:r>
      <w:r>
        <w:t xml:space="preserve"> </w:t>
      </w:r>
      <w:r>
        <w:t xml:space="preserve">the expected impacts as presented in the table below:</w:t>
      </w:r>
      <w:r>
        <w:br/>
      </w:r>
      <w:r>
        <w:t xml:space="preserve">Definition</w:t>
      </w:r>
      <w:r>
        <w:t xml:space="preserve"> </w:t>
      </w:r>
      <w:r>
        <w:t xml:space="preserve">Score</w:t>
      </w:r>
      <w:r>
        <w:t xml:space="preserve"> </w:t>
      </w:r>
      <w:r>
        <w:t xml:space="preserve">Major/large positive impact</w:t>
      </w:r>
      <w:r>
        <w:t xml:space="preserve"> </w:t>
      </w:r>
      <w:r>
        <w:t xml:space="preserve">+2</w:t>
      </w:r>
      <w:r>
        <w:t xml:space="preserve"> </w:t>
      </w:r>
      <w:r>
        <w:t xml:space="preserve">Minor/small positive impact</w:t>
      </w:r>
      <w:r>
        <w:t xml:space="preserve"> </w:t>
      </w:r>
      <w:r>
        <w:t xml:space="preserve">+1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0</w:t>
      </w:r>
      <w:r>
        <w:t xml:space="preserve"> </w:t>
      </w:r>
      <w:r>
        <w:t xml:space="preserve">Minor/small negative impact</w:t>
      </w:r>
      <w:r>
        <w:t xml:space="preserve"> </w:t>
      </w:r>
      <w:r>
        <w:t xml:space="preserve">-1</w:t>
      </w:r>
      <w:r>
        <w:t xml:space="preserve"> </w:t>
      </w:r>
      <w:r>
        <w:t xml:space="preserve">Major/large negative impact</w:t>
      </w:r>
      <w:r>
        <w:t xml:space="preserve"> </w:t>
      </w:r>
      <w:r>
        <w:t xml:space="preserve">-2</w:t>
      </w:r>
      <w:r>
        <w:t xml:space="preserve"> </w:t>
      </w:r>
      <w:r>
        <w:t xml:space="preserve">The assessment of impacts was first undertaken at policy measure level, by assigning a</w:t>
      </w:r>
      <w:r>
        <w:t xml:space="preserve"> </w:t>
      </w:r>
      <w:r>
        <w:t xml:space="preserve">score to each policy measure for impact criteria used to assess the impacts on information</w:t>
      </w:r>
      <w:r>
        <w:t xml:space="preserve"> </w:t>
      </w:r>
      <w:r>
        <w:t xml:space="preserve">provision to consumers and the economic, social and environmental impacts. The scores</w:t>
      </w:r>
      <w:r>
        <w:t xml:space="preserve"> </w:t>
      </w:r>
      <w:r>
        <w:t xml:space="preserve">of the two policy options (each consisting of a combination of policy measures) were</w:t>
      </w:r>
      <w:r>
        <w:t xml:space="preserve"> </w:t>
      </w:r>
      <w:r>
        <w:t xml:space="preserve">calculated according to the following steps:</w:t>
      </w:r>
      <w:r>
        <w:br/>
      </w:r>
      <w:r>
        <w:t xml:space="preserve">• Step 1: Grouping of policy measures into ten policy measure groups (“PM groups”),</w:t>
      </w:r>
      <w:r>
        <w:t xml:space="preserve"> </w:t>
      </w:r>
      <w:r>
        <w:t xml:space="preserve">which in turn were combined into four categories: (i) information channels and</w:t>
      </w:r>
      <w:r>
        <w:t xml:space="preserve"> </w:t>
      </w:r>
      <w:r>
        <w:t xml:space="preserve">methodological aspects; (ii) information elements; (iii) harmonisation; (iv) vehicle</w:t>
      </w:r>
      <w:r>
        <w:t xml:space="preserve"> </w:t>
      </w:r>
      <w:r>
        <w:t xml:space="preserve">scope. For calculating the total score, each of these four categories was assigned an</w:t>
      </w:r>
      <w:r>
        <w:t xml:space="preserve"> </w:t>
      </w:r>
      <w:r>
        <w:t xml:space="preserve">equal weight of 25%.</w:t>
      </w:r>
      <w:r>
        <w:br/>
      </w:r>
      <w:r>
        <w:t xml:space="preserve">• Step 2: Assigning weights to each policy measure group (“PM group”): within each</w:t>
      </w:r>
      <w:r>
        <w:t xml:space="preserve"> </w:t>
      </w:r>
      <w:r>
        <w:t xml:space="preserve">of the four categories, the 25% weight was distributed equally among the PM groups</w:t>
      </w:r>
      <w:r>
        <w:t xml:space="preserve"> </w:t>
      </w:r>
      <w:r>
        <w:t xml:space="preserve">belonging to that category.</w:t>
      </w:r>
      <w:r>
        <w:br/>
      </w:r>
      <w:r>
        <w:t xml:space="preserve">• Step 3: Adding up the scores for all policy measures within each category.</w:t>
      </w:r>
      <w:r>
        <w:br/>
      </w:r>
      <w:r>
        <w:t xml:space="preserve">• Step 4: Calculating the weighted average score for each policy option, i.e. the average</w:t>
      </w:r>
      <w:r>
        <w:t xml:space="preserve"> </w:t>
      </w:r>
      <w:r>
        <w:t xml:space="preserve">of the scores from Step 3, using the weights determined in Step 2.</w:t>
      </w:r>
    </w:p>
    <w:p>
      <w:pPr>
        <w:pStyle w:val="FirstParagraph"/>
      </w:pPr>
      <w:r>
        <w:t xml:space="preserve">69 In general, it is not possible to establish a causal link between legal provisions on providing consumer</w:t>
      </w:r>
      <w:r>
        <w:t xml:space="preserve"> </w:t>
      </w:r>
      <w:r>
        <w:t xml:space="preserve">information and changes in consumer behaviour, since the consumers’ decision may be influenced by many</w:t>
      </w:r>
      <w:r>
        <w:t xml:space="preserve"> </w:t>
      </w:r>
      <w:r>
        <w:t xml:space="preserve">other factors than the specific information provided via a label or other channels – such as price and personal</w:t>
      </w:r>
      <w:r>
        <w:t xml:space="preserve"> </w:t>
      </w:r>
      <w:r>
        <w:t xml:space="preserve">preferences. This makes it hard to disentangle the specific effect that the vehicle labels may have on</w:t>
      </w:r>
      <w:r>
        <w:t xml:space="preserve"> </w:t>
      </w:r>
      <w:r>
        <w:t xml:space="preserve">purchasing or leasing choices.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Quantitative assessment of compliance cost for businesses</w:t>
      </w:r>
      <w:r>
        <w:t xml:space="preserve"> </w:t>
      </w:r>
      <w:r>
        <w:t xml:space="preserve">The adoption of the policy measures under consideration may create certain costs for</w:t>
      </w:r>
      <w:r>
        <w:t xml:space="preserve"> </w:t>
      </w:r>
      <w:r>
        <w:t xml:space="preserve">businesses, in particular dealers. These may include costs to ensure compliance with the</w:t>
      </w:r>
      <w:r>
        <w:t xml:space="preserve"> </w:t>
      </w:r>
      <w:r>
        <w:t xml:space="preserve">new requirements including the one-off costs in certain cases for the introduction of new</w:t>
      </w:r>
      <w:r>
        <w:t xml:space="preserve"> </w:t>
      </w:r>
      <w:r>
        <w:t xml:space="preserve">or updated systems to print the label, and the ongoing costs to apply the new requirements</w:t>
      </w:r>
      <w:r>
        <w:t xml:space="preserve"> </w:t>
      </w:r>
      <w:r>
        <w:t xml:space="preserve">for each vehicle or model sold. In some cases, cost savings may also arise as certain</w:t>
      </w:r>
      <w:r>
        <w:t xml:space="preserve"> </w:t>
      </w:r>
      <w:r>
        <w:t xml:space="preserve">requirements are removed.</w:t>
      </w:r>
      <w:r>
        <w:br/>
      </w:r>
      <w:r>
        <w:t xml:space="preserve">The analysis has been based on a combination of logical analysis of how costs might arise,</w:t>
      </w:r>
      <w:r>
        <w:t xml:space="preserve"> </w:t>
      </w:r>
      <w:r>
        <w:t xml:space="preserve">based on assumptions on the affected stakeholders and on the expected split of</w:t>
      </w:r>
      <w:r>
        <w:t xml:space="preserve"> </w:t>
      </w:r>
      <w:r>
        <w:t xml:space="preserve">responsibility for taking further action, compared to the baseline, as well as stakeholder</w:t>
      </w:r>
      <w:r>
        <w:t xml:space="preserve"> </w:t>
      </w:r>
      <w:r>
        <w:t xml:space="preserve">inputs and desk research. To the extent possible, estimates of costs have been made.</w:t>
      </w:r>
      <w:r>
        <w:t xml:space="preserve"> </w:t>
      </w:r>
      <w:r>
        <w:t xml:space="preserve">However, as specific input provided by stakeholders on the impacts of the measures has</w:t>
      </w:r>
      <w:r>
        <w:t xml:space="preserve"> </w:t>
      </w:r>
      <w:r>
        <w:t xml:space="preserve">been limited, in many cases informed assumptions had to be made to allow for an</w:t>
      </w:r>
      <w:r>
        <w:t xml:space="preserve"> </w:t>
      </w:r>
      <w:r>
        <w:t xml:space="preserve">approximate estimate of the costs. Where calculated, costs have been estimated for the</w:t>
      </w:r>
      <w:r>
        <w:t xml:space="preserve"> </w:t>
      </w:r>
      <w:r>
        <w:t xml:space="preserve">period up to 2040 using a discount rate of 3% to project values into the future, based on</w:t>
      </w:r>
      <w:r>
        <w:t xml:space="preserve"> </w:t>
      </w:r>
      <w:r>
        <w:t xml:space="preserve">2023 prices. Cost estimates from sources prior to 2023 have been adjusted to 2023 using</w:t>
      </w:r>
      <w:r>
        <w:t xml:space="preserve"> </w:t>
      </w:r>
      <w:r>
        <w:t xml:space="preserve">inflation rates. It was assumed that the first year of implementation of the policy options</w:t>
      </w:r>
      <w:r>
        <w:t xml:space="preserve"> </w:t>
      </w:r>
      <w:r>
        <w:t xml:space="preserve">would be 2029.</w:t>
      </w:r>
      <w:r>
        <w:br/>
      </w:r>
      <w:r>
        <w:t xml:space="preserve">Removal of the requirement of a poster from showrooms may result in cost savings,</w:t>
      </w:r>
      <w:r>
        <w:t xml:space="preserve"> </w:t>
      </w:r>
      <w:r>
        <w:t xml:space="preserve">although these are probably going to be limited. In the absence of specific input from</w:t>
      </w:r>
      <w:r>
        <w:t xml:space="preserve"> </w:t>
      </w:r>
      <w:r>
        <w:t xml:space="preserve">stakeholders, the associated costs were estimated by multiplying the number of posters</w:t>
      </w:r>
      <w:r>
        <w:t xml:space="preserve"> </w:t>
      </w:r>
      <w:r>
        <w:t xml:space="preserve">removed each year, assumed at one for each of the 146 183 EU vehicle dealers, by the</w:t>
      </w:r>
      <w:r>
        <w:t xml:space="preserve"> </w:t>
      </w:r>
      <w:r>
        <w:t xml:space="preserve">estimated cost of printing a B2-size poster (EUR 17) and the cost of the poster application</w:t>
      </w:r>
      <w:r>
        <w:t xml:space="preserve"> </w:t>
      </w:r>
      <w:r>
        <w:t xml:space="preserve">(EUR 7.5). This leads to an estimated annual cost saving of EUR 3.6 million across all</w:t>
      </w:r>
      <w:r>
        <w:t xml:space="preserve"> </w:t>
      </w:r>
      <w:r>
        <w:t xml:space="preserve">dealers.</w:t>
      </w:r>
      <w:r>
        <w:t xml:space="preserve"> </w:t>
      </w:r>
      <w:r>
        <w:t xml:space="preserve">Harmonisation: Introducing a common label design with common categorisation is</w:t>
      </w:r>
      <w:r>
        <w:t xml:space="preserve"> </w:t>
      </w:r>
      <w:r>
        <w:t xml:space="preserve">expected to lead to cost savings for manufacturers and dealers. While manufacturers will</w:t>
      </w:r>
      <w:r>
        <w:t xml:space="preserve"> </w:t>
      </w:r>
      <w:r>
        <w:t xml:space="preserve">face small initial investments to integrate their systems with a central EU database and</w:t>
      </w:r>
      <w:r>
        <w:t xml:space="preserve"> </w:t>
      </w:r>
      <w:r>
        <w:t xml:space="preserve">ensure data standardisation, this upfront cost is expected to be offset by the long-term</w:t>
      </w:r>
      <w:r>
        <w:t xml:space="preserve"> </w:t>
      </w:r>
      <w:r>
        <w:t xml:space="preserve">elimination of fragmented national reporting requirements. Dealers, will see savings as</w:t>
      </w:r>
      <w:r>
        <w:t xml:space="preserve"> </w:t>
      </w:r>
      <w:r>
        <w:t xml:space="preserve">they will have the possibility to print labels from the central system. An estimate for total</w:t>
      </w:r>
      <w:r>
        <w:t xml:space="preserve"> </w:t>
      </w:r>
      <w:r>
        <w:t xml:space="preserve">industry savings was made by removing the total expenditure made by manufacturers to</w:t>
      </w:r>
      <w:r>
        <w:t xml:space="preserve"> </w:t>
      </w:r>
      <w:r>
        <w:t xml:space="preserve">update relevant information for the label on national websites, estimated at EUR 7.3</w:t>
      </w:r>
      <w:r>
        <w:t xml:space="preserve"> </w:t>
      </w:r>
      <w:r>
        <w:t xml:space="preserve">million/year70.</w:t>
      </w:r>
      <w:r>
        <w:t xml:space="preserve"> </w:t>
      </w:r>
      <w:r>
        <w:t xml:space="preserve">Measures related to extending the scope of the Directive are expected to result in</w:t>
      </w:r>
      <w:r>
        <w:t xml:space="preserve"> </w:t>
      </w:r>
      <w:r>
        <w:t xml:space="preserve">additional costs related to compliance with the new provisions for manufacturers, dealers</w:t>
      </w:r>
      <w:r>
        <w:t xml:space="preserve"> </w:t>
      </w:r>
      <w:r>
        <w:t xml:space="preserve">involved in the sale of new vans and of second-hand cars/vans.</w:t>
      </w:r>
      <w:r>
        <w:br/>
      </w:r>
      <w:r>
        <w:t xml:space="preserve">In the case of extension of the scope to vans, applicable for both option LAB_1 and</w:t>
      </w:r>
      <w:r>
        <w:t xml:space="preserve"> </w:t>
      </w:r>
      <w:r>
        <w:t xml:space="preserve">LAB_2, there are possible increases in ongoing costs for dealers from displaying the</w:t>
      </w:r>
    </w:p>
    <w:p>
      <w:pPr>
        <w:pStyle w:val="BodyText"/>
      </w:pPr>
      <w:r>
        <w:t xml:space="preserve">70 European Commission: Directorate-General for Climate Action, Brannigan, C., Zabalo, M., Krapp, A.,</w:t>
      </w:r>
      <w:r>
        <w:t xml:space="preserve"> </w:t>
      </w:r>
      <w:r>
        <w:t xml:space="preserve">Long, F., Bracci, F., Kilsen, A. &amp; Skinner, I. Support to the review of the car labelling Directive – Report</w:t>
      </w:r>
      <w:r>
        <w:t xml:space="preserve"> </w:t>
      </w:r>
      <w:r>
        <w:t xml:space="preserve">for DG Climate Action European Commission, [not yet published], 2025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information, which was estimated as the sum of costs for printing physical labels (EUR</w:t>
      </w:r>
      <w:r>
        <w:t xml:space="preserve"> </w:t>
      </w:r>
      <w:r>
        <w:t xml:space="preserve">0.34 per label) and labour costs for placing the labels in the showroom (EUR 2.26 per</w:t>
      </w:r>
      <w:r>
        <w:t xml:space="preserve"> </w:t>
      </w:r>
      <w:r>
        <w:t xml:space="preserve">label). These costs were applied across all new vans sold in the EU from 2029 onwards</w:t>
      </w:r>
      <w:r>
        <w:t xml:space="preserve"> </w:t>
      </w:r>
      <w:r>
        <w:t xml:space="preserve">(projected around 1 570 000 in 2029) and have been estimated at EUR 4.1 million</w:t>
      </w:r>
      <w:r>
        <w:t xml:space="preserve"> </w:t>
      </w:r>
      <w:r>
        <w:t xml:space="preserve">annually. It is assumed that the great majority of dealers selling vans also sell passenger</w:t>
      </w:r>
      <w:r>
        <w:t xml:space="preserve"> </w:t>
      </w:r>
      <w:r>
        <w:t xml:space="preserve">cars, and as a result need to make very limited updates to their systems. Some additional</w:t>
      </w:r>
      <w:r>
        <w:t xml:space="preserve"> </w:t>
      </w:r>
      <w:r>
        <w:t xml:space="preserve">costs may arise for some of the other information channels, but there are also synergies</w:t>
      </w:r>
      <w:r>
        <w:t xml:space="preserve"> </w:t>
      </w:r>
      <w:r>
        <w:t xml:space="preserve">that can be expected with the passenger cars, and such costs have been assumed as</w:t>
      </w:r>
      <w:r>
        <w:t xml:space="preserve"> </w:t>
      </w:r>
      <w:r>
        <w:t xml:space="preserve">marginal.</w:t>
      </w:r>
      <w:r>
        <w:br/>
      </w:r>
      <w:r>
        <w:t xml:space="preserve">Extending the scope to cover second-hand vehicles will introduce some costs for all</w:t>
      </w:r>
      <w:r>
        <w:t xml:space="preserve"> </w:t>
      </w:r>
      <w:r>
        <w:t xml:space="preserve">dealers that are active in the second-hand vehicles market. LAB_2 addresses all second-</w:t>
      </w:r>
      <w:r>
        <w:t xml:space="preserve"> </w:t>
      </w:r>
      <w:r>
        <w:t xml:space="preserve">hand cars and vans offered for sale or lease by professional retailers, including those first</w:t>
      </w:r>
      <w:r>
        <w:t xml:space="preserve"> </w:t>
      </w:r>
      <w:r>
        <w:t xml:space="preserve">registered before the legislation will enter into force, whereas LAB_1 is limited to those</w:t>
      </w:r>
      <w:r>
        <w:t xml:space="preserve"> </w:t>
      </w:r>
      <w:r>
        <w:t xml:space="preserve">first registered in the EU after the entry into force of the legislation.</w:t>
      </w:r>
      <w:r>
        <w:br/>
      </w:r>
      <w:r>
        <w:t xml:space="preserve">• One-off costs have been assumed to be EUR 2 00071 to cover the need for updates and</w:t>
      </w:r>
      <w:r>
        <w:t xml:space="preserve"> </w:t>
      </w:r>
      <w:r>
        <w:t xml:space="preserve">for new systems to be introduced by dealers that only sell second-hand vehicles and</w:t>
      </w:r>
      <w:r>
        <w:t xml:space="preserve"> </w:t>
      </w:r>
      <w:r>
        <w:t xml:space="preserve">for training of selected staff for these dealers that do not have previous experience with</w:t>
      </w:r>
      <w:r>
        <w:t xml:space="preserve"> </w:t>
      </w:r>
      <w:r>
        <w:t xml:space="preserve">the car label. With an estimated number of 58 000 second hand vehicle dealers72, the</w:t>
      </w:r>
      <w:r>
        <w:t xml:space="preserve"> </w:t>
      </w:r>
      <w:r>
        <w:t xml:space="preserve">one-off costs would be EUR 116 million.</w:t>
      </w:r>
      <w:r>
        <w:br/>
      </w:r>
      <w:r>
        <w:t xml:space="preserve">• Extending the scope to cover all second-hand vehicles (option LAB_2) will necessitate</w:t>
      </w:r>
      <w:r>
        <w:t xml:space="preserve"> </w:t>
      </w:r>
      <w:r>
        <w:t xml:space="preserve">ongoing costs for printing and affixing the labels, which were assumed to be consistent</w:t>
      </w:r>
      <w:r>
        <w:t xml:space="preserve"> </w:t>
      </w:r>
      <w:r>
        <w:t xml:space="preserve">with those linked to the extension of the scope to vans outlined above but only applied</w:t>
      </w:r>
      <w:r>
        <w:t xml:space="preserve"> </w:t>
      </w:r>
      <w:r>
        <w:t xml:space="preserve">across second-hand vehicles sold by dealerships. On the basis that the second-hand</w:t>
      </w:r>
      <w:r>
        <w:t xml:space="preserve"> </w:t>
      </w:r>
      <w:r>
        <w:t xml:space="preserve">vehicles market is 3.8 times larger than that of new vehicles – around 32 million</w:t>
      </w:r>
      <w:r>
        <w:t xml:space="preserve"> </w:t>
      </w:r>
      <w:r>
        <w:t xml:space="preserve">second-hand vehicles were sold in 2023 and close to 38 million are expected in 2029,</w:t>
      </w:r>
      <w:r>
        <w:t xml:space="preserve"> </w:t>
      </w:r>
      <w:r>
        <w:t xml:space="preserve">of which 44% are sold by second-hand dealers rather than in consumer-to-consumer</w:t>
      </w:r>
      <w:r>
        <w:t xml:space="preserve"> </w:t>
      </w:r>
      <w:r>
        <w:t xml:space="preserve">sales73 – the annual cost for the label for all second-hand cars and vans was estimated</w:t>
      </w:r>
      <w:r>
        <w:t xml:space="preserve"> </w:t>
      </w:r>
      <w:r>
        <w:t xml:space="preserve">to be EUR 43.5 million74.</w:t>
      </w:r>
      <w:r>
        <w:t xml:space="preserve"> </w:t>
      </w:r>
      <w:r>
        <w:t xml:space="preserve">This results for option LAB_2 in a net present value (NPV) over the period 2029 to 2040</w:t>
      </w:r>
      <w:r>
        <w:t xml:space="preserve"> </w:t>
      </w:r>
      <w:r>
        <w:t xml:space="preserve">in EUR 499.4 million, assuming a constant cost of EUR 43.5 million per year over that</w:t>
      </w:r>
      <w:r>
        <w:t xml:space="preserve"> </w:t>
      </w:r>
      <w:r>
        <w:t xml:space="preserve">period.</w:t>
      </w:r>
      <w:r>
        <w:t xml:space="preserve"> </w:t>
      </w:r>
      <w:r>
        <w:t xml:space="preserve">• Extending the scope to cover only second-hand vehicles put on the market after the</w:t>
      </w:r>
      <w:r>
        <w:t xml:space="preserve"> </w:t>
      </w:r>
      <w:r>
        <w:t xml:space="preserve">entry into force of the revised legislation (option LAB_1), would gradually introduce</w:t>
      </w:r>
      <w:r>
        <w:t xml:space="preserve"> </w:t>
      </w:r>
      <w:r>
        <w:t xml:space="preserve">the abovementioned ongoing cost for printing and affixing the labels. Assuming an</w:t>
      </w:r>
    </w:p>
    <w:p>
      <w:pPr>
        <w:pStyle w:val="BodyText"/>
      </w:pPr>
      <w:r>
        <w:t xml:space="preserve">71 Cf. footnote 70.</w:t>
      </w:r>
      <w:r>
        <w:t xml:space="preserve"> </w:t>
      </w:r>
      <w:r>
        <w:t xml:space="preserve">72 In the absence of specific data on the number of second hand dealers the estimate is based on the number</w:t>
      </w:r>
      <w:r>
        <w:t xml:space="preserve"> </w:t>
      </w:r>
      <w:r>
        <w:t xml:space="preserve">of second hand vehicles sold via dealerships (estimated to be around 17 million) divided by the average</w:t>
      </w:r>
      <w:r>
        <w:t xml:space="preserve"> </w:t>
      </w:r>
      <w:r>
        <w:t xml:space="preserve">number of vehicles sold by each dealership (300) (Data from: https://www.am-online.com/news/dealer-</w:t>
      </w:r>
      <w:r>
        <w:t xml:space="preserve"> </w:t>
      </w:r>
      <w:r>
        <w:t xml:space="preserve">news/2015/11/05/uk-dealerships-ride-high-for-sales-performance-in-europe</w:t>
      </w:r>
      <w:r>
        <w:t xml:space="preserve"> </w:t>
      </w:r>
      <w:r>
        <w:t xml:space="preserve">and</w:t>
      </w:r>
      <w:r>
        <w:t xml:space="preserve"> </w:t>
      </w:r>
      <w:r>
        <w:t xml:space="preserve">https://www.bain.com/insights/the-outlook-for-the-european-used-car-market-brief/).</w:t>
      </w:r>
      <w:r>
        <w:t xml:space="preserve"> </w:t>
      </w:r>
      <w:r>
        <w:t xml:space="preserve">73 https://www.bain.com/insights/the-outlook-for-the-european-used-car-market-brief/</w:t>
      </w:r>
      <w:r>
        <w:t xml:space="preserve"> </w:t>
      </w:r>
      <w:r>
        <w:t xml:space="preserve">74 This is based on an estimate of 38 million sales, 44% of which sold via dealers and a cost of EUR 2.6/label</w:t>
      </w:r>
      <w:r>
        <w:t xml:space="preserve"> </w:t>
      </w:r>
      <w:r>
        <w:t xml:space="preserve">for printing and affixing each label.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average lifetime of the vehicles of 20 years and that the share of second-hand vehicles</w:t>
      </w:r>
      <w:r>
        <w:t xml:space="preserve"> </w:t>
      </w:r>
      <w:r>
        <w:t xml:space="preserve">registered after the entry into force of the revised legislation in the total number of</w:t>
      </w:r>
      <w:r>
        <w:t xml:space="preserve"> </w:t>
      </w:r>
      <w:r>
        <w:t xml:space="preserve">second-hand vehicles would grow linearly from 2029, results in a share of 11/20 of all</w:t>
      </w:r>
      <w:r>
        <w:t xml:space="preserve"> </w:t>
      </w:r>
      <w:r>
        <w:t xml:space="preserve">the second-hand vehicles sold via dealers in 2040 to be covered under option LAB_1.</w:t>
      </w:r>
      <w:r>
        <w:t xml:space="preserve"> </w:t>
      </w:r>
      <w:r>
        <w:t xml:space="preserve">The NPV of the annual cost for printing and affixing the label for such second-hand</w:t>
      </w:r>
      <w:r>
        <w:t xml:space="preserve"> </w:t>
      </w:r>
      <w:r>
        <w:t xml:space="preserve">cars and vans under LAB_1 was estimated to be EUR 101.9 million.</w:t>
      </w:r>
      <w:r>
        <w:t xml:space="preserve"> </w:t>
      </w:r>
      <w:r>
        <w:t xml:space="preserve">This results for option LAB_1 in a net present value (NPV) over the period 2029 to 2040</w:t>
      </w:r>
      <w:r>
        <w:t xml:space="preserve"> </w:t>
      </w:r>
      <w:r>
        <w:t xml:space="preserve">in EUR 205.4 million, assuming a linear increase of annual costs from EUR 0 in 2029 to</w:t>
      </w:r>
      <w:r>
        <w:t xml:space="preserve"> </w:t>
      </w:r>
      <w:r>
        <w:t xml:space="preserve">EUR 23,9 million in 2040, with an average of EUR 12 million over that period.</w:t>
      </w:r>
    </w:p>
    <w:p>
      <w:pPr>
        <w:pStyle w:val="BodyText"/>
      </w:pPr>
      <w:r>
        <w:t xml:space="preserve">The additional number of consumers reached under LAB_2 compared to LAB_1 is</w:t>
      </w:r>
      <w:r>
        <w:t xml:space="preserve"> </w:t>
      </w:r>
      <w:r>
        <w:t xml:space="preserve">estimated as 17 million in the first year, based on the following assumptions:</w:t>
      </w:r>
      <w:r>
        <w:t xml:space="preserve"> </w:t>
      </w:r>
      <w:r>
        <w:t xml:space="preserve">-</w:t>
      </w:r>
      <w:r>
        <w:t xml:space="preserve"> </w:t>
      </w:r>
      <w:r>
        <w:t xml:space="preserve">close to 38 million second-hand vehicles are expected to be sold in 2029 (in 2023</w:t>
      </w:r>
      <w:r>
        <w:t xml:space="preserve"> </w:t>
      </w:r>
      <w:r>
        <w:t xml:space="preserve">around 32 million);</w:t>
      </w:r>
      <w:r>
        <w:t xml:space="preserve"> </w:t>
      </w:r>
      <w:r>
        <w:t xml:space="preserve">-</w:t>
      </w:r>
      <w:r>
        <w:t xml:space="preserve"> </w:t>
      </w:r>
      <w:r>
        <w:t xml:space="preserve">44% of those 38 million (i.e. 17 million) are sold by professional second-hand</w:t>
      </w:r>
      <w:r>
        <w:t xml:space="preserve"> </w:t>
      </w:r>
      <w:r>
        <w:t xml:space="preserve">dealers rather than in consumer-to-consumer sales;</w:t>
      </w:r>
      <w:r>
        <w:br/>
      </w:r>
      <w:r>
        <w:t xml:space="preserve">-</w:t>
      </w:r>
      <w:r>
        <w:t xml:space="preserve"> </w:t>
      </w:r>
      <w:r>
        <w:t xml:space="preserve">In the first year (2029), no second vehicles are sold that were first registered in the</w:t>
      </w:r>
      <w:r>
        <w:t xml:space="preserve"> </w:t>
      </w:r>
      <w:r>
        <w:t xml:space="preserve">EU after the entry into force of the legislation. Based on the assumption of average</w:t>
      </w:r>
      <w:r>
        <w:t xml:space="preserve"> </w:t>
      </w:r>
      <w:r>
        <w:t xml:space="preserve">lifetime of 20 years, the difference in consumers reached would be 8,5 million</w:t>
      </w:r>
      <w:r>
        <w:t xml:space="preserve"> </w:t>
      </w:r>
      <w:r>
        <w:t xml:space="preserve">(10/20 * 17 million) in 2039 and would disappear by 2049.</w:t>
      </w:r>
      <w:r>
        <w:br/>
      </w:r>
      <w:r>
        <w:t xml:space="preserve">In total, 145 million additional second-hand vehicle buyers would be reached by LAB_2</w:t>
      </w:r>
      <w:r>
        <w:t xml:space="preserve"> </w:t>
      </w:r>
      <w:r>
        <w:t xml:space="preserve">compared to LAB_1 over the period 2029-2040. In this context, LAB_2 allows to reach a</w:t>
      </w:r>
      <w:r>
        <w:t xml:space="preserve"> </w:t>
      </w:r>
      <w:r>
        <w:t xml:space="preserve">significantly higher number of buyers over the period.</w:t>
      </w:r>
      <w:r>
        <w:br/>
      </w:r>
      <w:r>
        <w:t xml:space="preserve">Table 10: Compliance costs (or savings) for businesses (in EUR million) for LAB_1: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One-off cost</w:t>
      </w:r>
      <w:r>
        <w:t xml:space="preserve"> </w:t>
      </w:r>
      <w:r>
        <w:t xml:space="preserve">Annual costs</w:t>
      </w:r>
      <w:r>
        <w:t xml:space="preserve"> </w:t>
      </w:r>
      <w:r>
        <w:t xml:space="preserve">NPV</w:t>
      </w:r>
      <w:r>
        <w:br/>
      </w:r>
      <w:r>
        <w:t xml:space="preserve">(2029-2040)</w:t>
      </w:r>
      <w:r>
        <w:t xml:space="preserve"> </w:t>
      </w:r>
      <w:r>
        <w:t xml:space="preserve">Remove poster</w:t>
      </w:r>
      <w:r>
        <w:br/>
      </w:r>
      <w:r>
        <w:t xml:space="preserve">0</w:t>
      </w:r>
      <w:r>
        <w:t xml:space="preserve"> </w:t>
      </w:r>
      <w:r>
        <w:t xml:space="preserve">-3.6</w:t>
      </w:r>
      <w:r>
        <w:t xml:space="preserve"> </w:t>
      </w:r>
      <w:r>
        <w:t xml:space="preserve">-32.6</w:t>
      </w:r>
      <w:r>
        <w:t xml:space="preserve"> </w:t>
      </w:r>
      <w:r>
        <w:t xml:space="preserve">Harmonisation</w:t>
      </w:r>
      <w:r>
        <w:br/>
      </w:r>
      <w:r>
        <w:t xml:space="preserve">0</w:t>
      </w:r>
      <w:r>
        <w:t xml:space="preserve"> </w:t>
      </w:r>
      <w:r>
        <w:t xml:space="preserve">-7.3</w:t>
      </w:r>
      <w:r>
        <w:t xml:space="preserve"> </w:t>
      </w:r>
      <w:r>
        <w:t xml:space="preserve">-66.9</w:t>
      </w:r>
      <w:r>
        <w:t xml:space="preserve"> </w:t>
      </w:r>
      <w:r>
        <w:t xml:space="preserve">Extension of scope to new vans</w:t>
      </w:r>
      <w:r>
        <w:t xml:space="preserve"> </w:t>
      </w:r>
      <w:r>
        <w:t xml:space="preserve">0</w:t>
      </w:r>
      <w:r>
        <w:t xml:space="preserve"> </w:t>
      </w:r>
      <w:r>
        <w:t xml:space="preserve">4.1</w:t>
      </w:r>
      <w:r>
        <w:t xml:space="preserve"> </w:t>
      </w:r>
      <w:r>
        <w:t xml:space="preserve">37.2</w:t>
      </w:r>
      <w:r>
        <w:t xml:space="preserve"> </w:t>
      </w:r>
      <w:r>
        <w:t xml:space="preserve">Extension of the scope to second</w:t>
      </w:r>
      <w:r>
        <w:t xml:space="preserve"> </w:t>
      </w:r>
      <w:r>
        <w:t xml:space="preserve">hand vehicles registered after the</w:t>
      </w:r>
      <w:r>
        <w:t xml:space="preserve"> </w:t>
      </w:r>
      <w:r>
        <w:t xml:space="preserve">entry into force of the revised</w:t>
      </w:r>
      <w:r>
        <w:t xml:space="preserve"> </w:t>
      </w:r>
      <w:r>
        <w:t xml:space="preserve">legislation</w:t>
      </w:r>
      <w:r>
        <w:t xml:space="preserve"> </w:t>
      </w:r>
      <w:r>
        <w:t xml:space="preserve">116.4</w:t>
      </w:r>
      <w:r>
        <w:t xml:space="preserve"> </w:t>
      </w:r>
      <w:r>
        <w:t xml:space="preserve">1275</w:t>
      </w:r>
      <w:r>
        <w:t xml:space="preserve"> </w:t>
      </w:r>
      <w:r>
        <w:t xml:space="preserve">205.4</w:t>
      </w:r>
      <w:r>
        <w:t xml:space="preserve"> </w:t>
      </w:r>
      <w:r>
        <w:t xml:space="preserve">Total LAB_1</w:t>
      </w:r>
      <w:r>
        <w:t xml:space="preserve"> </w:t>
      </w:r>
      <w:r>
        <w:t xml:space="preserve">116.4</w:t>
      </w:r>
      <w:r>
        <w:t xml:space="preserve"> </w:t>
      </w:r>
      <w:r>
        <w:t xml:space="preserve">5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75 NPV calculated from 2029 to 2040, assuming a linear increase from EUR 0 in 2029 to EUR 23.9 million</w:t>
      </w:r>
      <w:r>
        <w:t xml:space="preserve"> </w:t>
      </w:r>
      <w:r>
        <w:t xml:space="preserve">in 2040; annual cost indicated as average over that period.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Note: Values in EUR million. First year of implementation assumed to be 2029. Net Present Value (NPV)</w:t>
      </w:r>
      <w:r>
        <w:t xml:space="preserve"> </w:t>
      </w:r>
      <w:r>
        <w:t xml:space="preserve">based on an annual discount rate of 3%.</w:t>
      </w:r>
      <w:r>
        <w:br/>
      </w:r>
      <w:r>
        <w:t xml:space="preserve">Table 11: Compliance costs (or savings) for businesses (in EUR million) for LAB_2: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One-off cost</w:t>
      </w:r>
      <w:r>
        <w:t xml:space="preserve"> </w:t>
      </w:r>
      <w:r>
        <w:t xml:space="preserve">Annual costs</w:t>
      </w:r>
      <w:r>
        <w:t xml:space="preserve"> </w:t>
      </w:r>
      <w:r>
        <w:t xml:space="preserve">NPV</w:t>
      </w:r>
      <w:r>
        <w:br/>
      </w:r>
      <w:r>
        <w:t xml:space="preserve">(2029-2040)</w:t>
      </w:r>
      <w:r>
        <w:t xml:space="preserve"> </w:t>
      </w:r>
      <w:r>
        <w:t xml:space="preserve">Remove poster</w:t>
      </w:r>
      <w:r>
        <w:br/>
      </w:r>
      <w:r>
        <w:t xml:space="preserve">0</w:t>
      </w:r>
      <w:r>
        <w:t xml:space="preserve"> </w:t>
      </w:r>
      <w:r>
        <w:t xml:space="preserve">-3.6</w:t>
      </w:r>
      <w:r>
        <w:t xml:space="preserve"> </w:t>
      </w:r>
      <w:r>
        <w:t xml:space="preserve">-32.6</w:t>
      </w:r>
      <w:r>
        <w:t xml:space="preserve"> </w:t>
      </w:r>
      <w:r>
        <w:t xml:space="preserve">Harmonisation</w:t>
      </w:r>
      <w:r>
        <w:br/>
      </w:r>
      <w:r>
        <w:t xml:space="preserve">0</w:t>
      </w:r>
      <w:r>
        <w:t xml:space="preserve"> </w:t>
      </w:r>
      <w:r>
        <w:t xml:space="preserve">-7.3</w:t>
      </w:r>
      <w:r>
        <w:t xml:space="preserve"> </w:t>
      </w:r>
      <w:r>
        <w:t xml:space="preserve">-66.9</w:t>
      </w:r>
      <w:r>
        <w:t xml:space="preserve"> </w:t>
      </w:r>
      <w:r>
        <w:t xml:space="preserve">Extension of scope to new vans</w:t>
      </w:r>
      <w:r>
        <w:t xml:space="preserve"> </w:t>
      </w:r>
      <w:r>
        <w:t xml:space="preserve">0</w:t>
      </w:r>
      <w:r>
        <w:t xml:space="preserve"> </w:t>
      </w:r>
      <w:r>
        <w:t xml:space="preserve">4.1</w:t>
      </w:r>
      <w:r>
        <w:t xml:space="preserve"> </w:t>
      </w:r>
      <w:r>
        <w:t xml:space="preserve">37.2</w:t>
      </w:r>
      <w:r>
        <w:t xml:space="preserve"> </w:t>
      </w:r>
      <w:r>
        <w:t xml:space="preserve">Extension of the scope to all second-</w:t>
      </w:r>
      <w:r>
        <w:t xml:space="preserve"> </w:t>
      </w:r>
      <w:r>
        <w:t xml:space="preserve">hand vehicles</w:t>
      </w:r>
      <w:r>
        <w:t xml:space="preserve"> </w:t>
      </w:r>
      <w:r>
        <w:t xml:space="preserve">116.4</w:t>
      </w:r>
      <w:r>
        <w:t xml:space="preserve"> </w:t>
      </w:r>
      <w:r>
        <w:t xml:space="preserve">43.5</w:t>
      </w:r>
      <w:r>
        <w:t xml:space="preserve"> </w:t>
      </w:r>
      <w:r>
        <w:t xml:space="preserve">499.4</w:t>
      </w:r>
      <w:r>
        <w:t xml:space="preserve"> </w:t>
      </w:r>
      <w:r>
        <w:t xml:space="preserve">Total LAB_2</w:t>
      </w:r>
      <w:r>
        <w:t xml:space="preserve"> </w:t>
      </w:r>
      <w:r>
        <w:t xml:space="preserve">116.4</w:t>
      </w:r>
      <w:r>
        <w:t xml:space="preserve"> </w:t>
      </w:r>
      <w:r>
        <w:t xml:space="preserve">37</w:t>
      </w:r>
      <w:r>
        <w:t xml:space="preserve"> </w:t>
      </w:r>
      <w:r>
        <w:t xml:space="preserve">437</w:t>
      </w:r>
      <w:r>
        <w:t xml:space="preserve"> </w:t>
      </w:r>
      <w:r>
        <w:t xml:space="preserve">Note: Values in EUR million. First year of implementation assumed to be 2029. Net Present Value (NPV)</w:t>
      </w:r>
      <w:r>
        <w:t xml:space="preserve"> </w:t>
      </w:r>
      <w:r>
        <w:t xml:space="preserve">based on an annual discount rate of 3%.</w:t>
      </w:r>
      <w:r>
        <w:br/>
      </w:r>
      <w:r>
        <w:t xml:space="preserve">Quantitative assessment of implementation costs for national authorities</w:t>
      </w:r>
      <w:r>
        <w:br/>
      </w:r>
      <w:r>
        <w:t xml:space="preserve">Introducing a common label design with common categorisation is expected to lead to</w:t>
      </w:r>
      <w:r>
        <w:t xml:space="preserve"> </w:t>
      </w:r>
      <w:r>
        <w:t xml:space="preserve">cost savings for Member States. The development of a European label database would</w:t>
      </w:r>
      <w:r>
        <w:t xml:space="preserve"> </w:t>
      </w:r>
      <w:r>
        <w:t xml:space="preserve">mean that Member States would no longer need to develop, maintain, or operate their own</w:t>
      </w:r>
      <w:r>
        <w:t xml:space="preserve"> </w:t>
      </w:r>
      <w:r>
        <w:t xml:space="preserve">national car labelling databases and associated tools. It was estimated76 that national</w:t>
      </w:r>
      <w:r>
        <w:t xml:space="preserve"> </w:t>
      </w:r>
      <w:r>
        <w:t xml:space="preserve">authorities spend EUR 2.6 million annually to collect information on labels and a further</w:t>
      </w:r>
      <w:r>
        <w:t xml:space="preserve"> </w:t>
      </w:r>
      <w:r>
        <w:t xml:space="preserve">EUR 900 000 per year on website maintenance. These costs are assumed to be eliminated</w:t>
      </w:r>
      <w:r>
        <w:t xml:space="preserve"> </w:t>
      </w:r>
      <w:r>
        <w:t xml:space="preserve">following the introduction of harmonisation of the label. As a result of the harmonising the</w:t>
      </w:r>
      <w:r>
        <w:t xml:space="preserve"> </w:t>
      </w:r>
      <w:r>
        <w:t xml:space="preserve">label, no changes to enforcement costs are assumed compared to the baseline.</w:t>
      </w:r>
      <w:r>
        <w:br/>
      </w:r>
      <w:r>
        <w:t xml:space="preserve">Extending the scope to new vans is expected to result in additional ongoing costs for</w:t>
      </w:r>
      <w:r>
        <w:t xml:space="preserve"> </w:t>
      </w:r>
      <w:r>
        <w:t xml:space="preserve">monitoring and enforcement of the provisions covering new vans. National authorities</w:t>
      </w:r>
      <w:r>
        <w:t xml:space="preserve"> </w:t>
      </w:r>
      <w:r>
        <w:t xml:space="preserve">estimated77 fixed annual costs at between EUR 1 000 and EUR 10 000 per year. While</w:t>
      </w:r>
      <w:r>
        <w:t xml:space="preserve"> </w:t>
      </w:r>
      <w:r>
        <w:t xml:space="preserve">there may be synergies with the enforcement on cars, it was assumed that some extra</w:t>
      </w:r>
      <w:r>
        <w:t xml:space="preserve"> </w:t>
      </w:r>
      <w:r>
        <w:t xml:space="preserve">resources will be needed. Using the average value within that range, the total annual cost</w:t>
      </w:r>
      <w:r>
        <w:t xml:space="preserve"> </w:t>
      </w:r>
      <w:r>
        <w:t xml:space="preserve">for monitoring was estimated at EUR 0.13 million. Assuming that, in addition,</w:t>
      </w:r>
      <w:r>
        <w:t xml:space="preserve"> </w:t>
      </w:r>
      <w:r>
        <w:t xml:space="preserve">enforcement effort is proportionate to the number of vehicles in scope and the average</w:t>
      </w:r>
      <w:r>
        <w:t xml:space="preserve"> </w:t>
      </w:r>
      <w:r>
        <w:t xml:space="preserve">enforcement cost per vehicle being around EUR 0.15, it was estimated that the additional</w:t>
      </w:r>
      <w:r>
        <w:t xml:space="preserve"> </w:t>
      </w:r>
      <w:r>
        <w:t xml:space="preserve">cost of enforcement will be EUR 0.24 million per year, bringing the total for monitoring</w:t>
      </w:r>
      <w:r>
        <w:t xml:space="preserve"> </w:t>
      </w:r>
      <w:r>
        <w:t xml:space="preserve">and enforcement at EUR 0.37 million per year.</w:t>
      </w:r>
      <w:r>
        <w:br/>
      </w:r>
      <w:r>
        <w:t xml:space="preserve">Extending the scope to all second-hand cars, in case of option LAB_2, is also expected</w:t>
      </w:r>
      <w:r>
        <w:t xml:space="preserve"> </w:t>
      </w:r>
      <w:r>
        <w:t xml:space="preserve">to result in ongoing costs associated with the enforcement of the provisions over a larger</w:t>
      </w:r>
      <w:r>
        <w:t xml:space="preserve"> </w:t>
      </w:r>
      <w:r>
        <w:t xml:space="preserve">number of vehicles. National authorities estimated78 fixed annual costs at EUR 10 000-</w:t>
      </w:r>
      <w:r>
        <w:t xml:space="preserve"> </w:t>
      </w:r>
      <w:r>
        <w:t xml:space="preserve">100 000 per year. Using the average value within that range, the total annual cost for</w:t>
      </w:r>
      <w:r>
        <w:t xml:space="preserve"> </w:t>
      </w:r>
      <w:r>
        <w:t xml:space="preserve">monitoring was estimated at EUR 1.3 million. Assuming that, in addition, enforcement</w:t>
      </w:r>
    </w:p>
    <w:p>
      <w:pPr>
        <w:pStyle w:val="BodyText"/>
      </w:pPr>
      <w:r>
        <w:t xml:space="preserve">76 Cf. footnote 700</w:t>
      </w:r>
      <w:r>
        <w:t xml:space="preserve"> </w:t>
      </w:r>
      <w:r>
        <w:t xml:space="preserve">77 Cf. footnote 760</w:t>
      </w:r>
      <w:r>
        <w:t xml:space="preserve"> </w:t>
      </w:r>
      <w:r>
        <w:t xml:space="preserve">78 Cf. footnote 7070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effort is proportionate to the number of vehicles in scope and the average enforcement cost</w:t>
      </w:r>
      <w:r>
        <w:t xml:space="preserve"> </w:t>
      </w:r>
      <w:r>
        <w:t xml:space="preserve">per vehicle being around EUR 0.15, it was estimated that the additional cost of enforcement</w:t>
      </w:r>
      <w:r>
        <w:t xml:space="preserve"> </w:t>
      </w:r>
      <w:r>
        <w:t xml:space="preserve">will be EUR 2.6 million per year, bringing the total for monitoring and enforcement at</w:t>
      </w:r>
      <w:r>
        <w:t xml:space="preserve"> </w:t>
      </w:r>
      <w:r>
        <w:t xml:space="preserve">EUR 3.9 million per year. This results for option LAB_2 in a net present value (NPV) over</w:t>
      </w:r>
      <w:r>
        <w:t xml:space="preserve"> </w:t>
      </w:r>
      <w:r>
        <w:t xml:space="preserve">the period 2029 to 2040 of EUR 35.7 million.</w:t>
      </w:r>
      <w:r>
        <w:br/>
      </w:r>
      <w:r>
        <w:t xml:space="preserve">Extending the scope to cover only second-hand vehicles put on the market after the</w:t>
      </w:r>
      <w:r>
        <w:t xml:space="preserve"> </w:t>
      </w:r>
      <w:r>
        <w:t xml:space="preserve">entry into force of the revised legislation, in case of option LAB_1, would gradually</w:t>
      </w:r>
      <w:r>
        <w:t xml:space="preserve"> </w:t>
      </w:r>
      <w:r>
        <w:t xml:space="preserve">introduce the abovementioned cost for enforcement effort proportionate to the number of</w:t>
      </w:r>
      <w:r>
        <w:t xml:space="preserve"> </w:t>
      </w:r>
      <w:r>
        <w:t xml:space="preserve">vehicles covered, while the fixed cost per year per Member State is assumed to remain the</w:t>
      </w:r>
      <w:r>
        <w:t xml:space="preserve"> </w:t>
      </w:r>
      <w:r>
        <w:t xml:space="preserve">same. With the same assumption on lifetime and linear growth as for the calculation of</w:t>
      </w:r>
      <w:r>
        <w:t xml:space="preserve"> </w:t>
      </w:r>
      <w:r>
        <w:t xml:space="preserve">costs for businesses, the NPV of the annual cost for enforcement for the second-hand cars</w:t>
      </w:r>
      <w:r>
        <w:t xml:space="preserve"> </w:t>
      </w:r>
      <w:r>
        <w:t xml:space="preserve">and vans covered under LAB_1 was estimated to be EUR 18.2 million.</w:t>
      </w:r>
      <w:r>
        <w:br/>
      </w:r>
      <w:r>
        <w:t xml:space="preserve">Table 12: Implementation costs (or savings) for national authorities (in EUR million)</w:t>
      </w:r>
      <w:r>
        <w:t xml:space="preserve"> </w:t>
      </w:r>
      <w:r>
        <w:t xml:space="preserve">for LAB_1: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One-off cost</w:t>
      </w:r>
      <w:r>
        <w:t xml:space="preserve"> </w:t>
      </w:r>
      <w:r>
        <w:t xml:space="preserve">Annual costs</w:t>
      </w:r>
      <w:r>
        <w:t xml:space="preserve"> </w:t>
      </w:r>
      <w:r>
        <w:t xml:space="preserve">NPV</w:t>
      </w:r>
      <w:r>
        <w:br/>
      </w:r>
      <w:r>
        <w:t xml:space="preserve">(2029-2040)</w:t>
      </w:r>
      <w:r>
        <w:t xml:space="preserve"> </w:t>
      </w:r>
      <w:r>
        <w:t xml:space="preserve">Harmonisation</w:t>
      </w:r>
      <w:r>
        <w:br/>
      </w:r>
      <w:r>
        <w:t xml:space="preserve">0</w:t>
      </w:r>
      <w:r>
        <w:t xml:space="preserve"> </w:t>
      </w:r>
      <w:r>
        <w:t xml:space="preserve">-3.5</w:t>
      </w:r>
      <w:r>
        <w:t xml:space="preserve"> </w:t>
      </w:r>
      <w:r>
        <w:t xml:space="preserve">-31.6</w:t>
      </w:r>
      <w:r>
        <w:t xml:space="preserve"> </w:t>
      </w:r>
      <w:r>
        <w:t xml:space="preserve">Extension of scope to new vans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3.4</w:t>
      </w:r>
      <w:r>
        <w:t xml:space="preserve"> </w:t>
      </w:r>
      <w:r>
        <w:t xml:space="preserve">Extension of the scope to</w:t>
      </w:r>
      <w:r>
        <w:t xml:space="preserve"> </w:t>
      </w:r>
      <w:r>
        <w:t xml:space="preserve">second hand vehicles registered</w:t>
      </w:r>
      <w:r>
        <w:t xml:space="preserve"> </w:t>
      </w:r>
      <w:r>
        <w:t xml:space="preserve">after the entry into force of the</w:t>
      </w:r>
      <w:r>
        <w:t xml:space="preserve"> </w:t>
      </w:r>
      <w:r>
        <w:t xml:space="preserve">revised legislation</w:t>
      </w:r>
      <w:r>
        <w:t xml:space="preserve"> </w:t>
      </w:r>
      <w:r>
        <w:t xml:space="preserve">0</w:t>
      </w:r>
      <w:r>
        <w:t xml:space="preserve"> </w:t>
      </w:r>
      <w:r>
        <w:t xml:space="preserve">279</w:t>
      </w:r>
      <w:r>
        <w:t xml:space="preserve"> </w:t>
      </w:r>
      <w:r>
        <w:t xml:space="preserve">18.2</w:t>
      </w:r>
      <w:r>
        <w:t xml:space="preserve"> </w:t>
      </w:r>
      <w:r>
        <w:t xml:space="preserve">Total LAB_1</w:t>
      </w:r>
      <w:r>
        <w:t xml:space="preserve"> </w:t>
      </w:r>
      <w:r>
        <w:t xml:space="preserve">0</w:t>
      </w:r>
      <w:r>
        <w:t xml:space="preserve"> </w:t>
      </w:r>
      <w:r>
        <w:t xml:space="preserve">-1.1</w:t>
      </w:r>
      <w:r>
        <w:t xml:space="preserve"> </w:t>
      </w:r>
      <w:r>
        <w:t xml:space="preserve">-10</w:t>
      </w:r>
      <w:r>
        <w:t xml:space="preserve"> </w:t>
      </w:r>
      <w:r>
        <w:t xml:space="preserve">Note: Values in EUR million. First year of implementation assumed to be 2029. Net Present Value (NPV)</w:t>
      </w:r>
      <w:r>
        <w:t xml:space="preserve"> </w:t>
      </w:r>
      <w:r>
        <w:t xml:space="preserve">based on an annual discount rate of 3%.</w:t>
      </w:r>
      <w:r>
        <w:br/>
      </w:r>
      <w:r>
        <w:t xml:space="preserve">Table 13: Implementation costs (or savings) for national authorities (in EUR million)</w:t>
      </w:r>
      <w:r>
        <w:t xml:space="preserve"> </w:t>
      </w:r>
      <w:r>
        <w:t xml:space="preserve">for LAB_2: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One-off cost</w:t>
      </w:r>
      <w:r>
        <w:t xml:space="preserve"> </w:t>
      </w:r>
      <w:r>
        <w:t xml:space="preserve">Annual costs</w:t>
      </w:r>
      <w:r>
        <w:t xml:space="preserve"> </w:t>
      </w:r>
      <w:r>
        <w:t xml:space="preserve">NPV</w:t>
      </w:r>
      <w:r>
        <w:br/>
      </w:r>
      <w:r>
        <w:t xml:space="preserve">(2029-2040)</w:t>
      </w:r>
      <w:r>
        <w:t xml:space="preserve"> </w:t>
      </w:r>
      <w:r>
        <w:t xml:space="preserve">Harmonisation</w:t>
      </w:r>
      <w:r>
        <w:br/>
      </w:r>
      <w:r>
        <w:t xml:space="preserve">0</w:t>
      </w:r>
      <w:r>
        <w:t xml:space="preserve"> </w:t>
      </w:r>
      <w:r>
        <w:t xml:space="preserve">-3.5</w:t>
      </w:r>
      <w:r>
        <w:t xml:space="preserve"> </w:t>
      </w:r>
      <w:r>
        <w:t xml:space="preserve">-31.6</w:t>
      </w:r>
      <w:r>
        <w:t xml:space="preserve"> </w:t>
      </w:r>
      <w:r>
        <w:t xml:space="preserve">Extension of scope to new vans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3.4</w:t>
      </w:r>
      <w:r>
        <w:t xml:space="preserve"> </w:t>
      </w:r>
      <w:r>
        <w:t xml:space="preserve">Extension of scope to all</w:t>
      </w:r>
      <w:r>
        <w:t xml:space="preserve"> </w:t>
      </w:r>
      <w:r>
        <w:t xml:space="preserve">second-hand vehicles</w:t>
      </w:r>
      <w:r>
        <w:br/>
      </w:r>
      <w:r>
        <w:t xml:space="preserve">0</w:t>
      </w:r>
      <w:r>
        <w:t xml:space="preserve"> </w:t>
      </w:r>
      <w:r>
        <w:t xml:space="preserve">3.9</w:t>
      </w:r>
      <w:r>
        <w:t xml:space="preserve"> </w:t>
      </w:r>
      <w:r>
        <w:t xml:space="preserve">35.7</w:t>
      </w:r>
      <w:r>
        <w:t xml:space="preserve"> </w:t>
      </w:r>
      <w:r>
        <w:t xml:space="preserve">Total LAB_2</w:t>
      </w:r>
      <w:r>
        <w:t xml:space="preserve"> </w:t>
      </w:r>
      <w:r>
        <w:t xml:space="preserve">0</w:t>
      </w:r>
      <w:r>
        <w:t xml:space="preserve"> </w:t>
      </w:r>
      <w:r>
        <w:t xml:space="preserve">0.7</w:t>
      </w:r>
      <w:r>
        <w:t xml:space="preserve"> </w:t>
      </w:r>
      <w:r>
        <w:t xml:space="preserve">7.5</w:t>
      </w:r>
    </w:p>
    <w:p>
      <w:pPr>
        <w:pStyle w:val="BodyText"/>
      </w:pPr>
      <w:r>
        <w:t xml:space="preserve">79 NPV calculated from 2029 to 2040, assuming a linear increase from EUR 0 in 2029 to EUR 1,4 million in</w:t>
      </w:r>
      <w:r>
        <w:t xml:space="preserve"> </w:t>
      </w:r>
      <w:r>
        <w:t xml:space="preserve">2040; annual cost indicated as average over that period.</w:t>
      </w:r>
    </w:p>
    <w:p>
      <w:pPr>
        <w:pStyle w:val="BodyText"/>
      </w:pPr>
      <w:r>
        <w:t xml:space="preserve">62</w:t>
      </w:r>
    </w:p>
    <w:p>
      <w:pPr>
        <w:pStyle w:val="Compact"/>
        <w:numPr>
          <w:ilvl w:val="0"/>
          <w:numId w:val="1012"/>
        </w:numPr>
      </w:pPr>
      <w:r>
        <w:t xml:space="preserve">NOTE: VALUES IN EUR MILLION. FIRST YEAR OF IMPLEMENTATION ASSUMED TO BE 2029. NET PRESENT</w:t>
      </w:r>
      <w:r>
        <w:t xml:space="preserve"> </w:t>
      </w:r>
      <w:r>
        <w:t xml:space="preserve">VALUE (NPV) BASED ON AN ANNUAL DISCOUNT RATE OF 3%. ADDITIONAL CONSIDERATIONS</w:t>
      </w:r>
      <w:r>
        <w:t xml:space="preserve"> </w:t>
      </w:r>
      <w:r>
        <w:t xml:space="preserve">In case vehicle manufacturers do not meet their CO2 emission targets, or Member States</w:t>
      </w:r>
      <w:r>
        <w:t xml:space="preserve"> </w:t>
      </w:r>
      <w:r>
        <w:t xml:space="preserve">and transport operators do not fully comply with other legal requirements, or consumers</w:t>
      </w:r>
      <w:r>
        <w:t xml:space="preserve"> </w:t>
      </w:r>
      <w:r>
        <w:t xml:space="preserve">delay the acquisition of new vehicles, the CO2 emissions from road transport would be</w:t>
      </w:r>
      <w:r>
        <w:t xml:space="preserve"> </w:t>
      </w:r>
      <w:r>
        <w:t xml:space="preserve">higher than projected in the baseline. In this case, other transport modes (where emissions</w:t>
      </w:r>
      <w:r>
        <w:t xml:space="preserve"> </w:t>
      </w:r>
      <w:r>
        <w:t xml:space="preserve">are harder to abate), other instruments or other sectors would need to deliver higher</w:t>
      </w:r>
      <w:r>
        <w:t xml:space="preserve"> </w:t>
      </w:r>
      <w:r>
        <w:t xml:space="preserve">emission reductions to meet the EU climate targets for 2030, 2040 and 2050. The problem</w:t>
      </w:r>
      <w:r>
        <w:t xml:space="preserve"> </w:t>
      </w:r>
      <w:r>
        <w:t xml:space="preserve">identified for the revision of the CO2 standards are related to the risks that vehicle</w:t>
      </w:r>
      <w:r>
        <w:t xml:space="preserve"> </w:t>
      </w:r>
      <w:r>
        <w:t xml:space="preserve">manufacturers do not comply with future targets and not to an actual compliance failure</w:t>
      </w:r>
      <w:r>
        <w:t xml:space="preserve"> </w:t>
      </w:r>
      <w:r>
        <w:t xml:space="preserve">that has already happened. The perception of such risk is evident in the contributions to</w:t>
      </w:r>
      <w:r>
        <w:t xml:space="preserve"> </w:t>
      </w:r>
      <w:r>
        <w:t xml:space="preserve">the Stakeholder Consultation, especially in the feedback received by the concerned</w:t>
      </w:r>
      <w:r>
        <w:t xml:space="preserve"> </w:t>
      </w:r>
      <w:r>
        <w:t xml:space="preserve">industries. The Dialogues that the President of the Commission held with the automotive</w:t>
      </w:r>
      <w:r>
        <w:t xml:space="preserve"> </w:t>
      </w:r>
      <w:r>
        <w:t xml:space="preserve">value chain, as well as the Industrial Action Plan for the European automotive sector, frame</w:t>
      </w:r>
      <w:r>
        <w:t xml:space="preserve"> </w:t>
      </w:r>
      <w:r>
        <w:t xml:space="preserve">the revision in the context of the need to act without delay, and even in an accelerated</w:t>
      </w:r>
      <w:r>
        <w:t xml:space="preserve"> </w:t>
      </w:r>
      <w:r>
        <w:t xml:space="preserve">manner, to avoid that these risks materialise in the future, since this would have a</w:t>
      </w:r>
      <w:r>
        <w:t xml:space="preserve"> </w:t>
      </w:r>
      <w:r>
        <w:t xml:space="preserve">detrimental impact on industrial competitiveness without providing benefits for climate</w:t>
      </w:r>
      <w:r>
        <w:t xml:space="preserve"> </w:t>
      </w:r>
      <w:r>
        <w:t xml:space="preserve">actions.</w:t>
      </w:r>
      <w:r>
        <w:br/>
      </w:r>
      <w:r>
        <w:t xml:space="preserve">The problem related to the technology neutrality is fully reflected in the baseline, since the</w:t>
      </w:r>
      <w:r>
        <w:t xml:space="preserve"> </w:t>
      </w:r>
      <w:r>
        <w:t xml:space="preserve">implementation of the 100% target in 2035 for cars and vans determines that in the new</w:t>
      </w:r>
      <w:r>
        <w:t xml:space="preserve"> </w:t>
      </w:r>
      <w:r>
        <w:t xml:space="preserve">vehicle fleet no other than zero-emission vehicles are deployed as of that date. Due to the</w:t>
      </w:r>
      <w:r>
        <w:t xml:space="preserve"> </w:t>
      </w:r>
      <w:r>
        <w:t xml:space="preserve">renewal of the fleet, soon after 2050 the full stock of cars is made up of zero-emission</w:t>
      </w:r>
      <w:r>
        <w:t xml:space="preserve"> </w:t>
      </w:r>
      <w:r>
        <w:t xml:space="preserve">powertrains, therefore creating a barrier to the use of renewable fuels. Further information</w:t>
      </w:r>
      <w:r>
        <w:t xml:space="preserve"> </w:t>
      </w:r>
      <w:r>
        <w:t xml:space="preserve">on the projected evolution of the system in the baseline based on the Primes projections is</w:t>
      </w:r>
      <w:r>
        <w:t xml:space="preserve"> </w:t>
      </w:r>
      <w:r>
        <w:t xml:space="preserve">available and can be added in the main text of the Impact Assessment or in the Annex.</w:t>
      </w:r>
      <w:r>
        <w:br/>
      </w:r>
      <w:r>
        <w:t xml:space="preserve">As explained in the Annex to the Impact Assessment, the models have been calibrated for</w:t>
      </w:r>
      <w:r>
        <w:t xml:space="preserve"> </w:t>
      </w:r>
      <w:r>
        <w:t xml:space="preserve">the baseline to the latest available data (2023 up to 2025, depending on the latest statistics</w:t>
      </w:r>
      <w:r>
        <w:t xml:space="preserve"> </w:t>
      </w:r>
      <w:r>
        <w:t xml:space="preserve">available). For this, the main data inputs to the PRIMES-TREMOVE model, such as for</w:t>
      </w:r>
      <w:r>
        <w:t xml:space="preserve"> </w:t>
      </w:r>
      <w:r>
        <w:t xml:space="preserve">activity and energy consumption, come from the EUROSTAT database and from the</w:t>
      </w:r>
      <w:r>
        <w:t xml:space="preserve"> </w:t>
      </w:r>
      <w:r>
        <w:t xml:space="preserve">Statistical Pocketbook “EU transport in figures”. Excise taxes are derived from DG</w:t>
      </w:r>
      <w:r>
        <w:t xml:space="preserve"> </w:t>
      </w:r>
      <w:r>
        <w:t xml:space="preserve">TAXUD excise duty tables. Other data comes from different sources such as the European</w:t>
      </w:r>
      <w:r>
        <w:t xml:space="preserve"> </w:t>
      </w:r>
      <w:r>
        <w:t xml:space="preserve">Alternative Fuels Observatory (EAFO), research projects (e.g. the Study on New Mobility</w:t>
      </w:r>
      <w:r>
        <w:t xml:space="preserve"> </w:t>
      </w:r>
      <w:r>
        <w:t xml:space="preserve">Patterns in European Cities) and reports.</w:t>
      </w:r>
      <w:r>
        <w:t xml:space="preserve"> </w:t>
      </w:r>
      <w:r>
        <w:t xml:space="preserve">Concerning the new vehicle fleet composition for the baseline, in the context of this</w:t>
      </w:r>
      <w:r>
        <w:t xml:space="preserve"> </w:t>
      </w:r>
      <w:r>
        <w:t xml:space="preserve">exercise, the PRIMES-TREMOVE and the JRC DIONE transport models are updated to</w:t>
      </w:r>
      <w:r>
        <w:t xml:space="preserve"> </w:t>
      </w:r>
      <w:r>
        <w:t xml:space="preserve">take into account historical monitoring data from the years 2005 until 2023 and the 2024</w:t>
      </w:r>
      <w:r>
        <w:t xml:space="preserve"> </w:t>
      </w:r>
      <w:r>
        <w:t xml:space="preserve">market shares of different powertrain types, based on official monitoring sources under the</w:t>
      </w:r>
      <w:r>
        <w:t xml:space="preserve"> </w:t>
      </w:r>
      <w:r>
        <w:t xml:space="preserve">Regulation itself. In order to reflect the latest data until Autumn 2025, available statistics</w:t>
      </w:r>
      <w:r>
        <w:t xml:space="preserve"> </w:t>
      </w:r>
      <w:r>
        <w:t xml:space="preserve">from EAFO have been used to reflect the deployment of powertrains.</w:t>
      </w:r>
      <w:r>
        <w:br/>
      </w:r>
      <w:r>
        <w:t xml:space="preserve">Therefore, the baseline fully reflects the latest available market developments.</w:t>
      </w:r>
      <w:r>
        <w:t xml:space="preserve"> </w:t>
      </w:r>
      <w:r>
        <w:t xml:space="preserve">The assumptions used for developing baseline scenarios with the PRIMES model, that</w:t>
      </w:r>
      <w:r>
        <w:t xml:space="preserve"> </w:t>
      </w:r>
      <w:r>
        <w:t xml:space="preserve">underpin impact assessments in the energy, transport and climate policy areas, are</w:t>
      </w:r>
      <w:r>
        <w:t xml:space="preserve"> </w:t>
      </w:r>
      <w:r>
        <w:t xml:space="preserve">consulted regularly with Member States and other stakeholders. In this context, the macro-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economic projections, the energy price projections and the technology assumptions have</w:t>
      </w:r>
      <w:r>
        <w:t xml:space="preserve"> </w:t>
      </w:r>
      <w:r>
        <w:t xml:space="preserve">been consulted with Member States on 5 June 2024. In addition, bilateral meetings with</w:t>
      </w:r>
      <w:r>
        <w:t xml:space="preserve"> </w:t>
      </w:r>
      <w:r>
        <w:t xml:space="preserve">Member States took place between September 2024 and April 2025 to discuss the national</w:t>
      </w:r>
      <w:r>
        <w:t xml:space="preserve"> </w:t>
      </w:r>
      <w:r>
        <w:t xml:space="preserve">policies to be reflected, based on the updated National Energy and Climate Plans prepared</w:t>
      </w:r>
      <w:r>
        <w:t xml:space="preserve"> </w:t>
      </w:r>
      <w:r>
        <w:t xml:space="preserve">by the MS under the Regulation 2018/1999 on the Governance of the Energy Union and</w:t>
      </w:r>
      <w:r>
        <w:t xml:space="preserve"> </w:t>
      </w:r>
      <w:r>
        <w:t xml:space="preserve">Climate Action and submitted by the Member States to the Commission during 2024-2025.</w:t>
      </w:r>
      <w:r>
        <w:t xml:space="preserve"> </w:t>
      </w:r>
      <w:r>
        <w:t xml:space="preserve">The technology assumptions, that drive the magnitude of the impacts on costs and benefits,</w:t>
      </w:r>
      <w:r>
        <w:t xml:space="preserve"> </w:t>
      </w:r>
      <w:r>
        <w:t xml:space="preserve">are based on a rigorous literature review carried out by E3-Modelling in collaboration with</w:t>
      </w:r>
      <w:r>
        <w:t xml:space="preserve"> </w:t>
      </w:r>
      <w:r>
        <w:t xml:space="preserve">the JRC and building on studies conducted for the Commission and used in previous</w:t>
      </w:r>
      <w:r>
        <w:t xml:space="preserve"> </w:t>
      </w:r>
      <w:r>
        <w:t xml:space="preserve">Impact Assessments on related topics. Continuing the approach adopted in the long-term</w:t>
      </w:r>
      <w:r>
        <w:t xml:space="preserve"> </w:t>
      </w:r>
      <w:r>
        <w:t xml:space="preserve">strategy in 2018 and for the Reference Scenario 2020, the Commission consulted on the</w:t>
      </w:r>
      <w:r>
        <w:t xml:space="preserve"> </w:t>
      </w:r>
      <w:r>
        <w:t xml:space="preserve">technology assumptions with Member States and stakeholders in 2024. In particular,</w:t>
      </w:r>
      <w:r>
        <w:t xml:space="preserve"> </w:t>
      </w:r>
      <w:r>
        <w:t xml:space="preserve">technology assumptions were discussed with Member States during a meeting on 5 June</w:t>
      </w:r>
      <w:r>
        <w:t xml:space="preserve"> </w:t>
      </w:r>
      <w:r>
        <w:t xml:space="preserve">2024. They also benefited from a dedicated consultation workshop with stakeholders, held</w:t>
      </w:r>
      <w:r>
        <w:t xml:space="preserve"> </w:t>
      </w:r>
      <w:r>
        <w:t xml:space="preserve">on 22-23 October 2024. It should be noted that the technology assumptions consulted,</w:t>
      </w:r>
      <w:r>
        <w:t xml:space="preserve"> </w:t>
      </w:r>
      <w:r>
        <w:t xml:space="preserve">including costs, refer to those related to vehicles but also power generation, production of</w:t>
      </w:r>
      <w:r>
        <w:t xml:space="preserve"> </w:t>
      </w:r>
      <w:r>
        <w:t xml:space="preserve">fuels such as renewable fuels of non-biological origin (RFNBO) and biomass production</w:t>
      </w:r>
      <w:r>
        <w:t xml:space="preserve"> </w:t>
      </w:r>
      <w:r>
        <w:t xml:space="preserve">pathways and costs. These assumptions, together with the policies included in the baseline</w:t>
      </w:r>
      <w:r>
        <w:t xml:space="preserve"> </w:t>
      </w:r>
      <w:r>
        <w:t xml:space="preserve">(e.g. the Renewable Energy Directive), drive the evolution of electricity and RFNBOs</w:t>
      </w:r>
      <w:r>
        <w:t xml:space="preserve"> </w:t>
      </w:r>
      <w:r>
        <w:t xml:space="preserve">prices over the projection period. They also determine, together with the policies assumed,</w:t>
      </w:r>
      <w:r>
        <w:t xml:space="preserve"> </w:t>
      </w:r>
      <w:r>
        <w:t xml:space="preserve">the magnitude of the impacts on capital and fuel costs in the baseline and in the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As explained in Section Error! Reference source not found. of the Impact Assessment,</w:t>
      </w:r>
      <w:r>
        <w:t xml:space="preserve"> </w:t>
      </w:r>
      <w:r>
        <w:t xml:space="preserve">the Industrial Action Plan for the European automotive sector introduces around 50</w:t>
      </w:r>
      <w:r>
        <w:t xml:space="preserve"> </w:t>
      </w:r>
      <w:r>
        <w:t xml:space="preserve">flagship actions. The CO2 standards will not be the only policy tool to support</w:t>
      </w:r>
      <w:r>
        <w:t xml:space="preserve"> </w:t>
      </w:r>
      <w:r>
        <w:t xml:space="preserve">manufacturers competitiveness, profitability and ability to invest, but should be considered</w:t>
      </w:r>
      <w:r>
        <w:t xml:space="preserve"> </w:t>
      </w:r>
      <w:r>
        <w:t xml:space="preserve">as part of a broader policy toolbox. See details on competitiveness in the main text of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impacts on competitiveness of both option packages were evaluated through the</w:t>
      </w:r>
      <w:r>
        <w:t xml:space="preserve"> </w:t>
      </w:r>
      <w:r>
        <w:t xml:space="preserve">following four dimensions:</w:t>
      </w:r>
      <w:r>
        <w:t xml:space="preserve"> </w:t>
      </w:r>
      <w:r>
        <w:t xml:space="preserve">• Cost and price competitiveness, which accounts for</w:t>
      </w:r>
      <w:r>
        <w:br/>
      </w:r>
      <w:r>
        <w:t xml:space="preserve">i.</w:t>
      </w:r>
      <w:r>
        <w:t xml:space="preserve"> </w:t>
      </w:r>
      <w:r>
        <w:t xml:space="preserve">ongoing production costs: recurring expenses of manufacturing vehicles</w:t>
      </w:r>
      <w:r>
        <w:t xml:space="preserve"> </w:t>
      </w:r>
      <w:r>
        <w:t xml:space="preserve">such as labour, energy, intermediate goods, and capital;</w:t>
      </w:r>
      <w:r>
        <w:br/>
      </w:r>
      <w:r>
        <w:t xml:space="preserve">ii.</w:t>
      </w:r>
      <w:r>
        <w:t xml:space="preserve"> </w:t>
      </w:r>
      <w:r>
        <w:t xml:space="preserve">one-off adaptation or reconversion costs, including temporary</w:t>
      </w:r>
      <w:r>
        <w:t xml:space="preserve"> </w:t>
      </w:r>
      <w:r>
        <w:t xml:space="preserve">investments to scale production, modify assembly lines, or integrate new</w:t>
      </w:r>
      <w:r>
        <w:t xml:space="preserve"> </w:t>
      </w:r>
      <w:r>
        <w:t xml:space="preserve">powertrain technologies; and</w:t>
      </w:r>
      <w:r>
        <w:br/>
      </w:r>
      <w:r>
        <w:t xml:space="preserve">iii.</w:t>
      </w:r>
      <w:r>
        <w:t xml:space="preserve"> </w:t>
      </w:r>
      <w:r>
        <w:t xml:space="preserve">administrative costs: regulatory reporting, documentation, certification,</w:t>
      </w:r>
      <w:r>
        <w:t xml:space="preserve"> </w:t>
      </w:r>
      <w:r>
        <w:t xml:space="preserve">and other compliance-related efforts.</w:t>
      </w:r>
    </w:p>
    <w:p>
      <w:pPr>
        <w:pStyle w:val="BodyText"/>
      </w:pPr>
      <w:r>
        <w:t xml:space="preserve">• International competitiveness captures effects on EU firms’ global positioning,</w:t>
      </w:r>
      <w:r>
        <w:t xml:space="preserve"> </w:t>
      </w:r>
      <w:r>
        <w:t xml:space="preserve">trade, regulatory engagement, cross-border investment, and market share.</w:t>
      </w:r>
      <w:r>
        <w:t xml:space="preserve"> </w:t>
      </w:r>
      <w:r>
        <w:t xml:space="preserve">• Capacity to innovate refers to incentives for R&amp;D, and product and process</w:t>
      </w:r>
      <w:r>
        <w:t xml:space="preserve"> </w:t>
      </w:r>
      <w:r>
        <w:t xml:space="preserve">innovation.</w:t>
      </w:r>
      <w:r>
        <w:br/>
      </w:r>
      <w:r>
        <w:t xml:space="preserve">• SME competitiveness reflects how the above impacts play out for smaller firms,</w:t>
      </w:r>
      <w:r>
        <w:t xml:space="preserve"> </w:t>
      </w:r>
      <w:r>
        <w:t xml:space="preserve">including their ability to absorb adaptation costs, engage in innovation, and</w:t>
      </w:r>
      <w:r>
        <w:t xml:space="preserve"> </w:t>
      </w:r>
      <w:r>
        <w:t xml:space="preserve">maintain market positioning relative to larger competitors.</w:t>
      </w:r>
      <w:r>
        <w:t xml:space="preserve"> </w:t>
      </w:r>
      <w:r>
        <w:t xml:space="preserve">An assessment comparing the two main combinations of options (COMBI_1 and</w:t>
      </w:r>
      <w:r>
        <w:t xml:space="preserve"> </w:t>
      </w:r>
      <w:r>
        <w:t xml:space="preserve">COMBI_2) is provided below. A summary of the competitiveness impacts of the preferred</w:t>
      </w:r>
      <w:r>
        <w:t xml:space="preserve"> </w:t>
      </w:r>
      <w:r>
        <w:t xml:space="preserve">combination of options (COMBI_1) is shown in the following table.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 (COMBI_1)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</w:t>
      </w:r>
      <w:r>
        <w:t xml:space="preserve"> </w:t>
      </w:r>
      <w:r>
        <w:t xml:space="preserve">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International competitiveness</w:t>
      </w:r>
      <w:r>
        <w:br/>
      </w:r>
      <w:r>
        <w:t xml:space="preserve">0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Section 3.3.4.3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6.2, Section 6.3,</w:t>
      </w:r>
      <w:r>
        <w:t xml:space="preserve"> </w:t>
      </w:r>
      <w:r>
        <w:t xml:space="preserve">Annex 6</w:t>
      </w:r>
      <w:r>
        <w:t xml:space="preserve"> </w:t>
      </w:r>
      <w:r>
        <w:t xml:space="preserve">The two combined options differ mainly in the degree and persistence of flexibility. Both</w:t>
      </w:r>
      <w:r>
        <w:t xml:space="preserve"> </w:t>
      </w:r>
      <w:r>
        <w:t xml:space="preserve">ease short-term adjustment pressures but diverge in how clearly they signal the long-term</w:t>
      </w:r>
      <w:r>
        <w:t xml:space="preserve"> </w:t>
      </w:r>
      <w:r>
        <w:t xml:space="preserve">direction of the transition.</w:t>
      </w:r>
      <w:r>
        <w:br/>
      </w:r>
      <w:r>
        <w:t xml:space="preserve">Option COMBI_1 introduces moderate flexibilities, which reduce transition pressure</w:t>
      </w:r>
      <w:r>
        <w:t xml:space="preserve"> </w:t>
      </w:r>
      <w:r>
        <w:t xml:space="preserve">without weakening the signal for full electrification. Option COMBI_2 extends these</w:t>
      </w:r>
      <w:r>
        <w:t xml:space="preserve"> </w:t>
      </w:r>
      <w:r>
        <w:t xml:space="preserve">measures, allowing a limited share of ICE and hybrid vehicles to remain in the market,</w:t>
      </w:r>
      <w:r>
        <w:t xml:space="preserve"> </w:t>
      </w:r>
      <w:r>
        <w:t xml:space="preserve">even beyond 2040. This weakens the clarity of the long-term signal and is expected to slow</w:t>
      </w:r>
      <w:r>
        <w:t xml:space="preserve"> </w:t>
      </w:r>
      <w:r>
        <w:t xml:space="preserve">electrification trends more visibly, as the reduced BEV deployment dampens scale effects</w:t>
      </w:r>
      <w:r>
        <w:t xml:space="preserve"> </w:t>
      </w:r>
      <w:r>
        <w:t xml:space="preserve">and learning-by-doing in zero-emission technologies.</w:t>
      </w:r>
      <w:r>
        <w:br/>
      </w:r>
      <w:r>
        <w:t xml:space="preserve">Quantitatively, as shown in Section 6.3, both options have very small effects on costs,</w:t>
      </w:r>
      <w:r>
        <w:t xml:space="preserve"> </w:t>
      </w:r>
      <w:r>
        <w:t xml:space="preserve">output, and exports, with COMBI_2 showing somewhat larger negative deviations. The</w:t>
      </w:r>
      <w:r>
        <w:t xml:space="preserve"> </w:t>
      </w:r>
      <w:r>
        <w:t xml:space="preserve">macroeconomic results show that both options have minor effects on GDP and</w:t>
      </w:r>
      <w:r>
        <w:t xml:space="preserve"> </w:t>
      </w:r>
      <w:r>
        <w:t xml:space="preserve">employment, with somewhat larger export reductions for COMBI_2. Biofuel output</w:t>
      </w:r>
      <w:r>
        <w:t xml:space="preserve"> </w:t>
      </w:r>
      <w:r>
        <w:t xml:space="preserve">expands markedly (+8% to +31% in domestic production by 2050 in COMBI_1 and</w:t>
      </w:r>
      <w:r>
        <w:t xml:space="preserve"> </w:t>
      </w:r>
      <w:r>
        <w:t xml:space="preserve">COMBI_2, respectively), while EV and battery production contract (-3% to -12%),</w:t>
      </w:r>
      <w:r>
        <w:t xml:space="preserve"> </w:t>
      </w:r>
      <w:r>
        <w:t xml:space="preserve">resulting in modest GDP losses mainly linked to weaker export performance in high-value</w:t>
      </w:r>
      <w:r>
        <w:t xml:space="preserve"> </w:t>
      </w:r>
      <w:r>
        <w:t xml:space="preserve">manufacturing.</w:t>
      </w:r>
      <w:r>
        <w:br/>
      </w:r>
      <w:r>
        <w:t xml:space="preserve">COMBI_1 maintains policy credibility and supports steady investment in zero-emission</w:t>
      </w:r>
      <w:r>
        <w:t xml:space="preserve"> </w:t>
      </w:r>
      <w:r>
        <w:t xml:space="preserve">supply chains. COMBI_2 introduces a less decisive long-term signal, which may</w:t>
      </w:r>
      <w:r>
        <w:t xml:space="preserve"> </w:t>
      </w:r>
      <w:r>
        <w:t xml:space="preserve">discourage some innovation in zero-emission technologies and high-value investment.</w:t>
      </w:r>
      <w:r>
        <w:t xml:space="preserve"> </w:t>
      </w:r>
      <w:r>
        <w:t xml:space="preserve">Both options may contribute to short-term competitiveness through moderate flexibility</w:t>
      </w:r>
      <w:r>
        <w:t xml:space="preserve"> </w:t>
      </w:r>
      <w:r>
        <w:t xml:space="preserve">that may help profitability and investments. COMBI_1 maintains a stronger and clearer</w:t>
      </w:r>
      <w:r>
        <w:t xml:space="preserve"> </w:t>
      </w:r>
      <w:r>
        <w:t xml:space="preserve">innovation signal, while COMBI_2 trades a small amount of signalling strength for slightly</w:t>
      </w:r>
      <w:r>
        <w:t xml:space="preserve"> </w:t>
      </w:r>
      <w:r>
        <w:t xml:space="preserve">more adjustment space – a trade-off that remains minor in quantitative terms.</w:t>
      </w:r>
      <w:r>
        <w:br/>
      </w:r>
      <w:r>
        <w:t xml:space="preserve">2.</w:t>
      </w:r>
      <w:r>
        <w:t xml:space="preserve"> </w:t>
      </w:r>
      <w:r>
        <w:t xml:space="preserve">SYNTHETIC ASSESSMENT</w:t>
      </w:r>
      <w:r>
        <w:br/>
      </w:r>
      <w:r>
        <w:t xml:space="preserve">The automotive sector is undergoing a global and structural transformation and facing</w:t>
      </w:r>
      <w:r>
        <w:t xml:space="preserve"> </w:t>
      </w:r>
      <w:r>
        <w:t xml:space="preserve">serious competitiveness challenges. The analysis undertaken for the competitiveness check</w:t>
      </w:r>
      <w:r>
        <w:t xml:space="preserve"> </w:t>
      </w:r>
      <w:r>
        <w:t xml:space="preserve">suggests that there is an inherent trade-off between providing flexibilities and ensuring the</w:t>
      </w:r>
      <w:r>
        <w:t xml:space="preserve"> </w:t>
      </w:r>
      <w:r>
        <w:t xml:space="preserve">longer-term strategic position of the sector. Options that delay full electrification, diversify</w:t>
      </w:r>
      <w:r>
        <w:t xml:space="preserve"> </w:t>
      </w:r>
      <w:r>
        <w:t xml:space="preserve">compliance pathways, or allow temporary credits would provide immediate relief both to</w:t>
      </w:r>
      <w:r>
        <w:t xml:space="preserve"> </w:t>
      </w:r>
      <w:r>
        <w:t xml:space="preserve">SMEs and incumbent organisations, easing investment pressure, possibly increasing</w:t>
      </w:r>
      <w:r>
        <w:t xml:space="preserve"> </w:t>
      </w:r>
      <w:r>
        <w:t xml:space="preserve">profitability and supporting employment stability. However, these same measures could</w:t>
      </w:r>
      <w:r>
        <w:t xml:space="preserve"> </w:t>
      </w:r>
      <w:r>
        <w:t xml:space="preserve">risk undermining innovation and further eroding the EU’s global leadership position in</w:t>
      </w:r>
      <w:r>
        <w:t xml:space="preserve"> </w:t>
      </w:r>
      <w:r>
        <w:t xml:space="preserve">zero-emission technologies.</w:t>
      </w:r>
      <w:r>
        <w:br/>
      </w:r>
      <w:r>
        <w:t xml:space="preserve">The CO2 standards drive economies of scale which are expected to lower the prices. This</w:t>
      </w:r>
      <w:r>
        <w:t xml:space="preserve"> </w:t>
      </w:r>
      <w:r>
        <w:t xml:space="preserve">is proven already in 2025 with manufacturers starting to produce affordable model in</w:t>
      </w:r>
      <w:r>
        <w:t xml:space="preserve"> </w:t>
      </w:r>
      <w:r>
        <w:t xml:space="preserve">response to the need to comply with CO2 standards.</w:t>
      </w:r>
      <w:r>
        <w:br/>
      </w:r>
      <w:r>
        <w:t xml:space="preserve">Allowing a broader range of vehicle technologies to count towards targets could ease</w:t>
      </w:r>
      <w:r>
        <w:t xml:space="preserve"> </w:t>
      </w:r>
      <w:r>
        <w:t xml:space="preserve">financial and employment pressures for the automotive sector. Ongoing production costs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vary by technology; BEVs are currently more expensive to produce due to battery costs,</w:t>
      </w:r>
      <w:r>
        <w:t xml:space="preserve"> </w:t>
      </w:r>
      <w:r>
        <w:t xml:space="preserve">but future reductions are expected to enhance cost competitiveness.</w:t>
      </w:r>
      <w:r>
        <w:t xml:space="preserve"> </w:t>
      </w:r>
      <w:r>
        <w:t xml:space="preserve">Flexibility in technology choice also affects market dynamics. Manufacturers producing</w:t>
      </w:r>
      <w:r>
        <w:t xml:space="preserve"> </w:t>
      </w:r>
      <w:r>
        <w:t xml:space="preserve">ICEV may gain some competitive advantages, while BEV-specialised manufacturers and</w:t>
      </w:r>
      <w:r>
        <w:t xml:space="preserve"> </w:t>
      </w:r>
      <w:r>
        <w:t xml:space="preserve">suppliers are likely to experience slower growth. Consumer choice is largely preserved,</w:t>
      </w:r>
      <w:r>
        <w:t xml:space="preserve"> </w:t>
      </w:r>
      <w:r>
        <w:t xml:space="preserve">although vehicle availability may differ across OEMs, influencing consumer demand in</w:t>
      </w:r>
      <w:r>
        <w:t xml:space="preserve"> </w:t>
      </w:r>
      <w:r>
        <w:t xml:space="preserve">turn. Negative impacts to the effective functioning of the internal market are not</w:t>
      </w:r>
      <w:r>
        <w:t xml:space="preserve"> </w:t>
      </w:r>
      <w:r>
        <w:t xml:space="preserve">anticipated.</w:t>
      </w:r>
      <w:r>
        <w:t xml:space="preserve"> </w:t>
      </w:r>
      <w:r>
        <w:t xml:space="preserve">On an international level, EU firms benefit from reduced immediate pressure to scale BEV</w:t>
      </w:r>
      <w:r>
        <w:t xml:space="preserve"> </w:t>
      </w:r>
      <w:r>
        <w:t xml:space="preserve">production, which can enhance operational stability and investment planning, but this is</w:t>
      </w:r>
      <w:r>
        <w:t xml:space="preserve"> </w:t>
      </w:r>
      <w:r>
        <w:t xml:space="preserve">likely to come at the cost of innovation in zero-emission technologies, potentially</w:t>
      </w:r>
      <w:r>
        <w:t xml:space="preserve"> </w:t>
      </w:r>
      <w:r>
        <w:t xml:space="preserve">negatively affecting European leadership relative to global competitors. Flexibility</w:t>
      </w:r>
      <w:r>
        <w:t xml:space="preserve"> </w:t>
      </w:r>
      <w:r>
        <w:t xml:space="preserve">supports investment flows and supply chain resilience, particularly in sustainable</w:t>
      </w:r>
      <w:r>
        <w:t xml:space="preserve"> </w:t>
      </w:r>
      <w:r>
        <w:t xml:space="preserve">renewable-fuel and PHEV/ICEV segments, and reduces risks associated with supply-chain</w:t>
      </w:r>
      <w:r>
        <w:t xml:space="preserve"> </w:t>
      </w:r>
      <w:r>
        <w:t xml:space="preserve">disruptions or rapid market shifts.</w:t>
      </w:r>
      <w:r>
        <w:t xml:space="preserve"> </w:t>
      </w:r>
      <w:r>
        <w:t xml:space="preserve">The innovation landscape is also influenced by these regulatory choices. Transitional</w:t>
      </w:r>
      <w:r>
        <w:t xml:space="preserve"> </w:t>
      </w:r>
      <w:r>
        <w:t xml:space="preserve">technologies like PHEVs will continue to provide incremental innovation opportunities</w:t>
      </w:r>
      <w:r>
        <w:t xml:space="preserve"> </w:t>
      </w:r>
      <w:r>
        <w:t xml:space="preserve">and sustain R&amp;D incentives in engines, fuels, and related systems, but manufacturers</w:t>
      </w:r>
      <w:r>
        <w:t xml:space="preserve"> </w:t>
      </w:r>
      <w:r>
        <w:t xml:space="preserve">outside the EU will gain competitive advantage in ZEV-related innovation, exacerbated by</w:t>
      </w:r>
      <w:r>
        <w:t xml:space="preserve"> </w:t>
      </w:r>
      <w:r>
        <w:t xml:space="preserve">weakened market signals from the EU automotive sector. These impacts are similarly</w:t>
      </w:r>
      <w:r>
        <w:t xml:space="preserve"> </w:t>
      </w:r>
      <w:r>
        <w:t xml:space="preserve">differentiated for SMEs.</w:t>
      </w:r>
      <w:r>
        <w:t xml:space="preserve"> </w:t>
      </w:r>
      <w:r>
        <w:t xml:space="preserve">It is also important to stress that: (i) in the options analysed, the flexibilities are capped, so</w:t>
      </w:r>
      <w:r>
        <w:t xml:space="preserve"> </w:t>
      </w:r>
      <w:r>
        <w:t xml:space="preserve">to avoid a negative impact on the economies of scale that are needed, (ii) the assessed</w:t>
      </w:r>
      <w:r>
        <w:t xml:space="preserve"> </w:t>
      </w:r>
      <w:r>
        <w:t xml:space="preserve">flexibilities are optional, and provide for further possibilities for manufacturers to optimise</w:t>
      </w:r>
      <w:r>
        <w:t xml:space="preserve"> </w:t>
      </w:r>
      <w:r>
        <w:t xml:space="preserve">their investments and portfolios depending on their production apparatus, competitive</w:t>
      </w:r>
      <w:r>
        <w:t xml:space="preserve"> </w:t>
      </w:r>
      <w:r>
        <w:t xml:space="preserve">edges and customer bases.</w:t>
      </w:r>
    </w:p>
    <w:p>
      <w:pPr>
        <w:pStyle w:val="Compact"/>
        <w:numPr>
          <w:ilvl w:val="0"/>
          <w:numId w:val="1013"/>
        </w:numPr>
      </w:pPr>
      <w:r>
        <w:t xml:space="preserve">COMPETITIVE POSITION OF THE MOST AFFECTED SECTORS</w:t>
      </w:r>
      <w:r>
        <w:t xml:space="preserve"> </w:t>
      </w:r>
      <w:r>
        <w:t xml:space="preserve">The sectors most affected are OEMs, component suppliers, SMEs, and sustainable</w:t>
      </w:r>
      <w:r>
        <w:t xml:space="preserve"> </w:t>
      </w:r>
      <w:r>
        <w:t xml:space="preserve">renewable fuel producers.</w:t>
      </w:r>
      <w:r>
        <w:t xml:space="preserve"> </w:t>
      </w:r>
      <w:r>
        <w:t xml:space="preserve">Large automotive OEMs retain a strong position under both options, as eased CO₂ targets</w:t>
      </w:r>
      <w:r>
        <w:t xml:space="preserve"> </w:t>
      </w:r>
      <w:r>
        <w:t xml:space="preserve">and fuel or hybrid flexibilities lower adaptation costs and preserve production stability.</w:t>
      </w:r>
      <w:r>
        <w:t xml:space="preserve"> </w:t>
      </w:r>
      <w:r>
        <w:t xml:space="preserve">Diversified manufacturers stand to benefit most from flexibilities. Component suppliers</w:t>
      </w:r>
      <w:r>
        <w:t xml:space="preserve"> </w:t>
      </w:r>
      <w:r>
        <w:t xml:space="preserve">tied to ICE and fuel systems gain temporary relief as demand for their technologies extends</w:t>
      </w:r>
      <w:r>
        <w:t xml:space="preserve"> </w:t>
      </w:r>
      <w:r>
        <w:t xml:space="preserve">into the 2030s, but their competitiveness declines over time as transition towards</w:t>
      </w:r>
      <w:r>
        <w:t xml:space="preserve"> </w:t>
      </w:r>
      <w:r>
        <w:t xml:space="preserve">electrification in global automotive markets continues. In contrast, BEV-related actors</w:t>
      </w:r>
      <w:r>
        <w:t xml:space="preserve"> </w:t>
      </w:r>
      <w:r>
        <w:t xml:space="preserve">strengthen their long-term competitive position, particularly where clearer market signals</w:t>
      </w:r>
      <w:r>
        <w:t xml:space="preserve"> </w:t>
      </w:r>
      <w:r>
        <w:t xml:space="preserve">for electrification are maintained.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Sustainable renewable fuel producers and related energy-sector actors gain a significant</w:t>
      </w:r>
      <w:r>
        <w:t xml:space="preserve"> </w:t>
      </w:r>
      <w:r>
        <w:t xml:space="preserve">competitive boost through predictable demand for sustainable fuels, with COMBI_2</w:t>
      </w:r>
      <w:r>
        <w:t xml:space="preserve"> </w:t>
      </w:r>
      <w:r>
        <w:t xml:space="preserve">offering greater short-term growth but less long-term certainty.</w:t>
      </w:r>
      <w:r>
        <w:t xml:space="preserve"> </w:t>
      </w:r>
      <w:r>
        <w:t xml:space="preserve">SMEs are directly and indirectly affected across several segments of the automotive and</w:t>
      </w:r>
      <w:r>
        <w:t xml:space="preserve"> </w:t>
      </w:r>
      <w:r>
        <w:t xml:space="preserve">fuel value chains. As for larger actors, reduced compliance pressure supports short-term</w:t>
      </w:r>
      <w:r>
        <w:t xml:space="preserve"> </w:t>
      </w:r>
      <w:r>
        <w:t xml:space="preserve">resilience across traditional automotive segments, but BEV-oriented SMEs hold the</w:t>
      </w:r>
      <w:r>
        <w:t xml:space="preserve"> </w:t>
      </w:r>
      <w:r>
        <w:t xml:space="preserve">stronger long-term advantage in innovation and export potential.</w:t>
      </w:r>
      <w:r>
        <w:br/>
      </w:r>
      <w:r>
        <w:t xml:space="preserve">The most directly impacted are small-volume vehicle manufacturers and specialist OEMs,</w:t>
      </w:r>
      <w:r>
        <w:t xml:space="preserve"> </w:t>
      </w:r>
      <w:r>
        <w:t xml:space="preserve">many of which already operate under existing exemption or derogation regimes. Changes</w:t>
      </w:r>
      <w:r>
        <w:t xml:space="preserve"> </w:t>
      </w:r>
      <w:r>
        <w:t xml:space="preserve">to CO₂ standards will therefore only marginally affect their regulatory exposure.</w:t>
      </w:r>
      <w:r>
        <w:t xml:space="preserve"> </w:t>
      </w:r>
      <w:r>
        <w:t xml:space="preserve">Downstream, SMEs in vehicle distribution, dealerships, and second-hand sales will also</w:t>
      </w:r>
      <w:r>
        <w:t xml:space="preserve"> </w:t>
      </w:r>
      <w:r>
        <w:t xml:space="preserve">experience indirect impacts through changing product portfolios, supply availability, and</w:t>
      </w:r>
      <w:r>
        <w:t xml:space="preserve"> </w:t>
      </w:r>
      <w:r>
        <w:t xml:space="preserve">consumer demand.) SMEs in supply chains related to internal combustion engines (ICEs),</w:t>
      </w:r>
      <w:r>
        <w:t xml:space="preserve"> </w:t>
      </w:r>
      <w:r>
        <w:t xml:space="preserve">components, and maintenance may face transitional challenges, while those involved in</w:t>
      </w:r>
      <w:r>
        <w:t xml:space="preserve"> </w:t>
      </w:r>
      <w:r>
        <w:t xml:space="preserve">battery systems, charging infrastructure, or renewable fuel production may see emerging</w:t>
      </w:r>
      <w:r>
        <w:t xml:space="preserve"> </w:t>
      </w:r>
      <w:r>
        <w:t xml:space="preserve">opportunities. However, the flexibilities can also somewhat mitigate transition challenges.</w:t>
      </w:r>
      <w:r>
        <w:t xml:space="preserve"> </w:t>
      </w:r>
      <w:r>
        <w:t xml:space="preserve">Tradable credits and exemptions for vehicles running on renewable or sustainable fuels</w:t>
      </w:r>
      <w:r>
        <w:t xml:space="preserve"> </w:t>
      </w:r>
      <w:r>
        <w:t xml:space="preserve">can moderate short-term ZEV demand, allowing SMEs in the automotive and fuel value</w:t>
      </w:r>
      <w:r>
        <w:t xml:space="preserve"> </w:t>
      </w:r>
      <w:r>
        <w:t xml:space="preserve">chains to continue to build operational resilience and develop market opportunities in the</w:t>
      </w:r>
      <w:r>
        <w:t xml:space="preserve"> </w:t>
      </w:r>
      <w:r>
        <w:t xml:space="preserve">medium to longer-term.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Under the SME filter obligations, the initiative has been screened for its impact on</w:t>
      </w:r>
      <w:r>
        <w:t xml:space="preserve"> </w:t>
      </w:r>
      <w:r>
        <w:t xml:space="preserve">smaller companies. Based on SME filter criteria, this initiative is relevant for SMEs80.</w:t>
      </w:r>
      <w:r>
        <w:t xml:space="preserve"> </w:t>
      </w:r>
      <w:r>
        <w:t xml:space="preserve">SMEs play a pivotal role in the automotive sector, with approximately 75% of all</w:t>
      </w:r>
      <w:r>
        <w:t xml:space="preserve"> </w:t>
      </w:r>
      <w:r>
        <w:t xml:space="preserve">original-equipment components for vehicles assembled in the EU delivered by an</w:t>
      </w:r>
      <w:r>
        <w:t xml:space="preserve"> </w:t>
      </w:r>
      <w:r>
        <w:t xml:space="preserve">estimated 2 500 independent suppliers. Alongside larger organisations, SMEs are</w:t>
      </w:r>
      <w:r>
        <w:t xml:space="preserve"> </w:t>
      </w:r>
      <w:r>
        <w:t xml:space="preserve">fundamental drivers of innovation, technological development, and competitiveness in</w:t>
      </w:r>
      <w:r>
        <w:t xml:space="preserve"> </w:t>
      </w:r>
      <w:r>
        <w:t xml:space="preserve">Europe. It is essential that the regulatory framework can ensure an enabling environment</w:t>
      </w:r>
      <w:r>
        <w:t xml:space="preserve"> </w:t>
      </w:r>
      <w:r>
        <w:t xml:space="preserve">to provide certainty, support growth and safeguard against unfair competition.</w:t>
      </w:r>
    </w:p>
    <w:p>
      <w:pPr>
        <w:pStyle w:val="Compact"/>
        <w:numPr>
          <w:ilvl w:val="0"/>
          <w:numId w:val="1014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t xml:space="preserve"> </w:t>
      </w:r>
      <w:r>
        <w:t xml:space="preserve">Amongst SMEs, small-volume vehicle manufacturers and niche producers, are directly</w:t>
      </w:r>
      <w:r>
        <w:t xml:space="preserve"> </w:t>
      </w:r>
      <w:r>
        <w:t xml:space="preserve">affected by the initiative. However, many smaller OEMs already apply existing</w:t>
      </w:r>
      <w:r>
        <w:t xml:space="preserve"> </w:t>
      </w:r>
      <w:r>
        <w:t xml:space="preserve">exemptions or derogations, meaning that the changes to the standards will only</w:t>
      </w:r>
      <w:r>
        <w:t xml:space="preserve"> </w:t>
      </w:r>
      <w:r>
        <w:t xml:space="preserve">marginally affect them. The initiative may alleviate compliance burdens by reducing</w:t>
      </w:r>
      <w:r>
        <w:t xml:space="preserve"> </w:t>
      </w:r>
      <w:r>
        <w:t xml:space="preserve">short-term costs and allowing for increased flexibility in production planning and</w:t>
      </w:r>
      <w:r>
        <w:t xml:space="preserve"> </w:t>
      </w:r>
      <w:r>
        <w:t xml:space="preserve">investment. In terms of the provisions for car labelling, SMEs operating within vehicle</w:t>
      </w:r>
      <w:r>
        <w:t xml:space="preserve"> </w:t>
      </w:r>
      <w:r>
        <w:t xml:space="preserve">retail and distribution sectors, including new and second-hand car dealerships, importers</w:t>
      </w:r>
      <w:r>
        <w:t xml:space="preserve"> </w:t>
      </w:r>
      <w:r>
        <w:t xml:space="preserve">and distributors will be directly affected. Small-volume OEMs, in particular, face direct</w:t>
      </w:r>
      <w:r>
        <w:t xml:space="preserve"> </w:t>
      </w:r>
      <w:r>
        <w:t xml:space="preserve">compliance implications, while dealerships and importers will bear the operational</w:t>
      </w:r>
      <w:r>
        <w:t xml:space="preserve"> </w:t>
      </w:r>
      <w:r>
        <w:t xml:space="preserve">aspects of implementing new labelling standards. The simplification of the label avoids</w:t>
      </w:r>
      <w:r>
        <w:t xml:space="preserve"> </w:t>
      </w:r>
      <w:r>
        <w:t xml:space="preserve">administrative burden for all dealers, but extension of the scope to include second-hand</w:t>
      </w:r>
      <w:r>
        <w:t xml:space="preserve"> </w:t>
      </w:r>
      <w:r>
        <w:t xml:space="preserve">vehicles and updated labelling requirements may necessitate additional administrative</w:t>
      </w:r>
      <w:r>
        <w:t xml:space="preserve"> </w:t>
      </w:r>
      <w:r>
        <w:t xml:space="preserve">procedures, marketing materials, and consumer communication. The associated costs</w:t>
      </w:r>
      <w:r>
        <w:t xml:space="preserve"> </w:t>
      </w:r>
      <w:r>
        <w:t xml:space="preserve">are expected to be moderate but will have a bigger impact on SMEs in relative terms.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According to Eurostat (2022) data, the manufacturing of motor vehicles (NACE 29.1)</w:t>
      </w:r>
      <w:r>
        <w:t xml:space="preserve"> </w:t>
      </w:r>
      <w:r>
        <w:t xml:space="preserve">activity is dominated by a small number of large multinational producers. SMEs</w:t>
      </w:r>
      <w:r>
        <w:t xml:space="preserve"> </w:t>
      </w:r>
      <w:r>
        <w:t xml:space="preserve">constitute approximately 95% of enterprises in this segment (2 330 enterprises) but</w:t>
      </w:r>
      <w:r>
        <w:t xml:space="preserve"> </w:t>
      </w:r>
      <w:r>
        <w:t xml:space="preserve">account for less than 10% of total employment.</w:t>
      </w:r>
    </w:p>
    <w:p>
      <w:pPr>
        <w:pStyle w:val="FirstParagraph"/>
      </w:pPr>
      <w:r>
        <w:t xml:space="preserve">80 https://ec.europa.eu/docsroom/documents/63274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In the automotive supplier industry (NACE 29.3), only 17% of the labour force is</w:t>
      </w:r>
      <w:r>
        <w:t xml:space="preserve"> </w:t>
      </w:r>
      <w:r>
        <w:t xml:space="preserve">employed by SMEs81.</w:t>
      </w:r>
      <w:r>
        <w:br/>
      </w:r>
      <w:r>
        <w:t xml:space="preserve">Estimated number of employees in directly affected SMEs</w:t>
      </w:r>
      <w:r>
        <w:t xml:space="preserve"> </w:t>
      </w:r>
      <w:r>
        <w:t xml:space="preserve">Eurostat (2023) indicates that around 23 300 employees of a total 1 090 000 in the</w:t>
      </w:r>
      <w:r>
        <w:t xml:space="preserve"> </w:t>
      </w:r>
      <w:r>
        <w:t xml:space="preserve">NACE 29.1 segment (manufacturing of motor vehicles) are employed by SMEs. Precise</w:t>
      </w:r>
      <w:r>
        <w:t xml:space="preserve"> </w:t>
      </w:r>
      <w:r>
        <w:t xml:space="preserve">figures for SME employment in downstream activities such as vehicle sales, repair, and</w:t>
      </w:r>
      <w:r>
        <w:t xml:space="preserve"> </w:t>
      </w:r>
      <w:r>
        <w:t xml:space="preserve">related services (NACE G45) are not available.</w:t>
      </w:r>
      <w:r>
        <w:t xml:space="preserve"> </w:t>
      </w:r>
      <w:r>
        <w:t xml:space="preserve">Are SMEs indirectly affected? (Yes/No)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Yes.</w:t>
      </w:r>
      <w:r>
        <w:t xml:space="preserve"> </w:t>
      </w:r>
      <w:r>
        <w:t xml:space="preserve">Suppliers and automotive equipment manufacturers are likely to be indirectly affected</w:t>
      </w:r>
      <w:r>
        <w:t xml:space="preserve"> </w:t>
      </w:r>
      <w:r>
        <w:t xml:space="preserve">through their position in the value chain. Eurostat data (2022) indicates that around</w:t>
      </w:r>
      <w:r>
        <w:t xml:space="preserve"> </w:t>
      </w:r>
      <w:r>
        <w:t xml:space="preserve">9 500 manufacturers of parts and accessories for motor vehicles (NACE 29.3) are in</w:t>
      </w:r>
      <w:r>
        <w:t xml:space="preserve"> </w:t>
      </w:r>
      <w:r>
        <w:t xml:space="preserve">operation in the EU, of which around 90% are SMEs.</w:t>
      </w:r>
      <w:r>
        <w:t xml:space="preserve"> </w:t>
      </w:r>
      <w:r>
        <w:t xml:space="preserve">If regulatory drivers for electrification are moderated, SMEs involved in renewable-fuel</w:t>
      </w:r>
      <w:r>
        <w:t xml:space="preserve"> </w:t>
      </w:r>
      <w:r>
        <w:t xml:space="preserve">production, distribution, or certification benefit from increased demand for such fuels,</w:t>
      </w:r>
      <w:r>
        <w:t xml:space="preserve"> </w:t>
      </w:r>
      <w:r>
        <w:t xml:space="preserve">with a likely corresponding decrease in growth within BEV-related supply chains.</w:t>
      </w:r>
      <w:r>
        <w:t xml:space="preserve"> </w:t>
      </w:r>
      <w:r>
        <w:t xml:space="preserve">Suppliers of ICEV/PHEV and their components may benefit from a (temporary)</w:t>
      </w:r>
      <w:r>
        <w:t xml:space="preserve"> </w:t>
      </w:r>
      <w:r>
        <w:t xml:space="preserve">extension of market relevance for these technologies.</w:t>
      </w:r>
    </w:p>
    <w:p>
      <w:pPr>
        <w:pStyle w:val="Compact"/>
        <w:numPr>
          <w:ilvl w:val="0"/>
          <w:numId w:val="1015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Approximately 6% of all respondents to the open public consultation represented SMEs</w:t>
      </w:r>
      <w:r>
        <w:t xml:space="preserve"> </w:t>
      </w:r>
      <w:r>
        <w:t xml:space="preserve">(associations or individual businesses), corresponding to around 40% of all business</w:t>
      </w:r>
      <w:r>
        <w:t xml:space="preserve"> </w:t>
      </w:r>
      <w:r>
        <w:t xml:space="preserve">respondents (see Annex 2).</w:t>
      </w:r>
      <w:r>
        <w:br/>
      </w:r>
      <w:r>
        <w:t xml:space="preserve">Dialogue with SME representatives has taken place through both structured and</w:t>
      </w:r>
      <w:r>
        <w:t xml:space="preserve"> </w:t>
      </w:r>
      <w:r>
        <w:t xml:space="preserve">informal channels. Commission services have engaged bilaterally with representative</w:t>
      </w:r>
      <w:r>
        <w:t xml:space="preserve"> </w:t>
      </w:r>
      <w:r>
        <w:t xml:space="preserve">organisations representing SMEs active in the automotive sector, including CLEPA</w:t>
      </w:r>
      <w:r>
        <w:t xml:space="preserve"> </w:t>
      </w:r>
      <w:r>
        <w:t xml:space="preserve">(suppliers) and AECDR (car dealers and repairers). These interactions have ensured that</w:t>
      </w:r>
      <w:r>
        <w:t xml:space="preserve"> </w:t>
      </w:r>
      <w:r>
        <w:t xml:space="preserve">SME perspectives have been reflected in the development of policy options.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No. </w:t>
      </w:r>
      <w:r>
        <w:t xml:space="preserve"> </w:t>
      </w:r>
      <w:r>
        <w:t xml:space="preserve">SME responses to the public consultation broadly aligned with those of other industry</w:t>
      </w:r>
      <w:r>
        <w:t xml:space="preserve"> </w:t>
      </w:r>
      <w:r>
        <w:t xml:space="preserve">stakeholders, reflecting general preferences for greater flexibility, introducing multi-</w:t>
      </w:r>
      <w:r>
        <w:t xml:space="preserve"> </w:t>
      </w:r>
      <w:r>
        <w:t xml:space="preserve">annual targets and the inclusion of sustainable renewable fuels. Notably, SMEs called</w:t>
      </w:r>
    </w:p>
    <w:p>
      <w:pPr>
        <w:pStyle w:val="FirstParagraph"/>
      </w:pPr>
      <w:r>
        <w:t xml:space="preserve">81 Employment in the EU’s automotive sector | Eurofound (based on Eurostat data)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for a more gradual and cost-sensitive implementation of the standards, particularly</w:t>
      </w:r>
      <w:r>
        <w:t xml:space="preserve"> </w:t>
      </w:r>
      <w:r>
        <w:t xml:space="preserve">regarding the required pace of fleet electrification, reflecting their more limited</w:t>
      </w:r>
      <w:r>
        <w:t xml:space="preserve"> </w:t>
      </w:r>
      <w:r>
        <w:t xml:space="preserve">resources when compared with larger automotive manufacturers.</w:t>
      </w:r>
    </w:p>
    <w:p>
      <w:pPr>
        <w:pStyle w:val="Compact"/>
        <w:numPr>
          <w:ilvl w:val="0"/>
          <w:numId w:val="1016"/>
        </w:numPr>
      </w:pPr>
      <w:r>
        <w:t xml:space="preserve">ASSESSMENT OF IMPACTS ON SMES82</w:t>
      </w:r>
      <w:r>
        <w:t xml:space="preserve"> </w:t>
      </w:r>
      <w:r>
        <w:t xml:space="preserve">What are the estimated direct costs for SMEs of the preferred policy option?</w:t>
      </w:r>
      <w:r>
        <w:t xml:space="preserve"> </w:t>
      </w:r>
      <w:r>
        <w:t xml:space="preserve">Qualitative assessment</w:t>
      </w:r>
    </w:p>
    <w:p>
      <w:pPr>
        <w:pStyle w:val="Compact"/>
        <w:numPr>
          <w:ilvl w:val="0"/>
          <w:numId w:val="1017"/>
        </w:numPr>
      </w:pPr>
      <w:r>
        <w:t xml:space="preserve">Quantitative assessment</w:t>
      </w:r>
      <w:r>
        <w:t xml:space="preserve"> </w:t>
      </w:r>
      <w:r>
        <w:t xml:space="preserve">Vehicle labelling option LAB_2 brings additional net compliance costs for all</w:t>
      </w:r>
      <w:r>
        <w:t xml:space="preserve"> </w:t>
      </w:r>
      <w:r>
        <w:t xml:space="preserve">businesses – most of which are SMEs – of EUR 437 million (NPV over the period 2029-</w:t>
      </w:r>
      <w:r>
        <w:t xml:space="preserve"> </w:t>
      </w:r>
      <w:r>
        <w:t xml:space="preserve">2040), which translates into around EUR 3 per new vehicle.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option83?</w:t>
      </w:r>
      <w:r>
        <w:t xml:space="preserve"> </w:t>
      </w:r>
      <w:r>
        <w:t xml:space="preserve">Qualitative assessment</w:t>
      </w:r>
    </w:p>
    <w:p>
      <w:pPr>
        <w:pStyle w:val="Compact"/>
        <w:numPr>
          <w:ilvl w:val="0"/>
          <w:numId w:val="1017"/>
        </w:numPr>
      </w:pPr>
      <w:r>
        <w:t xml:space="preserve">Quantitative assessment</w:t>
      </w:r>
      <w:r>
        <w:t xml:space="preserve"> </w:t>
      </w:r>
      <w:r>
        <w:t xml:space="preserve">Vehicle labelling option LAB_2 brings additional direct cost savings for all businesses</w:t>
      </w:r>
      <w:r>
        <w:t xml:space="preserve"> </w:t>
      </w:r>
      <w:r>
        <w:t xml:space="preserve">– most of which are SMEs – of EUR 100 million (NPV over the period 2029-2040), due</w:t>
      </w:r>
      <w:r>
        <w:t xml:space="preserve"> </w:t>
      </w:r>
      <w:r>
        <w:t xml:space="preserve">to harmonisation and simplification of the requirements, incl. removing the need to</w:t>
      </w:r>
      <w:r>
        <w:t xml:space="preserve"> </w:t>
      </w:r>
      <w:r>
        <w:t xml:space="preserve">produce a poster. This partially alleviates the additional compliance costs, which are</w:t>
      </w:r>
      <w:r>
        <w:t xml:space="preserve"> </w:t>
      </w:r>
      <w:r>
        <w:t xml:space="preserve">mainly due to the extension of the scope to cover also vans and second-hand vehicles,</w:t>
      </w:r>
      <w:r>
        <w:t xml:space="preserve"> </w:t>
      </w:r>
      <w:r>
        <w:t xml:space="preserve">as well as the addition of a number of information elements of high relevance, esp. for</w:t>
      </w:r>
      <w:r>
        <w:t xml:space="preserve"> </w:t>
      </w:r>
      <w:r>
        <w:t xml:space="preserve">BEVs.</w:t>
      </w:r>
      <w:r>
        <w:t xml:space="preserve"> </w:t>
      </w:r>
      <w:r>
        <w:t xml:space="preserve">What are the indirect impacts of this initiative on SMEs? (Fill in only if step 1 flags</w:t>
      </w:r>
      <w:r>
        <w:t xml:space="preserve"> </w:t>
      </w:r>
      <w:r>
        <w:t xml:space="preserve">indirect impacts)</w:t>
      </w:r>
    </w:p>
    <w:p>
      <w:pPr>
        <w:pStyle w:val="Compact"/>
        <w:numPr>
          <w:ilvl w:val="0"/>
          <w:numId w:val="1018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</w:p>
    <w:p>
      <w:pPr>
        <w:pStyle w:val="FirstParagraph"/>
      </w:pPr>
      <w:r>
        <w:t xml:space="preserve">82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  <w:r>
        <w:br/>
      </w:r>
      <w:r>
        <w:t xml:space="preserve">83 The direct benefits for SMEs can also be cost savings.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Yes.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As the market shifts towards zero-emission vehicles, SMEs directly linked to</w:t>
      </w:r>
      <w:r>
        <w:t xml:space="preserve"> </w:t>
      </w:r>
      <w:r>
        <w:t xml:space="preserve">conventional ICEV and their associated supply chain face the highest level of risk due</w:t>
      </w:r>
      <w:r>
        <w:t xml:space="preserve"> </w:t>
      </w:r>
      <w:r>
        <w:t xml:space="preserve">to declining demand for ICE components and systems and aftersales services. The</w:t>
      </w:r>
      <w:r>
        <w:t xml:space="preserve"> </w:t>
      </w:r>
      <w:r>
        <w:t xml:space="preserve">ability to invest in new technologies or diversify product lines is generally lower than</w:t>
      </w:r>
      <w:r>
        <w:t xml:space="preserve"> </w:t>
      </w:r>
      <w:r>
        <w:t xml:space="preserve">that of larger enterprises, which heightens SME vulnerability to regulatory and market</w:t>
      </w:r>
      <w:r>
        <w:t xml:space="preserve"> </w:t>
      </w:r>
      <w:r>
        <w:t xml:space="preserve">changes. SMEs operating in vehicle distribution, retail, and aftersales services also face</w:t>
      </w:r>
      <w:r>
        <w:t xml:space="preserve"> </w:t>
      </w:r>
      <w:r>
        <w:t xml:space="preserve">indirect impacts to revenue models and workforce skills requirements as product</w:t>
      </w:r>
      <w:r>
        <w:t xml:space="preserve"> </w:t>
      </w:r>
      <w:r>
        <w:t xml:space="preserve">portfolios and consumer preferences evolve. These impacts are more gradual but will</w:t>
      </w:r>
      <w:r>
        <w:t xml:space="preserve"> </w:t>
      </w:r>
      <w:r>
        <w:t xml:space="preserve">necessitate adaptation in business practices, training, and infrastructure.</w:t>
      </w:r>
      <w:r>
        <w:t xml:space="preserve"> </w:t>
      </w:r>
      <w:r>
        <w:t xml:space="preserve">Therefore, by providing additional flexibility for target compliance and opening up to</w:t>
      </w:r>
      <w:r>
        <w:t xml:space="preserve"> </w:t>
      </w:r>
      <w:r>
        <w:t xml:space="preserve">technologies involving ICE, this initiative should help to alleviate the direct or indirect</w:t>
      </w:r>
      <w:r>
        <w:t xml:space="preserve"> </w:t>
      </w:r>
      <w:r>
        <w:t xml:space="preserve">effects of the regulatory pressure on SMEs operating within the automotive supply</w:t>
      </w:r>
      <w:r>
        <w:t xml:space="preserve"> </w:t>
      </w:r>
      <w:r>
        <w:t xml:space="preserve">chain.</w:t>
      </w:r>
      <w:r>
        <w:t xml:space="preserve"> </w:t>
      </w:r>
      <w:r>
        <w:t xml:space="preserve">The preferred option regarding vehicle labelling limits the additional compliance costs</w:t>
      </w:r>
      <w:r>
        <w:t xml:space="preserve"> </w:t>
      </w:r>
      <w:r>
        <w:t xml:space="preserve">and administrative burden for car dealerships by harmonising the requirements across</w:t>
      </w:r>
      <w:r>
        <w:t xml:space="preserve"> </w:t>
      </w:r>
      <w:r>
        <w:t xml:space="preserve">the EU and removing certain outdated obligations.</w:t>
      </w:r>
      <w:r>
        <w:t xml:space="preserve"> </w:t>
      </w:r>
      <w:r>
        <w:t xml:space="preserve">Have mitigating measures been included in the preferred option/proposal?</w:t>
      </w:r>
      <w:r>
        <w:t xml:space="preserve"> </w:t>
      </w:r>
      <w:r>
        <w:t xml:space="preserve">(Yes/No)</w:t>
      </w:r>
      <w:r>
        <w:br/>
      </w:r>
      <w:r>
        <w:t xml:space="preserve">The preferred options are largely expected to lead to overall benefits for SMEs, as</w:t>
      </w:r>
      <w:r>
        <w:t xml:space="preserve"> </w:t>
      </w:r>
      <w:r>
        <w:t xml:space="preserve">explained above.</w:t>
      </w:r>
      <w:r>
        <w:t xml:space="preserve"> </w:t>
      </w:r>
      <w:r>
        <w:t xml:space="preserve">For labelling, harmonisation and simplification has been sought, by harmonising the</w:t>
      </w:r>
      <w:r>
        <w:t xml:space="preserve"> </w:t>
      </w:r>
      <w:r>
        <w:t xml:space="preserve">requirements across the EU and removing certain outdated obligations, which brings a</w:t>
      </w:r>
      <w:r>
        <w:t xml:space="preserve"> </w:t>
      </w:r>
      <w:r>
        <w:t xml:space="preserve">reduction in administrative burden for the car dealerships currently covered by the Car</w:t>
      </w:r>
      <w:r>
        <w:t xml:space="preserve"> </w:t>
      </w:r>
      <w:r>
        <w:t xml:space="preserve">Labelling Directive, most of which are SMEs.</w:t>
      </w:r>
      <w:r>
        <w:t xml:space="preserve"> </w:t>
      </w: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Vehicle labelling option LAB_2 brings additional direct cost savings for all businesses</w:t>
      </w:r>
      <w:r>
        <w:t xml:space="preserve"> </w:t>
      </w:r>
      <w:r>
        <w:t xml:space="preserve">– most of which are SMEs – of EUR 100 million (NPV over the period 2029-2040), due</w:t>
      </w:r>
      <w:r>
        <w:t xml:space="preserve"> </w:t>
      </w:r>
      <w:r>
        <w:t xml:space="preserve">to harmonisation and simplification of the requirements, incl. removing the need to</w:t>
      </w:r>
      <w:r>
        <w:t xml:space="preserve"> </w:t>
      </w:r>
      <w:r>
        <w:t xml:space="preserve">produce a poster. This partially compensates the additional compliance costs incurred.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ANNEX 7: MAIN ELEMENTS OF REGULATION (EU) 2019/631 AND</w:t>
      </w:r>
      <w:r>
        <w:t xml:space="preserve"> </w:t>
      </w:r>
      <w:r>
        <w:t xml:space="preserve">DIRECTIVE 1999/94/EC</w:t>
      </w:r>
      <w:r>
        <w:t xml:space="preserve"> </w:t>
      </w:r>
      <w:r>
        <w:t xml:space="preserve">1.</w:t>
      </w:r>
      <w:r>
        <w:t xml:space="preserve"> </w:t>
      </w:r>
      <w:r>
        <w:t xml:space="preserve">REGULATION (EU) 2019/631</w:t>
      </w:r>
      <w:r>
        <w:t xml:space="preserve"> </w:t>
      </w:r>
      <w:r>
        <w:t xml:space="preserve">CO2 emission targets</w:t>
      </w:r>
      <w:r>
        <w:br/>
      </w:r>
      <w:r>
        <w:t xml:space="preserve">EU fleet-wide targets</w:t>
      </w:r>
      <w:r>
        <w:t xml:space="preserve"> </w:t>
      </w:r>
      <w:r>
        <w:t xml:space="preserve">The 2025, 2030 and 2035 targets set under Regulation (EU) 2019/631 are defined as a</w:t>
      </w:r>
      <w:r>
        <w:t xml:space="preserve"> </w:t>
      </w:r>
      <w:r>
        <w:t xml:space="preserve">percentage reduction from the EU fleet-wide target in 2021, as shown in Table 14.</w:t>
      </w:r>
      <w:r>
        <w:br/>
      </w:r>
      <w:r>
        <w:t xml:space="preserve">The 2025 and 2030 target levels (g CO2/km) have been published by the Commission in</w:t>
      </w:r>
      <w:r>
        <w:t xml:space="preserve"> </w:t>
      </w:r>
      <w:r>
        <w:t xml:space="preserve">Annex II to Commission Implementing Decision (EU) 2023/162384.</w:t>
      </w:r>
      <w:r>
        <w:t xml:space="preserve"> </w:t>
      </w:r>
      <w:r>
        <w:t xml:space="preserve">Table 14: EU fleet-wide CO2 targets</w:t>
      </w:r>
    </w:p>
    <w:p>
      <w:pPr>
        <w:pStyle w:val="BodyText"/>
      </w:pPr>
      <w:r>
        <w:t xml:space="preserve">(% reduction from 2021 EU fleet-wide target) (g CO2/km)</w:t>
      </w:r>
    </w:p>
    <w:p>
      <w:pPr>
        <w:pStyle w:val="BodyText"/>
      </w:pPr>
      <w:r>
        <w:t xml:space="preserve">2025-2029</w:t>
      </w:r>
      <w:r>
        <w:t xml:space="preserve"> </w:t>
      </w:r>
      <w:r>
        <w:t xml:space="preserve">2030-2034</w:t>
      </w:r>
      <w:r>
        <w:t xml:space="preserve"> </w:t>
      </w:r>
      <w:r>
        <w:t xml:space="preserve">2035-</w:t>
      </w:r>
      <w:r>
        <w:t xml:space="preserve"> </w:t>
      </w:r>
      <w:r>
        <w:t xml:space="preserve">Passenger Cars</w:t>
      </w:r>
      <w:r>
        <w:t xml:space="preserve"> </w:t>
      </w:r>
      <w:r>
        <w:t xml:space="preserve">15%</w:t>
      </w:r>
      <w:r>
        <w:br/>
      </w:r>
      <w:r>
        <w:t xml:space="preserve">(93.6 g CO2/km)</w:t>
      </w:r>
      <w:r>
        <w:t xml:space="preserve"> </w:t>
      </w:r>
      <w:r>
        <w:t xml:space="preserve">55%</w:t>
      </w:r>
      <w:r>
        <w:t xml:space="preserve"> </w:t>
      </w:r>
      <w:r>
        <w:t xml:space="preserve">(49.5 g CO2/km)</w:t>
      </w:r>
      <w:r>
        <w:t xml:space="preserve"> </w:t>
      </w:r>
      <w:r>
        <w:t xml:space="preserve">100%</w:t>
      </w:r>
      <w:r>
        <w:t xml:space="preserve"> </w:t>
      </w:r>
      <w:r>
        <w:t xml:space="preserve">(0 g CO2/km)</w:t>
      </w:r>
      <w:r>
        <w:t xml:space="preserve"> </w:t>
      </w:r>
      <w:r>
        <w:t xml:space="preserve">Vans</w:t>
      </w:r>
      <w:r>
        <w:t xml:space="preserve"> </w:t>
      </w:r>
      <w:r>
        <w:t xml:space="preserve">15%</w:t>
      </w:r>
      <w:r>
        <w:t xml:space="preserve"> </w:t>
      </w:r>
      <w:r>
        <w:t xml:space="preserve">(153.9 g CO2/km)</w:t>
      </w:r>
      <w:r>
        <w:t xml:space="preserve"> </w:t>
      </w:r>
      <w:r>
        <w:t xml:space="preserve">50%</w:t>
      </w:r>
      <w:r>
        <w:t xml:space="preserve"> </w:t>
      </w:r>
      <w:r>
        <w:t xml:space="preserve">(90.6 g CO2/km)</w:t>
      </w:r>
      <w:r>
        <w:t xml:space="preserve"> </w:t>
      </w:r>
      <w:r>
        <w:t xml:space="preserve">100%</w:t>
      </w:r>
      <w:r>
        <w:t xml:space="preserve"> </w:t>
      </w:r>
      <w:r>
        <w:t xml:space="preserve">(0 g CO2/km)</w:t>
      </w:r>
    </w:p>
    <w:p>
      <w:pPr>
        <w:pStyle w:val="BodyText"/>
      </w:pPr>
      <w:r>
        <w:t xml:space="preserve">Annual specific emission targets for manufacturers</w:t>
      </w:r>
      <w:r>
        <w:t xml:space="preserve"> </w:t>
      </w:r>
      <w:r>
        <w:t xml:space="preserve">Each year, except for the years 2025-202785, a specific emission target is set for each</w:t>
      </w:r>
      <w:r>
        <w:t xml:space="preserve"> </w:t>
      </w:r>
      <w:r>
        <w:t xml:space="preserve">manufacturer on the basis of the applicable EU fleet-wide target and taking into account</w:t>
      </w:r>
      <w:r>
        <w:t xml:space="preserve"> </w:t>
      </w:r>
      <w:r>
        <w:t xml:space="preserve">the average mass of the manufacturer’s fleet of new vehicles registered in that year86. The</w:t>
      </w:r>
      <w:r>
        <w:t xml:space="preserve"> </w:t>
      </w:r>
      <w:r>
        <w:t xml:space="preserve">specific emission targets are determined on the basis of a limit value curve.</w:t>
      </w:r>
      <w:r>
        <w:t xml:space="preserve"> </w:t>
      </w:r>
      <w:r>
        <w:t xml:space="preserve">From 2025 onwards, a new limit value curve has been defined, which reflects recent trends</w:t>
      </w:r>
      <w:r>
        <w:t xml:space="preserve"> </w:t>
      </w:r>
      <w:r>
        <w:t xml:space="preserve">in the composition of the vehicle fleet – in particular the increased uptake of battery and</w:t>
      </w:r>
      <w:r>
        <w:t xml:space="preserve"> </w:t>
      </w:r>
      <w:r>
        <w:t xml:space="preserve">plug-in hybrid electric vehicles - as it was based on the 2021 monitoring data.</w:t>
      </w:r>
      <w:r>
        <w:br/>
      </w:r>
      <w:r>
        <w:t xml:space="preserve">This means that, for cars, manufacturers of heavier vehicles will get a stricter emissions</w:t>
      </w:r>
      <w:r>
        <w:t xml:space="preserve"> </w:t>
      </w:r>
      <w:r>
        <w:t xml:space="preserve">target than manufacturers of lighter vehicles. The opposite is still true for vans. Also, where</w:t>
      </w:r>
      <w:r>
        <w:t xml:space="preserve"> </w:t>
      </w:r>
      <w:r>
        <w:t xml:space="preserve">the curve for vans consists of a combination of two linear parts, each with a different slope.</w:t>
      </w:r>
      <w:r>
        <w:t xml:space="preserve"> </w:t>
      </w:r>
      <w:r>
        <w:t xml:space="preserve">This means that the effect of the mass on the target is more outspoken for manufacturers</w:t>
      </w:r>
      <w:r>
        <w:t xml:space="preserve"> </w:t>
      </w:r>
      <w:r>
        <w:t xml:space="preserve">of the heaviest vehicles.</w:t>
      </w:r>
    </w:p>
    <w:p>
      <w:pPr>
        <w:pStyle w:val="BodyText"/>
      </w:pPr>
      <w:r>
        <w:t xml:space="preserve">84 http://data.europa.eu/eli/dec_impl/2023/1623/oj</w:t>
      </w:r>
      <w:r>
        <w:t xml:space="preserve"> </w:t>
      </w:r>
      <w:r>
        <w:t xml:space="preserve">85 Following the amendment of the Regulation through Regulation (EU) 2025/1214, manufacturers’ target</w:t>
      </w:r>
      <w:r>
        <w:t xml:space="preserve"> </w:t>
      </w:r>
      <w:r>
        <w:t xml:space="preserve">compliance for the calendar years 2025 to 2027 will be assessed over the three years combined instead of</w:t>
      </w:r>
      <w:r>
        <w:t xml:space="preserve"> </w:t>
      </w:r>
      <w:r>
        <w:t xml:space="preserve">annually.</w:t>
      </w:r>
      <w:r>
        <w:t xml:space="preserve"> </w:t>
      </w:r>
      <w:r>
        <w:t xml:space="preserve">86 From 2025 onwards, the test mass of the vehicles is considered for this purpose, while previously this was</w:t>
      </w:r>
      <w:r>
        <w:t xml:space="preserve"> </w:t>
      </w:r>
      <w:r>
        <w:t xml:space="preserve">the mass in running order.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curves are set in such a way that, in principle, when all manufacturers comply with</w:t>
      </w:r>
      <w:r>
        <w:t xml:space="preserve"> </w:t>
      </w:r>
      <w:r>
        <w:t xml:space="preserve">their specific emission targets, the EU fleet-wide target is achieved87.</w:t>
      </w:r>
      <w:r>
        <w:br/>
      </w:r>
      <w:r>
        <w:t xml:space="preserve">Compliance assessment and excess emissions premium</w:t>
      </w:r>
      <w:r>
        <w:t xml:space="preserve"> </w:t>
      </w:r>
      <w:r>
        <w:t xml:space="preserve">If the average specific emissions of a manufacturer exceed its specific emission target in a</w:t>
      </w:r>
      <w:r>
        <w:t xml:space="preserve"> </w:t>
      </w:r>
      <w:r>
        <w:t xml:space="preserve">given year, an excess emission premium is imposed. The premium is set to EUR 95 per</w:t>
      </w:r>
      <w:r>
        <w:t xml:space="preserve"> </w:t>
      </w:r>
      <w:r>
        <w:t xml:space="preserve">gram of CO2 per kilometre target exceedance for each vehicle in the manufacturer’s fleet</w:t>
      </w:r>
      <w:r>
        <w:t xml:space="preserve"> </w:t>
      </w:r>
      <w:r>
        <w:t xml:space="preserve">of new vehicles registered in that year.</w:t>
      </w:r>
      <w:r>
        <w:t xml:space="preserve"> </w:t>
      </w:r>
      <w:r>
        <w:t xml:space="preserve">Incentive mechanism for zero- and low-emission vehicles (ZLEV)</w:t>
      </w:r>
      <w:r>
        <w:t xml:space="preserve"> </w:t>
      </w:r>
      <w:r>
        <w:t xml:space="preserve">A ZLEV is defined as a passenger car or a van with CO2 emissions between 0 and 50 g/km.</w:t>
      </w:r>
      <w:r>
        <w:t xml:space="preserve"> </w:t>
      </w:r>
      <w:r>
        <w:t xml:space="preserve">In order to incentivise the uptake of ZLEV, a “bonus-only” crediting system applies</w:t>
      </w:r>
      <w:r>
        <w:t xml:space="preserve"> </w:t>
      </w:r>
      <w:r>
        <w:t xml:space="preserve">between 2025 and 2029. This means that the specific CO2 emission target of a</w:t>
      </w:r>
      <w:r>
        <w:t xml:space="preserve"> </w:t>
      </w:r>
      <w:r>
        <w:t xml:space="preserve">manufacturer will be relaxed if its share of ZLEV, expressed as a percentage of its total</w:t>
      </w:r>
      <w:r>
        <w:t xml:space="preserve"> </w:t>
      </w:r>
      <w:r>
        <w:t xml:space="preserve">number of vehicles registered in a given year, exceeds 25% for cars or 17% for vans.</w:t>
      </w:r>
      <w:r>
        <w:t xml:space="preserve"> </w:t>
      </w:r>
      <w:r>
        <w:t xml:space="preserve">A one percentage point exceedance of the benchmark level will increase the</w:t>
      </w:r>
      <w:r>
        <w:t xml:space="preserve"> </w:t>
      </w:r>
      <w:r>
        <w:t xml:space="preserve">manufacturer’s CO2 target (in g CO2/km) by one percent. This target relaxation is capped</w:t>
      </w:r>
      <w:r>
        <w:t xml:space="preserve"> </w:t>
      </w:r>
      <w:r>
        <w:t xml:space="preserve">at a maximum of 5%.</w:t>
      </w:r>
      <w:r>
        <w:br/>
      </w:r>
      <w:r>
        <w:t xml:space="preserve">For calculating the share of ZLEV in a manufacturer’s fleet to be compared against the</w:t>
      </w:r>
      <w:r>
        <w:t xml:space="preserve"> </w:t>
      </w:r>
      <w:r>
        <w:t xml:space="preserve">benchmark levels, an accounting rule applies, which gives a greater weight to ZLEV with</w:t>
      </w:r>
      <w:r>
        <w:t xml:space="preserve"> </w:t>
      </w:r>
      <w:r>
        <w:t xml:space="preserve">lower emissions:</w:t>
      </w:r>
      <w:r>
        <w:t xml:space="preserve"> </w:t>
      </w:r>
      <w:r>
        <w:t xml:space="preserve">Pooling</w:t>
      </w:r>
      <w:r>
        <w:t xml:space="preserve"> </w:t>
      </w:r>
      <w:r>
        <w:t xml:space="preserve">Pooling offers the possibility for several manufacturers to be considered together as a</w:t>
      </w:r>
      <w:r>
        <w:t xml:space="preserve"> </w:t>
      </w:r>
      <w:r>
        <w:t xml:space="preserve">single manufacturer for the purpose of meeting the CO2 emission target. This allows</w:t>
      </w:r>
      <w:r>
        <w:t xml:space="preserve"> </w:t>
      </w:r>
      <w:r>
        <w:t xml:space="preserve">mamnufacturers to balance their target exceedance with the target overachievement of</w:t>
      </w:r>
      <w:r>
        <w:t xml:space="preserve"> </w:t>
      </w:r>
      <w:r>
        <w:t xml:space="preserve">other manufacturers. Pooling can be done by manufacturers, which are part of a group of</w:t>
      </w:r>
      <w:r>
        <w:t xml:space="preserve"> </w:t>
      </w:r>
      <w:r>
        <w:t xml:space="preserve">connected undertakings, but also by other manufacturers. Pooling between car and van</w:t>
      </w:r>
      <w:r>
        <w:t xml:space="preserve"> </w:t>
      </w:r>
      <w:r>
        <w:t xml:space="preserve">manufacturers is not possible.</w:t>
      </w:r>
      <w:r>
        <w:t xml:space="preserve"> </w:t>
      </w:r>
      <w:r>
        <w:t xml:space="preserve">Exemptions and derogations</w:t>
      </w:r>
      <w:r>
        <w:br/>
      </w:r>
      <w:r>
        <w:t xml:space="preserve">Car and van manufacturers registering less than 1 000 new vehicles per year are exempted</w:t>
      </w:r>
      <w:r>
        <w:t xml:space="preserve"> </w:t>
      </w:r>
      <w:r>
        <w:t xml:space="preserve">from meeting a specific emission target in the following calendar year.</w:t>
      </w:r>
      <w:r>
        <w:br/>
      </w:r>
      <w:r>
        <w:t xml:space="preserve">For “small volume” car and van manufacturers, i.e. those registering less than 10 000</w:t>
      </w:r>
      <w:r>
        <w:t xml:space="preserve"> </w:t>
      </w:r>
      <w:r>
        <w:t xml:space="preserve">cars or less than 22 000 vans per year, it is possible to apply for a derogation from their</w:t>
      </w:r>
      <w:r>
        <w:t xml:space="preserve"> </w:t>
      </w:r>
      <w:r>
        <w:t xml:space="preserve">“default” specific emission targets.</w:t>
      </w:r>
      <w:r>
        <w:br/>
      </w:r>
      <w:r>
        <w:t xml:space="preserve">“Niche” car manufacturers, i.e. those registering between 10 000 and 300 000 new cars</w:t>
      </w:r>
      <w:r>
        <w:t xml:space="preserve"> </w:t>
      </w:r>
      <w:r>
        <w:t xml:space="preserve">per year, may benefit from a derogation target until the year 2028. In the years 2025 to</w:t>
      </w:r>
    </w:p>
    <w:p>
      <w:pPr>
        <w:pStyle w:val="BodyText"/>
      </w:pPr>
      <w:r>
        <w:t xml:space="preserve">87 Under the assumption that the average test mass of the fleet is equal to the reference mass (TM0) used for</w:t>
      </w:r>
      <w:r>
        <w:t xml:space="preserve"> </w:t>
      </w:r>
      <w:r>
        <w:t xml:space="preserve">the limit value curve in that year. That reference mass is adjusted every two years (from 2025 onwards) to</w:t>
      </w:r>
      <w:r>
        <w:t xml:space="preserve"> </w:t>
      </w:r>
      <w:r>
        <w:t xml:space="preserve">take into account the evolution of the average fleet mass over time.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2028, the derogation target for those manufacturers will be 15% below the 2021 derogation</w:t>
      </w:r>
      <w:r>
        <w:t xml:space="preserve"> </w:t>
      </w:r>
      <w:r>
        <w:t xml:space="preserve">target, which is 45% below their emissions in the reference year 2007.</w:t>
      </w:r>
      <w:r>
        <w:br/>
      </w:r>
      <w:r>
        <w:t xml:space="preserve">Eco-innovations</w:t>
      </w:r>
      <w:r>
        <w:t xml:space="preserve"> </w:t>
      </w:r>
      <w:r>
        <w:t xml:space="preserve">Manufacturers may benefit from fitting their vehicles with innovative emission reduction</w:t>
      </w:r>
      <w:r>
        <w:t xml:space="preserve"> </w:t>
      </w:r>
      <w:r>
        <w:t xml:space="preserve">technologies for which the emission savings are not (or only in part) covered by the WLTP</w:t>
      </w:r>
      <w:r>
        <w:t xml:space="preserve"> </w:t>
      </w:r>
      <w:r>
        <w:t xml:space="preserve">emission test procedure. In order to be eligible, such technologies have to be approved as</w:t>
      </w:r>
      <w:r>
        <w:t xml:space="preserve"> </w:t>
      </w:r>
      <w:r>
        <w:t xml:space="preserve">“eco-innovations” by a Commission Decision. The manufacturer’s average specific</w:t>
      </w:r>
      <w:r>
        <w:t xml:space="preserve"> </w:t>
      </w:r>
      <w:r>
        <w:t xml:space="preserve">emissions in a calendar year may be reduced by the emission savings obtained through</w:t>
      </w:r>
      <w:r>
        <w:t xml:space="preserve"> </w:t>
      </w:r>
      <w:r>
        <w:t xml:space="preserve">such eco-innovations. These savings are capped up to a maximum of 6 g CO2/km (from</w:t>
      </w:r>
      <w:r>
        <w:t xml:space="preserve"> </w:t>
      </w:r>
      <w:r>
        <w:t xml:space="preserve">2025 until 2029) and 4 g CO2/km (from 2030 until 2034).</w:t>
      </w:r>
      <w:r>
        <w:br/>
      </w:r>
      <w:r>
        <w:t xml:space="preserve">Governance</w:t>
      </w:r>
      <w:r>
        <w:t xml:space="preserve"> </w:t>
      </w:r>
      <w:r>
        <w:t xml:space="preserve">In order to reinforce the effectiveness of the Regulation, it provides for (i) the verification</w:t>
      </w:r>
      <w:r>
        <w:t xml:space="preserve"> </w:t>
      </w:r>
      <w:r>
        <w:t xml:space="preserve">of CO2 emissions of vehicles in-service and (ii) measures to ensure that the WLTP</w:t>
      </w:r>
      <w:r>
        <w:t xml:space="preserve"> </w:t>
      </w:r>
      <w:r>
        <w:t xml:space="preserve">emission test procedure yields results which are representative of real-world emissions.</w:t>
      </w:r>
      <w:r>
        <w:t xml:space="preserve"> </w:t>
      </w:r>
      <w:r>
        <w:t xml:space="preserve">In-service verification of CO2 emissions</w:t>
      </w:r>
      <w:r>
        <w:t xml:space="preserve"> </w:t>
      </w:r>
      <w:r>
        <w:t xml:space="preserve">Manufacturers have to ensure correspondence between the CO2 emissions recorded in the</w:t>
      </w:r>
      <w:r>
        <w:t xml:space="preserve"> </w:t>
      </w:r>
      <w:r>
        <w:t xml:space="preserve">certificates of conformity of their vehicles and the WLTP CO2 emissions of vehicles in-</w:t>
      </w:r>
      <w:r>
        <w:t xml:space="preserve"> </w:t>
      </w:r>
      <w:r>
        <w:t xml:space="preserve">service. Type-approval authorities are responsible for verifying this correspondence in</w:t>
      </w:r>
      <w:r>
        <w:t xml:space="preserve"> </w:t>
      </w:r>
      <w:r>
        <w:t xml:space="preserve">selected vehicles and to verify the presence of any strategies artificially improving the</w:t>
      </w:r>
      <w:r>
        <w:t xml:space="preserve"> </w:t>
      </w:r>
      <w:r>
        <w:t xml:space="preserve">vehicle’s performance in the type-approval tests.</w:t>
      </w:r>
      <w:r>
        <w:br/>
      </w:r>
      <w:r>
        <w:t xml:space="preserve">The procedures for performing these in-service verifications are set out in Commission</w:t>
      </w:r>
      <w:r>
        <w:t xml:space="preserve"> </w:t>
      </w:r>
      <w:r>
        <w:t xml:space="preserve">Delegated Regulation (EU) 2023/286788, which contains the guiding principles and</w:t>
      </w:r>
      <w:r>
        <w:t xml:space="preserve"> </w:t>
      </w:r>
      <w:r>
        <w:t xml:space="preserve">criteria, and Commission Implementing Regulation (EU) 2023/286789 setting out the</w:t>
      </w:r>
      <w:r>
        <w:t xml:space="preserve"> </w:t>
      </w:r>
      <w:r>
        <w:t xml:space="preserve">actual procedure.</w:t>
      </w:r>
      <w:r>
        <w:t xml:space="preserve"> </w:t>
      </w:r>
      <w:r>
        <w:t xml:space="preserve">The type-approval authorities have started their verifications in 2024. They shall report</w:t>
      </w:r>
      <w:r>
        <w:t xml:space="preserve"> </w:t>
      </w:r>
      <w:r>
        <w:t xml:space="preserve">their findings to the Commission, in particular where they identify deviations in the CO2</w:t>
      </w:r>
      <w:r>
        <w:t xml:space="preserve"> </w:t>
      </w:r>
      <w:r>
        <w:t xml:space="preserve">emissions of vehicles in-service. In that case, the Commission shall take those deviations</w:t>
      </w:r>
      <w:r>
        <w:t xml:space="preserve"> </w:t>
      </w:r>
      <w:r>
        <w:t xml:space="preserve">into account for the purpose of calculating the average specific emissions of a</w:t>
      </w:r>
      <w:r>
        <w:t xml:space="preserve"> </w:t>
      </w:r>
      <w:r>
        <w:t xml:space="preserve">manufacturer.</w:t>
      </w:r>
      <w:r>
        <w:t xml:space="preserve"> </w:t>
      </w:r>
      <w:r>
        <w:t xml:space="preserve">Real-world emissions and the use of on-board fuel and/or energy consumption monitoring</w:t>
      </w:r>
      <w:r>
        <w:t xml:space="preserve"> </w:t>
      </w:r>
      <w:r>
        <w:t xml:space="preserve">devices (OBFCM)</w:t>
      </w:r>
      <w:r>
        <w:t xml:space="preserve"> </w:t>
      </w:r>
      <w:r>
        <w:t xml:space="preserve">Since 2021, the Commission collecting data from OBFCM on the real-world fuel and</w:t>
      </w:r>
      <w:r>
        <w:t xml:space="preserve"> </w:t>
      </w:r>
      <w:r>
        <w:t xml:space="preserve">energy consumption of passenger cars and vans with the aim of ensure the monitoring how</w:t>
      </w:r>
      <w:r>
        <w:t xml:space="preserve"> </w:t>
      </w:r>
      <w:r>
        <w:t xml:space="preserve">the gap between CO2 emissions recorded at type-approval (WLTP) and real-world</w:t>
      </w:r>
      <w:r>
        <w:t xml:space="preserve"> </w:t>
      </w:r>
      <w:r>
        <w:t xml:space="preserve">emissions evolves.</w:t>
      </w:r>
    </w:p>
    <w:p>
      <w:pPr>
        <w:pStyle w:val="BodyText"/>
      </w:pPr>
      <w:r>
        <w:t xml:space="preserve">88 http://data.europa.eu/eli/reg_del/2023/2867/oj</w:t>
      </w:r>
      <w:r>
        <w:t xml:space="preserve"> </w:t>
      </w:r>
      <w:r>
        <w:t xml:space="preserve">89 http://data.europa.eu/eli/reg_impl/2023/2866/oj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The detailed procedures for collecting and processing the data are set out in a Commission</w:t>
      </w:r>
      <w:r>
        <w:t xml:space="preserve"> </w:t>
      </w:r>
      <w:r>
        <w:t xml:space="preserve">Implementing Regulation90. The first data have been published in 2024, together with a</w:t>
      </w:r>
      <w:r>
        <w:t xml:space="preserve"> </w:t>
      </w:r>
      <w:r>
        <w:t xml:space="preserve">Commission report91 and Staff Working Document92 setting out the methodology</w:t>
      </w:r>
      <w:r>
        <w:t xml:space="preserve"> </w:t>
      </w:r>
      <w:r>
        <w:t xml:space="preserve">followed.</w:t>
      </w:r>
      <w:r>
        <w:t xml:space="preserve"> </w:t>
      </w:r>
      <w:r>
        <w:t xml:space="preserve">The full data set and an overview of the main findings are available on the EEA website93.</w:t>
      </w:r>
      <w:r>
        <w:t xml:space="preserve"> </w:t>
      </w:r>
      <w:r>
        <w:t xml:space="preserve">2.</w:t>
      </w:r>
      <w:r>
        <w:t xml:space="preserve"> </w:t>
      </w:r>
      <w:r>
        <w:t xml:space="preserve">DIRECTIVE 1999/94/EC</w:t>
      </w:r>
      <w:r>
        <w:t xml:space="preserve"> </w:t>
      </w:r>
      <w:r>
        <w:t xml:space="preserve">Directive 1999/94/EC requires Member States to ensure that relevant information is</w:t>
      </w:r>
      <w:r>
        <w:t xml:space="preserve"> </w:t>
      </w:r>
      <w:r>
        <w:t xml:space="preserve">provided to consumers looking to buy or lease a new car. More specifically, it requires:</w:t>
      </w:r>
      <w:r>
        <w:t xml:space="preserve"> </w:t>
      </w:r>
      <w:r>
        <w:t xml:space="preserve">• A label showing fuel economy and CO2 emissions on all new cars or displayed</w:t>
      </w:r>
      <w:r>
        <w:t xml:space="preserve"> </w:t>
      </w:r>
      <w:r>
        <w:t xml:space="preserve">nearby at the point of sale;</w:t>
      </w:r>
      <w:r>
        <w:t xml:space="preserve"> </w:t>
      </w:r>
      <w:r>
        <w:t xml:space="preserve">• A poster or display prominently showing the official fuel consumption and</w:t>
      </w:r>
      <w:r>
        <w:t xml:space="preserve"> </w:t>
      </w:r>
      <w:r>
        <w:t xml:space="preserve">CO2 emissions data of all new car models displayed or offered for sale or lease at</w:t>
      </w:r>
      <w:r>
        <w:t xml:space="preserve"> </w:t>
      </w:r>
      <w:r>
        <w:t xml:space="preserve">point of sale;</w:t>
      </w:r>
      <w:r>
        <w:t xml:space="preserve"> </w:t>
      </w:r>
      <w:r>
        <w:t xml:space="preserve">• A yearly guide on fuel economy and CO2 emissions from new cars, produced in</w:t>
      </w:r>
      <w:r>
        <w:t xml:space="preserve"> </w:t>
      </w:r>
      <w:r>
        <w:t xml:space="preserve">consultation with manufacturers. The guide should be available free of charge at</w:t>
      </w:r>
      <w:r>
        <w:t xml:space="preserve"> </w:t>
      </w:r>
      <w:r>
        <w:t xml:space="preserve">the point of sale and from a designated body within each Member State;</w:t>
      </w:r>
      <w:r>
        <w:t xml:space="preserve"> </w:t>
      </w:r>
      <w:r>
        <w:t xml:space="preserve">• All promotional literature to contain the official fuel consumption and</w:t>
      </w:r>
      <w:r>
        <w:t xml:space="preserve"> </w:t>
      </w:r>
      <w:r>
        <w:t xml:space="preserve">CO2 emissions data for the car models to which it refers.</w:t>
      </w:r>
      <w:r>
        <w:t xml:space="preserve"> </w:t>
      </w:r>
      <w:r>
        <w:t xml:space="preserve">Annexes to the Directive set out minimum requirements that each of these items must meet.</w:t>
      </w:r>
      <w:r>
        <w:t xml:space="preserve"> </w:t>
      </w:r>
      <w:r>
        <w:t xml:space="preserve">3.</w:t>
      </w:r>
      <w:r>
        <w:t xml:space="preserve"> </w:t>
      </w:r>
      <w:r>
        <w:t xml:space="preserve">THE INTERFACE BETWEEN THE LDVS CO2 EMISSIONS STANDARDS REGULATION</w:t>
      </w:r>
      <w:r>
        <w:t xml:space="preserve"> </w:t>
      </w:r>
      <w:r>
        <w:t xml:space="preserve">AND THE CAR LABELLING DIRECTIVE</w:t>
      </w:r>
      <w:r>
        <w:t xml:space="preserve"> </w:t>
      </w:r>
      <w:r>
        <w:t xml:space="preserve">The Car labelling Directive is the requirement under the car labelling provisions to supply</w:t>
      </w:r>
      <w:r>
        <w:t xml:space="preserve"> </w:t>
      </w:r>
      <w:r>
        <w:t xml:space="preserve">information to consumers on the CO2 emissions and fuel consumption of new passenger</w:t>
      </w:r>
      <w:r>
        <w:t xml:space="preserve"> </w:t>
      </w:r>
      <w:r>
        <w:t xml:space="preserve">cars. It is a policy tool to empower informed consumer choices. The Car Labelling</w:t>
      </w:r>
      <w:r>
        <w:t xml:space="preserve"> </w:t>
      </w:r>
      <w:r>
        <w:t xml:space="preserve">Directive and the CO2 emissions emission standard both rely on the same method for</w:t>
      </w:r>
      <w:r>
        <w:t xml:space="preserve"> </w:t>
      </w:r>
      <w:r>
        <w:t xml:space="preserve">determining the CO2 emissions of passenger cars, i.e. the standardised Worldwide</w:t>
      </w:r>
      <w:r>
        <w:t xml:space="preserve"> </w:t>
      </w:r>
      <w:r>
        <w:t xml:space="preserve">harmonised Light vehicles Test Procedure as set out in type approval legislation. The main</w:t>
      </w:r>
      <w:r>
        <w:t xml:space="preserve"> </w:t>
      </w:r>
      <w:r>
        <w:t xml:space="preserve">synergy between the LDV CO2 emissions standards Regulation and the Car labelling</w:t>
      </w:r>
      <w:r>
        <w:t xml:space="preserve"> </w:t>
      </w:r>
      <w:r>
        <w:t xml:space="preserve">Directive consists of the objective to increase the demand for fuel-efficient and low-</w:t>
      </w:r>
      <w:r>
        <w:t xml:space="preserve"> </w:t>
      </w:r>
      <w:r>
        <w:t xml:space="preserve">emitting vehicles, in particular ZEVs. Whereas manufacturers have indicated that a</w:t>
      </w:r>
      <w:r>
        <w:t xml:space="preserve"> </w:t>
      </w:r>
      <w:r>
        <w:t xml:space="preserve">(perceived) lack of demand for ZEVs is hampering them in achieving compliance with the</w:t>
      </w:r>
      <w:r>
        <w:t xml:space="preserve"> </w:t>
      </w:r>
      <w:r>
        <w:t xml:space="preserve">CO2 emissions standards, the Car labelling Directive aims to ensure that information</w:t>
      </w:r>
      <w:r>
        <w:t xml:space="preserve"> </w:t>
      </w:r>
      <w:r>
        <w:t xml:space="preserve">relating to the fuel economy and CO2 emissions of new passenger cars offered for sale or</w:t>
      </w:r>
      <w:r>
        <w:t xml:space="preserve"> </w:t>
      </w:r>
      <w:r>
        <w:t xml:space="preserve">lease in the EU is made available to consumers in order to enable them to make informed</w:t>
      </w:r>
      <w:r>
        <w:t xml:space="preserve"> </w:t>
      </w:r>
      <w:r>
        <w:t xml:space="preserve">decisions and encourage sustainable choices (for example clear information on battery</w:t>
      </w:r>
    </w:p>
    <w:p>
      <w:pPr>
        <w:pStyle w:val="BodyText"/>
      </w:pPr>
      <w:r>
        <w:t xml:space="preserve">90 Commission Implementing Regulation (EU) 2021/392 on the monitoring and reporting of data relating to</w:t>
      </w:r>
      <w:r>
        <w:t xml:space="preserve"> </w:t>
      </w:r>
      <w:r>
        <w:t xml:space="preserve">CO2 emissions from passenger cars and light commercial vehicles pursuant to Regulation (EU) 2019/631 of</w:t>
      </w:r>
      <w:r>
        <w:t xml:space="preserve"> </w:t>
      </w:r>
      <w:r>
        <w:t xml:space="preserve">the European Parliament and of the Council (http://data.europa.eu/eli/reg_impl/2021/392/oj)</w:t>
      </w:r>
      <w:r>
        <w:t xml:space="preserve"> </w:t>
      </w:r>
      <w:r>
        <w:t xml:space="preserve">91 https://eur-lex.europa.eu/legal-content/EN/TXT/?uri=CELEX:52024DC0122</w:t>
      </w:r>
      <w:r>
        <w:t xml:space="preserve"> </w:t>
      </w:r>
      <w:r>
        <w:t xml:space="preserve">92 https://eur-lex.europa.eu/legal-content/EN/TXT/?uri=CELEX:52024SC0059</w:t>
      </w:r>
      <w:r>
        <w:t xml:space="preserve"> </w:t>
      </w:r>
      <w:r>
        <w:t xml:space="preserve">93 https://climate-energy.eea.europa.eu/topics/transport/real-world-emissions/data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autonomy could reduce perceived anxiety and misconceptions from consumers on BEV).</w:t>
      </w:r>
      <w:r>
        <w:t xml:space="preserve"> </w:t>
      </w:r>
      <w:r>
        <w:t xml:space="preserve">Indirectly, such information may contribute to shifting demand towards more fuel efficient</w:t>
      </w:r>
      <w:r>
        <w:t xml:space="preserve"> </w:t>
      </w:r>
      <w:r>
        <w:t xml:space="preserve">and less CO2 emitting cars and thus help manufacturers comply with their CO2 emission</w:t>
      </w:r>
      <w:r>
        <w:t xml:space="preserve"> </w:t>
      </w:r>
      <w:r>
        <w:t xml:space="preserve">targets set by Regulation (EU) 2019/631.</w:t>
      </w:r>
      <w:r>
        <w:t xml:space="preserve"> </w:t>
      </w:r>
      <w:r>
        <w:t xml:space="preserve">The evaluation of the Car labelling Directive found that it could be further aligned with the</w:t>
      </w:r>
      <w:r>
        <w:t xml:space="preserve"> </w:t>
      </w:r>
      <w:r>
        <w:t xml:space="preserve">objective of increasing the uptake of zero-emission vehicles, by extending its information</w:t>
      </w:r>
      <w:r>
        <w:t xml:space="preserve"> </w:t>
      </w:r>
      <w:r>
        <w:t xml:space="preserve">requirements to cover the key parameters of zero-emission cars. This is particularly</w:t>
      </w:r>
      <w:r>
        <w:t xml:space="preserve"> </w:t>
      </w:r>
      <w:r>
        <w:t xml:space="preserve">relevant as the group of consumers buying zero-emission cars is expected to increase</w:t>
      </w:r>
      <w:r>
        <w:t xml:space="preserve"> </w:t>
      </w:r>
      <w:r>
        <w:t xml:space="preserve">significantly over time as a result of the requirements in the CO2 emissions standards and</w:t>
      </w:r>
      <w:r>
        <w:t xml:space="preserve"> </w:t>
      </w:r>
      <w:r>
        <w:t xml:space="preserve">as the EU moves towards achieving its 2050 climate neutrality objective.</w:t>
      </w:r>
      <w:r>
        <w:t xml:space="preserve"> </w:t>
      </w:r>
      <w:r>
        <w:t xml:space="preserve">Therefore, both the CO2 emission standards and vehicle labels should be designed to work</w:t>
      </w:r>
      <w:r>
        <w:t xml:space="preserve"> </w:t>
      </w:r>
      <w:r>
        <w:t xml:space="preserve">together to incentivise the market uptake of zero-emission vehicles, acting both on the</w:t>
      </w:r>
      <w:r>
        <w:t xml:space="preserve"> </w:t>
      </w:r>
      <w:r>
        <w:t xml:space="preserve">supply side (CO2 emission standards) by shifting investments by car industry towards those</w:t>
      </w:r>
      <w:r>
        <w:t xml:space="preserve"> </w:t>
      </w:r>
      <w:r>
        <w:t xml:space="preserve">powertrains, and on the demand side (car label) by trying to incentivise sustainable choices</w:t>
      </w:r>
      <w:r>
        <w:t xml:space="preserve"> </w:t>
      </w:r>
      <w:r>
        <w:t xml:space="preserve">by consumers and nudge them towards zero-emission vehicles by providing clear</w:t>
      </w:r>
      <w:r>
        <w:t xml:space="preserve"> </w:t>
      </w:r>
      <w:r>
        <w:t xml:space="preserve">information on vehicle CO2 performance and turning them into active contributors to the</w:t>
      </w:r>
      <w:r>
        <w:t xml:space="preserve"> </w:t>
      </w:r>
      <w:r>
        <w:t xml:space="preserve">transition.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8: OPTIONS DESCRIPTION AND ASSESSMENT–</w:t>
      </w:r>
      <w:r>
        <w:t xml:space="preserve"> </w:t>
      </w:r>
      <w:r>
        <w:t xml:space="preserve">COMPLEMENTARY INFORMATION</w:t>
      </w:r>
      <w:r>
        <w:br/>
      </w:r>
      <w:r>
        <w:t xml:space="preserve">1.</w:t>
      </w:r>
      <w:r>
        <w:t xml:space="preserve"> </w:t>
      </w:r>
      <w:r>
        <w:t xml:space="preserve">FUELS – DESCRIPTION OF OPTIONS</w:t>
      </w:r>
      <w:r>
        <w:t xml:space="preserve"> </w:t>
      </w:r>
      <w:r>
        <w:t xml:space="preserve">Mechanisms</w:t>
      </w:r>
      <w:r>
        <w:t xml:space="preserve"> </w:t>
      </w:r>
      <w:r>
        <w:t xml:space="preserve">Under the option CCM, the specific emissions targets of all manufacturers would be</w:t>
      </w:r>
      <w:r>
        <w:t xml:space="preserve"> </w:t>
      </w:r>
      <w:r>
        <w:t xml:space="preserve">increased through a carbon correcting mechanism that reflects the market deployment of</w:t>
      </w:r>
      <w:r>
        <w:t xml:space="preserve"> </w:t>
      </w:r>
      <w:r>
        <w:t xml:space="preserve">the eligible fuels. The amount of eligible fuels used by cars (vans) in a year, multiplied by</w:t>
      </w:r>
      <w:r>
        <w:t xml:space="preserve"> </w:t>
      </w:r>
      <w:r>
        <w:t xml:space="preserve">the CO2 intensity of such fuels, gives the CO2 emissions saved. This is then divided by the</w:t>
      </w:r>
      <w:r>
        <w:t xml:space="preserve"> </w:t>
      </w:r>
      <w:r>
        <w:t xml:space="preserve">lifetime mileage of a car (van) and by the number of new cars (vans).</w:t>
      </w:r>
      <w:r>
        <w:t xml:space="preserve"> </w:t>
      </w:r>
      <w:r>
        <w:t xml:space="preserve">This will rely on the monitoring of the amount of eligible fuels put on the market. For the</w:t>
      </w:r>
      <w:r>
        <w:t xml:space="preserve"> </w:t>
      </w:r>
      <w:r>
        <w:t xml:space="preserve">CCM to be effective, vehicle manufacturers have to know at the beginning of the year how</w:t>
      </w:r>
      <w:r>
        <w:t xml:space="preserve"> </w:t>
      </w:r>
      <w:r>
        <w:t xml:space="preserve">much credits they can expect to prepare their compliance strategy. This means that the</w:t>
      </w:r>
      <w:r>
        <w:t xml:space="preserve"> </w:t>
      </w:r>
      <w:r>
        <w:t xml:space="preserve">credits for year N will have to rely on consolidated fuels data. By then, such data will only</w:t>
      </w:r>
      <w:r>
        <w:t xml:space="preserve"> </w:t>
      </w:r>
      <w:r>
        <w:t xml:space="preserve">be available for year N-2. Thus, manufacturers do not benefit immediately from a potential</w:t>
      </w:r>
      <w:r>
        <w:t xml:space="preserve"> </w:t>
      </w:r>
      <w:r>
        <w:t xml:space="preserve">fast ramp-up of the deployment of the eligible fuels, which could an obstacle to fast</w:t>
      </w:r>
      <w:r>
        <w:t xml:space="preserve"> </w:t>
      </w:r>
      <w:r>
        <w:t xml:space="preserve">deployment of such fuels. Besides, potential fluctuations in the placement of eligible fuels</w:t>
      </w:r>
      <w:r>
        <w:t xml:space="preserve"> </w:t>
      </w:r>
      <w:r>
        <w:t xml:space="preserve">on the market may render CO2 target compliance more difficult for vehicle manufacturers</w:t>
      </w:r>
      <w:r>
        <w:t xml:space="preserve"> </w:t>
      </w:r>
      <w:r>
        <w:t xml:space="preserve">as they would have to deal with fluctuating targets over the years. Under certain</w:t>
      </w:r>
      <w:r>
        <w:t xml:space="preserve"> </w:t>
      </w:r>
      <w:r>
        <w:t xml:space="preserve">circonstances, this may even jeopardise their ability to reach their targets.</w:t>
      </w:r>
      <w:r>
        <w:t xml:space="preserve"> </w:t>
      </w:r>
      <w:r>
        <w:t xml:space="preserve">Under the option VEEF, vehicle manufacturers would have to put on the EU market</w:t>
      </w:r>
      <w:r>
        <w:t xml:space="preserve"> </w:t>
      </w:r>
      <w:r>
        <w:t xml:space="preserve">vehicles than can only run on the eligible fuel(s), while fuel distributors would have to</w:t>
      </w:r>
      <w:r>
        <w:t xml:space="preserve"> </w:t>
      </w:r>
      <w:r>
        <w:t xml:space="preserve">install and operate dedicated pumps for those fuels. For fuel suppliers and distributors,</w:t>
      </w:r>
      <w:r>
        <w:t xml:space="preserve"> </w:t>
      </w:r>
      <w:r>
        <w:t xml:space="preserve">developing and marketing those fuels can be a competitive advantage as it may attract both</w:t>
      </w:r>
      <w:r>
        <w:t xml:space="preserve"> </w:t>
      </w:r>
      <w:r>
        <w:t xml:space="preserve">private and corporate (e.g. fuel card holders) customers to their networks. However, fuel</w:t>
      </w:r>
      <w:r>
        <w:t xml:space="preserve"> </w:t>
      </w:r>
      <w:r>
        <w:t xml:space="preserve">suppliers and distributors would need to invest and convert a certain amount of fuel pumps</w:t>
      </w:r>
      <w:r>
        <w:t xml:space="preserve"> </w:t>
      </w:r>
      <w:r>
        <w:t xml:space="preserve">upfront as drivers will not buy such vehicles if they are not convinced they will be able to</w:t>
      </w:r>
      <w:r>
        <w:t xml:space="preserve"> </w:t>
      </w:r>
      <w:r>
        <w:t xml:space="preserve">refuel conveniently.</w:t>
      </w:r>
      <w:r>
        <w:t xml:space="preserve"> </w:t>
      </w:r>
      <w:r>
        <w:t xml:space="preserve">2.</w:t>
      </w:r>
      <w:r>
        <w:t xml:space="preserve"> </w:t>
      </w:r>
      <w:r>
        <w:t xml:space="preserve">OVC-HEV OPTIONS</w:t>
      </w:r>
      <w:r>
        <w:t xml:space="preserve"> </w:t>
      </w:r>
      <w:r>
        <w:t xml:space="preserve">OVC-HEV options: description and rationale</w:t>
      </w:r>
      <w:r>
        <w:t xml:space="preserve"> </w:t>
      </w:r>
      <w:r>
        <w:t xml:space="preserve">Option 0 (baseline) provides certainty to investors and industries, in particular in the whole</w:t>
      </w:r>
      <w:r>
        <w:t xml:space="preserve"> </w:t>
      </w:r>
      <w:r>
        <w:t xml:space="preserve">electric vehicle ecosystem by sticking to the current direction of travel, indicating that only</w:t>
      </w:r>
      <w:r>
        <w:t xml:space="preserve"> </w:t>
      </w:r>
      <w:r>
        <w:t xml:space="preserve">tailpipe zero-emission vehicles can be put on the market as of 2035. Options OVC-HEV_1</w:t>
      </w:r>
      <w:r>
        <w:t xml:space="preserve"> </w:t>
      </w:r>
      <w:r>
        <w:t xml:space="preserve">and OVC-HEV_2 leave room for PHEV/EREV and will therefore stimulate limited</w:t>
      </w:r>
      <w:r>
        <w:t xml:space="preserve"> </w:t>
      </w:r>
      <w:r>
        <w:t xml:space="preserve">investments in combustion engines in the longer term, possibly supporting the</w:t>
      </w:r>
      <w:r>
        <w:t xml:space="preserve"> </w:t>
      </w:r>
      <w:r>
        <w:t xml:space="preserve">competitiveness of some European manufacturers in other markets.</w:t>
      </w:r>
      <w:r>
        <w:t xml:space="preserve"> </w:t>
      </w:r>
      <w:r>
        <w:t xml:space="preserve">While option OVC-HEV_1 would help ensure that PHEV/EREV put on the market will</w:t>
      </w:r>
      <w:r>
        <w:t xml:space="preserve"> </w:t>
      </w:r>
      <w:r>
        <w:t xml:space="preserve">have a sufficient electric range to cover most trips (in particular daily commutes), a too</w:t>
      </w:r>
      <w:r>
        <w:t xml:space="preserve"> </w:t>
      </w:r>
      <w:r>
        <w:t xml:space="preserve">low minimum electric range would render the safeguard meaningless as PHEV/EREV are</w:t>
      </w:r>
      <w:r>
        <w:t xml:space="preserve"> </w:t>
      </w:r>
      <w:r>
        <w:t xml:space="preserve">already evolving towards such longer ranges. In addition, only covering a low minimum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range would assume very frequent recharging, while increased ranges allow the use of the</w:t>
      </w:r>
      <w:r>
        <w:t xml:space="preserve"> </w:t>
      </w:r>
      <w:r>
        <w:t xml:space="preserve">vehicle in electric mode also with less frequent charging (likely the case for those citizens</w:t>
      </w:r>
      <w:r>
        <w:t xml:space="preserve"> </w:t>
      </w:r>
      <w:r>
        <w:t xml:space="preserve">who do not own a private charging point).</w:t>
      </w:r>
      <w:r>
        <w:br/>
      </w:r>
      <w:r>
        <w:t xml:space="preserve">Option OVC-HEV_2 would offer greater confidence that PHEV/EREV are used as</w:t>
      </w:r>
      <w:r>
        <w:t xml:space="preserve"> </w:t>
      </w:r>
      <w:r>
        <w:t xml:space="preserve">intended, meaning primarily in pure electric mode. Ensuring that these vehicles have</w:t>
      </w:r>
      <w:r>
        <w:t xml:space="preserve"> </w:t>
      </w:r>
      <w:r>
        <w:t xml:space="preserve">access to fast charging (as in California) is a minimum safeguard to guarantee they can be</w:t>
      </w:r>
      <w:r>
        <w:t xml:space="preserve"> </w:t>
      </w:r>
      <w:r>
        <w:t xml:space="preserve">conveniently and frequently recharged for any kind of usage. Making sure that under usual</w:t>
      </w:r>
      <w:r>
        <w:t xml:space="preserve"> </w:t>
      </w:r>
      <w:r>
        <w:t xml:space="preserve">conditions of use (e.g. highway, cold temperatures, strong accelerations) these vehicles</w:t>
      </w:r>
      <w:r>
        <w:t xml:space="preserve"> </w:t>
      </w:r>
      <w:r>
        <w:t xml:space="preserve">keep running in electric mode will improve the share of pure electric drive and reduce CO2</w:t>
      </w:r>
      <w:r>
        <w:t xml:space="preserve"> </w:t>
      </w:r>
      <w:r>
        <w:t xml:space="preserve">emissions and the need to refuel altogether. Finally, this could be used as a global landmark</w:t>
      </w:r>
      <w:r>
        <w:t xml:space="preserve"> </w:t>
      </w:r>
      <w:r>
        <w:t xml:space="preserve">for developing advanced PHEV/EREV, which would further stimulate development in the</w:t>
      </w:r>
      <w:r>
        <w:t xml:space="preserve"> </w:t>
      </w:r>
      <w:r>
        <w:t xml:space="preserve">technology and eventually support even more the competitiveness of European</w:t>
      </w:r>
      <w:r>
        <w:t xml:space="preserve"> </w:t>
      </w:r>
      <w:r>
        <w:t xml:space="preserve">manufacturers.</w:t>
      </w:r>
      <w:r>
        <w:br/>
      </w:r>
      <w:r>
        <w:t xml:space="preserve">Limiting real-world CO2 emissions of OVC-HEV</w:t>
      </w:r>
      <w:r>
        <w:t xml:space="preserve"> </w:t>
      </w:r>
      <w:r>
        <w:t xml:space="preserve">In view of limiting the potential detrimental environmental impact of allowing OVC-HEV</w:t>
      </w:r>
      <w:r>
        <w:t xml:space="preserve"> </w:t>
      </w:r>
      <w:r>
        <w:t xml:space="preserve">(that are not zero-emission vehicles) to be accounted as emitting 0 gCO2/km as of 2035, is</w:t>
      </w:r>
      <w:r>
        <w:t xml:space="preserve"> </w:t>
      </w:r>
      <w:r>
        <w:t xml:space="preserve">it key to ensure that those OVC-HEV are actual close-to-zero-emitting vehicles.</w:t>
      </w:r>
      <w:r>
        <w:br/>
      </w:r>
      <w:r>
        <w:t xml:space="preserve">Since 2022, the Commission is collecting real-world fuel consumption data from new</w:t>
      </w:r>
      <w:r>
        <w:t xml:space="preserve"> </w:t>
      </w:r>
      <w:r>
        <w:t xml:space="preserve">LDVs put on the EU roads since 2021, including from OVC-HEV. The data show that real-</w:t>
      </w:r>
      <w:r>
        <w:t xml:space="preserve"> </w:t>
      </w:r>
      <w:r>
        <w:t xml:space="preserve">world CO2 emissions from OVC-HEV are on average 3,5 times higher than their type-</w:t>
      </w:r>
      <w:r>
        <w:t xml:space="preserve"> </w:t>
      </w:r>
      <w:r>
        <w:t xml:space="preserve">approval average CO2 emissions94. This is notably due to the fact that drivers do not</w:t>
      </w:r>
      <w:r>
        <w:t xml:space="preserve"> </w:t>
      </w:r>
      <w:r>
        <w:t xml:space="preserve">recharge their vehicles as frequently as anticipated.</w:t>
      </w:r>
      <w:r>
        <w:t xml:space="preserve"> </w:t>
      </w:r>
      <w:r>
        <w:t xml:space="preserve">It is important to note that, on top of introducing further requirements for OVC-HEV, key</w:t>
      </w:r>
      <w:r>
        <w:t xml:space="preserve"> </w:t>
      </w:r>
      <w:r>
        <w:t xml:space="preserve">automotive markets (incl. EU, US and China) have decided to tighten the testing regime</w:t>
      </w:r>
      <w:r>
        <w:t xml:space="preserve"> </w:t>
      </w:r>
      <w:r>
        <w:t xml:space="preserve">for OVC-HEV, lowering the so-called Utility Factors to reduce the gap between lab and</w:t>
      </w:r>
      <w:r>
        <w:t xml:space="preserve"> </w:t>
      </w:r>
      <w:r>
        <w:t xml:space="preserve">real-world emissions. The EU has done so in two steps, with a first tightening that already</w:t>
      </w:r>
      <w:r>
        <w:t xml:space="preserve"> </w:t>
      </w:r>
      <w:r>
        <w:t xml:space="preserve">took place in 2025, while a next one is foreseen for 2027. In the public consultation, the</w:t>
      </w:r>
      <w:r>
        <w:t xml:space="preserve"> </w:t>
      </w:r>
      <w:r>
        <w:t xml:space="preserve">automotive industry (ACEA, VDA, CLEPA) requested to freeze the utility factors to their</w:t>
      </w:r>
      <w:r>
        <w:t xml:space="preserve"> </w:t>
      </w:r>
      <w:r>
        <w:t xml:space="preserve">2025 levels. They argue that the 2027 changes are based on vehicles already put on the</w:t>
      </w:r>
      <w:r>
        <w:t xml:space="preserve"> </w:t>
      </w:r>
      <w:r>
        <w:t xml:space="preserve">market, whereas the technology is evolving rapidly and improvements in real-world</w:t>
      </w:r>
      <w:r>
        <w:t xml:space="preserve"> </w:t>
      </w:r>
      <w:r>
        <w:t xml:space="preserve">emissions should be visible shortly – with 2027 utility factors, several industrial actors</w:t>
      </w:r>
      <w:r>
        <w:t xml:space="preserve"> </w:t>
      </w:r>
      <w:r>
        <w:t xml:space="preserve">argue that OVC-HEV would stop being developed and new models would not come to the</w:t>
      </w:r>
      <w:r>
        <w:t xml:space="preserve"> </w:t>
      </w:r>
      <w:r>
        <w:t xml:space="preserve">market as they would help to reach CO2 targets. In view of ensuring that real-world</w:t>
      </w:r>
      <w:r>
        <w:t xml:space="preserve"> </w:t>
      </w:r>
      <w:r>
        <w:t xml:space="preserve">performances of OVC-HEV improve and to ensure a greater alignment with utility factors,</w:t>
      </w:r>
      <w:r>
        <w:t xml:space="preserve"> </w:t>
      </w:r>
      <w:r>
        <w:t xml:space="preserve">some vehicle manufacturers and suppliers have suggested to introduce additional technical</w:t>
      </w:r>
      <w:r>
        <w:t xml:space="preserve"> </w:t>
      </w:r>
      <w:r>
        <w:t xml:space="preserve">requirements on vehicles such as an inducement system that could reduce the performances</w:t>
      </w:r>
      <w:r>
        <w:t xml:space="preserve"> </w:t>
      </w:r>
      <w:r>
        <w:t xml:space="preserve">of a vehicle if it is not frequently recharged.</w:t>
      </w:r>
      <w:r>
        <w:t xml:space="preserve"> </w:t>
      </w:r>
      <w:r>
        <w:t xml:space="preserve">Other countries and regions seeing a future in OVC-HEV have set up additional rules to</w:t>
      </w:r>
      <w:r>
        <w:t xml:space="preserve"> </w:t>
      </w:r>
      <w:r>
        <w:t xml:space="preserve">ensure that OVC-HEV are driven in electric mode as much as possible and are actual low-</w:t>
      </w:r>
      <w:r>
        <w:t xml:space="preserve"> </w:t>
      </w:r>
      <w:r>
        <w:t xml:space="preserve">emitting vehicles. For example, Canada has set a minimum range (80 km) for OVC-HEV</w:t>
      </w:r>
    </w:p>
    <w:p>
      <w:pPr>
        <w:pStyle w:val="BodyText"/>
      </w:pPr>
      <w:r>
        <w:t xml:space="preserve">94 https://climate-energy.eea.europa.eu/topics/transport/real-world-emissions/data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to be able to be registered on its market as of 2035, and California has set, on top of a</w:t>
      </w:r>
      <w:r>
        <w:t xml:space="preserve"> </w:t>
      </w:r>
      <w:r>
        <w:t xml:space="preserve">minimum range (113 km), additional criteria to ensure OVC-HEV can be fast-charged, and</w:t>
      </w:r>
      <w:r>
        <w:t xml:space="preserve"> </w:t>
      </w:r>
      <w:r>
        <w:t xml:space="preserve">can drive in pure electric mode even under extreme driving conditions. China also</w:t>
      </w:r>
      <w:r>
        <w:t xml:space="preserve"> </w:t>
      </w:r>
      <w:r>
        <w:t xml:space="preserve">announced tightening rules for OVC-HEV as from 2026. This would mean that only</w:t>
      </w:r>
      <w:r>
        <w:t xml:space="preserve"> </w:t>
      </w:r>
      <w:r>
        <w:t xml:space="preserve">models with more than 100 km of pure electric range and a high energy efficiency would</w:t>
      </w:r>
      <w:r>
        <w:t xml:space="preserve"> </w:t>
      </w:r>
      <w:r>
        <w:t xml:space="preserve">be able to benefit from tax incentives.</w:t>
      </w:r>
      <w:r>
        <w:br/>
      </w:r>
      <w:r>
        <w:t xml:space="preserve">Under both options, OVC-HEV_1 and OVC-HEV_2, the OVC-HEV eligible for being</w:t>
      </w:r>
      <w:r>
        <w:t xml:space="preserve"> </w:t>
      </w:r>
      <w:r>
        <w:t xml:space="preserve">accounted as emitting 0 g CO2/km as of 2035 would need to have a large minimum electric</w:t>
      </w:r>
      <w:r>
        <w:t xml:space="preserve"> </w:t>
      </w:r>
      <w:r>
        <w:t xml:space="preserve">range. The average electric range of OVC-HEV put on the EU market in 2024 was 78,4</w:t>
      </w:r>
      <w:r>
        <w:t xml:space="preserve"> </w:t>
      </w:r>
      <w:r>
        <w:t xml:space="preserve">km, which is 10 km more than in 2023. While most vehicles were having a range of not</w:t>
      </w:r>
      <w:r>
        <w:t xml:space="preserve"> </w:t>
      </w:r>
      <w:r>
        <w:t xml:space="preserve">more than 50 km a few years ago there are now models with 140 km and even 200 km</w:t>
      </w:r>
      <w:r>
        <w:t xml:space="preserve"> </w:t>
      </w:r>
      <w:r>
        <w:t xml:space="preserve">electric range on offer. The ongoing decrease in battery prices is also supporting this trend.</w:t>
      </w:r>
      <w:r>
        <w:br/>
      </w:r>
      <w:r>
        <w:t xml:space="preserve">This indicates that setting a minimum range of around 150 km for 2035 would follow the</w:t>
      </w:r>
      <w:r>
        <w:t xml:space="preserve"> </w:t>
      </w:r>
      <w:r>
        <w:t xml:space="preserve">currently ongoing evolution.</w:t>
      </w:r>
      <w:r>
        <w:br/>
      </w:r>
      <w:r>
        <w:t xml:space="preserve">Under OVC-HEV_2, next to the minimum range requirement, eligible OVC-HEV would</w:t>
      </w:r>
      <w:r>
        <w:t xml:space="preserve"> </w:t>
      </w:r>
      <w:r>
        <w:t xml:space="preserve">be required to have additional characteristics to maximise their use in electric mode,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(i)</w:t>
      </w:r>
      <w:r>
        <w:t xml:space="preserve"> </w:t>
      </w:r>
      <w:r>
        <w:t xml:space="preserve">Electric range larger than non-electric range;</w:t>
      </w:r>
      <w:r>
        <w:t xml:space="preserve"> </w:t>
      </w:r>
      <w:r>
        <w:t xml:space="preserve">(ii)</w:t>
      </w:r>
      <w:r>
        <w:t xml:space="preserve"> </w:t>
      </w:r>
      <w:r>
        <w:t xml:space="preserve">ICE not operating when the battery is not depleted;</w:t>
      </w:r>
      <w:r>
        <w:br/>
      </w:r>
      <w:r>
        <w:t xml:space="preserve">(iii)</w:t>
      </w:r>
      <w:r>
        <w:t xml:space="preserve"> </w:t>
      </w:r>
      <w:r>
        <w:t xml:space="preserve">Fast DC charging95 - maximum power output of at least 50 kW.</w:t>
      </w:r>
      <w:r>
        <w:t xml:space="preserve"> </w:t>
      </w:r>
      <w:r>
        <w:t xml:space="preserve">These additional conditions would ensure that the eligible vehicles are designed in such a</w:t>
      </w:r>
      <w:r>
        <w:t xml:space="preserve"> </w:t>
      </w:r>
      <w:r>
        <w:t xml:space="preserve">way that their potential to drive electrically is significant, which will considerably decrease</w:t>
      </w:r>
      <w:r>
        <w:t xml:space="preserve"> </w:t>
      </w:r>
      <w:r>
        <w:t xml:space="preserve">the gap between real-world and laboratory CO2 emissions. Conditions (i) and (iii) would</w:t>
      </w:r>
      <w:r>
        <w:t xml:space="preserve"> </w:t>
      </w:r>
      <w:r>
        <w:t xml:space="preserve">incentivise the driver to recharge more frequently due to a possibility to fast charge and</w:t>
      </w:r>
      <w:r>
        <w:t xml:space="preserve"> </w:t>
      </w:r>
      <w:r>
        <w:t xml:space="preserve">the inconvenience of driving solely on the combustion engine with a limited range.</w:t>
      </w:r>
      <w:r>
        <w:t xml:space="preserve"> </w:t>
      </w:r>
      <w:r>
        <w:t xml:space="preserve">Condition (ii) would ensure that OVC-HEV drive in pure electric mode when the battery</w:t>
      </w:r>
      <w:r>
        <w:t xml:space="preserve"> </w:t>
      </w:r>
      <w:r>
        <w:t xml:space="preserve">is charged and customers would expect to drive electrically. The analysis of real-world</w:t>
      </w:r>
      <w:r>
        <w:t xml:space="preserve"> </w:t>
      </w:r>
      <w:r>
        <w:t xml:space="preserve">data has shown that, even in charge depleting mode, the combustion engine is frequently</w:t>
      </w:r>
      <w:r>
        <w:t xml:space="preserve"> </w:t>
      </w:r>
      <w:r>
        <w:t xml:space="preserve">activated96.</w:t>
      </w:r>
      <w:r>
        <w:br/>
      </w:r>
      <w:r>
        <w:t xml:space="preserve">OVC-HEV options: impacts on vehicle cost</w:t>
      </w:r>
      <w:r>
        <w:t xml:space="preserve"> </w:t>
      </w:r>
      <w:r>
        <w:t xml:space="preserve">In 2024, the average electric range of OVC-HEVs put on the EU market was about 80 km,</w:t>
      </w:r>
      <w:r>
        <w:t xml:space="preserve"> </w:t>
      </w:r>
      <w:r>
        <w:t xml:space="preserve">and the average range keeps increasing year after year. In 2035, the battery of an OVC-</w:t>
      </w:r>
      <w:r>
        <w:t xml:space="preserve"> </w:t>
      </w:r>
      <w:r>
        <w:t xml:space="preserve">HEV with a 150 km range would cost about 240 EUR more than today’s battery of an</w:t>
      </w:r>
      <w:r>
        <w:t xml:space="preserve"> </w:t>
      </w:r>
      <w:r>
        <w:t xml:space="preserve">average OVC-HEV.</w:t>
      </w:r>
    </w:p>
    <w:p>
      <w:pPr>
        <w:pStyle w:val="BodyText"/>
      </w:pPr>
      <w:r>
        <w:t xml:space="preserve">95 Regulation - 2023/1804 - EN - EUR-Lex</w:t>
      </w:r>
      <w:r>
        <w:t xml:space="preserve"> </w:t>
      </w:r>
      <w:r>
        <w:t xml:space="preserve">96 Smoke screen: the growing PHEV emissions scandal | T&amp;E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For vans, the uptake of OVC-HEV is very limited .There is currently only one OVC-HEV</w:t>
      </w:r>
      <w:r>
        <w:t xml:space="preserve"> </w:t>
      </w:r>
      <w:r>
        <w:t xml:space="preserve">model sold in the EU, and this has an electric range of around 120 km. For this case, an</w:t>
      </w:r>
      <w:r>
        <w:t xml:space="preserve"> </w:t>
      </w:r>
      <w:r>
        <w:t xml:space="preserve">increase in range to 150 km in 2035 would not result in additional cost.</w:t>
      </w:r>
      <w:r>
        <w:t xml:space="preserve"> </w:t>
      </w:r>
      <w:r>
        <w:t xml:space="preserve">Under option OVC-HEV_2, the additional technical conditions set out above would come</w:t>
      </w:r>
      <w:r>
        <w:t xml:space="preserve"> </w:t>
      </w:r>
      <w:r>
        <w:t xml:space="preserve">with the following costs:</w:t>
      </w:r>
      <w:r>
        <w:t xml:space="preserve"> </w:t>
      </w:r>
      <w:r>
        <w:t xml:space="preserve">(i) is achieved by limiting the capacity of the fuel tank, which results in no additional costs.</w:t>
      </w:r>
      <w:r>
        <w:t xml:space="preserve"> </w:t>
      </w:r>
      <w:r>
        <w:t xml:space="preserve">(ii) is achieved through software adaptations to the vehicles, which result in no additional</w:t>
      </w:r>
      <w:r>
        <w:t xml:space="preserve"> </w:t>
      </w:r>
      <w:r>
        <w:t xml:space="preserve">costs. To fulfill this requirement, the electric motor will need to be powerful enough to</w:t>
      </w:r>
      <w:r>
        <w:t xml:space="preserve"> </w:t>
      </w:r>
      <w:r>
        <w:t xml:space="preserve">cover all driving situations in pure electric mode, which is a prerequisite to ensuring that</w:t>
      </w:r>
      <w:r>
        <w:t xml:space="preserve"> </w:t>
      </w:r>
      <w:r>
        <w:t xml:space="preserve">those vehicles are driven primarily electrically under real-world condition of usage and</w:t>
      </w:r>
      <w:r>
        <w:t xml:space="preserve"> </w:t>
      </w:r>
      <w:r>
        <w:t xml:space="preserve">therefore should be considered to be part of the baseline.</w:t>
      </w:r>
      <w:r>
        <w:br/>
      </w:r>
      <w:r>
        <w:t xml:space="preserve">As regards (iii), the maximum charging power is limited by the battery capacity. With the</w:t>
      </w:r>
      <w:r>
        <w:t xml:space="preserve"> </w:t>
      </w:r>
      <w:r>
        <w:t xml:space="preserve">current technologies, the maximum charging power is 2-3 times the battery capacity.</w:t>
      </w:r>
      <w:r>
        <w:t xml:space="preserve"> </w:t>
      </w:r>
      <w:r>
        <w:t xml:space="preserve">However, new battery chemistries have the potential to achieve a higher ratio. Currently,</w:t>
      </w:r>
      <w:r>
        <w:t xml:space="preserve"> </w:t>
      </w:r>
      <w:r>
        <w:t xml:space="preserve">an OVC-HEV with a 25 kWh battery (equivalent with an electric range of around 150 km)</w:t>
      </w:r>
      <w:r>
        <w:t xml:space="preserve"> </w:t>
      </w:r>
      <w:r>
        <w:t xml:space="preserve">would have a maximum charging power between 50 and 75 kW. Setting a fast charging</w:t>
      </w:r>
      <w:r>
        <w:t xml:space="preserve"> </w:t>
      </w:r>
      <w:r>
        <w:t xml:space="preserve">power threshold of 50 kW would ensure that vehicles are fitted with fast DC charging</w:t>
      </w:r>
      <w:r>
        <w:t xml:space="preserve"> </w:t>
      </w:r>
      <w:r>
        <w:t xml:space="preserve">whithout putting additional constraints on the battery capacity. The extra cost of DC</w:t>
      </w:r>
      <w:r>
        <w:t xml:space="preserve"> </w:t>
      </w:r>
      <w:r>
        <w:t xml:space="preserve">charging is estimated at EUR 200 per vehicle which is below 1% of the cost of an OVC-</w:t>
      </w:r>
      <w:r>
        <w:t xml:space="preserve"> </w:t>
      </w:r>
      <w:r>
        <w:t xml:space="preserve">HEV.</w:t>
      </w:r>
    </w:p>
    <w:p>
      <w:pPr>
        <w:pStyle w:val="BodyText"/>
      </w:pPr>
      <w:r>
        <w:t xml:space="preserve">81</w:t>
      </w:r>
    </w:p>
    <w:p>
      <w:pPr>
        <w:pStyle w:val="Compact"/>
        <w:numPr>
          <w:ilvl w:val="0"/>
          <w:numId w:val="1019"/>
        </w:numPr>
      </w:pPr>
      <w:r>
        <w:t xml:space="preserve">DETAILED ASSESSMENT OF TOTAL COSTS OF OWNERSHIP FOR NEW LIGHT-DUTY</w:t>
      </w:r>
      <w:r>
        <w:t xml:space="preserve"> </w:t>
      </w:r>
      <w:r>
        <w:t xml:space="preserve">VEHICLES</w:t>
      </w:r>
      <w:r>
        <w:br/>
      </w:r>
      <w:r>
        <w:t xml:space="preserve">The below describes the costs car users face for the purchase and operation of a light-duty</w:t>
      </w:r>
      <w:r>
        <w:t xml:space="preserve"> </w:t>
      </w:r>
      <w:r>
        <w:t xml:space="preserve">vehicle. Three different perspectives are offered, namely those of a first vehicle owner,</w:t>
      </w:r>
      <w:r>
        <w:t xml:space="preserve"> </w:t>
      </w:r>
      <w:r>
        <w:t xml:space="preserve">buying a new vehicle in 2030 and using it for five years until they sell it in 2035, a second</w:t>
      </w:r>
      <w:r>
        <w:t xml:space="preserve"> </w:t>
      </w:r>
      <w:r>
        <w:t xml:space="preserve">owner buying the 5-year-old vehicle in 2035 and using it for another 5 years, and a third</w:t>
      </w:r>
      <w:r>
        <w:t xml:space="preserve"> </w:t>
      </w:r>
      <w:r>
        <w:t xml:space="preserve">owner holding the vehicle for another 5 years from 2040 to 2045. Costs taken into account</w:t>
      </w:r>
      <w:r>
        <w:t xml:space="preserve"> </w:t>
      </w:r>
      <w:r>
        <w:t xml:space="preserve">are the following:</w:t>
      </w:r>
    </w:p>
    <w:p>
      <w:pPr>
        <w:pStyle w:val="Compact"/>
        <w:numPr>
          <w:ilvl w:val="0"/>
          <w:numId w:val="1020"/>
        </w:numPr>
      </w:pPr>
      <w:r>
        <w:t xml:space="preserve">the capital cost of the vehicle, i.e., the loss in vehicle value occurring throughout</w:t>
      </w:r>
      <w:r>
        <w:t xml:space="preserve"> </w:t>
      </w:r>
      <w:r>
        <w:t xml:space="preserve">the respective use phases;</w:t>
      </w:r>
    </w:p>
    <w:p>
      <w:pPr>
        <w:pStyle w:val="Compact"/>
        <w:numPr>
          <w:ilvl w:val="0"/>
          <w:numId w:val="1020"/>
        </w:numPr>
      </w:pPr>
      <w:r>
        <w:t xml:space="preserve">the expenses for fuel and energy, which depend on vehicle efficiency, annual</w:t>
      </w:r>
      <w:r>
        <w:t xml:space="preserve"> </w:t>
      </w:r>
      <w:r>
        <w:t xml:space="preserve">activities, and fuel and energy prices taken from the baseline scenario; and</w:t>
      </w:r>
    </w:p>
    <w:p>
      <w:pPr>
        <w:pStyle w:val="Compact"/>
        <w:numPr>
          <w:ilvl w:val="0"/>
          <w:numId w:val="1020"/>
        </w:numPr>
      </w:pPr>
      <w:r>
        <w:t xml:space="preserve">the operation, maintenance and insurance costs.</w:t>
      </w:r>
      <w:r>
        <w:br/>
      </w:r>
      <w:r>
        <w:t xml:space="preserve">All cost types are discounted to calculate the net present value of the expenses. They are</w:t>
      </w:r>
      <w:r>
        <w:t xml:space="preserve"> </w:t>
      </w:r>
      <w:r>
        <w:t xml:space="preserve">summed over the specific years of vehicle ownership of the respective user perspective to</w:t>
      </w:r>
      <w:r>
        <w:t xml:space="preserve"> </w:t>
      </w:r>
      <w:r>
        <w:t xml:space="preserve">calculate the total costs of ownership (TCO) the vehicle owner faces.</w:t>
      </w:r>
      <w:r>
        <w:t xml:space="preserve"> </w:t>
      </w:r>
      <w:r>
        <w:t xml:space="preserve">Cumulative TCO comparison for user perspectives and powertrains</w:t>
      </w:r>
      <w:r>
        <w:t xml:space="preserve"> </w:t>
      </w:r>
      <w:r>
        <w:t xml:space="preserve">Figure 6 shows the cumulative TCO for a 2030 new car of different segments. Results are</w:t>
      </w:r>
      <w:r>
        <w:t xml:space="preserve"> </w:t>
      </w:r>
      <w:r>
        <w:t xml:space="preserve">presented for Plug-in hybrid electric vehicles (PHEV) and battery electric vehicles (BEV),</w:t>
      </w:r>
      <w:r>
        <w:t xml:space="preserve"> </w:t>
      </w:r>
      <w:r>
        <w:t xml:space="preserve">whose costs are compared to those of a conventional internal combustion engine vehicle</w:t>
      </w:r>
      <w:r>
        <w:t xml:space="preserve"> </w:t>
      </w:r>
      <w:r>
        <w:t xml:space="preserve">(ICE). The three groups of graphs refer to the use period of the first, second and third</w:t>
      </w:r>
      <w:r>
        <w:t xml:space="preserve"> </w:t>
      </w:r>
      <w:r>
        <w:t xml:space="preserve">owner, consecutively.</w:t>
      </w:r>
      <w:r>
        <w:br/>
      </w:r>
      <w:r>
        <w:t xml:space="preserve">As can be seen (top-left and top right, respectively), over five years of usage, the first</w:t>
      </w:r>
      <w:r>
        <w:t xml:space="preserve"> </w:t>
      </w:r>
      <w:r>
        <w:t xml:space="preserve">owner of a small/lower-medium PHEV car (solid blue line) faces total costs which are</w:t>
      </w:r>
      <w:r>
        <w:t xml:space="preserve"> </w:t>
      </w:r>
      <w:r>
        <w:t xml:space="preserve">higher than that of an equivalent ICE car (represented by the x-axis). The first owner of a</w:t>
      </w:r>
      <w:r>
        <w:t xml:space="preserve"> </w:t>
      </w:r>
      <w:r>
        <w:t xml:space="preserve">small and lower medium BEV (green line) faces the lowest costs. It can also be seen that</w:t>
      </w:r>
      <w:r>
        <w:t xml:space="preserve"> </w:t>
      </w:r>
      <w:r>
        <w:t xml:space="preserve">PHEV become cheaper than ICEV for the second user, and even more so for the third. This</w:t>
      </w:r>
      <w:r>
        <w:t xml:space="preserve"> </w:t>
      </w:r>
      <w:r>
        <w:t xml:space="preserve">is due to lower fuel and energy expenditures for the PHEV. BEV is always the cheapest</w:t>
      </w:r>
      <w:r>
        <w:t xml:space="preserve"> </w:t>
      </w:r>
      <w:r>
        <w:t xml:space="preserve">option.</w:t>
      </w:r>
      <w:r>
        <w:br/>
      </w:r>
      <w:r>
        <w:t xml:space="preserve">For upper-medium and large car owners (bottom-left and bottom-right, respectively),</w:t>
      </w:r>
      <w:r>
        <w:t xml:space="preserve"> </w:t>
      </w:r>
      <w:r>
        <w:t xml:space="preserve">PHEV vehicles are slightly less costly than ICEV already for the first user, and increasingly</w:t>
      </w:r>
      <w:r>
        <w:t xml:space="preserve"> </w:t>
      </w:r>
      <w:r>
        <w:t xml:space="preserve">so for the second and third user. BEV are significantly cheaper for all users.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Figure 6: Cars 2030 Cumulative TCO difference vs. ICEV, over vehicle age, for</w:t>
      </w:r>
      <w:r>
        <w:t xml:space="preserve"> </w:t>
      </w:r>
      <w:r>
        <w:t xml:space="preserve">first/second/third user (EUR)</w:t>
      </w:r>
    </w:p>
    <w:p>
      <w:pPr>
        <w:pStyle w:val="BodyText"/>
      </w:pPr>
      <w:r>
        <w:t xml:space="preserve">From top left to bottom right: Small/lower Medium/upper medium/large car. Blue: PHEV, Green: BEV;</w:t>
      </w:r>
      <w:r>
        <w:t xml:space="preserve"> </w:t>
      </w:r>
      <w:r>
        <w:t xml:space="preserve">solid lines: base electricity price, dashed: doubled electricity price (sensitivity – see below more details on</w:t>
      </w:r>
      <w:r>
        <w:t xml:space="preserve"> </w:t>
      </w:r>
      <w:r>
        <w:t xml:space="preserve">the sensitivity analysis)</w:t>
      </w:r>
      <w:r>
        <w:t xml:space="preserve"> </w:t>
      </w:r>
      <w:r>
        <w:t xml:space="preserve">Also for small, medium and large vans (Figure 7) BEV are the cheapest option from a TCO</w:t>
      </w:r>
      <w:r>
        <w:t xml:space="preserve"> </w:t>
      </w:r>
      <w:r>
        <w:t xml:space="preserve">perspective. PHEV are roughly cost competitive with an ICEV for a first owner (with some</w:t>
      </w:r>
      <w:r>
        <w:t xml:space="preserve"> </w:t>
      </w:r>
      <w:r>
        <w:t xml:space="preserve">savings projected for large vans), and increasingly cheaper for a second and third owner.</w:t>
      </w:r>
      <w:r>
        <w:t xml:space="preserve"> </w:t>
      </w:r>
      <w:r>
        <w:t xml:space="preserve">Across all sizes, BEV are the cheapest option, by far, for all users and all sizes of vans.</w:t>
      </w:r>
      <w:r>
        <w:t xml:space="preserve"> </w:t>
      </w:r>
      <w:r>
        <w:t xml:space="preserve">Figure 7: Vans 2030 Cumulative TCO difference vs. ICEV, over vehicle age, for</w:t>
      </w:r>
      <w:r>
        <w:t xml:space="preserve"> </w:t>
      </w:r>
      <w:r>
        <w:t xml:space="preserve">first/second/third user (EUR)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From top left to bottom right: Small/Medium/Large Van. Blue: PHEV, Green: BEV; solid lines: base</w:t>
      </w:r>
      <w:r>
        <w:t xml:space="preserve"> </w:t>
      </w:r>
      <w:r>
        <w:t xml:space="preserve">electricity price, dashed: doubled electricity price (sensitivity)</w:t>
      </w:r>
      <w:r>
        <w:t xml:space="preserve"> </w:t>
      </w:r>
      <w:r>
        <w:t xml:space="preserve">2035 powertrain cost comparisons</w:t>
      </w:r>
      <w:r>
        <w:t xml:space="preserve"> </w:t>
      </w:r>
      <w:r>
        <w:t xml:space="preserve">The TCO comparison shows that BEV and PHEV become less costly on a TCO basis in</w:t>
      </w:r>
      <w:r>
        <w:t xml:space="preserve"> </w:t>
      </w:r>
      <w:r>
        <w:t xml:space="preserve">comparison to the 2030 results, for a vehicle bought in 2035. Therefore, enduser TCO</w:t>
      </w:r>
      <w:r>
        <w:t xml:space="preserve"> </w:t>
      </w:r>
      <w:r>
        <w:t xml:space="preserve">savings per vehicle compared to ICE are higher than shown above. For all three user</w:t>
      </w:r>
      <w:r>
        <w:t xml:space="preserve"> </w:t>
      </w:r>
      <w:r>
        <w:t xml:space="preserve">perspectives, BEV and PHEV cars of all segments as well as most van segments are</w:t>
      </w:r>
      <w:r>
        <w:t xml:space="preserve"> </w:t>
      </w:r>
      <w:r>
        <w:t xml:space="preserve">cheaper than ICE, even if electricity prices double.</w:t>
      </w:r>
      <w:r>
        <w:t xml:space="preserve"> </w:t>
      </w:r>
      <w:r>
        <w:t xml:space="preserve">Figure 8: Cars 2035 Cumulative TCO difference vs. ICE, over vehicle age, for</w:t>
      </w:r>
      <w:r>
        <w:t xml:space="preserve"> </w:t>
      </w:r>
      <w:r>
        <w:t xml:space="preserve">first/second/third user (EUR)</w:t>
      </w:r>
    </w:p>
    <w:p>
      <w:pPr>
        <w:pStyle w:val="BodyText"/>
      </w:pPr>
      <w:r>
        <w:t xml:space="preserve">From top left to bottom right: Small/lower Medium/upper medium/large car. Blue: PHEV, Green: BEV;</w:t>
      </w:r>
      <w:r>
        <w:t xml:space="preserve"> </w:t>
      </w:r>
      <w:r>
        <w:t xml:space="preserve">solid lines: base electricity price, dashed: doubled electricity price (sensitivity)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Figure 9: Vans 2035 Cumulative TCO difference vs. ICE, over vehicle age, for</w:t>
      </w:r>
      <w:r>
        <w:t xml:space="preserve"> </w:t>
      </w:r>
      <w:r>
        <w:t xml:space="preserve">first/second/third user (EUR), TL_90</w:t>
      </w:r>
    </w:p>
    <w:p>
      <w:pPr>
        <w:pStyle w:val="BodyText"/>
      </w:pPr>
      <w:r>
        <w:t xml:space="preserve">From top left to bottom right: Small/Medium/Large Van. Blue: PHEV, Green: BEV; solid lines: base</w:t>
      </w:r>
      <w:r>
        <w:t xml:space="preserve"> </w:t>
      </w:r>
      <w:r>
        <w:t xml:space="preserve">electricity price, dashed: doubled electricity price (sensitivity)</w:t>
      </w:r>
      <w:r>
        <w:t xml:space="preserve"> </w:t>
      </w:r>
      <w:r>
        <w:t xml:space="preserve">Impact of dedicated SRF vehicles on TCO</w:t>
      </w:r>
      <w:r>
        <w:br/>
      </w:r>
      <w:r>
        <w:t xml:space="preserve">For scenarios where vehicles running exclusively on eligible sustainable renewable fuels</w:t>
      </w:r>
      <w:r>
        <w:t xml:space="preserve"> </w:t>
      </w:r>
      <w:r>
        <w:t xml:space="preserve">are considered, the TCO of 2035 gasoline combustion engine vehicles change. As regards</w:t>
      </w:r>
      <w:r>
        <w:t xml:space="preserve"> </w:t>
      </w:r>
      <w:r>
        <w:t xml:space="preserve">vehicle capital costs, they face an, albeit small, additional cost for technology allowing that</w:t>
      </w:r>
      <w:r>
        <w:t xml:space="preserve"> </w:t>
      </w:r>
      <w:r>
        <w:t xml:space="preserve">only eligible fuels can be used by them, and fuel prices can be expected to be higher.</w:t>
      </w:r>
      <w:r>
        <w:br/>
      </w:r>
      <w:r>
        <w:t xml:space="preserve">3.1.</w:t>
      </w:r>
      <w:r>
        <w:t xml:space="preserve"> </w:t>
      </w:r>
      <w:r>
        <w:t xml:space="preserve">IMPACT OF ELECTRICITY PRICE ON TCO</w:t>
      </w:r>
      <w:r>
        <w:t xml:space="preserve"> </w:t>
      </w:r>
      <w:r>
        <w:t xml:space="preserve">This sensitivity is useful due to the general uncertainty of the future development of</w:t>
      </w:r>
      <w:r>
        <w:t xml:space="preserve"> </w:t>
      </w:r>
      <w:r>
        <w:t xml:space="preserve">electricity prices, as well as to reflect the wide spread of charging costs for different</w:t>
      </w:r>
      <w:r>
        <w:t xml:space="preserve"> </w:t>
      </w:r>
      <w:r>
        <w:t xml:space="preserve">charging options, such as household charging, public slow and public fast charging. The</w:t>
      </w:r>
      <w:r>
        <w:t xml:space="preserve"> </w:t>
      </w:r>
      <w:r>
        <w:t xml:space="preserve">impact of doubling the electricity price can also be seen in the figures presented above</w:t>
      </w:r>
      <w:r>
        <w:t xml:space="preserve"> </w:t>
      </w:r>
      <w:r>
        <w:t xml:space="preserve">(dotted line).</w:t>
      </w:r>
      <w:r>
        <w:t xml:space="preserve"> </w:t>
      </w:r>
      <w:r>
        <w:t xml:space="preserve">The sensitivity shows that, even if electricity prices are double compared to what projected</w:t>
      </w:r>
      <w:r>
        <w:t xml:space="preserve"> </w:t>
      </w:r>
      <w:r>
        <w:t xml:space="preserve">by the model, BEV cars and vans costs remain lower than those for same-segment</w:t>
      </w:r>
      <w:r>
        <w:t xml:space="preserve"> </w:t>
      </w:r>
      <w:r>
        <w:t xml:space="preserve">conventional vehicles, for all segments and user perspectives, whereas for smaller</w:t>
      </w:r>
      <w:r>
        <w:t xml:space="preserve"> </w:t>
      </w:r>
      <w:r>
        <w:t xml:space="preserve">segments PHEV first users may face extra costs.</w:t>
      </w:r>
      <w:r>
        <w:br/>
      </w:r>
      <w:r>
        <w:t xml:space="preserve">More in detail, as before, different user perspective and car segment combinations are</w:t>
      </w:r>
      <w:r>
        <w:t xml:space="preserve"> </w:t>
      </w:r>
      <w:r>
        <w:t xml:space="preserve">shown. For the first end user, for both large and upper medium cars, the energy cost savings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brought about by a BEV translate into savings of a few cents per kilometer compared to</w:t>
      </w:r>
      <w:r>
        <w:t xml:space="preserve"> </w:t>
      </w:r>
      <w:r>
        <w:t xml:space="preserve">ICEV. Even at electricity prices that are more than twice the baseline, they remain less</w:t>
      </w:r>
      <w:r>
        <w:t xml:space="preserve"> </w:t>
      </w:r>
      <w:r>
        <w:t xml:space="preserve">costly than ICEV over the 5-year use period. PHEV, on the other hand, are less costly than</w:t>
      </w:r>
      <w:r>
        <w:t xml:space="preserve"> </w:t>
      </w:r>
      <w:r>
        <w:t xml:space="preserve">ICEV at baseline electricity prices, but can become more costly if electricity prices rise</w:t>
      </w:r>
      <w:r>
        <w:t xml:space="preserve"> </w:t>
      </w:r>
      <w:r>
        <w:t xml:space="preserve">significantly.</w:t>
      </w:r>
      <w:r>
        <w:t xml:space="preserve"> </w:t>
      </w:r>
      <w:r>
        <w:t xml:space="preserve">For the second and third user, the BEV advantage becomes more prominent, due to the</w:t>
      </w:r>
      <w:r>
        <w:t xml:space="preserve"> </w:t>
      </w:r>
      <w:r>
        <w:t xml:space="preserve">lower upfront cost burden, as they buy vehicles which already are depreciated strongly</w:t>
      </w:r>
      <w:r>
        <w:t xml:space="preserve"> </w:t>
      </w:r>
      <w:r>
        <w:t xml:space="preserve">compared to the first user, and lose less value. BEV are therefore the lower cost option</w:t>
      </w:r>
      <w:r>
        <w:t xml:space="preserve"> </w:t>
      </w:r>
      <w:r>
        <w:t xml:space="preserve">over an extremely large range of electricity prices. Also PHEV are more beneficial than</w:t>
      </w:r>
      <w:r>
        <w:t xml:space="preserve"> </w:t>
      </w:r>
      <w:r>
        <w:t xml:space="preserve">ICE, in terms of user costs, in the case of the third end user, even at doubled electricity</w:t>
      </w:r>
      <w:r>
        <w:t xml:space="preserve"> </w:t>
      </w:r>
      <w:r>
        <w:t xml:space="preserve">costs. For the second user, PHEV are the lower-cost option than ICE at baseline electricity</w:t>
      </w:r>
      <w:r>
        <w:t xml:space="preserve"> </w:t>
      </w:r>
      <w:r>
        <w:t xml:space="preserve">prices, but not if they rise strongly.</w:t>
      </w:r>
      <w:r>
        <w:t xml:space="preserve"> </w:t>
      </w:r>
      <w:r>
        <w:t xml:space="preserve">Figure 10: TCO per kilometre driven [EUR/km] for 2030 new passenger cars,</w:t>
      </w:r>
      <w:r>
        <w:t xml:space="preserve"> </w:t>
      </w:r>
      <w:r>
        <w:t xml:space="preserve">depending on the electricity price which ranges from baseline electricity price (“1”</w:t>
      </w:r>
      <w:r>
        <w:t xml:space="preserve"> </w:t>
      </w:r>
      <w:r>
        <w:t xml:space="preserve">on the x-axis) to twice the baseline price (“2”), for different user perspectives and car</w:t>
      </w:r>
      <w:r>
        <w:t xml:space="preserve"> </w:t>
      </w:r>
      <w:r>
        <w:t xml:space="preserve">segments</w:t>
      </w:r>
      <w:r>
        <w:t xml:space="preserve"> </w:t>
      </w:r>
      <w:r>
        <w:t xml:space="preserve">End user 1, Large Car</w:t>
      </w:r>
      <w:r>
        <w:t xml:space="preserve"> </w:t>
      </w:r>
      <w:r>
        <w:t xml:space="preserve">End user 1, Upper Medium Car</w:t>
      </w:r>
      <w:r>
        <w:t xml:space="preserve"> </w:t>
      </w:r>
      <w:r>
        <w:t xml:space="preserve">End user 2, Lower Medium Car</w:t>
      </w:r>
      <w:r>
        <w:t xml:space="preserve"> </w:t>
      </w:r>
      <w:r>
        <w:t xml:space="preserve">End user 2, Small Car</w:t>
      </w:r>
    </w:p>
    <w:p>
      <w:pPr>
        <w:pStyle w:val="BodyText"/>
      </w:pPr>
      <w:r>
        <w:t xml:space="preserve">End user 3, Lower Medium Car</w:t>
      </w:r>
      <w:r>
        <w:t xml:space="preserve"> </w:t>
      </w:r>
      <w:r>
        <w:t xml:space="preserve">End user 3, Small Car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2030 POWERTRAIN COST COMPARISONS (BATTERY COST SENSITIVITY)</w:t>
      </w:r>
      <w:r>
        <w:br/>
      </w:r>
      <w:r>
        <w:t xml:space="preserve">A sensitivity calculation has been carried out, on top of the baseline scenario, to explore</w:t>
      </w:r>
      <w:r>
        <w:t xml:space="preserve"> </w:t>
      </w:r>
      <w:r>
        <w:t xml:space="preserve">the impacts of battery prices remaining 20% higher than expected. The battery sensitivity</w:t>
      </w:r>
      <w:r>
        <w:t xml:space="preserve"> </w:t>
      </w:r>
      <w:r>
        <w:t xml:space="preserve">impacts the capital costs of BEV and PHEV, and thus their TCO. Below figures shows</w:t>
      </w:r>
      <w:r>
        <w:t xml:space="preserve"> </w:t>
      </w:r>
      <w:r>
        <w:t xml:space="preserve">that, in comparison to conventional vehicles, TCO for BEV cars and vans over the 5-year</w:t>
      </w:r>
      <w:r>
        <w:t xml:space="preserve"> </w:t>
      </w:r>
      <w:r>
        <w:t xml:space="preserve">use period remain lower than that for same-segment conventional vehicles, for all segments</w:t>
      </w:r>
      <w:r>
        <w:t xml:space="preserve"> </w:t>
      </w:r>
      <w:r>
        <w:t xml:space="preserve">and user perspectives. For PHEV, first users face slightly higher TCO for small and lower</w:t>
      </w:r>
      <w:r>
        <w:t xml:space="preserve"> </w:t>
      </w:r>
      <w:r>
        <w:t xml:space="preserve">medium cars and for small vans, whereas all other users and segments still show a positive</w:t>
      </w:r>
      <w:r>
        <w:t xml:space="preserve"> </w:t>
      </w:r>
      <w:r>
        <w:t xml:space="preserve">balance compared to conventional vehicles.</w:t>
      </w:r>
      <w:r>
        <w:br/>
      </w:r>
      <w:r>
        <w:t xml:space="preserve">Figure 11: Cars 2030 Cumulative TCO difference vs. ICE, over vehicle age, for</w:t>
      </w:r>
      <w:r>
        <w:t xml:space="preserve"> </w:t>
      </w:r>
      <w:r>
        <w:t xml:space="preserve">first/second/third user (EUR), Battery Cost Sensitivity</w:t>
      </w:r>
    </w:p>
    <w:p>
      <w:pPr>
        <w:pStyle w:val="BodyText"/>
      </w:pPr>
      <w:r>
        <w:t xml:space="preserve">From top left to bottom right: Small/lower Medium/upper medium/large car. Blue: PHEV, Green: BEV;</w:t>
      </w:r>
      <w:r>
        <w:t xml:space="preserve"> </w:t>
      </w:r>
      <w:r>
        <w:t xml:space="preserve">solid lines: base electricity price, dashed: doubled electricity price (sensitivity)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Figure 12: Vans 2030 Cumulative TCO difference vs. ICE, over vehicle age, for</w:t>
      </w:r>
      <w:r>
        <w:t xml:space="preserve"> </w:t>
      </w:r>
      <w:r>
        <w:t xml:space="preserve">first/second/third user (EUR), Battery Cost Sensitivity</w:t>
      </w:r>
    </w:p>
    <w:p>
      <w:pPr>
        <w:pStyle w:val="BodyText"/>
      </w:pPr>
      <w:r>
        <w:t xml:space="preserve">From top left to bottom right: Small/Medium/Large Van. Blue: PHEV, Green: BEV; solid lines: base</w:t>
      </w:r>
      <w:r>
        <w:t xml:space="preserve"> </w:t>
      </w:r>
      <w:r>
        <w:t xml:space="preserve">electricity price, dashed: doubled electricity price (sensitivity)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21"/>
        </w:numPr>
      </w:pPr>
      <w:r>
        <w:t xml:space="preserve">ADDITIONAL SCENARIO RESULTS</w:t>
      </w:r>
      <w:r>
        <w:t xml:space="preserve"> </w:t>
      </w:r>
      <w:r>
        <w:t xml:space="preserve">The tables below complement the information provided in Chapter 6.</w:t>
      </w:r>
      <w:r>
        <w:t xml:space="preserve"> </w:t>
      </w:r>
      <w:r>
        <w:t xml:space="preserve">4.1.</w:t>
      </w:r>
      <w:r>
        <w:t xml:space="preserve"> </w:t>
      </w:r>
      <w:r>
        <w:t xml:space="preserve">FLEET COMPOSITION</w:t>
      </w:r>
      <w:r>
        <w:t xml:space="preserve"> </w:t>
      </w:r>
      <w:r>
        <w:t xml:space="preserve">Table 15: share of new cars and vans, by powertrain, in different scenarios (ICEV</w:t>
      </w:r>
      <w:r>
        <w:t xml:space="preserve"> </w:t>
      </w:r>
      <w:r>
        <w:t xml:space="preserve">includes non-chargeable hybrids)</w:t>
      </w:r>
    </w:p>
    <w:p>
      <w:pPr>
        <w:pStyle w:val="FirstParagraph"/>
      </w:pPr>
      <w:r>
        <w:t xml:space="preserve">Share of new cars by powertrain</w:t>
      </w:r>
      <w:r>
        <w:t xml:space="preserve"> </w:t>
      </w:r>
      <w:r>
        <w:t xml:space="preserve">Share of new vans by powertrain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TL_Vans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41%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TL_100_2040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49%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89%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84%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TL_90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58%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41%</w:t>
      </w:r>
      <w:r>
        <w:t xml:space="preserve"> </w:t>
      </w:r>
      <w:r>
        <w:t xml:space="preserve">84%</w:t>
      </w:r>
      <w:r>
        <w:t xml:space="preserve"> </w:t>
      </w:r>
      <w:r>
        <w:t xml:space="preserve">81%</w:t>
      </w:r>
      <w:r>
        <w:t xml:space="preserve"> </w:t>
      </w:r>
      <w:r>
        <w:t xml:space="preserve">82%</w:t>
      </w:r>
      <w:r>
        <w:t xml:space="preserve"> </w:t>
      </w:r>
      <w:r>
        <w:t xml:space="preserve">83%</w:t>
      </w:r>
      <w:r>
        <w:t xml:space="preserve"> </w:t>
      </w:r>
      <w:r>
        <w:t xml:space="preserve">OVC-HEV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96%</w:t>
      </w:r>
      <w:r>
        <w:t xml:space="preserve"> </w:t>
      </w:r>
      <w:r>
        <w:t xml:space="preserve">95%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50%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CCM-RFNBO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49%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98%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50%</w:t>
      </w:r>
      <w:r>
        <w:t xml:space="preserve"> </w:t>
      </w:r>
      <w:r>
        <w:t xml:space="preserve">98%</w:t>
      </w:r>
      <w:r>
        <w:t xml:space="preserve"> </w:t>
      </w:r>
      <w:r>
        <w:t xml:space="preserve">88%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CCM-SRF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49%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86%</w:t>
      </w:r>
      <w:r>
        <w:t xml:space="preserve"> </w:t>
      </w:r>
      <w:r>
        <w:t xml:space="preserve">84%</w:t>
      </w:r>
      <w:r>
        <w:t xml:space="preserve"> </w:t>
      </w:r>
      <w:r>
        <w:t xml:space="preserve">86%</w:t>
      </w:r>
      <w:r>
        <w:t xml:space="preserve"> </w:t>
      </w:r>
      <w:r>
        <w:t xml:space="preserve">87%</w:t>
      </w:r>
      <w:r>
        <w:t xml:space="preserve"> </w:t>
      </w:r>
      <w:r>
        <w:t xml:space="preserve">50%</w:t>
      </w:r>
      <w:r>
        <w:t xml:space="preserve"> </w:t>
      </w:r>
      <w:r>
        <w:t xml:space="preserve">86%</w:t>
      </w:r>
      <w:r>
        <w:t xml:space="preserve"> </w:t>
      </w:r>
      <w:r>
        <w:t xml:space="preserve">81%</w:t>
      </w:r>
      <w:r>
        <w:t xml:space="preserve"> </w:t>
      </w:r>
      <w:r>
        <w:t xml:space="preserve">84%</w:t>
      </w:r>
      <w:r>
        <w:t xml:space="preserve"> </w:t>
      </w:r>
      <w:r>
        <w:t xml:space="preserve">87%</w:t>
      </w:r>
      <w:r>
        <w:t xml:space="preserve"> </w:t>
      </w:r>
      <w:r>
        <w:t xml:space="preserve">VEEF-SRF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49%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96%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50%</w:t>
      </w:r>
      <w:r>
        <w:t xml:space="preserve"> </w:t>
      </w:r>
      <w:r>
        <w:t xml:space="preserve">87%</w:t>
      </w:r>
      <w:r>
        <w:t xml:space="preserve"> </w:t>
      </w:r>
      <w:r>
        <w:t xml:space="preserve">91%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Share of new cars by powertrain</w:t>
      </w:r>
      <w:r>
        <w:t xml:space="preserve"> </w:t>
      </w:r>
      <w:r>
        <w:t xml:space="preserve">Share of new vans by powertrain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VEEF-RFNBO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49%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60%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50%</w:t>
      </w:r>
      <w:r>
        <w:t xml:space="preserve"> </w:t>
      </w:r>
      <w:r>
        <w:t xml:space="preserve">90%</w:t>
      </w:r>
      <w:r>
        <w:t xml:space="preserve"> </w:t>
      </w:r>
      <w:r>
        <w:t xml:space="preserve">93%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Small ZEV</w:t>
      </w:r>
      <w:r>
        <w:t xml:space="preserve"> </w:t>
      </w:r>
      <w:r>
        <w:t xml:space="preserve">ICEV</w:t>
      </w:r>
      <w:r>
        <w:t xml:space="preserve"> </w:t>
      </w:r>
      <w:r>
        <w:t xml:space="preserve">41%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COMBI_1</w:t>
      </w:r>
      <w:r>
        <w:t xml:space="preserve"> </w:t>
      </w:r>
      <w:r>
        <w:t xml:space="preserve">ICEV</w:t>
      </w:r>
      <w:r>
        <w:t xml:space="preserve"> </w:t>
      </w:r>
      <w:r>
        <w:t xml:space="preserve">39%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58%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ZEV</w:t>
      </w:r>
      <w:r>
        <w:t xml:space="preserve"> </w:t>
      </w:r>
      <w:r>
        <w:t xml:space="preserve">58%</w:t>
      </w:r>
      <w:r>
        <w:t xml:space="preserve"> </w:t>
      </w:r>
      <w:r>
        <w:t xml:space="preserve">93%</w:t>
      </w:r>
      <w:r>
        <w:t xml:space="preserve"> </w:t>
      </w:r>
      <w:r>
        <w:t xml:space="preserve">94%</w:t>
      </w:r>
      <w:r>
        <w:t xml:space="preserve"> </w:t>
      </w:r>
      <w:r>
        <w:t xml:space="preserve">96%</w:t>
      </w:r>
      <w:r>
        <w:t xml:space="preserve"> </w:t>
      </w:r>
      <w:r>
        <w:t xml:space="preserve">95%</w:t>
      </w:r>
      <w:r>
        <w:t xml:space="preserve"> </w:t>
      </w:r>
      <w:r>
        <w:t xml:space="preserve">41%</w:t>
      </w:r>
      <w:r>
        <w:t xml:space="preserve"> </w:t>
      </w:r>
      <w:r>
        <w:t xml:space="preserve">85%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COMBI_2</w:t>
      </w:r>
      <w:r>
        <w:t xml:space="preserve"> </w:t>
      </w:r>
      <w:r>
        <w:t xml:space="preserve">ICEV</w:t>
      </w:r>
      <w:r>
        <w:t xml:space="preserve"> </w:t>
      </w:r>
      <w:r>
        <w:t xml:space="preserve">41%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58%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ZEV</w:t>
      </w:r>
      <w:r>
        <w:t xml:space="preserve"> </w:t>
      </w:r>
      <w:r>
        <w:t xml:space="preserve">56%</w:t>
      </w:r>
      <w:r>
        <w:t xml:space="preserve"> </w:t>
      </w:r>
      <w:r>
        <w:t xml:space="preserve">83%</w:t>
      </w:r>
      <w:r>
        <w:t xml:space="preserve"> </w:t>
      </w:r>
      <w:r>
        <w:t xml:space="preserve">84%</w:t>
      </w:r>
      <w:r>
        <w:t xml:space="preserve"> </w:t>
      </w:r>
      <w:r>
        <w:t xml:space="preserve">87%</w:t>
      </w:r>
      <w:r>
        <w:t xml:space="preserve"> </w:t>
      </w:r>
      <w:r>
        <w:t xml:space="preserve">85%</w:t>
      </w:r>
      <w:r>
        <w:t xml:space="preserve"> </w:t>
      </w:r>
      <w:r>
        <w:t xml:space="preserve">41%</w:t>
      </w:r>
      <w:r>
        <w:t xml:space="preserve"> </w:t>
      </w:r>
      <w:r>
        <w:t xml:space="preserve">73%</w:t>
      </w:r>
      <w:r>
        <w:t xml:space="preserve"> </w:t>
      </w:r>
      <w:r>
        <w:t xml:space="preserve">77%</w:t>
      </w:r>
      <w:r>
        <w:t xml:space="preserve"> </w:t>
      </w:r>
      <w:r>
        <w:t xml:space="preserve">79%</w:t>
      </w:r>
      <w:r>
        <w:t xml:space="preserve"> </w:t>
      </w:r>
      <w:r>
        <w:t xml:space="preserve">80%</w:t>
      </w:r>
      <w:r>
        <w:t xml:space="preserve"> </w:t>
      </w:r>
      <w:r>
        <w:t xml:space="preserve">4.2.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ADJUSTMENTS COSTS</w:t>
      </w:r>
      <w:r>
        <w:t xml:space="preserve"> </w:t>
      </w:r>
      <w:r>
        <w:t xml:space="preserve">The table below shows the NPV of the total LDV costs in different scenarios (absolute</w:t>
      </w:r>
      <w:r>
        <w:t xml:space="preserve"> </w:t>
      </w:r>
      <w:r>
        <w:t xml:space="preserve">values and % difference to the baseline).</w:t>
      </w:r>
    </w:p>
    <w:p>
      <w:pPr>
        <w:pStyle w:val="BodyText"/>
      </w:pPr>
      <w:r>
        <w:t xml:space="preserve">Total costs (NPV, in EUR</w:t>
      </w:r>
      <w:r>
        <w:t xml:space="preserve"> </w:t>
      </w:r>
      <w:r>
        <w:t xml:space="preserve">billion 2023) (excl. disutility)</w:t>
      </w:r>
      <w:r>
        <w:t xml:space="preserve"> </w:t>
      </w:r>
      <w:r>
        <w:t xml:space="preserve">Total costs</w:t>
      </w:r>
      <w:r>
        <w:br/>
      </w:r>
      <w:r>
        <w:t xml:space="preserve">(% difference vs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LDVs</w:t>
      </w:r>
      <w:r>
        <w:t xml:space="preserve"> </w:t>
      </w:r>
      <w:r>
        <w:t xml:space="preserve">24 867</w:t>
      </w:r>
    </w:p>
    <w:p>
      <w:pPr>
        <w:pStyle w:val="BodyText"/>
      </w:pPr>
      <w:r>
        <w:t xml:space="preserve">Cars</w:t>
      </w:r>
      <w:r>
        <w:t xml:space="preserve"> </w:t>
      </w:r>
      <w:r>
        <w:t xml:space="preserve">21 386</w:t>
      </w:r>
    </w:p>
    <w:p>
      <w:pPr>
        <w:pStyle w:val="BodyText"/>
      </w:pPr>
      <w:r>
        <w:t xml:space="preserve">Vans</w:t>
      </w:r>
      <w:r>
        <w:t xml:space="preserve"> </w:t>
      </w:r>
      <w:r>
        <w:t xml:space="preserve">3 481</w:t>
      </w:r>
    </w:p>
    <w:p>
      <w:pPr>
        <w:pStyle w:val="BodyText"/>
      </w:pPr>
      <w:r>
        <w:t xml:space="preserve">TL_Vans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24 883</w:t>
      </w:r>
      <w:r>
        <w:br/>
      </w:r>
      <w:r>
        <w:t xml:space="preserve">0.06%</w:t>
      </w:r>
      <w:r>
        <w:t xml:space="preserve"> </w:t>
      </w:r>
      <w:r>
        <w:t xml:space="preserve">Cars</w:t>
      </w:r>
      <w:r>
        <w:t xml:space="preserve"> </w:t>
      </w:r>
      <w:r>
        <w:t xml:space="preserve">21 387</w:t>
      </w:r>
      <w:r>
        <w:br/>
      </w:r>
      <w:r>
        <w:t xml:space="preserve">0.00%</w:t>
      </w:r>
      <w:r>
        <w:t xml:space="preserve"> </w:t>
      </w:r>
      <w:r>
        <w:t xml:space="preserve">Vans</w:t>
      </w:r>
      <w:r>
        <w:t xml:space="preserve"> </w:t>
      </w:r>
      <w:r>
        <w:t xml:space="preserve">3 496</w:t>
      </w:r>
      <w:r>
        <w:br/>
      </w:r>
      <w:r>
        <w:t xml:space="preserve">0.43%</w:t>
      </w:r>
      <w:r>
        <w:t xml:space="preserve"> </w:t>
      </w:r>
      <w:r>
        <w:t xml:space="preserve">TL_100_2040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24 877</w:t>
      </w:r>
      <w:r>
        <w:br/>
      </w:r>
      <w:r>
        <w:t xml:space="preserve">0.04%</w:t>
      </w:r>
      <w:r>
        <w:t xml:space="preserve"> </w:t>
      </w:r>
      <w:r>
        <w:t xml:space="preserve">Cars</w:t>
      </w:r>
      <w:r>
        <w:t xml:space="preserve"> </w:t>
      </w:r>
      <w:r>
        <w:t xml:space="preserve">21 392</w:t>
      </w:r>
      <w:r>
        <w:br/>
      </w:r>
      <w:r>
        <w:t xml:space="preserve">0.03%</w:t>
      </w:r>
      <w:r>
        <w:t xml:space="preserve"> </w:t>
      </w:r>
      <w:r>
        <w:t xml:space="preserve">Vans</w:t>
      </w:r>
      <w:r>
        <w:t xml:space="preserve"> </w:t>
      </w:r>
      <w:r>
        <w:t xml:space="preserve">3 486</w:t>
      </w:r>
      <w:r>
        <w:br/>
      </w:r>
      <w:r>
        <w:t xml:space="preserve">0.12%</w:t>
      </w:r>
      <w:r>
        <w:t xml:space="preserve"> </w:t>
      </w:r>
      <w:r>
        <w:t xml:space="preserve">TL_90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24 920</w:t>
      </w:r>
      <w:r>
        <w:br/>
      </w:r>
      <w:r>
        <w:t xml:space="preserve">0.21%</w:t>
      </w:r>
      <w:r>
        <w:t xml:space="preserve"> </w:t>
      </w:r>
      <w:r>
        <w:t xml:space="preserve">Cars</w:t>
      </w:r>
      <w:r>
        <w:t xml:space="preserve"> </w:t>
      </w:r>
      <w:r>
        <w:t xml:space="preserve">21 414</w:t>
      </w:r>
      <w:r>
        <w:br/>
      </w:r>
      <w:r>
        <w:t xml:space="preserve">0.13%</w:t>
      </w:r>
      <w:r>
        <w:t xml:space="preserve"> </w:t>
      </w:r>
      <w:r>
        <w:t xml:space="preserve">Vans</w:t>
      </w:r>
      <w:r>
        <w:t xml:space="preserve"> </w:t>
      </w:r>
      <w:r>
        <w:t xml:space="preserve">3 506</w:t>
      </w:r>
      <w:r>
        <w:br/>
      </w:r>
      <w:r>
        <w:t xml:space="preserve">0.71%</w:t>
      </w:r>
      <w:r>
        <w:t xml:space="preserve"> </w:t>
      </w:r>
      <w:r>
        <w:t xml:space="preserve">OVC-HEV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Total costs (NPV, in EUR</w:t>
      </w:r>
      <w:r>
        <w:t xml:space="preserve"> </w:t>
      </w:r>
      <w:r>
        <w:t xml:space="preserve">billion 2023) (excl. disutility)</w:t>
      </w:r>
      <w:r>
        <w:t xml:space="preserve"> </w:t>
      </w:r>
      <w:r>
        <w:t xml:space="preserve">Total costs</w:t>
      </w:r>
      <w:r>
        <w:br/>
      </w:r>
      <w:r>
        <w:t xml:space="preserve">(% difference vs baseline)</w:t>
      </w:r>
      <w:r>
        <w:t xml:space="preserve"> </w:t>
      </w:r>
      <w:r>
        <w:t xml:space="preserve">LDVs</w:t>
      </w:r>
      <w:r>
        <w:t xml:space="preserve"> </w:t>
      </w:r>
      <w:r>
        <w:t xml:space="preserve">24 863</w:t>
      </w:r>
      <w:r>
        <w:br/>
      </w:r>
      <w:r>
        <w:t xml:space="preserve">-0.02%</w:t>
      </w:r>
      <w:r>
        <w:t xml:space="preserve"> </w:t>
      </w:r>
      <w:r>
        <w:t xml:space="preserve">Cars</w:t>
      </w:r>
      <w:r>
        <w:t xml:space="preserve"> </w:t>
      </w:r>
      <w:r>
        <w:t xml:space="preserve">21 371</w:t>
      </w:r>
      <w:r>
        <w:br/>
      </w:r>
      <w:r>
        <w:t xml:space="preserve">-0.07%</w:t>
      </w:r>
      <w:r>
        <w:t xml:space="preserve"> </w:t>
      </w:r>
      <w:r>
        <w:t xml:space="preserve">Vans</w:t>
      </w:r>
      <w:r>
        <w:t xml:space="preserve"> </w:t>
      </w:r>
      <w:r>
        <w:t xml:space="preserve">3 493</w:t>
      </w:r>
      <w:r>
        <w:br/>
      </w:r>
      <w:r>
        <w:t xml:space="preserve">0.32%</w:t>
      </w:r>
      <w:r>
        <w:t xml:space="preserve"> </w:t>
      </w:r>
      <w:r>
        <w:t xml:space="preserve">OVC-HEV 20%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24 820</w:t>
      </w:r>
      <w:r>
        <w:br/>
      </w:r>
      <w:r>
        <w:t xml:space="preserve">-0.19%</w:t>
      </w:r>
      <w:r>
        <w:t xml:space="preserve"> </w:t>
      </w:r>
      <w:r>
        <w:t xml:space="preserve">Cars</w:t>
      </w:r>
      <w:r>
        <w:t xml:space="preserve"> </w:t>
      </w:r>
      <w:r>
        <w:t xml:space="preserve">21 331</w:t>
      </w:r>
      <w:r>
        <w:br/>
      </w:r>
      <w:r>
        <w:t xml:space="preserve">-0.26%</w:t>
      </w:r>
      <w:r>
        <w:t xml:space="preserve"> </w:t>
      </w:r>
      <w:r>
        <w:t xml:space="preserve">Vans</w:t>
      </w:r>
      <w:r>
        <w:t xml:space="preserve"> </w:t>
      </w:r>
      <w:r>
        <w:t xml:space="preserve">3 489</w:t>
      </w:r>
      <w:r>
        <w:br/>
      </w:r>
      <w:r>
        <w:t xml:space="preserve">0.21%</w:t>
      </w:r>
      <w:r>
        <w:t xml:space="preserve"> </w:t>
      </w:r>
      <w:r>
        <w:t xml:space="preserve">CCM-RFNBO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24 886</w:t>
      </w:r>
      <w:r>
        <w:br/>
      </w:r>
      <w:r>
        <w:t xml:space="preserve">0.08%</w:t>
      </w:r>
      <w:r>
        <w:t xml:space="preserve"> </w:t>
      </w:r>
      <w:r>
        <w:t xml:space="preserve">Cars</w:t>
      </w:r>
      <w:r>
        <w:t xml:space="preserve"> </w:t>
      </w:r>
      <w:r>
        <w:t xml:space="preserve">21 404</w:t>
      </w:r>
      <w:r>
        <w:br/>
      </w:r>
      <w:r>
        <w:t xml:space="preserve">0.09%</w:t>
      </w:r>
      <w:r>
        <w:t xml:space="preserve"> </w:t>
      </w:r>
      <w:r>
        <w:t xml:space="preserve">Vans</w:t>
      </w:r>
      <w:r>
        <w:t xml:space="preserve"> </w:t>
      </w:r>
      <w:r>
        <w:t xml:space="preserve">3 482</w:t>
      </w:r>
      <w:r>
        <w:br/>
      </w:r>
      <w:r>
        <w:t xml:space="preserve">0.03%</w:t>
      </w:r>
      <w:r>
        <w:t xml:space="preserve"> </w:t>
      </w:r>
      <w:r>
        <w:t xml:space="preserve">CCM-SRF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24 918</w:t>
      </w:r>
      <w:r>
        <w:br/>
      </w:r>
      <w:r>
        <w:t xml:space="preserve">0.20%</w:t>
      </w:r>
      <w:r>
        <w:t xml:space="preserve"> </w:t>
      </w:r>
      <w:r>
        <w:t xml:space="preserve">Cars</w:t>
      </w:r>
      <w:r>
        <w:t xml:space="preserve"> </w:t>
      </w:r>
      <w:r>
        <w:t xml:space="preserve">21 433</w:t>
      </w:r>
      <w:r>
        <w:br/>
      </w:r>
      <w:r>
        <w:t xml:space="preserve">0.22%</w:t>
      </w:r>
      <w:r>
        <w:t xml:space="preserve"> </w:t>
      </w:r>
      <w:r>
        <w:t xml:space="preserve">Vans</w:t>
      </w:r>
      <w:r>
        <w:t xml:space="preserve"> </w:t>
      </w:r>
      <w:r>
        <w:t xml:space="preserve">3 485</w:t>
      </w:r>
      <w:r>
        <w:br/>
      </w:r>
      <w:r>
        <w:t xml:space="preserve">0.09%</w:t>
      </w:r>
      <w:r>
        <w:t xml:space="preserve"> </w:t>
      </w:r>
      <w:r>
        <w:t xml:space="preserve">VEEF-SRF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24 864</w:t>
      </w:r>
      <w:r>
        <w:br/>
      </w:r>
      <w:r>
        <w:t xml:space="preserve">-0.01%</w:t>
      </w:r>
      <w:r>
        <w:t xml:space="preserve"> </w:t>
      </w:r>
      <w:r>
        <w:t xml:space="preserve">Cars</w:t>
      </w:r>
      <w:r>
        <w:t xml:space="preserve"> </w:t>
      </w:r>
      <w:r>
        <w:t xml:space="preserve">21 369</w:t>
      </w:r>
      <w:r>
        <w:br/>
      </w:r>
      <w:r>
        <w:t xml:space="preserve">-0.08%</w:t>
      </w:r>
      <w:r>
        <w:t xml:space="preserve"> </w:t>
      </w:r>
      <w:r>
        <w:t xml:space="preserve">Vans</w:t>
      </w:r>
      <w:r>
        <w:t xml:space="preserve"> </w:t>
      </w:r>
      <w:r>
        <w:t xml:space="preserve">3 495</w:t>
      </w:r>
      <w:r>
        <w:br/>
      </w:r>
      <w:r>
        <w:t xml:space="preserve">0.39%</w:t>
      </w:r>
      <w:r>
        <w:t xml:space="preserve"> </w:t>
      </w:r>
      <w:r>
        <w:t xml:space="preserve">VEEF-RFNBO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24 871</w:t>
      </w:r>
      <w:r>
        <w:br/>
      </w:r>
      <w:r>
        <w:t xml:space="preserve">0.02%</w:t>
      </w:r>
      <w:r>
        <w:t xml:space="preserve"> </w:t>
      </w:r>
      <w:r>
        <w:t xml:space="preserve">Cars</w:t>
      </w:r>
      <w:r>
        <w:t xml:space="preserve"> </w:t>
      </w:r>
      <w:r>
        <w:t xml:space="preserve">21 376</w:t>
      </w:r>
      <w:r>
        <w:br/>
      </w:r>
      <w:r>
        <w:t xml:space="preserve">-0.05%</w:t>
      </w:r>
      <w:r>
        <w:t xml:space="preserve"> </w:t>
      </w:r>
      <w:r>
        <w:t xml:space="preserve">Vans</w:t>
      </w:r>
      <w:r>
        <w:t xml:space="preserve"> </w:t>
      </w:r>
      <w:r>
        <w:t xml:space="preserve">3 495</w:t>
      </w:r>
      <w:r>
        <w:br/>
      </w:r>
      <w:r>
        <w:t xml:space="preserve">0.40%</w:t>
      </w:r>
      <w:r>
        <w:t xml:space="preserve"> </w:t>
      </w:r>
      <w:r>
        <w:t xml:space="preserve">VEEF-SRF-20%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24 902</w:t>
      </w:r>
      <w:r>
        <w:br/>
      </w:r>
      <w:r>
        <w:t xml:space="preserve">0.14%</w:t>
      </w:r>
      <w:r>
        <w:t xml:space="preserve"> </w:t>
      </w:r>
      <w:r>
        <w:t xml:space="preserve">Cars</w:t>
      </w:r>
      <w:r>
        <w:t xml:space="preserve"> </w:t>
      </w:r>
      <w:r>
        <w:t xml:space="preserve">21 397</w:t>
      </w:r>
      <w:r>
        <w:br/>
      </w:r>
      <w:r>
        <w:t xml:space="preserve">0.05%</w:t>
      </w:r>
      <w:r>
        <w:t xml:space="preserve"> </w:t>
      </w:r>
      <w:r>
        <w:t xml:space="preserve">Vans</w:t>
      </w:r>
      <w:r>
        <w:t xml:space="preserve"> </w:t>
      </w:r>
      <w:r>
        <w:t xml:space="preserve">3 505</w:t>
      </w:r>
      <w:r>
        <w:br/>
      </w:r>
      <w:r>
        <w:t xml:space="preserve">0.66%</w:t>
      </w:r>
      <w:r>
        <w:t xml:space="preserve"> </w:t>
      </w:r>
      <w:r>
        <w:t xml:space="preserve">VEEF-RFNBO-20%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24 921</w:t>
      </w:r>
      <w:r>
        <w:br/>
      </w:r>
      <w:r>
        <w:t xml:space="preserve">0.22%</w:t>
      </w:r>
      <w:r>
        <w:t xml:space="preserve"> </w:t>
      </w:r>
      <w:r>
        <w:t xml:space="preserve">Cars</w:t>
      </w:r>
      <w:r>
        <w:t xml:space="preserve"> </w:t>
      </w:r>
      <w:r>
        <w:t xml:space="preserve">21 410</w:t>
      </w:r>
      <w:r>
        <w:br/>
      </w:r>
      <w:r>
        <w:t xml:space="preserve">0.11%</w:t>
      </w:r>
      <w:r>
        <w:t xml:space="preserve"> </w:t>
      </w:r>
      <w:r>
        <w:t xml:space="preserve">Vans</w:t>
      </w:r>
      <w:r>
        <w:t xml:space="preserve"> </w:t>
      </w:r>
      <w:r>
        <w:t xml:space="preserve">3 511</w:t>
      </w:r>
      <w:r>
        <w:br/>
      </w:r>
      <w:r>
        <w:t xml:space="preserve">0.84%</w:t>
      </w:r>
      <w:r>
        <w:t xml:space="preserve"> </w:t>
      </w:r>
      <w:r>
        <w:t xml:space="preserve">Small ZEV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24 868</w:t>
      </w:r>
      <w:r>
        <w:br/>
      </w:r>
      <w:r>
        <w:t xml:space="preserve">0.01%</w:t>
      </w:r>
      <w:r>
        <w:t xml:space="preserve"> </w:t>
      </w:r>
      <w:r>
        <w:t xml:space="preserve">Cars</w:t>
      </w:r>
      <w:r>
        <w:t xml:space="preserve"> </w:t>
      </w:r>
      <w:r>
        <w:t xml:space="preserve">21 387</w:t>
      </w:r>
      <w:r>
        <w:br/>
      </w:r>
      <w:r>
        <w:t xml:space="preserve">0.01%</w:t>
      </w:r>
      <w:r>
        <w:t xml:space="preserve"> </w:t>
      </w:r>
      <w:r>
        <w:t xml:space="preserve">Vans</w:t>
      </w:r>
      <w:r>
        <w:t xml:space="preserve"> </w:t>
      </w:r>
      <w:r>
        <w:t xml:space="preserve">3 481</w:t>
      </w:r>
      <w:r>
        <w:br/>
      </w:r>
      <w:r>
        <w:t xml:space="preserve">0.00%</w:t>
      </w:r>
      <w:r>
        <w:t xml:space="preserve"> </w:t>
      </w:r>
      <w:r>
        <w:t xml:space="preserve">COMBI_1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24 871</w:t>
      </w:r>
      <w:r>
        <w:br/>
      </w:r>
      <w:r>
        <w:t xml:space="preserve">0.02%</w:t>
      </w:r>
      <w:r>
        <w:t xml:space="preserve"> </w:t>
      </w:r>
      <w:r>
        <w:t xml:space="preserve">Cars</w:t>
      </w:r>
      <w:r>
        <w:t xml:space="preserve"> </w:t>
      </w:r>
      <w:r>
        <w:t xml:space="preserve">21 369</w:t>
      </w:r>
      <w:r>
        <w:br/>
      </w:r>
      <w:r>
        <w:t xml:space="preserve">-0.08%</w:t>
      </w:r>
      <w:r>
        <w:t xml:space="preserve"> </w:t>
      </w:r>
      <w:r>
        <w:t xml:space="preserve">Vans</w:t>
      </w:r>
      <w:r>
        <w:t xml:space="preserve"> </w:t>
      </w:r>
      <w:r>
        <w:t xml:space="preserve">3 502</w:t>
      </w:r>
      <w:r>
        <w:br/>
      </w:r>
      <w:r>
        <w:t xml:space="preserve">0.59%</w:t>
      </w:r>
      <w:r>
        <w:t xml:space="preserve"> </w:t>
      </w:r>
      <w:r>
        <w:t xml:space="preserve">COMBI_2</w:t>
      </w:r>
    </w:p>
    <w:p>
      <w:pPr>
        <w:pStyle w:val="BodyText"/>
      </w:pPr>
      <w:r>
        <w:t xml:space="preserve">LDVs</w:t>
      </w:r>
      <w:r>
        <w:t xml:space="preserve"> </w:t>
      </w:r>
      <w:r>
        <w:t xml:space="preserve">24 940</w:t>
      </w:r>
      <w:r>
        <w:br/>
      </w:r>
      <w:r>
        <w:t xml:space="preserve">0.29%</w:t>
      </w:r>
      <w:r>
        <w:t xml:space="preserve"> </w:t>
      </w:r>
      <w:r>
        <w:t xml:space="preserve">Cars</w:t>
      </w:r>
      <w:r>
        <w:t xml:space="preserve"> </w:t>
      </w:r>
      <w:r>
        <w:t xml:space="preserve">21 418</w:t>
      </w:r>
      <w:r>
        <w:br/>
      </w:r>
      <w:r>
        <w:t xml:space="preserve">0.15%</w:t>
      </w:r>
      <w:r>
        <w:t xml:space="preserve"> </w:t>
      </w:r>
      <w:r>
        <w:t xml:space="preserve">Vans</w:t>
      </w:r>
      <w:r>
        <w:t xml:space="preserve"> </w:t>
      </w:r>
      <w:r>
        <w:t xml:space="preserve">3 521</w:t>
      </w:r>
      <w:r>
        <w:br/>
      </w:r>
      <w:r>
        <w:t xml:space="preserve">1.15%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monetised cost of air pollutants and CO2 is presented in Section 4.3 of this Annex.</w:t>
      </w:r>
      <w:r>
        <w:t xml:space="preserve"> </w:t>
      </w:r>
      <w:r>
        <w:t xml:space="preserve">The table below shows the reduction of the NPV of their costs that manufactures are</w:t>
      </w:r>
      <w:r>
        <w:t xml:space="preserve"> </w:t>
      </w:r>
      <w:r>
        <w:t xml:space="preserve">projected to see in the different scenarios.</w:t>
      </w:r>
    </w:p>
    <w:p>
      <w:pPr>
        <w:pStyle w:val="BodyText"/>
      </w:pPr>
      <w:r>
        <w:t xml:space="preserve">Manufacturers costs</w:t>
      </w:r>
      <w:r>
        <w:t xml:space="preserve"> </w:t>
      </w:r>
      <w:r>
        <w:t xml:space="preserve">(NPV in EUR billion</w:t>
      </w:r>
      <w:r>
        <w:t xml:space="preserve"> </w:t>
      </w:r>
      <w:r>
        <w:t xml:space="preserve">2023)</w:t>
      </w:r>
      <w:r>
        <w:br/>
      </w:r>
      <w:r>
        <w:t xml:space="preserve">Difference vs</w:t>
      </w:r>
      <w:r>
        <w:t xml:space="preserve"> </w:t>
      </w:r>
      <w:r>
        <w:t xml:space="preserve">baseline (NPV</w:t>
      </w:r>
      <w:r>
        <w:t xml:space="preserve"> </w:t>
      </w:r>
      <w:r>
        <w:t xml:space="preserve">in EUR billion</w:t>
      </w:r>
      <w:r>
        <w:t xml:space="preserve"> </w:t>
      </w:r>
      <w:r>
        <w:t xml:space="preserve">2023)</w:t>
      </w:r>
      <w:r>
        <w:t xml:space="preserve"> </w:t>
      </w:r>
      <w:r>
        <w:t xml:space="preserve">(% difference</w:t>
      </w:r>
      <w:r>
        <w:t xml:space="preserve"> </w:t>
      </w:r>
      <w:r>
        <w:t xml:space="preserve">vs baseline)</w:t>
      </w:r>
      <w:r>
        <w:t xml:space="preserve"> </w:t>
      </w:r>
      <w:r>
        <w:t xml:space="preserve">Baseline</w:t>
      </w:r>
      <w:r>
        <w:t xml:space="preserve"> </w:t>
      </w:r>
      <w:r>
        <w:t xml:space="preserve">8 643</w:t>
      </w:r>
    </w:p>
    <w:p>
      <w:pPr>
        <w:pStyle w:val="BodyText"/>
      </w:pPr>
      <w:r>
        <w:t xml:space="preserve">TL_Vans</w:t>
      </w:r>
      <w:r>
        <w:t xml:space="preserve"> </w:t>
      </w:r>
      <w:r>
        <w:t xml:space="preserve">8 645</w:t>
      </w:r>
      <w:r>
        <w:br/>
      </w:r>
      <w:r>
        <w:t xml:space="preserve">1</w:t>
      </w:r>
      <w:r>
        <w:br/>
      </w:r>
      <w:r>
        <w:t xml:space="preserve">0.02%</w:t>
      </w:r>
      <w:r>
        <w:t xml:space="preserve"> </w:t>
      </w:r>
      <w:r>
        <w:t xml:space="preserve">TL_100_2040</w:t>
      </w:r>
      <w:r>
        <w:t xml:space="preserve"> </w:t>
      </w:r>
      <w:r>
        <w:t xml:space="preserve">8 618</w:t>
      </w:r>
      <w:r>
        <w:br/>
      </w:r>
      <w:r>
        <w:t xml:space="preserve">-25</w:t>
      </w:r>
      <w:r>
        <w:br/>
      </w:r>
      <w:r>
        <w:t xml:space="preserve">-0.29%</w:t>
      </w:r>
      <w:r>
        <w:t xml:space="preserve"> </w:t>
      </w:r>
      <w:r>
        <w:t xml:space="preserve">TL_90</w:t>
      </w:r>
      <w:r>
        <w:t xml:space="preserve"> </w:t>
      </w:r>
      <w:r>
        <w:t xml:space="preserve">8 604</w:t>
      </w:r>
      <w:r>
        <w:br/>
      </w:r>
      <w:r>
        <w:t xml:space="preserve">-40</w:t>
      </w:r>
      <w:r>
        <w:br/>
      </w:r>
      <w:r>
        <w:t xml:space="preserve">-0.46%</w:t>
      </w:r>
      <w:r>
        <w:t xml:space="preserve"> </w:t>
      </w:r>
      <w:r>
        <w:t xml:space="preserve">OVC-HEV</w:t>
      </w:r>
      <w:r>
        <w:t xml:space="preserve"> </w:t>
      </w:r>
      <w:r>
        <w:t xml:space="preserve">8 654</w:t>
      </w:r>
      <w:r>
        <w:br/>
      </w:r>
      <w:r>
        <w:t xml:space="preserve">11</w:t>
      </w:r>
      <w:r>
        <w:br/>
      </w:r>
      <w:r>
        <w:t xml:space="preserve">0.12%</w:t>
      </w:r>
      <w:r>
        <w:t xml:space="preserve"> </w:t>
      </w:r>
      <w:r>
        <w:t xml:space="preserve">OVC-HEV 20%</w:t>
      </w:r>
      <w:r>
        <w:br/>
      </w:r>
      <w:r>
        <w:t xml:space="preserve">8 664</w:t>
      </w:r>
      <w:r>
        <w:br/>
      </w:r>
      <w:r>
        <w:t xml:space="preserve">21</w:t>
      </w:r>
      <w:r>
        <w:br/>
      </w:r>
      <w:r>
        <w:t xml:space="preserve">0.24%</w:t>
      </w:r>
      <w:r>
        <w:t xml:space="preserve"> </w:t>
      </w:r>
      <w:r>
        <w:t xml:space="preserve">CCM-RFNBO</w:t>
      </w:r>
      <w:r>
        <w:t xml:space="preserve"> </w:t>
      </w:r>
      <w:r>
        <w:t xml:space="preserve">8 621</w:t>
      </w:r>
      <w:r>
        <w:br/>
      </w:r>
      <w:r>
        <w:t xml:space="preserve">-23</w:t>
      </w:r>
      <w:r>
        <w:br/>
      </w:r>
      <w:r>
        <w:t xml:space="preserve">-0.26%</w:t>
      </w:r>
      <w:r>
        <w:t xml:space="preserve"> </w:t>
      </w:r>
      <w:r>
        <w:t xml:space="preserve">CCM-SRF</w:t>
      </w:r>
      <w:r>
        <w:t xml:space="preserve"> </w:t>
      </w:r>
      <w:r>
        <w:t xml:space="preserve">8 587</w:t>
      </w:r>
      <w:r>
        <w:br/>
      </w:r>
      <w:r>
        <w:t xml:space="preserve">-57</w:t>
      </w:r>
      <w:r>
        <w:br/>
      </w:r>
      <w:r>
        <w:t xml:space="preserve">-0.65%</w:t>
      </w:r>
      <w:r>
        <w:t xml:space="preserve"> </w:t>
      </w:r>
      <w:r>
        <w:t xml:space="preserve">VEEF-SRF</w:t>
      </w:r>
      <w:r>
        <w:t xml:space="preserve"> </w:t>
      </w:r>
      <w:r>
        <w:t xml:space="preserve">8 623</w:t>
      </w:r>
      <w:r>
        <w:br/>
      </w:r>
      <w:r>
        <w:t xml:space="preserve">-20</w:t>
      </w:r>
      <w:r>
        <w:br/>
      </w:r>
      <w:r>
        <w:t xml:space="preserve">-0.23%</w:t>
      </w:r>
      <w:r>
        <w:t xml:space="preserve"> </w:t>
      </w:r>
      <w:r>
        <w:t xml:space="preserve">VEEF-RFNBO</w:t>
      </w:r>
      <w:r>
        <w:t xml:space="preserve"> </w:t>
      </w:r>
      <w:r>
        <w:t xml:space="preserve">8 628</w:t>
      </w:r>
      <w:r>
        <w:br/>
      </w:r>
      <w:r>
        <w:t xml:space="preserve">-16</w:t>
      </w:r>
      <w:r>
        <w:br/>
      </w:r>
      <w:r>
        <w:t xml:space="preserve">-0.18%</w:t>
      </w:r>
      <w:r>
        <w:t xml:space="preserve"> </w:t>
      </w:r>
      <w:r>
        <w:t xml:space="preserve">VEEF-SRF-20%</w:t>
      </w:r>
      <w:r>
        <w:t xml:space="preserve"> </w:t>
      </w:r>
      <w:r>
        <w:t xml:space="preserve">8 428</w:t>
      </w:r>
      <w:r>
        <w:br/>
      </w:r>
      <w:r>
        <w:t xml:space="preserve">-215</w:t>
      </w:r>
      <w:r>
        <w:br/>
      </w:r>
      <w:r>
        <w:t xml:space="preserve">-2.49%</w:t>
      </w:r>
      <w:r>
        <w:t xml:space="preserve"> </w:t>
      </w:r>
      <w:r>
        <w:t xml:space="preserve">VEEF-RFNBO-20%</w:t>
      </w:r>
      <w:r>
        <w:t xml:space="preserve"> </w:t>
      </w:r>
      <w:r>
        <w:t xml:space="preserve">8 365</w:t>
      </w:r>
      <w:r>
        <w:br/>
      </w:r>
      <w:r>
        <w:t xml:space="preserve">-278</w:t>
      </w:r>
      <w:r>
        <w:br/>
      </w:r>
      <w:r>
        <w:t xml:space="preserve">-3.22%</w:t>
      </w:r>
      <w:r>
        <w:t xml:space="preserve"> </w:t>
      </w:r>
      <w:r>
        <w:t xml:space="preserve">Small ZEV</w:t>
      </w:r>
      <w:r>
        <w:t xml:space="preserve"> </w:t>
      </w:r>
      <w:r>
        <w:t xml:space="preserve">8 638</w:t>
      </w:r>
      <w:r>
        <w:br/>
      </w:r>
      <w:r>
        <w:t xml:space="preserve">-5</w:t>
      </w:r>
      <w:r>
        <w:br/>
      </w:r>
      <w:r>
        <w:t xml:space="preserve">-0.06%</w:t>
      </w:r>
      <w:r>
        <w:t xml:space="preserve"> </w:t>
      </w:r>
      <w:r>
        <w:t xml:space="preserve">COMBI_1</w:t>
      </w:r>
      <w:r>
        <w:t xml:space="preserve"> </w:t>
      </w:r>
      <w:r>
        <w:t xml:space="preserve">8 637</w:t>
      </w:r>
      <w:r>
        <w:br/>
      </w:r>
      <w:r>
        <w:t xml:space="preserve">-7</w:t>
      </w:r>
      <w:r>
        <w:br/>
      </w:r>
      <w:r>
        <w:t xml:space="preserve">-0.08%</w:t>
      </w:r>
      <w:r>
        <w:t xml:space="preserve"> </w:t>
      </w:r>
      <w:r>
        <w:t xml:space="preserve">COMBI_2</w:t>
      </w:r>
      <w:r>
        <w:t xml:space="preserve"> </w:t>
      </w:r>
      <w:r>
        <w:t xml:space="preserve">8 600</w:t>
      </w:r>
      <w:r>
        <w:br/>
      </w:r>
      <w:r>
        <w:t xml:space="preserve">-43</w:t>
      </w:r>
      <w:r>
        <w:br/>
      </w:r>
      <w:r>
        <w:t xml:space="preserve">-0.50%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The table below shows the NPV of LDV total costs (broken down by capital costs and</w:t>
      </w:r>
      <w:r>
        <w:t xml:space="preserve"> </w:t>
      </w:r>
      <w:r>
        <w:t xml:space="preserve">operating costs) and environmental externalities. All costs reported as NPV, in billion</w:t>
      </w:r>
      <w:r>
        <w:t xml:space="preserve"> </w:t>
      </w:r>
      <w:r>
        <w:t xml:space="preserve">EUR (2023)</w:t>
      </w:r>
    </w:p>
    <w:p>
      <w:pPr>
        <w:pStyle w:val="BodyText"/>
      </w:pPr>
      <w:r>
        <w:t xml:space="preserve">Capital costs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energy costs</w:t>
      </w:r>
      <w:r>
        <w:t xml:space="preserve"> </w:t>
      </w:r>
      <w:r>
        <w:t xml:space="preserve">CO2 costs</w:t>
      </w:r>
      <w:r>
        <w:t xml:space="preserve"> </w:t>
      </w:r>
      <w:r>
        <w:t xml:space="preserve">Air pollution</w:t>
      </w:r>
      <w:r>
        <w:t xml:space="preserve"> </w:t>
      </w:r>
      <w:r>
        <w:t xml:space="preserve">costs</w:t>
      </w:r>
      <w:r>
        <w:t xml:space="preserve"> </w:t>
      </w:r>
      <w:r>
        <w:t xml:space="preserve">Baseline</w:t>
      </w:r>
      <w:r>
        <w:t xml:space="preserve"> </w:t>
      </w:r>
      <w:r>
        <w:t xml:space="preserve">8 643</w:t>
      </w:r>
      <w:r>
        <w:br/>
      </w:r>
      <w:r>
        <w:t xml:space="preserve">16 224</w:t>
      </w:r>
      <w:r>
        <w:br/>
      </w:r>
      <w:r>
        <w:t xml:space="preserve">368</w:t>
      </w:r>
      <w:r>
        <w:br/>
      </w:r>
      <w:r>
        <w:t xml:space="preserve">94</w:t>
      </w:r>
      <w:r>
        <w:br/>
      </w:r>
      <w:r>
        <w:t xml:space="preserve">TL_Vans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TL_100_2040</w:t>
      </w:r>
      <w:r>
        <w:t xml:space="preserve"> </w:t>
      </w:r>
      <w:r>
        <w:t xml:space="preserve">-25</w:t>
      </w:r>
      <w:r>
        <w:t xml:space="preserve"> </w:t>
      </w:r>
      <w:r>
        <w:t xml:space="preserve">35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TL_90</w:t>
      </w:r>
      <w:r>
        <w:t xml:space="preserve"> </w:t>
      </w:r>
      <w:r>
        <w:t xml:space="preserve">-40</w:t>
      </w:r>
      <w:r>
        <w:t xml:space="preserve"> </w:t>
      </w:r>
      <w:r>
        <w:t xml:space="preserve">92</w:t>
      </w:r>
      <w:r>
        <w:t xml:space="preserve"> </w:t>
      </w:r>
      <w:r>
        <w:t xml:space="preserve">15</w:t>
      </w:r>
      <w:r>
        <w:t xml:space="preserve"> </w:t>
      </w:r>
      <w:r>
        <w:t xml:space="preserve">4</w:t>
      </w:r>
      <w:r>
        <w:t xml:space="preserve"> </w:t>
      </w:r>
      <w:r>
        <w:t xml:space="preserve">OVC-HEV</w:t>
      </w:r>
      <w:r>
        <w:t xml:space="preserve"> </w:t>
      </w:r>
      <w:r>
        <w:t xml:space="preserve">11</w:t>
      </w:r>
      <w:r>
        <w:t xml:space="preserve"> </w:t>
      </w:r>
      <w:r>
        <w:t xml:space="preserve">-14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OVC-HEV 20%</w:t>
      </w:r>
      <w:r>
        <w:br/>
      </w:r>
      <w:r>
        <w:t xml:space="preserve">21</w:t>
      </w:r>
      <w:r>
        <w:t xml:space="preserve"> </w:t>
      </w:r>
      <w:r>
        <w:t xml:space="preserve">-68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CCM-RFNBO</w:t>
      </w:r>
      <w:r>
        <w:t xml:space="preserve"> </w:t>
      </w:r>
      <w:r>
        <w:t xml:space="preserve">-23</w:t>
      </w:r>
      <w:r>
        <w:t xml:space="preserve"> </w:t>
      </w:r>
      <w:r>
        <w:t xml:space="preserve">42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CCM-SRF</w:t>
      </w:r>
      <w:r>
        <w:t xml:space="preserve"> </w:t>
      </w:r>
      <w:r>
        <w:t xml:space="preserve">-57</w:t>
      </w:r>
      <w:r>
        <w:t xml:space="preserve"> </w:t>
      </w:r>
      <w:r>
        <w:t xml:space="preserve">108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VEEF-SRF</w:t>
      </w:r>
      <w:r>
        <w:t xml:space="preserve"> </w:t>
      </w:r>
      <w:r>
        <w:t xml:space="preserve">-20</w:t>
      </w:r>
      <w:r>
        <w:t xml:space="preserve"> </w:t>
      </w:r>
      <w:r>
        <w:t xml:space="preserve">17</w:t>
      </w:r>
      <w:r>
        <w:t xml:space="preserve"> </w:t>
      </w:r>
      <w:r>
        <w:t xml:space="preserve">-3</w:t>
      </w:r>
      <w:r>
        <w:t xml:space="preserve"> </w:t>
      </w:r>
      <w:r>
        <w:t xml:space="preserve">1</w:t>
      </w:r>
      <w:r>
        <w:t xml:space="preserve"> </w:t>
      </w:r>
      <w:r>
        <w:t xml:space="preserve">VEEF-RFNBO</w:t>
      </w:r>
      <w:r>
        <w:t xml:space="preserve"> </w:t>
      </w:r>
      <w:r>
        <w:t xml:space="preserve">-16</w:t>
      </w:r>
      <w:r>
        <w:t xml:space="preserve"> </w:t>
      </w:r>
      <w:r>
        <w:t xml:space="preserve">20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VEEF-SRF-20%</w:t>
      </w:r>
      <w:r>
        <w:t xml:space="preserve"> </w:t>
      </w:r>
      <w:r>
        <w:t xml:space="preserve">-215</w:t>
      </w:r>
      <w:r>
        <w:t xml:space="preserve"> </w:t>
      </w:r>
      <w:r>
        <w:t xml:space="preserve">250</w:t>
      </w:r>
      <w:r>
        <w:t xml:space="preserve"> </w:t>
      </w:r>
      <w:r>
        <w:t xml:space="preserve">-4</w:t>
      </w:r>
      <w:r>
        <w:t xml:space="preserve"> </w:t>
      </w:r>
      <w:r>
        <w:t xml:space="preserve">7</w:t>
      </w:r>
      <w:r>
        <w:t xml:space="preserve"> </w:t>
      </w:r>
      <w:r>
        <w:t xml:space="preserve">VEEF-RFNBO-20%</w:t>
      </w:r>
      <w:r>
        <w:t xml:space="preserve"> </w:t>
      </w:r>
      <w:r>
        <w:t xml:space="preserve">-278</w:t>
      </w:r>
      <w:r>
        <w:t xml:space="preserve"> </w:t>
      </w:r>
      <w:r>
        <w:t xml:space="preserve">332</w:t>
      </w:r>
      <w:r>
        <w:t xml:space="preserve"> </w:t>
      </w:r>
      <w:r>
        <w:t xml:space="preserve">-3</w:t>
      </w:r>
      <w:r>
        <w:t xml:space="preserve"> </w:t>
      </w:r>
      <w:r>
        <w:t xml:space="preserve">8</w:t>
      </w:r>
      <w:r>
        <w:t xml:space="preserve"> </w:t>
      </w:r>
      <w:r>
        <w:t xml:space="preserve">Small ZEV</w:t>
      </w:r>
      <w:r>
        <w:t xml:space="preserve"> </w:t>
      </w:r>
      <w:r>
        <w:t xml:space="preserve">-5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COMBI_1</w:t>
      </w:r>
      <w:r>
        <w:t xml:space="preserve"> </w:t>
      </w:r>
      <w:r>
        <w:t xml:space="preserve">-7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COMBI_2</w:t>
      </w:r>
      <w:r>
        <w:t xml:space="preserve"> </w:t>
      </w:r>
      <w:r>
        <w:t xml:space="preserve">-43</w:t>
      </w:r>
      <w:r>
        <w:t xml:space="preserve"> </w:t>
      </w:r>
      <w:r>
        <w:t xml:space="preserve">116</w:t>
      </w:r>
      <w:r>
        <w:t xml:space="preserve"> </w:t>
      </w:r>
      <w:r>
        <w:t xml:space="preserve">15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Starting from the costs just presented, the table below shows the benefits (negative costs</w:t>
      </w:r>
      <w:r>
        <w:t xml:space="preserve"> </w:t>
      </w:r>
      <w:r>
        <w:t xml:space="preserve">in the table above) and costs , and their ratio.</w:t>
      </w:r>
      <w:r>
        <w:br/>
      </w:r>
      <w:r>
        <w:t xml:space="preserve">NPV Benefits (EUR</w:t>
      </w:r>
      <w:r>
        <w:t xml:space="preserve"> </w:t>
      </w:r>
      <w:r>
        <w:t xml:space="preserve">billion)</w:t>
      </w:r>
      <w:r>
        <w:t xml:space="preserve"> </w:t>
      </w:r>
      <w:r>
        <w:t xml:space="preserve">NPV Costs (EUR</w:t>
      </w:r>
      <w:r>
        <w:t xml:space="preserve"> </w:t>
      </w:r>
      <w:r>
        <w:t xml:space="preserve">billion)</w:t>
      </w:r>
      <w:r>
        <w:t xml:space="preserve"> </w:t>
      </w:r>
      <w:r>
        <w:t xml:space="preserve">benefit/cost ratio</w:t>
      </w:r>
      <w:r>
        <w:t xml:space="preserve"> </w:t>
      </w:r>
      <w:r>
        <w:t xml:space="preserve">TL_Vans</w:t>
      </w:r>
      <w:r>
        <w:t xml:space="preserve"> </w:t>
      </w:r>
      <w:r>
        <w:t xml:space="preserve">0</w:t>
      </w:r>
      <w:r>
        <w:br/>
      </w:r>
      <w:r>
        <w:t xml:space="preserve">19</w:t>
      </w:r>
      <w:r>
        <w:br/>
      </w:r>
      <w:r>
        <w:t xml:space="preserve">0.00</w:t>
      </w:r>
      <w:r>
        <w:t xml:space="preserve"> </w:t>
      </w:r>
      <w:r>
        <w:t xml:space="preserve">TL_100_2040</w:t>
      </w:r>
      <w:r>
        <w:t xml:space="preserve"> </w:t>
      </w:r>
      <w:r>
        <w:t xml:space="preserve">25</w:t>
      </w:r>
      <w:r>
        <w:br/>
      </w:r>
      <w:r>
        <w:t xml:space="preserve">45</w:t>
      </w:r>
      <w:r>
        <w:br/>
      </w:r>
      <w:r>
        <w:t xml:space="preserve">0.55</w:t>
      </w:r>
      <w:r>
        <w:t xml:space="preserve"> </w:t>
      </w:r>
      <w:r>
        <w:t xml:space="preserve">TL_90</w:t>
      </w:r>
      <w:r>
        <w:t xml:space="preserve"> </w:t>
      </w:r>
      <w:r>
        <w:t xml:space="preserve">40</w:t>
      </w:r>
      <w:r>
        <w:br/>
      </w:r>
      <w:r>
        <w:t xml:space="preserve">111</w:t>
      </w:r>
      <w:r>
        <w:br/>
      </w:r>
      <w:r>
        <w:t xml:space="preserve">0.36</w:t>
      </w:r>
      <w:r>
        <w:t xml:space="preserve"> </w:t>
      </w:r>
      <w:r>
        <w:t xml:space="preserve">OVC-HEV</w:t>
      </w:r>
      <w:r>
        <w:t xml:space="preserve"> </w:t>
      </w:r>
      <w:r>
        <w:t xml:space="preserve">14</w:t>
      </w:r>
      <w:r>
        <w:br/>
      </w:r>
      <w:r>
        <w:t xml:space="preserve">13</w:t>
      </w:r>
      <w:r>
        <w:br/>
      </w:r>
      <w:r>
        <w:t xml:space="preserve">1.09</w:t>
      </w:r>
      <w:r>
        <w:t xml:space="preserve"> </w:t>
      </w:r>
      <w:r>
        <w:t xml:space="preserve">CCM-RFNBO</w:t>
      </w:r>
      <w:r>
        <w:t xml:space="preserve"> </w:t>
      </w:r>
      <w:r>
        <w:t xml:space="preserve">23</w:t>
      </w:r>
      <w:r>
        <w:br/>
      </w:r>
      <w:r>
        <w:t xml:space="preserve">51</w:t>
      </w:r>
      <w:r>
        <w:br/>
      </w:r>
      <w:r>
        <w:t xml:space="preserve">0.44</w:t>
      </w:r>
      <w:r>
        <w:t xml:space="preserve"> </w:t>
      </w:r>
      <w:r>
        <w:t xml:space="preserve">CCM-SRF</w:t>
      </w:r>
      <w:r>
        <w:t xml:space="preserve"> </w:t>
      </w:r>
      <w:r>
        <w:t xml:space="preserve">57</w:t>
      </w:r>
      <w:r>
        <w:br/>
      </w:r>
      <w:r>
        <w:t xml:space="preserve">126</w:t>
      </w:r>
      <w:r>
        <w:br/>
      </w:r>
      <w:r>
        <w:t xml:space="preserve">0.45</w:t>
      </w:r>
      <w:r>
        <w:t xml:space="preserve"> </w:t>
      </w:r>
      <w:r>
        <w:t xml:space="preserve">VEEF-SRF</w:t>
      </w:r>
      <w:r>
        <w:t xml:space="preserve"> </w:t>
      </w:r>
      <w:r>
        <w:t xml:space="preserve">23</w:t>
      </w:r>
      <w:r>
        <w:br/>
      </w:r>
      <w:r>
        <w:t xml:space="preserve">18</w:t>
      </w:r>
      <w:r>
        <w:br/>
      </w:r>
      <w:r>
        <w:t xml:space="preserve">1.29</w:t>
      </w:r>
      <w:r>
        <w:t xml:space="preserve"> </w:t>
      </w:r>
      <w:r>
        <w:t xml:space="preserve">VEEF-RFNBO</w:t>
      </w:r>
      <w:r>
        <w:t xml:space="preserve"> </w:t>
      </w:r>
      <w:r>
        <w:t xml:space="preserve">18</w:t>
      </w:r>
      <w:r>
        <w:br/>
      </w:r>
      <w:r>
        <w:t xml:space="preserve">20</w:t>
      </w:r>
      <w:r>
        <w:br/>
      </w:r>
      <w:r>
        <w:t xml:space="preserve">0.87</w:t>
      </w:r>
      <w:r>
        <w:t xml:space="preserve"> </w:t>
      </w:r>
      <w:r>
        <w:t xml:space="preserve">Small ZEV</w:t>
      </w:r>
      <w:r>
        <w:t xml:space="preserve"> </w:t>
      </w:r>
      <w:r>
        <w:t xml:space="preserve">5</w:t>
      </w:r>
      <w:r>
        <w:br/>
      </w:r>
      <w:r>
        <w:t xml:space="preserve">9</w:t>
      </w:r>
      <w:r>
        <w:br/>
      </w:r>
      <w:r>
        <w:t xml:space="preserve">0.55</w:t>
      </w:r>
      <w:r>
        <w:t xml:space="preserve"> </w:t>
      </w:r>
      <w:r>
        <w:t xml:space="preserve">COMBI_1</w:t>
      </w:r>
      <w:r>
        <w:t xml:space="preserve"> </w:t>
      </w:r>
      <w:r>
        <w:t xml:space="preserve">7</w:t>
      </w:r>
      <w:r>
        <w:br/>
      </w:r>
      <w:r>
        <w:t xml:space="preserve">13</w:t>
      </w:r>
      <w:r>
        <w:br/>
      </w:r>
      <w:r>
        <w:t xml:space="preserve">0.50</w:t>
      </w:r>
      <w:r>
        <w:t xml:space="preserve"> </w:t>
      </w:r>
      <w:r>
        <w:t xml:space="preserve">COMBI_2</w:t>
      </w:r>
      <w:r>
        <w:t xml:space="preserve"> </w:t>
      </w:r>
      <w:r>
        <w:t xml:space="preserve">43</w:t>
      </w:r>
      <w:r>
        <w:br/>
      </w:r>
      <w:r>
        <w:t xml:space="preserve">136</w:t>
      </w:r>
      <w:r>
        <w:br/>
      </w:r>
      <w:r>
        <w:t xml:space="preserve">0.32</w:t>
      </w:r>
    </w:p>
    <w:p>
      <w:pPr>
        <w:pStyle w:val="BodyText"/>
      </w:pPr>
      <w:r>
        <w:t xml:space="preserve">93</w:t>
      </w:r>
    </w:p>
    <w:p>
      <w:pPr>
        <w:pStyle w:val="Compact"/>
        <w:numPr>
          <w:ilvl w:val="0"/>
          <w:numId w:val="1022"/>
        </w:numPr>
      </w:pPr>
      <w:r>
        <w:t xml:space="preserve">NET ECONOMIC COSTS FOR NEW VEHICLES FROM DIFFERENT PERSPECTIVES</w:t>
      </w:r>
      <w:r>
        <w:t xml:space="preserve"> </w:t>
      </w:r>
      <w:r>
        <w:t xml:space="preserve">(SOCIETAL, FIRST USE, SECOND USE)</w:t>
      </w:r>
      <w:r>
        <w:t xml:space="preserve"> </w:t>
      </w:r>
      <w:r>
        <w:t xml:space="preserve">CO2 emission targets</w:t>
      </w:r>
      <w:r>
        <w:t xml:space="preserve"> </w:t>
      </w:r>
      <w:r>
        <w:t xml:space="preserve">Reducing the target level ambition, compared to the baseline, as done in the scenarios</w:t>
      </w:r>
      <w:r>
        <w:t xml:space="preserve"> </w:t>
      </w:r>
      <w:r>
        <w:t xml:space="preserve">TL_100_40 and TL_90, as well as in TL_VANS for vans, has a negative TCO impact from</w:t>
      </w:r>
      <w:r>
        <w:t xml:space="preserve"> </w:t>
      </w:r>
      <w:r>
        <w:t xml:space="preserve">a user as well as societal perspective. These extra costs are driven by lower vehicle</w:t>
      </w:r>
      <w:r>
        <w:t xml:space="preserve"> </w:t>
      </w:r>
      <w:r>
        <w:t xml:space="preserve">efficiency and remaining conventional vehicles in the fleet, which have higher fuel costs</w:t>
      </w:r>
      <w:r>
        <w:t xml:space="preserve"> </w:t>
      </w:r>
      <w:r>
        <w:t xml:space="preserve">over the use period that are not compensated by the moderate savings in vehicle capital</w:t>
      </w:r>
      <w:r>
        <w:t xml:space="preserve"> </w:t>
      </w:r>
      <w:r>
        <w:t xml:space="preserve">costs. The second user is more affected than the first, as they have less margin for savings</w:t>
      </w:r>
      <w:r>
        <w:t xml:space="preserve"> </w:t>
      </w:r>
      <w:r>
        <w:t xml:space="preserve">on capital costs as they pay a lower share of initial vehicle value and are likely to face</w:t>
      </w:r>
      <w:r>
        <w:t xml:space="preserve"> </w:t>
      </w:r>
      <w:r>
        <w:t xml:space="preserve">higher fuel costs for conventional vehicles according to the forecasted ICEV trajectories.</w:t>
      </w:r>
      <w:r>
        <w:t xml:space="preserve"> </w:t>
      </w:r>
      <w:r>
        <w:t xml:space="preserve">Table 16 shows the TCO differences for each perspective and target scenario, compared to</w:t>
      </w:r>
      <w:r>
        <w:t xml:space="preserve"> </w:t>
      </w:r>
      <w:r>
        <w:t xml:space="preserve">the baseline. The first user of a passenger car will pay, on average, less than EUR 100 more</w:t>
      </w:r>
      <w:r>
        <w:t xml:space="preserve"> </w:t>
      </w:r>
      <w:r>
        <w:t xml:space="preserve">in 2035 in both options, but EUR 450 in addition in 2040 if the target level is kept at 90%.</w:t>
      </w:r>
      <w:r>
        <w:t xml:space="preserve"> </w:t>
      </w:r>
      <w:r>
        <w:t xml:space="preserve">For the second user, there is a roughly EUR 400 higher 5-year TCO in 2035 and more than</w:t>
      </w:r>
      <w:r>
        <w:t xml:space="preserve"> </w:t>
      </w:r>
      <w:r>
        <w:t xml:space="preserve">EUR 600 in 2040 for TL_90. Societal costs are more than EUR 800 in 2035 and EUR 1300</w:t>
      </w:r>
      <w:r>
        <w:t xml:space="preserve"> </w:t>
      </w:r>
      <w:r>
        <w:t xml:space="preserve">in 2040, over the 20 years of vehicle lifetime, taking into account also the additional</w:t>
      </w:r>
      <w:r>
        <w:t xml:space="preserve"> </w:t>
      </w:r>
      <w:r>
        <w:t xml:space="preserve">external costs for higher carbon emissions.</w:t>
      </w:r>
      <w:r>
        <w:t xml:space="preserve"> </w:t>
      </w:r>
      <w:r>
        <w:t xml:space="preserve">Table 16: Cars TCO changes in TL options versus baseline (EUR)</w:t>
      </w:r>
      <w:r>
        <w:br/>
      </w:r>
      <w:r>
        <w:t xml:space="preserve">TL_100_20</w:t>
      </w:r>
      <w:r>
        <w:t xml:space="preserve"> </w:t>
      </w:r>
      <w:r>
        <w:t xml:space="preserve">40</w:t>
      </w:r>
      <w:r>
        <w:t xml:space="preserve"> </w:t>
      </w:r>
      <w:r>
        <w:t xml:space="preserve">TL_100_20</w:t>
      </w:r>
      <w:r>
        <w:t xml:space="preserve"> </w:t>
      </w:r>
      <w:r>
        <w:t xml:space="preserve">40</w:t>
      </w:r>
      <w:r>
        <w:t xml:space="preserve"> </w:t>
      </w:r>
      <w:r>
        <w:t xml:space="preserve">TL_100_20</w:t>
      </w:r>
      <w:r>
        <w:t xml:space="preserve"> </w:t>
      </w:r>
      <w:r>
        <w:t xml:space="preserve">40</w:t>
      </w:r>
      <w:r>
        <w:t xml:space="preserve"> </w:t>
      </w:r>
      <w:r>
        <w:t xml:space="preserve">TL_90</w:t>
      </w:r>
      <w:r>
        <w:t xml:space="preserve"> </w:t>
      </w:r>
      <w:r>
        <w:t xml:space="preserve">TL_90</w:t>
      </w:r>
      <w:r>
        <w:t xml:space="preserve"> </w:t>
      </w:r>
      <w:r>
        <w:t xml:space="preserve">TL_90</w:t>
      </w:r>
    </w:p>
    <w:p>
      <w:pPr>
        <w:pStyle w:val="FirstParagraph"/>
      </w:pP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2035</w:t>
      </w:r>
      <w:r>
        <w:t xml:space="preserve"> </w:t>
      </w:r>
      <w:r>
        <w:t xml:space="preserve">66</w:t>
      </w:r>
      <w:r>
        <w:t xml:space="preserve"> </w:t>
      </w:r>
      <w:r>
        <w:t xml:space="preserve">430</w:t>
      </w:r>
      <w:r>
        <w:t xml:space="preserve"> </w:t>
      </w:r>
      <w:r>
        <w:t xml:space="preserve">839</w:t>
      </w:r>
      <w:r>
        <w:t xml:space="preserve"> </w:t>
      </w:r>
      <w:r>
        <w:t xml:space="preserve">83</w:t>
      </w:r>
      <w:r>
        <w:t xml:space="preserve"> </w:t>
      </w:r>
      <w:r>
        <w:t xml:space="preserve">443</w:t>
      </w:r>
      <w:r>
        <w:t xml:space="preserve"> </w:t>
      </w:r>
      <w:r>
        <w:t xml:space="preserve">869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460</w:t>
      </w:r>
      <w:r>
        <w:t xml:space="preserve"> </w:t>
      </w:r>
      <w:r>
        <w:t xml:space="preserve">640</w:t>
      </w:r>
      <w:r>
        <w:t xml:space="preserve"> </w:t>
      </w:r>
      <w:r>
        <w:t xml:space="preserve">1 306</w:t>
      </w:r>
      <w:r>
        <w:t xml:space="preserve"> </w:t>
      </w:r>
      <w:r>
        <w:t xml:space="preserve">For vans, an additional option was explored to reduce the ambition of the 2030 targets</w:t>
      </w:r>
      <w:r>
        <w:t xml:space="preserve"> </w:t>
      </w:r>
      <w:r>
        <w:t xml:space="preserve">(TL_vans) by 10 percentage points to 40%. This would increase TCO for a new vehicle of</w:t>
      </w:r>
      <w:r>
        <w:t xml:space="preserve"> </w:t>
      </w:r>
      <w:r>
        <w:t xml:space="preserve">2030 by EUR 600 for the first user, EUR 900 for the second user, and EUR 2 000 from a</w:t>
      </w:r>
      <w:r>
        <w:t xml:space="preserve"> </w:t>
      </w:r>
      <w:r>
        <w:t xml:space="preserve">societal perspective.</w:t>
      </w:r>
      <w:r>
        <w:br/>
      </w:r>
      <w:r>
        <w:t xml:space="preserve">In TL_90, for vans, the lowering of the 2035 target is accompanied by a lower target for</w:t>
      </w:r>
      <w:r>
        <w:t xml:space="preserve"> </w:t>
      </w:r>
      <w:r>
        <w:t xml:space="preserve">2030, as in TL_vans. Therefore the 2030 TCO are the same as just presented lowered to</w:t>
      </w:r>
      <w:r>
        <w:t xml:space="preserve"> </w:t>
      </w:r>
      <w:r>
        <w:t xml:space="preserve">90%. For a 2035 van instead the model project a TCO increase of around EUR 1 100 for</w:t>
      </w:r>
      <w:r>
        <w:t xml:space="preserve"> </w:t>
      </w:r>
      <w:r>
        <w:t xml:space="preserve">the first user, EUR 1 400 for the second user, and EUR 2 900 at societal level, whereas for</w:t>
      </w:r>
      <w:r>
        <w:t xml:space="preserve"> </w:t>
      </w:r>
      <w:r>
        <w:t xml:space="preserve">a 2040 van the impacts are larger, as shown in Table 17.</w:t>
      </w:r>
      <w:r>
        <w:br/>
      </w:r>
      <w:r>
        <w:t xml:space="preserve">As in the scenario TL_100_2040 the 2030 target is unchanged and the reduction of the</w:t>
      </w:r>
      <w:r>
        <w:t xml:space="preserve"> </w:t>
      </w:r>
      <w:r>
        <w:t xml:space="preserve">100% target is limited in time, the impact in terms of TCO are identical to what described</w:t>
      </w:r>
      <w:r>
        <w:t xml:space="preserve"> </w:t>
      </w:r>
      <w:r>
        <w:t xml:space="preserve">for the TL_90 scenario for a van bought in 2035, and virtually zero for a 2030 and a 2040</w:t>
      </w:r>
      <w:r>
        <w:t xml:space="preserve"> </w:t>
      </w:r>
      <w:r>
        <w:t xml:space="preserve">van. Similar as for cars, these extra costs are driven by lower targets allowing for less</w:t>
      </w:r>
      <w:r>
        <w:t xml:space="preserve"> </w:t>
      </w:r>
      <w:r>
        <w:t xml:space="preserve">efficient and less electrified new fleets, and capital cost savings are overcompensated for</w:t>
      </w:r>
      <w:r>
        <w:t xml:space="preserve"> </w:t>
      </w:r>
      <w:r>
        <w:t xml:space="preserve">by higher fuel expenses, which are more dominant for vans than for cars, given their higher</w:t>
      </w:r>
      <w:r>
        <w:t xml:space="preserve"> </w:t>
      </w:r>
      <w:r>
        <w:t xml:space="preserve">activity.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Table 17: Vans TCO changes in TL options versus baseline (EUR)</w:t>
      </w:r>
    </w:p>
    <w:p>
      <w:pPr>
        <w:pStyle w:val="BodyText"/>
      </w:pPr>
      <w:r>
        <w:t xml:space="preserve">TL_vans</w:t>
      </w:r>
      <w:r>
        <w:t xml:space="preserve"> </w:t>
      </w:r>
      <w:r>
        <w:t xml:space="preserve">TL_100_2040</w:t>
      </w:r>
      <w:r>
        <w:t xml:space="preserve"> </w:t>
      </w:r>
      <w:r>
        <w:t xml:space="preserve">TL_90</w:t>
      </w:r>
      <w:r>
        <w:t xml:space="preserve"> </w:t>
      </w:r>
      <w:r>
        <w:t xml:space="preserve">End user1 End user2 Societal End user1 End user2 Societal End user1 End user2 Societal</w:t>
      </w:r>
      <w:r>
        <w:t xml:space="preserve"> </w:t>
      </w:r>
      <w:r>
        <w:t xml:space="preserve">2030</w:t>
      </w:r>
      <w:r>
        <w:t xml:space="preserve"> </w:t>
      </w:r>
      <w:r>
        <w:t xml:space="preserve">606</w:t>
      </w:r>
      <w:r>
        <w:t xml:space="preserve"> </w:t>
      </w:r>
      <w:r>
        <w:t xml:space="preserve">917</w:t>
      </w:r>
      <w:r>
        <w:t xml:space="preserve"> </w:t>
      </w:r>
      <w:r>
        <w:t xml:space="preserve">2031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606</w:t>
      </w:r>
      <w:r>
        <w:t xml:space="preserve"> </w:t>
      </w:r>
      <w:r>
        <w:t xml:space="preserve">917</w:t>
      </w:r>
      <w:r>
        <w:t xml:space="preserve"> </w:t>
      </w:r>
      <w:r>
        <w:t xml:space="preserve">2031</w:t>
      </w:r>
      <w:r>
        <w:t xml:space="preserve"> </w:t>
      </w:r>
      <w:r>
        <w:t xml:space="preserve">2035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1129</w:t>
      </w:r>
      <w:r>
        <w:t xml:space="preserve"> </w:t>
      </w:r>
      <w:r>
        <w:t xml:space="preserve">1377</w:t>
      </w:r>
      <w:r>
        <w:t xml:space="preserve"> </w:t>
      </w:r>
      <w:r>
        <w:t xml:space="preserve">2858</w:t>
      </w:r>
      <w:r>
        <w:t xml:space="preserve"> </w:t>
      </w:r>
      <w:r>
        <w:t xml:space="preserve">1130</w:t>
      </w:r>
      <w:r>
        <w:t xml:space="preserve"> </w:t>
      </w:r>
      <w:r>
        <w:t xml:space="preserve">1378</w:t>
      </w:r>
      <w:r>
        <w:t xml:space="preserve"> </w:t>
      </w:r>
      <w:r>
        <w:t xml:space="preserve">2860</w:t>
      </w:r>
      <w:r>
        <w:t xml:space="preserve"> </w:t>
      </w:r>
      <w:r>
        <w:t xml:space="preserve">2040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1722</w:t>
      </w:r>
      <w:r>
        <w:t xml:space="preserve"> </w:t>
      </w:r>
      <w:r>
        <w:t xml:space="preserve">1675</w:t>
      </w:r>
      <w:r>
        <w:t xml:space="preserve"> </w:t>
      </w:r>
      <w:r>
        <w:t xml:space="preserve">3526</w:t>
      </w:r>
      <w:r>
        <w:t xml:space="preserve"> </w:t>
      </w:r>
      <w:r>
        <w:t xml:space="preserve">Role of sustainable renewable fuels</w:t>
      </w:r>
      <w:r>
        <w:t xml:space="preserve"> </w:t>
      </w:r>
      <w:r>
        <w:t xml:space="preserve">Sustainable fuel options can have a wide range of impacts on TCO. For cars, the</w:t>
      </w:r>
      <w:r>
        <w:t xml:space="preserve"> </w:t>
      </w:r>
      <w:r>
        <w:t xml:space="preserve">investigated option of giving emission credits for renewable fuels of non-biological</w:t>
      </w:r>
      <w:r>
        <w:t xml:space="preserve"> </w:t>
      </w:r>
      <w:r>
        <w:t xml:space="preserve">(CCM_RFNBO) show no impact for a 2035 car, given the limited credit available in that</w:t>
      </w:r>
      <w:r>
        <w:t xml:space="preserve"> </w:t>
      </w:r>
      <w:r>
        <w:t xml:space="preserve">year. However this causes extra costs in 2040. In comparison, credits for a mix of advanced</w:t>
      </w:r>
      <w:r>
        <w:t xml:space="preserve"> </w:t>
      </w:r>
      <w:r>
        <w:t xml:space="preserve">biofuels and renewable fuels of non-biological origin (CCM-SRF) is more expensive in</w:t>
      </w:r>
      <w:r>
        <w:t xml:space="preserve"> </w:t>
      </w:r>
      <w:r>
        <w:t xml:space="preserve">terms of additional TCO (see Table 18). The extra costs are due to the fact that the credits,</w:t>
      </w:r>
      <w:r>
        <w:t xml:space="preserve"> </w:t>
      </w:r>
      <w:r>
        <w:t xml:space="preserve">lowering the tailpipe standard, drive a fleet with more conventional and less efficient</w:t>
      </w:r>
      <w:r>
        <w:t xml:space="preserve"> </w:t>
      </w:r>
      <w:r>
        <w:t xml:space="preserve">vehicles, which in turn raises fuel costs.</w:t>
      </w:r>
      <w:r>
        <w:br/>
      </w:r>
      <w:r>
        <w:t xml:space="preserve">Table 18: Cars TCO changes in CCM options versus baseline (EUR)</w:t>
      </w:r>
      <w:r>
        <w:t xml:space="preserve"> </w:t>
      </w:r>
      <w:r>
        <w:t xml:space="preserve">Cars</w:t>
      </w:r>
      <w:r>
        <w:t xml:space="preserve"> </w:t>
      </w:r>
      <w:r>
        <w:t xml:space="preserve">CCM-RFNBO</w:t>
      </w:r>
      <w:r>
        <w:t xml:space="preserve"> </w:t>
      </w:r>
      <w:r>
        <w:t xml:space="preserve">CCM-SRF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2035</w:t>
      </w:r>
      <w:r>
        <w:t xml:space="preserve"> </w:t>
      </w:r>
      <w:r>
        <w:t xml:space="preserve">-0</w:t>
      </w:r>
      <w:r>
        <w:t xml:space="preserve"> </w:t>
      </w:r>
      <w:r>
        <w:t xml:space="preserve">-0</w:t>
      </w:r>
      <w:r>
        <w:t xml:space="preserve"> </w:t>
      </w:r>
      <w:r>
        <w:t xml:space="preserve">-0</w:t>
      </w:r>
      <w:r>
        <w:t xml:space="preserve"> </w:t>
      </w:r>
      <w:r>
        <w:t xml:space="preserve">201</w:t>
      </w:r>
      <w:r>
        <w:t xml:space="preserve"> </w:t>
      </w:r>
      <w:r>
        <w:t xml:space="preserve">626</w:t>
      </w:r>
      <w:r>
        <w:t xml:space="preserve"> </w:t>
      </w:r>
      <w:r>
        <w:t xml:space="preserve">1257</w:t>
      </w:r>
      <w:r>
        <w:t xml:space="preserve"> </w:t>
      </w:r>
      <w:r>
        <w:t xml:space="preserve">2040</w:t>
      </w:r>
      <w:r>
        <w:t xml:space="preserve"> </w:t>
      </w:r>
      <w:r>
        <w:t xml:space="preserve">476</w:t>
      </w:r>
      <w:r>
        <w:t xml:space="preserve"> </w:t>
      </w:r>
      <w:r>
        <w:t xml:space="preserve">503</w:t>
      </w:r>
      <w:r>
        <w:t xml:space="preserve"> </w:t>
      </w:r>
      <w:r>
        <w:t xml:space="preserve">1071</w:t>
      </w:r>
      <w:r>
        <w:t xml:space="preserve"> </w:t>
      </w:r>
      <w:r>
        <w:t xml:space="preserve">618</w:t>
      </w:r>
      <w:r>
        <w:t xml:space="preserve"> </w:t>
      </w:r>
      <w:r>
        <w:t xml:space="preserve">827</w:t>
      </w:r>
      <w:r>
        <w:t xml:space="preserve"> </w:t>
      </w:r>
      <w:r>
        <w:t xml:space="preserve">1678</w:t>
      </w:r>
      <w:r>
        <w:t xml:space="preserve"> </w:t>
      </w:r>
      <w:r>
        <w:t xml:space="preserve">As regards the options of introducing vehicles that can run exclusively on eligible</w:t>
      </w:r>
      <w:r>
        <w:t xml:space="preserve"> </w:t>
      </w:r>
      <w:r>
        <w:t xml:space="preserve">sustainable renewable fuels, these come at very limited TCO costs compared to the</w:t>
      </w:r>
      <w:r>
        <w:t xml:space="preserve"> </w:t>
      </w:r>
      <w:r>
        <w:t xml:space="preserve">baseline as the VEEF share remains very low. However, when users would take up these</w:t>
      </w:r>
      <w:r>
        <w:t xml:space="preserve"> </w:t>
      </w:r>
      <w:r>
        <w:t xml:space="preserve">vehicles to a level of 10 or 20% of the new fleet, additional costs in the order of magnitude</w:t>
      </w:r>
      <w:r>
        <w:t xml:space="preserve"> </w:t>
      </w:r>
      <w:r>
        <w:t xml:space="preserve">between 1000 and 2000 EUR occur for end-users 1 and 2, and between 3000 and almost</w:t>
      </w:r>
      <w:r>
        <w:t xml:space="preserve"> </w:t>
      </w:r>
      <w:r>
        <w:t xml:space="preserve">5000 EUR from a societal perspective (higher in the case of RFNBO only and lower for a</w:t>
      </w:r>
      <w:r>
        <w:t xml:space="preserve"> </w:t>
      </w:r>
      <w:r>
        <w:t xml:space="preserve">fuel mix), see Table 19.</w:t>
      </w:r>
      <w:r>
        <w:br/>
      </w:r>
      <w:r>
        <w:t xml:space="preserve">This is again explained by the less efficient fleet, in comparison to the baseline, as VEEF</w:t>
      </w:r>
      <w:r>
        <w:t xml:space="preserve"> </w:t>
      </w:r>
      <w:r>
        <w:t xml:space="preserve">allow for substantial numbers of conventional vehicles in particular in the mandate</w:t>
      </w:r>
      <w:r>
        <w:t xml:space="preserve"> </w:t>
      </w:r>
      <w:r>
        <w:t xml:space="preserve">versions, and the fact that this fleet consumes more and more costly fuel, in particular in</w:t>
      </w:r>
      <w:r>
        <w:t xml:space="preserve"> </w:t>
      </w:r>
      <w:r>
        <w:t xml:space="preserve">the case of RFNBO. Technology for ensuring that these vehicles can run exclusively on</w:t>
      </w:r>
      <w:r>
        <w:t xml:space="preserve"> </w:t>
      </w:r>
      <w:r>
        <w:t xml:space="preserve">the eligible fuels also adds to their cost, albeit very little.</w:t>
      </w:r>
      <w:r>
        <w:t xml:space="preserve"> </w:t>
      </w:r>
      <w:r>
        <w:t xml:space="preserve">Table 19: Cars TCO changes in VEEF options versus baseline (EUR)</w:t>
      </w:r>
      <w:r>
        <w:t xml:space="preserve"> </w:t>
      </w:r>
      <w:r>
        <w:t xml:space="preserve">Cars</w:t>
      </w:r>
      <w:r>
        <w:t xml:space="preserve"> </w:t>
      </w:r>
      <w:r>
        <w:t xml:space="preserve">VEEF-RFNBO</w:t>
      </w:r>
      <w:r>
        <w:t xml:space="preserve"> </w:t>
      </w:r>
      <w:r>
        <w:t xml:space="preserve">20% VEEF-</w:t>
      </w:r>
      <w:r>
        <w:t xml:space="preserve"> </w:t>
      </w:r>
      <w:r>
        <w:t xml:space="preserve">RFNBO</w:t>
      </w:r>
      <w:r>
        <w:t xml:space="preserve"> </w:t>
      </w:r>
      <w:r>
        <w:t xml:space="preserve">VEEF-SRF</w:t>
      </w:r>
      <w:r>
        <w:t xml:space="preserve"> </w:t>
      </w:r>
      <w:r>
        <w:t xml:space="preserve">20%-VEEF-SRF</w:t>
      </w:r>
    </w:p>
    <w:p>
      <w:pPr>
        <w:pStyle w:val="BodyText"/>
      </w:pP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Soc.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</w:t>
      </w:r>
      <w:r>
        <w:t xml:space="preserve"> </w:t>
      </w:r>
      <w:r>
        <w:t xml:space="preserve">2035</w:t>
      </w:r>
      <w:r>
        <w:t xml:space="preserve"> </w:t>
      </w:r>
      <w:r>
        <w:t xml:space="preserve">0</w:t>
      </w:r>
      <w:r>
        <w:t xml:space="preserve"> </w:t>
      </w:r>
      <w:r>
        <w:t xml:space="preserve">47</w:t>
      </w:r>
      <w:r>
        <w:t xml:space="preserve"> </w:t>
      </w:r>
      <w:r>
        <w:t xml:space="preserve">101</w:t>
      </w:r>
      <w:r>
        <w:t xml:space="preserve"> </w:t>
      </w:r>
      <w:r>
        <w:t xml:space="preserve">1778</w:t>
      </w:r>
      <w:r>
        <w:t xml:space="preserve"> </w:t>
      </w:r>
      <w:r>
        <w:t xml:space="preserve">1988</w:t>
      </w:r>
      <w:r>
        <w:t xml:space="preserve"> </w:t>
      </w:r>
      <w:r>
        <w:t xml:space="preserve">4811</w:t>
      </w:r>
      <w:r>
        <w:t xml:space="preserve"> </w:t>
      </w:r>
      <w:r>
        <w:t xml:space="preserve">0</w:t>
      </w:r>
      <w:r>
        <w:t xml:space="preserve"> </w:t>
      </w:r>
      <w:r>
        <w:t xml:space="preserve">41</w:t>
      </w:r>
      <w:r>
        <w:t xml:space="preserve"> </w:t>
      </w:r>
      <w:r>
        <w:t xml:space="preserve">20</w:t>
      </w:r>
      <w:r>
        <w:t xml:space="preserve"> </w:t>
      </w:r>
      <w:r>
        <w:t xml:space="preserve">1171</w:t>
      </w:r>
      <w:r>
        <w:t xml:space="preserve"> </w:t>
      </w:r>
      <w:r>
        <w:t xml:space="preserve">1645</w:t>
      </w:r>
      <w:r>
        <w:t xml:space="preserve"> </w:t>
      </w:r>
      <w:r>
        <w:t xml:space="preserve">3663</w:t>
      </w:r>
      <w:r>
        <w:t xml:space="preserve"> </w:t>
      </w:r>
      <w:r>
        <w:t xml:space="preserve">2040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67</w:t>
      </w:r>
      <w:r>
        <w:t xml:space="preserve"> </w:t>
      </w:r>
      <w:r>
        <w:t xml:space="preserve">1597</w:t>
      </w:r>
      <w:r>
        <w:t xml:space="preserve"> </w:t>
      </w:r>
      <w:r>
        <w:t xml:space="preserve">1793</w:t>
      </w:r>
      <w:r>
        <w:t xml:space="preserve"> </w:t>
      </w:r>
      <w:r>
        <w:t xml:space="preserve">4092</w:t>
      </w:r>
      <w:r>
        <w:t xml:space="preserve"> </w:t>
      </w:r>
      <w:r>
        <w:t xml:space="preserve">0</w:t>
      </w:r>
      <w:r>
        <w:t xml:space="preserve"> </w:t>
      </w:r>
      <w:r>
        <w:t xml:space="preserve">32</w:t>
      </w:r>
      <w:r>
        <w:t xml:space="preserve"> </w:t>
      </w:r>
      <w:r>
        <w:t xml:space="preserve">37</w:t>
      </w:r>
      <w:r>
        <w:t xml:space="preserve"> </w:t>
      </w:r>
      <w:r>
        <w:t xml:space="preserve">1273</w:t>
      </w:r>
      <w:r>
        <w:t xml:space="preserve"> </w:t>
      </w:r>
      <w:r>
        <w:t xml:space="preserve">1546</w:t>
      </w:r>
      <w:r>
        <w:t xml:space="preserve"> </w:t>
      </w:r>
      <w:r>
        <w:t xml:space="preserve">3363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As regards vans, emission credits for renewable fuels of non-biological (RFNBO CRD)</w:t>
      </w:r>
      <w:r>
        <w:t xml:space="preserve"> </w:t>
      </w:r>
      <w:r>
        <w:t xml:space="preserve">cost the end users almost 200 EUR in addition in 2035, and around 500 EUR in 2040, very</w:t>
      </w:r>
      <w:r>
        <w:t xml:space="preserve"> </w:t>
      </w:r>
      <w:r>
        <w:t xml:space="preserve">similar for first and second user, but with more than twice these costs a societal level. As</w:t>
      </w:r>
      <w:r>
        <w:t xml:space="preserve"> </w:t>
      </w:r>
      <w:r>
        <w:t xml:space="preserve">for cars, the credit for a mix of advanced biofuels and renewable fuels of non-biological</w:t>
      </w:r>
      <w:r>
        <w:t xml:space="preserve"> </w:t>
      </w:r>
      <w:r>
        <w:t xml:space="preserve">origin (CCM-SRF) is more expensive in terms of additional TCO, around 1000 EUR for</w:t>
      </w:r>
      <w:r>
        <w:t xml:space="preserve"> </w:t>
      </w:r>
      <w:r>
        <w:t xml:space="preserve">users and 2000 from a societal perspective (see table xxx below), for the same reasons as</w:t>
      </w:r>
      <w:r>
        <w:t xml:space="preserve"> </w:t>
      </w:r>
      <w:r>
        <w:t xml:space="preserve">above.</w:t>
      </w:r>
      <w:r>
        <w:t xml:space="preserve"> </w:t>
      </w:r>
      <w:r>
        <w:t xml:space="preserve">Table 20: Vans TCO changes in CCM options versus baseline (EUR)</w:t>
      </w:r>
      <w:r>
        <w:t xml:space="preserve"> </w:t>
      </w:r>
      <w:r>
        <w:t xml:space="preserve">Vans</w:t>
      </w:r>
      <w:r>
        <w:t xml:space="preserve"> </w:t>
      </w:r>
      <w:r>
        <w:t xml:space="preserve">CCM-RFNBO</w:t>
      </w:r>
      <w:r>
        <w:t xml:space="preserve"> </w:t>
      </w:r>
      <w:r>
        <w:t xml:space="preserve">CCM-SRF</w:t>
      </w:r>
    </w:p>
    <w:p>
      <w:pPr>
        <w:pStyle w:val="BodyText"/>
      </w:pP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2035</w:t>
      </w:r>
      <w:r>
        <w:t xml:space="preserve"> </w:t>
      </w:r>
      <w:r>
        <w:t xml:space="preserve">170</w:t>
      </w:r>
      <w:r>
        <w:t xml:space="preserve"> </w:t>
      </w:r>
      <w:r>
        <w:t xml:space="preserve">194</w:t>
      </w:r>
      <w:r>
        <w:t xml:space="preserve"> </w:t>
      </w:r>
      <w:r>
        <w:t xml:space="preserve">414</w:t>
      </w:r>
      <w:r>
        <w:t xml:space="preserve"> </w:t>
      </w:r>
      <w:r>
        <w:t xml:space="preserve">764</w:t>
      </w:r>
      <w:r>
        <w:t xml:space="preserve"> </w:t>
      </w:r>
      <w:r>
        <w:t xml:space="preserve">943</w:t>
      </w:r>
      <w:r>
        <w:t xml:space="preserve"> </w:t>
      </w:r>
      <w:r>
        <w:t xml:space="preserve">1938</w:t>
      </w:r>
      <w:r>
        <w:t xml:space="preserve"> </w:t>
      </w:r>
      <w:r>
        <w:t xml:space="preserve">2040</w:t>
      </w:r>
      <w:r>
        <w:t xml:space="preserve"> </w:t>
      </w:r>
      <w:r>
        <w:t xml:space="preserve">548</w:t>
      </w:r>
      <w:r>
        <w:t xml:space="preserve"> </w:t>
      </w:r>
      <w:r>
        <w:t xml:space="preserve">499</w:t>
      </w:r>
      <w:r>
        <w:t xml:space="preserve"> </w:t>
      </w:r>
      <w:r>
        <w:t xml:space="preserve">1016</w:t>
      </w:r>
      <w:r>
        <w:t xml:space="preserve"> </w:t>
      </w:r>
      <w:r>
        <w:t xml:space="preserve">952</w:t>
      </w:r>
      <w:r>
        <w:t xml:space="preserve"> </w:t>
      </w:r>
      <w:r>
        <w:t xml:space="preserve">938</w:t>
      </w:r>
      <w:r>
        <w:t xml:space="preserve"> </w:t>
      </w:r>
      <w:r>
        <w:t xml:space="preserve">1890</w:t>
      </w:r>
    </w:p>
    <w:p>
      <w:pPr>
        <w:pStyle w:val="BodyText"/>
      </w:pPr>
      <w:r>
        <w:t xml:space="preserve">For vans, both VEEF options cause higher costs than credits (see below table), as once</w:t>
      </w:r>
      <w:r>
        <w:t xml:space="preserve"> </w:t>
      </w:r>
      <w:r>
        <w:t xml:space="preserve">more reduced efficiency requirements at vehicle level translate into higher fuel costs.</w:t>
      </w:r>
      <w:r>
        <w:t xml:space="preserve"> </w:t>
      </w:r>
      <w:r>
        <w:t xml:space="preserve">Table 21: Vans TCO changes in VEEF options versus baseline (EUR)</w:t>
      </w:r>
      <w:r>
        <w:t xml:space="preserve"> </w:t>
      </w:r>
      <w:r>
        <w:t xml:space="preserve">Vans</w:t>
      </w:r>
      <w:r>
        <w:t xml:space="preserve"> </w:t>
      </w:r>
      <w:r>
        <w:t xml:space="preserve">VEEF-RFNBO</w:t>
      </w:r>
      <w:r>
        <w:t xml:space="preserve"> </w:t>
      </w:r>
      <w:r>
        <w:t xml:space="preserve">20% VEEF-RFNBO</w:t>
      </w:r>
      <w:r>
        <w:t xml:space="preserve"> </w:t>
      </w:r>
      <w:r>
        <w:t xml:space="preserve">VEEF-SRF</w:t>
      </w:r>
      <w:r>
        <w:t xml:space="preserve"> </w:t>
      </w:r>
      <w:r>
        <w:t xml:space="preserve">20%-VEEF-SRF</w:t>
      </w:r>
    </w:p>
    <w:p>
      <w:pPr>
        <w:pStyle w:val="BodyText"/>
      </w:pPr>
      <w:r>
        <w:t xml:space="preserve">Eu1 Eu2</w:t>
      </w:r>
      <w:r>
        <w:t xml:space="preserve"> </w:t>
      </w:r>
      <w:r>
        <w:t xml:space="preserve">Soc.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Soc.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Soc.</w:t>
      </w:r>
      <w:r>
        <w:t xml:space="preserve"> </w:t>
      </w:r>
      <w:r>
        <w:t xml:space="preserve">Eu1</w:t>
      </w:r>
      <w:r>
        <w:t xml:space="preserve"> </w:t>
      </w:r>
      <w:r>
        <w:t xml:space="preserve">Eu2</w:t>
      </w:r>
      <w:r>
        <w:t xml:space="preserve"> </w:t>
      </w:r>
      <w:r>
        <w:t xml:space="preserve">Soc.</w:t>
      </w:r>
      <w:r>
        <w:t xml:space="preserve"> </w:t>
      </w:r>
      <w:r>
        <w:t xml:space="preserve">2035</w:t>
      </w:r>
      <w:r>
        <w:t xml:space="preserve"> </w:t>
      </w:r>
      <w:r>
        <w:t xml:space="preserve">668</w:t>
      </w:r>
      <w:r>
        <w:t xml:space="preserve"> </w:t>
      </w:r>
      <w:r>
        <w:t xml:space="preserve">927</w:t>
      </w:r>
      <w:r>
        <w:t xml:space="preserve"> </w:t>
      </w:r>
      <w:r>
        <w:t xml:space="preserve">1832</w:t>
      </w:r>
      <w:r>
        <w:t xml:space="preserve"> </w:t>
      </w:r>
      <w:r>
        <w:t xml:space="preserve">1353</w:t>
      </w:r>
      <w:r>
        <w:t xml:space="preserve"> </w:t>
      </w:r>
      <w:r>
        <w:t xml:space="preserve">1840</w:t>
      </w:r>
      <w:r>
        <w:t xml:space="preserve"> </w:t>
      </w:r>
      <w:r>
        <w:t xml:space="preserve">3689</w:t>
      </w:r>
      <w:r>
        <w:t xml:space="preserve"> </w:t>
      </w:r>
      <w:r>
        <w:t xml:space="preserve">855</w:t>
      </w:r>
      <w:r>
        <w:t xml:space="preserve"> </w:t>
      </w:r>
      <w:r>
        <w:t xml:space="preserve">1196 2354 1337 1847 3665</w:t>
      </w:r>
      <w:r>
        <w:t xml:space="preserve"> </w:t>
      </w:r>
      <w:r>
        <w:t xml:space="preserve">2040</w:t>
      </w:r>
      <w:r>
        <w:t xml:space="preserve"> </w:t>
      </w:r>
      <w:r>
        <w:t xml:space="preserve">708</w:t>
      </w:r>
      <w:r>
        <w:t xml:space="preserve"> </w:t>
      </w:r>
      <w:r>
        <w:t xml:space="preserve">758</w:t>
      </w:r>
      <w:r>
        <w:t xml:space="preserve"> </w:t>
      </w:r>
      <w:r>
        <w:t xml:space="preserve">1482</w:t>
      </w:r>
      <w:r>
        <w:t xml:space="preserve"> </w:t>
      </w:r>
      <w:r>
        <w:t xml:space="preserve">2158</w:t>
      </w:r>
      <w:r>
        <w:t xml:space="preserve"> </w:t>
      </w:r>
      <w:r>
        <w:t xml:space="preserve">2288</w:t>
      </w:r>
      <w:r>
        <w:t xml:space="preserve"> </w:t>
      </w:r>
      <w:r>
        <w:t xml:space="preserve">4545</w:t>
      </w:r>
      <w:r>
        <w:t xml:space="preserve"> </w:t>
      </w:r>
      <w:r>
        <w:t xml:space="preserve">921</w:t>
      </w:r>
      <w:r>
        <w:t xml:space="preserve"> </w:t>
      </w:r>
      <w:r>
        <w:t xml:space="preserve">987</w:t>
      </w:r>
      <w:r>
        <w:t xml:space="preserve"> </w:t>
      </w:r>
      <w:r>
        <w:t xml:space="preserve">1929 2139 2276 4503</w:t>
      </w:r>
      <w:r>
        <w:t xml:space="preserve"> </w:t>
      </w:r>
      <w:r>
        <w:t xml:space="preserve">Role of OVC-HEV</w:t>
      </w:r>
      <w:r>
        <w:t xml:space="preserve"> </w:t>
      </w:r>
      <w:r>
        <w:t xml:space="preserve">For cars, also this option comes at additional TCO, which however is modest given the</w:t>
      </w:r>
      <w:r>
        <w:t xml:space="preserve"> </w:t>
      </w:r>
      <w:r>
        <w:t xml:space="preserve">uptake of these vehicles (OVC-HEV). If, however, these vehicles make up 20% of the new</w:t>
      </w:r>
      <w:r>
        <w:t xml:space="preserve"> </w:t>
      </w:r>
      <w:r>
        <w:t xml:space="preserve">fleet, additional TCO is in the order of magnitude of just below EUR 1 000 for both end</w:t>
      </w:r>
      <w:r>
        <w:t xml:space="preserve"> </w:t>
      </w:r>
      <w:r>
        <w:t xml:space="preserve">users (a bit lower for the second user compared to the first), and almost EUR 2 000 from</w:t>
      </w:r>
      <w:r>
        <w:t xml:space="preserve"> </w:t>
      </w:r>
      <w:r>
        <w:t xml:space="preserve">the societal perspective. Additional costs arise from the fact that OVC-HEV have higher</w:t>
      </w:r>
      <w:r>
        <w:t xml:space="preserve"> </w:t>
      </w:r>
      <w:r>
        <w:t xml:space="preserve">capital costs as well as higher fuel costs than BEV.</w:t>
      </w:r>
      <w:r>
        <w:br/>
      </w:r>
      <w:r>
        <w:t xml:space="preserve">Table 22: Cars TCO changes in OVC-HEV options versus baseline (EUR)</w:t>
      </w:r>
      <w:r>
        <w:t xml:space="preserve"> </w:t>
      </w:r>
      <w:r>
        <w:t xml:space="preserve">Cars</w:t>
      </w:r>
      <w:r>
        <w:t xml:space="preserve"> </w:t>
      </w:r>
      <w:r>
        <w:t xml:space="preserve">OVC-HEV</w:t>
      </w:r>
      <w:r>
        <w:t xml:space="preserve"> </w:t>
      </w:r>
      <w:r>
        <w:t xml:space="preserve">20%OVC-HEV</w:t>
      </w:r>
    </w:p>
    <w:p>
      <w:pPr>
        <w:pStyle w:val="BodyText"/>
      </w:pP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2035</w:t>
      </w:r>
      <w:r>
        <w:t xml:space="preserve"> </w:t>
      </w:r>
      <w:r>
        <w:t xml:space="preserve">154</w:t>
      </w:r>
      <w:r>
        <w:t xml:space="preserve"> </w:t>
      </w:r>
      <w:r>
        <w:t xml:space="preserve">159</w:t>
      </w:r>
      <w:r>
        <w:t xml:space="preserve"> </w:t>
      </w:r>
      <w:r>
        <w:t xml:space="preserve">364</w:t>
      </w:r>
      <w:r>
        <w:t xml:space="preserve"> </w:t>
      </w:r>
      <w:r>
        <w:t xml:space="preserve">866</w:t>
      </w:r>
      <w:r>
        <w:t xml:space="preserve"> </w:t>
      </w:r>
      <w:r>
        <w:t xml:space="preserve">786</w:t>
      </w:r>
      <w:r>
        <w:t xml:space="preserve"> </w:t>
      </w:r>
      <w:r>
        <w:t xml:space="preserve">1852</w:t>
      </w:r>
      <w:r>
        <w:t xml:space="preserve"> </w:t>
      </w:r>
      <w:r>
        <w:t xml:space="preserve">2040</w:t>
      </w:r>
      <w:r>
        <w:t xml:space="preserve"> </w:t>
      </w:r>
      <w:r>
        <w:t xml:space="preserve">212</w:t>
      </w:r>
      <w:r>
        <w:t xml:space="preserve"> </w:t>
      </w:r>
      <w:r>
        <w:t xml:space="preserve">194</w:t>
      </w:r>
      <w:r>
        <w:t xml:space="preserve"> </w:t>
      </w:r>
      <w:r>
        <w:t xml:space="preserve">438</w:t>
      </w:r>
      <w:r>
        <w:t xml:space="preserve"> </w:t>
      </w:r>
      <w:r>
        <w:t xml:space="preserve">1004</w:t>
      </w:r>
      <w:r>
        <w:t xml:space="preserve"> </w:t>
      </w:r>
      <w:r>
        <w:t xml:space="preserve">844</w:t>
      </w:r>
      <w:r>
        <w:t xml:space="preserve"> </w:t>
      </w:r>
      <w:r>
        <w:t xml:space="preserve">1957</w:t>
      </w:r>
      <w:r>
        <w:t xml:space="preserve"> </w:t>
      </w:r>
      <w:r>
        <w:t xml:space="preserve">For vans, as for cars, both OVC-HEV options cause additional costs to users and society,</w:t>
      </w:r>
      <w:r>
        <w:t xml:space="preserve"> </w:t>
      </w:r>
      <w:r>
        <w:t xml:space="preserve">which increase with a higher share of these vehicles, given both higher capital and higher</w:t>
      </w:r>
      <w:r>
        <w:t xml:space="preserve"> </w:t>
      </w:r>
      <w:r>
        <w:t xml:space="preserve">fuel costs compared to the baseline.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Table 23: Vans TCO changes in OVC-HEV options versus baseline (EUR)</w:t>
      </w:r>
      <w:r>
        <w:t xml:space="preserve"> </w:t>
      </w:r>
      <w:r>
        <w:t xml:space="preserve">Vans</w:t>
      </w:r>
      <w:r>
        <w:t xml:space="preserve"> </w:t>
      </w:r>
      <w:r>
        <w:t xml:space="preserve">OVC-HEV</w:t>
      </w:r>
      <w:r>
        <w:t xml:space="preserve"> </w:t>
      </w:r>
      <w:r>
        <w:t xml:space="preserve">20%OVC-HEV</w:t>
      </w:r>
    </w:p>
    <w:p>
      <w:pPr>
        <w:pStyle w:val="BodyText"/>
      </w:pP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2035</w:t>
      </w:r>
      <w:r>
        <w:t xml:space="preserve"> </w:t>
      </w:r>
      <w:r>
        <w:t xml:space="preserve">724</w:t>
      </w:r>
      <w:r>
        <w:t xml:space="preserve"> </w:t>
      </w:r>
      <w:r>
        <w:t xml:space="preserve">737</w:t>
      </w:r>
      <w:r>
        <w:t xml:space="preserve"> </w:t>
      </w:r>
      <w:r>
        <w:t xml:space="preserve">1637</w:t>
      </w:r>
      <w:r>
        <w:t xml:space="preserve"> </w:t>
      </w:r>
      <w:r>
        <w:t xml:space="preserve">1100</w:t>
      </w:r>
      <w:r>
        <w:t xml:space="preserve"> </w:t>
      </w:r>
      <w:r>
        <w:t xml:space="preserve">1111</w:t>
      </w:r>
      <w:r>
        <w:t xml:space="preserve"> </w:t>
      </w:r>
      <w:r>
        <w:t xml:space="preserve">2485</w:t>
      </w:r>
      <w:r>
        <w:t xml:space="preserve"> </w:t>
      </w:r>
      <w:r>
        <w:t xml:space="preserve">2040</w:t>
      </w:r>
      <w:r>
        <w:t xml:space="preserve"> </w:t>
      </w:r>
      <w:r>
        <w:t xml:space="preserve">895</w:t>
      </w:r>
      <w:r>
        <w:t xml:space="preserve"> </w:t>
      </w:r>
      <w:r>
        <w:t xml:space="preserve">824</w:t>
      </w:r>
      <w:r>
        <w:t xml:space="preserve"> </w:t>
      </w:r>
      <w:r>
        <w:t xml:space="preserve">1796</w:t>
      </w:r>
      <w:r>
        <w:t xml:space="preserve"> </w:t>
      </w:r>
      <w:r>
        <w:t xml:space="preserve">1299</w:t>
      </w:r>
      <w:r>
        <w:t xml:space="preserve"> </w:t>
      </w:r>
      <w:r>
        <w:t xml:space="preserve">1189</w:t>
      </w:r>
      <w:r>
        <w:t xml:space="preserve"> </w:t>
      </w:r>
      <w:r>
        <w:t xml:space="preserve">2621</w:t>
      </w:r>
      <w:r>
        <w:t xml:space="preserve"> </w:t>
      </w:r>
      <w:r>
        <w:t xml:space="preserve">Super-credits for small ZEV</w:t>
      </w:r>
      <w:r>
        <w:t xml:space="preserve"> </w:t>
      </w:r>
      <w:r>
        <w:t xml:space="preserve">For this option, small zero emission vehicles are counted as more than one vehicle between</w:t>
      </w:r>
      <w:r>
        <w:t xml:space="preserve"> </w:t>
      </w:r>
      <w:r>
        <w:t xml:space="preserve">2030 and 2034. This results in additional fuel costs of a less efficient new fleet which</w:t>
      </w:r>
      <w:r>
        <w:t xml:space="preserve"> </w:t>
      </w:r>
      <w:r>
        <w:t xml:space="preserve">ultimately leads to a small additional TCO, as seen in the table below. After 2035 this</w:t>
      </w:r>
      <w:r>
        <w:t xml:space="preserve"> </w:t>
      </w:r>
      <w:r>
        <w:t xml:space="preserve">option has no impacts.</w:t>
      </w:r>
      <w:r>
        <w:t xml:space="preserve"> </w:t>
      </w:r>
      <w:r>
        <w:t xml:space="preserve">Table 24: Cars TCO changes in small ZEV option versus baseline (EUR)</w:t>
      </w:r>
      <w:r>
        <w:t xml:space="preserve"> </w:t>
      </w:r>
      <w:r>
        <w:t xml:space="preserve">SMALL ZEV</w:t>
      </w:r>
    </w:p>
    <w:p>
      <w:pPr>
        <w:pStyle w:val="BodyText"/>
      </w:pPr>
      <w:r>
        <w:t xml:space="preserve">End user1</w:t>
      </w:r>
      <w:r>
        <w:t xml:space="preserve"> </w:t>
      </w:r>
      <w:r>
        <w:t xml:space="preserve">End user2</w:t>
      </w:r>
      <w:r>
        <w:t xml:space="preserve"> </w:t>
      </w:r>
      <w:r>
        <w:t xml:space="preserve">Societal</w:t>
      </w:r>
      <w:r>
        <w:t xml:space="preserve"> </w:t>
      </w:r>
      <w:r>
        <w:t xml:space="preserve">2030</w:t>
      </w:r>
      <w:r>
        <w:t xml:space="preserve"> </w:t>
      </w:r>
      <w:r>
        <w:t xml:space="preserve">123</w:t>
      </w:r>
      <w:r>
        <w:t xml:space="preserve"> </w:t>
      </w:r>
      <w:r>
        <w:t xml:space="preserve">238</w:t>
      </w:r>
      <w:r>
        <w:t xml:space="preserve"> </w:t>
      </w:r>
      <w:r>
        <w:t xml:space="preserve">566</w:t>
      </w:r>
    </w:p>
    <w:p>
      <w:pPr>
        <w:pStyle w:val="Compact"/>
        <w:numPr>
          <w:ilvl w:val="0"/>
          <w:numId w:val="1023"/>
        </w:numPr>
      </w:pPr>
      <w:r>
        <w:t xml:space="preserve">COSTS FOR AUTOMOTIVE MANUFACTURERS</w:t>
      </w:r>
      <w:r>
        <w:t xml:space="preserve"> </w:t>
      </w:r>
      <w:r>
        <w:t xml:space="preserve">Similarly to the manufacturer costs reductions presented for the combinations of options</w:t>
      </w:r>
      <w:r>
        <w:t xml:space="preserve"> </w:t>
      </w:r>
      <w:r>
        <w:t xml:space="preserve">in the impact assessment, manufacturers face lower production costs for vehicles in almost</w:t>
      </w:r>
      <w:r>
        <w:t xml:space="preserve"> </w:t>
      </w:r>
      <w:r>
        <w:t xml:space="preserve">all scenarios. Figure 13 shows cost changes for cars. In case of the scenarios where target</w:t>
      </w:r>
      <w:r>
        <w:t xml:space="preserve"> </w:t>
      </w:r>
      <w:r>
        <w:t xml:space="preserve">level stringency for cars is reduced (panel a), manufacturers face costs that are around EUR</w:t>
      </w:r>
      <w:r>
        <w:t xml:space="preserve"> </w:t>
      </w:r>
      <w:r>
        <w:t xml:space="preserve">250/car lower in the years where the target is relaxed, as they need to employ less costly</w:t>
      </w:r>
      <w:r>
        <w:t xml:space="preserve"> </w:t>
      </w:r>
      <w:r>
        <w:t xml:space="preserve">technology to comply. In the case of credits for RFNBO (panel b left), manufacturer costs</w:t>
      </w:r>
      <w:r>
        <w:t xml:space="preserve"> </w:t>
      </w:r>
      <w:r>
        <w:t xml:space="preserve">are only very slightly lowered, but more strongly so in case of SRF credits (EUR -250 to -</w:t>
      </w:r>
      <w:r>
        <w:t xml:space="preserve"> </w:t>
      </w:r>
      <w:r>
        <w:t xml:space="preserve">350/car). For the scenarios where vehicles using exclusively eligible sustainable renewable</w:t>
      </w:r>
      <w:r>
        <w:t xml:space="preserve"> </w:t>
      </w:r>
      <w:r>
        <w:t xml:space="preserve">fuels (SRF, panel c), manufacturer costs can be up to EUR 600/car less than in the baseline,</w:t>
      </w:r>
      <w:r>
        <w:t xml:space="preserve"> </w:t>
      </w:r>
      <w:r>
        <w:t xml:space="preserve">as the effort to decarbonize is shifted from the vehicles, which face relaxed targets, to the</w:t>
      </w:r>
      <w:r>
        <w:t xml:space="preserve"> </w:t>
      </w:r>
      <w:r>
        <w:t xml:space="preserve">fuels. Finally, when PHEV are accounted for as zero emission (panel d), a low penetration</w:t>
      </w:r>
      <w:r>
        <w:t xml:space="preserve"> </w:t>
      </w:r>
      <w:r>
        <w:t xml:space="preserve">(with corresponding little impact on regulation stringency) has a very minor manufacturer</w:t>
      </w:r>
      <w:r>
        <w:t xml:space="preserve"> </w:t>
      </w:r>
      <w:r>
        <w:t xml:space="preserve">cost impact. In contrast, the high PHEV penetration shown in panel c, right, leads to a low</w:t>
      </w:r>
      <w:r>
        <w:t xml:space="preserve"> </w:t>
      </w:r>
      <w:r>
        <w:t xml:space="preserve">additional manufacturing costs of EUR 15 and 30/car in 2035 and 2040, as PHEV are more</w:t>
      </w:r>
      <w:r>
        <w:t xml:space="preserve"> </w:t>
      </w:r>
      <w:r>
        <w:t xml:space="preserve">costly than other powertrain options.</w:t>
      </w:r>
      <w:r>
        <w:t xml:space="preserve"> </w:t>
      </w:r>
      <w:r>
        <w:t xml:space="preserve">Figure 13: Average cost differences to baseline for automotive manufacturers, for</w:t>
      </w:r>
      <w:r>
        <w:t xml:space="preserve"> </w:t>
      </w:r>
      <w:r>
        <w:t xml:space="preserve">cars (in EUR/vehicle), for a) target level variations, b) sustainable renewable fuel</w:t>
      </w:r>
      <w:r>
        <w:t xml:space="preserve"> </w:t>
      </w:r>
      <w:r>
        <w:t xml:space="preserve">options, c) elegible fuel vehicles, and d) PHEV scenarios</w:t>
      </w:r>
    </w:p>
    <w:p>
      <w:pPr>
        <w:pStyle w:val="FirstParagraph"/>
      </w:pPr>
      <w:r>
        <w:t xml:space="preserve">97</w:t>
      </w:r>
    </w:p>
    <w:p>
      <w:pPr>
        <w:pStyle w:val="FirstParagraph"/>
      </w:pPr>
      <w:r>
        <w:t xml:space="preserve">For vans, trends are very similar to what was shown above for cars. Less ambitious target</w:t>
      </w:r>
      <w:r>
        <w:t xml:space="preserve"> </w:t>
      </w:r>
      <w:r>
        <w:t xml:space="preserve">levels lead to manufacturer cost savings of few hundred euros per van, see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14 panel a, and highest reductions of manufacturer costs of up to more than EUR</w:t>
      </w:r>
      <w:r>
        <w:t xml:space="preserve"> </w:t>
      </w:r>
      <w:r>
        <w:t xml:space="preserve">500/van are achieved for the SRF dedicated vehicles scenarios (panel c). Sustainable</w:t>
      </w:r>
      <w:r>
        <w:t xml:space="preserve"> </w:t>
      </w:r>
      <w:r>
        <w:t xml:space="preserve">renewable fuel options, in the absence of dedicated vehicles (panel b) have mixed impacts.</w:t>
      </w:r>
      <w:r>
        <w:t xml:space="preserve"> </w:t>
      </w:r>
      <w:r>
        <w:t xml:space="preserve">In this case, in 2040, manufacturers costs are an additional EUR 100 per van in the RFNBO</w:t>
      </w:r>
      <w:r>
        <w:t xml:space="preserve"> </w:t>
      </w:r>
      <w:r>
        <w:t xml:space="preserve">scheme. Also for the PHEV scenarios (panel d), in the case of vans additional</w:t>
      </w:r>
      <w:r>
        <w:t xml:space="preserve"> </w:t>
      </w:r>
      <w:r>
        <w:t xml:space="preserve">manufacturing costs occur compared to the baseline, due to the costs of PHEV powertrains,</w:t>
      </w:r>
      <w:r>
        <w:t xml:space="preserve"> </w:t>
      </w:r>
      <w:r>
        <w:t xml:space="preserve">but these remain modest at a maximum of below EUR 60/van.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14: Average cost differences to baseline for automotive manufacturers, for</w:t>
      </w:r>
      <w:r>
        <w:t xml:space="preserve"> </w:t>
      </w:r>
      <w:r>
        <w:t xml:space="preserve">vans (in EUR/vehicle), for a) target level variations, b) sustainable renewable fuel</w:t>
      </w:r>
      <w:r>
        <w:t xml:space="preserve"> </w:t>
      </w:r>
      <w:r>
        <w:t xml:space="preserve">options, c) elegible fuel vehicles, and d) PHEV scenarios</w:t>
      </w:r>
      <w:r>
        <w:t xml:space="preserve"> </w:t>
      </w:r>
      <w:r>
        <w:t xml:space="preserve">a)</w:t>
      </w:r>
    </w:p>
    <w:p>
      <w:pPr>
        <w:pStyle w:val="FirstParagraph"/>
      </w:pPr>
      <w:r>
        <w:t xml:space="preserve">4.3.</w:t>
      </w:r>
      <w:r>
        <w:t xml:space="preserve"> </w:t>
      </w:r>
      <w:r>
        <w:t xml:space="preserve">ENERGY SYSTEM AND ENVIRONMENTAL IMPACTS</w:t>
      </w:r>
      <w:r>
        <w:br/>
      </w:r>
      <w:r>
        <w:t xml:space="preserve">The following results come from the PRIMES-TREMOVE model.</w:t>
      </w:r>
      <w:r>
        <w:t xml:space="preserve"> </w:t>
      </w:r>
      <w:r>
        <w:t xml:space="preserve">The table below shows the impact of different options on the LDV energy demand, both</w:t>
      </w:r>
      <w:r>
        <w:t xml:space="preserve"> </w:t>
      </w:r>
      <w:r>
        <w:t xml:space="preserve">in relative (%) and absolute (ktoe) terms.</w:t>
      </w:r>
    </w:p>
    <w:p>
      <w:pPr>
        <w:pStyle w:val="BodyText"/>
      </w:pPr>
      <w:r>
        <w:t xml:space="preserve">Difference vs baseline (%)</w:t>
      </w:r>
      <w:r>
        <w:t xml:space="preserve"> </w:t>
      </w:r>
      <w:r>
        <w:t xml:space="preserve">Difference vs baseline (ktoe)</w:t>
      </w:r>
      <w:r>
        <w:t xml:space="preserve"> </w:t>
      </w:r>
      <w:r>
        <w:t xml:space="preserve">TL_Vans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0.5%</w:t>
      </w:r>
      <w:r>
        <w:t xml:space="preserve"> </w:t>
      </w:r>
      <w:r>
        <w:t xml:space="preserve">0.2%</w:t>
      </w:r>
      <w:r>
        <w:t xml:space="preserve"> </w:t>
      </w:r>
      <w:r>
        <w:t xml:space="preserve">120</w:t>
      </w:r>
      <w:r>
        <w:t xml:space="preserve"> </w:t>
      </w:r>
      <w:r>
        <w:t xml:space="preserve">762</w:t>
      </w:r>
      <w:r>
        <w:t xml:space="preserve"> </w:t>
      </w:r>
      <w:r>
        <w:t xml:space="preserve">506</w:t>
      </w:r>
      <w:r>
        <w:t xml:space="preserve"> </w:t>
      </w:r>
      <w:r>
        <w:t xml:space="preserve">288</w:t>
      </w:r>
      <w:r>
        <w:t xml:space="preserve"> </w:t>
      </w:r>
      <w:r>
        <w:t xml:space="preserve">97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-34</w:t>
      </w:r>
      <w:r>
        <w:t xml:space="preserve"> </w:t>
      </w:r>
      <w:r>
        <w:t xml:space="preserve">-157</w:t>
      </w:r>
      <w:r>
        <w:t xml:space="preserve"> </w:t>
      </w:r>
      <w:r>
        <w:t xml:space="preserve">-106</w:t>
      </w:r>
      <w:r>
        <w:t xml:space="preserve"> </w:t>
      </w:r>
      <w:r>
        <w:t xml:space="preserve">-65</w:t>
      </w:r>
      <w:r>
        <w:t xml:space="preserve"> </w:t>
      </w:r>
      <w:r>
        <w:t xml:space="preserve">-25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130</w:t>
      </w:r>
      <w:r>
        <w:t xml:space="preserve"> </w:t>
      </w:r>
      <w:r>
        <w:t xml:space="preserve">769</w:t>
      </w:r>
      <w:r>
        <w:t xml:space="preserve"> </w:t>
      </w:r>
      <w:r>
        <w:t xml:space="preserve">398</w:t>
      </w:r>
      <w:r>
        <w:t xml:space="preserve"> </w:t>
      </w:r>
      <w:r>
        <w:t xml:space="preserve">136</w:t>
      </w:r>
      <w:r>
        <w:t xml:space="preserve"> </w:t>
      </w:r>
      <w:r>
        <w:t xml:space="preserve">6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24</w:t>
      </w:r>
      <w:r>
        <w:t xml:space="preserve"> </w:t>
      </w:r>
      <w:r>
        <w:t xml:space="preserve">143</w:t>
      </w:r>
      <w:r>
        <w:t xml:space="preserve"> </w:t>
      </w:r>
      <w:r>
        <w:t xml:space="preserve">123</w:t>
      </w:r>
      <w:r>
        <w:t xml:space="preserve"> </w:t>
      </w:r>
      <w:r>
        <w:t xml:space="preserve">118</w:t>
      </w:r>
      <w:r>
        <w:t xml:space="preserve"> </w:t>
      </w:r>
      <w:r>
        <w:t xml:space="preserve">54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100</w:t>
      </w:r>
      <w:r>
        <w:t xml:space="preserve"> </w:t>
      </w:r>
      <w:r>
        <w:t xml:space="preserve">105</w:t>
      </w:r>
      <w:r>
        <w:t xml:space="preserve"> </w:t>
      </w:r>
      <w:r>
        <w:t xml:space="preserve">64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-0</w:t>
      </w:r>
      <w:r>
        <w:t xml:space="preserve"> </w:t>
      </w:r>
      <w:r>
        <w:t xml:space="preserve">-12</w:t>
      </w:r>
      <w:r>
        <w:t xml:space="preserve"> </w:t>
      </w:r>
      <w:r>
        <w:t xml:space="preserve">-8</w:t>
      </w:r>
      <w:r>
        <w:t xml:space="preserve"> </w:t>
      </w:r>
      <w:r>
        <w:t xml:space="preserve">-5</w:t>
      </w:r>
      <w:r>
        <w:t xml:space="preserve"> </w:t>
      </w:r>
      <w:r>
        <w:t xml:space="preserve">-2</w:t>
      </w:r>
      <w:r>
        <w:t xml:space="preserve"> </w:t>
      </w:r>
      <w:r>
        <w:t xml:space="preserve">TL_100_2040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4.3%</w:t>
      </w:r>
      <w:r>
        <w:t xml:space="preserve"> </w:t>
      </w:r>
      <w:r>
        <w:t xml:space="preserve">4.6%</w:t>
      </w:r>
      <w:r>
        <w:t xml:space="preserve"> </w:t>
      </w:r>
      <w:r>
        <w:t xml:space="preserve">3.7%</w:t>
      </w:r>
      <w:r>
        <w:t xml:space="preserve"> </w:t>
      </w:r>
      <w:r>
        <w:t xml:space="preserve">0</w:t>
      </w:r>
      <w:r>
        <w:t xml:space="preserve"> </w:t>
      </w:r>
      <w:r>
        <w:t xml:space="preserve">805</w:t>
      </w:r>
      <w:r>
        <w:t xml:space="preserve"> </w:t>
      </w:r>
      <w:r>
        <w:t xml:space="preserve">3 782</w:t>
      </w:r>
      <w:r>
        <w:t xml:space="preserve"> </w:t>
      </w:r>
      <w:r>
        <w:t xml:space="preserve">2 904</w:t>
      </w:r>
      <w:r>
        <w:t xml:space="preserve"> </w:t>
      </w:r>
      <w:r>
        <w:t xml:space="preserve">1 812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</w:t>
      </w:r>
      <w:r>
        <w:t xml:space="preserve"> </w:t>
      </w:r>
      <w:r>
        <w:t xml:space="preserve">-262</w:t>
      </w:r>
      <w:r>
        <w:t xml:space="preserve"> </w:t>
      </w:r>
      <w:r>
        <w:t xml:space="preserve">-1 255</w:t>
      </w:r>
      <w:r>
        <w:t xml:space="preserve"> </w:t>
      </w:r>
      <w:r>
        <w:t xml:space="preserve">-998</w:t>
      </w:r>
      <w:r>
        <w:t xml:space="preserve"> </w:t>
      </w:r>
      <w:r>
        <w:t xml:space="preserve">-634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0</w:t>
      </w:r>
      <w:r>
        <w:t xml:space="preserve"> </w:t>
      </w:r>
      <w:r>
        <w:t xml:space="preserve">872</w:t>
      </w:r>
      <w:r>
        <w:t xml:space="preserve"> </w:t>
      </w:r>
      <w:r>
        <w:t xml:space="preserve">3 343</w:t>
      </w:r>
      <w:r>
        <w:t xml:space="preserve"> </w:t>
      </w:r>
      <w:r>
        <w:t xml:space="preserve">1 658</w:t>
      </w:r>
      <w:r>
        <w:t xml:space="preserve"> </w:t>
      </w:r>
      <w:r>
        <w:t xml:space="preserve">278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208</w:t>
      </w:r>
      <w:r>
        <w:t xml:space="preserve"> </w:t>
      </w:r>
      <w:r>
        <w:t xml:space="preserve">1 253</w:t>
      </w:r>
      <w:r>
        <w:t xml:space="preserve"> </w:t>
      </w:r>
      <w:r>
        <w:t xml:space="preserve">1 417</w:t>
      </w:r>
      <w:r>
        <w:t xml:space="preserve"> </w:t>
      </w:r>
      <w:r>
        <w:t xml:space="preserve">1 140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745</w:t>
      </w:r>
      <w:r>
        <w:t xml:space="preserve"> </w:t>
      </w:r>
      <w:r>
        <w:t xml:space="preserve">1 090</w:t>
      </w:r>
      <w:r>
        <w:t xml:space="preserve"> </w:t>
      </w:r>
      <w:r>
        <w:t xml:space="preserve">1 201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-12%</w:t>
      </w:r>
      <w:r>
        <w:t xml:space="preserve"> </w:t>
      </w:r>
      <w:r>
        <w:t xml:space="preserve">-6%</w:t>
      </w:r>
      <w:r>
        <w:t xml:space="preserve"> </w:t>
      </w:r>
      <w:r>
        <w:t xml:space="preserve">-3%</w:t>
      </w:r>
      <w:r>
        <w:t xml:space="preserve"> </w:t>
      </w:r>
      <w:r>
        <w:t xml:space="preserve">0</w:t>
      </w:r>
      <w:r>
        <w:t xml:space="preserve"> </w:t>
      </w:r>
      <w:r>
        <w:t xml:space="preserve">-29</w:t>
      </w:r>
      <w:r>
        <w:t xml:space="preserve"> </w:t>
      </w:r>
      <w:r>
        <w:t xml:space="preserve">-304</w:t>
      </w:r>
      <w:r>
        <w:t xml:space="preserve"> </w:t>
      </w:r>
      <w:r>
        <w:t xml:space="preserve">-262</w:t>
      </w:r>
      <w:r>
        <w:t xml:space="preserve"> </w:t>
      </w:r>
      <w:r>
        <w:t xml:space="preserve">-174</w:t>
      </w:r>
      <w:r>
        <w:t xml:space="preserve"> </w:t>
      </w:r>
      <w:r>
        <w:t xml:space="preserve">TL_90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120</w:t>
      </w:r>
      <w:r>
        <w:t xml:space="preserve"> </w:t>
      </w:r>
      <w:r>
        <w:t xml:space="preserve">1 558</w:t>
      </w:r>
      <w:r>
        <w:t xml:space="preserve"> </w:t>
      </w:r>
      <w:r>
        <w:t xml:space="preserve">5 040</w:t>
      </w:r>
      <w:r>
        <w:t xml:space="preserve"> </w:t>
      </w:r>
      <w:r>
        <w:t xml:space="preserve">7 262</w:t>
      </w:r>
      <w:r>
        <w:t xml:space="preserve"> </w:t>
      </w:r>
      <w:r>
        <w:t xml:space="preserve">6 268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-3%</w:t>
      </w:r>
      <w:r>
        <w:t xml:space="preserve"> </w:t>
      </w:r>
      <w:r>
        <w:t xml:space="preserve">-8%</w:t>
      </w:r>
      <w:r>
        <w:t xml:space="preserve"> </w:t>
      </w:r>
      <w:r>
        <w:t xml:space="preserve">-10%</w:t>
      </w:r>
      <w:r>
        <w:t xml:space="preserve"> </w:t>
      </w:r>
      <w:r>
        <w:t xml:space="preserve">-8%</w:t>
      </w:r>
      <w:r>
        <w:t xml:space="preserve"> </w:t>
      </w:r>
      <w:r>
        <w:t xml:space="preserve">-34</w:t>
      </w:r>
      <w:r>
        <w:t xml:space="preserve"> </w:t>
      </w:r>
      <w:r>
        <w:t xml:space="preserve">-416</w:t>
      </w:r>
      <w:r>
        <w:t xml:space="preserve"> </w:t>
      </w:r>
      <w:r>
        <w:t xml:space="preserve">-1 617</w:t>
      </w:r>
      <w:r>
        <w:t xml:space="preserve"> </w:t>
      </w:r>
      <w:r>
        <w:t xml:space="preserve">-2 495</w:t>
      </w:r>
      <w:r>
        <w:t xml:space="preserve"> </w:t>
      </w:r>
      <w:r>
        <w:t xml:space="preserve">-2 166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10%</w:t>
      </w:r>
      <w:r>
        <w:t xml:space="preserve"> </w:t>
      </w:r>
      <w:r>
        <w:t xml:space="preserve">31%</w:t>
      </w:r>
      <w:r>
        <w:t xml:space="preserve"> </w:t>
      </w:r>
      <w:r>
        <w:t xml:space="preserve">51%</w:t>
      </w:r>
      <w:r>
        <w:t xml:space="preserve"> </w:t>
      </w:r>
      <w:r>
        <w:t xml:space="preserve">130</w:t>
      </w:r>
      <w:r>
        <w:t xml:space="preserve"> </w:t>
      </w:r>
      <w:r>
        <w:t xml:space="preserve">1 630</w:t>
      </w:r>
      <w:r>
        <w:t xml:space="preserve"> </w:t>
      </w:r>
      <w:r>
        <w:t xml:space="preserve">4 413</w:t>
      </w:r>
      <w:r>
        <w:t xml:space="preserve"> </w:t>
      </w:r>
      <w:r>
        <w:t xml:space="preserve">4 211</w:t>
      </w:r>
      <w:r>
        <w:t xml:space="preserve"> </w:t>
      </w:r>
      <w:r>
        <w:t xml:space="preserve">978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35%</w:t>
      </w:r>
      <w:r>
        <w:t xml:space="preserve"> </w:t>
      </w:r>
      <w:r>
        <w:t xml:space="preserve">62%</w:t>
      </w:r>
      <w:r>
        <w:t xml:space="preserve"> </w:t>
      </w:r>
      <w:r>
        <w:t xml:space="preserve">24</w:t>
      </w:r>
      <w:r>
        <w:t xml:space="preserve"> </w:t>
      </w:r>
      <w:r>
        <w:t xml:space="preserve">350</w:t>
      </w:r>
      <w:r>
        <w:t xml:space="preserve"> </w:t>
      </w:r>
      <w:r>
        <w:t xml:space="preserve">1 629</w:t>
      </w:r>
      <w:r>
        <w:t xml:space="preserve"> </w:t>
      </w:r>
      <w:r>
        <w:t xml:space="preserve">3 529</w:t>
      </w:r>
      <w:r>
        <w:t xml:space="preserve"> </w:t>
      </w:r>
      <w:r>
        <w:t xml:space="preserve">4 002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31%</w:t>
      </w:r>
      <w:r>
        <w:t xml:space="preserve"> </w:t>
      </w:r>
      <w:r>
        <w:t xml:space="preserve">55%</w:t>
      </w:r>
      <w:r>
        <w:t xml:space="preserve"> </w:t>
      </w:r>
      <w:r>
        <w:t xml:space="preserve">0</w:t>
      </w:r>
      <w:r>
        <w:t xml:space="preserve"> </w:t>
      </w:r>
      <w:r>
        <w:t xml:space="preserve">34</w:t>
      </w:r>
      <w:r>
        <w:t xml:space="preserve"> </w:t>
      </w:r>
      <w:r>
        <w:t xml:space="preserve">995</w:t>
      </w:r>
      <w:r>
        <w:t xml:space="preserve"> </w:t>
      </w:r>
      <w:r>
        <w:t xml:space="preserve">2 759</w:t>
      </w:r>
      <w:r>
        <w:t xml:space="preserve"> </w:t>
      </w:r>
      <w:r>
        <w:t xml:space="preserve">4 217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-7%</w:t>
      </w:r>
      <w:r>
        <w:t xml:space="preserve"> </w:t>
      </w:r>
      <w:r>
        <w:t xml:space="preserve">-15%</w:t>
      </w:r>
      <w:r>
        <w:t xml:space="preserve"> </w:t>
      </w:r>
      <w:r>
        <w:t xml:space="preserve">-17%</w:t>
      </w:r>
      <w:r>
        <w:t xml:space="preserve"> </w:t>
      </w:r>
      <w:r>
        <w:t xml:space="preserve">-13%</w:t>
      </w:r>
      <w:r>
        <w:t xml:space="preserve"> </w:t>
      </w:r>
      <w:r>
        <w:t xml:space="preserve">-0</w:t>
      </w:r>
      <w:r>
        <w:t xml:space="preserve"> </w:t>
      </w:r>
      <w:r>
        <w:t xml:space="preserve">-40</w:t>
      </w:r>
      <w:r>
        <w:t xml:space="preserve"> </w:t>
      </w:r>
      <w:r>
        <w:t xml:space="preserve">-380</w:t>
      </w:r>
      <w:r>
        <w:t xml:space="preserve"> </w:t>
      </w:r>
      <w:r>
        <w:t xml:space="preserve">-742</w:t>
      </w:r>
      <w:r>
        <w:t xml:space="preserve"> </w:t>
      </w:r>
      <w:r>
        <w:t xml:space="preserve">-761</w:t>
      </w:r>
      <w:r>
        <w:t xml:space="preserve"> </w:t>
      </w:r>
      <w:r>
        <w:t xml:space="preserve">OVC-HEV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254</w:t>
      </w:r>
      <w:r>
        <w:t xml:space="preserve"> </w:t>
      </w:r>
      <w:r>
        <w:t xml:space="preserve">564</w:t>
      </w:r>
      <w:r>
        <w:t xml:space="preserve"> </w:t>
      </w:r>
      <w:r>
        <w:t xml:space="preserve">722</w:t>
      </w:r>
      <w:r>
        <w:t xml:space="preserve"> </w:t>
      </w:r>
      <w:r>
        <w:t xml:space="preserve">573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</w:t>
      </w:r>
      <w:r>
        <w:t xml:space="preserve"> </w:t>
      </w:r>
      <w:r>
        <w:t xml:space="preserve">-26</w:t>
      </w:r>
      <w:r>
        <w:t xml:space="preserve"> </w:t>
      </w:r>
      <w:r>
        <w:t xml:space="preserve">-231</w:t>
      </w:r>
      <w:r>
        <w:t xml:space="preserve"> </w:t>
      </w:r>
      <w:r>
        <w:t xml:space="preserve">-334</w:t>
      </w:r>
      <w:r>
        <w:t xml:space="preserve"> </w:t>
      </w:r>
      <w:r>
        <w:t xml:space="preserve">-235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</w:t>
      </w:r>
      <w:r>
        <w:t xml:space="preserve"> </w:t>
      </w:r>
      <w:r>
        <w:t xml:space="preserve">216</w:t>
      </w:r>
      <w:r>
        <w:t xml:space="preserve"> </w:t>
      </w:r>
      <w:r>
        <w:t xml:space="preserve">640</w:t>
      </w:r>
      <w:r>
        <w:t xml:space="preserve"> </w:t>
      </w:r>
      <w:r>
        <w:t xml:space="preserve">589</w:t>
      </w:r>
      <w:r>
        <w:t xml:space="preserve"> </w:t>
      </w:r>
      <w:r>
        <w:t xml:space="preserve">129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</w:t>
      </w:r>
      <w:r>
        <w:t xml:space="preserve"> </w:t>
      </w:r>
      <w:r>
        <w:t xml:space="preserve">52</w:t>
      </w:r>
      <w:r>
        <w:t xml:space="preserve"> </w:t>
      </w:r>
      <w:r>
        <w:t xml:space="preserve">194</w:t>
      </w:r>
      <w:r>
        <w:t xml:space="preserve"> </w:t>
      </w:r>
      <w:r>
        <w:t xml:space="preserve">432</w:t>
      </w:r>
      <w:r>
        <w:t xml:space="preserve"> </w:t>
      </w:r>
      <w:r>
        <w:t xml:space="preserve">473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155</w:t>
      </w:r>
      <w:r>
        <w:t xml:space="preserve"> </w:t>
      </w:r>
      <w:r>
        <w:t xml:space="preserve">409</w:t>
      </w:r>
      <w:r>
        <w:t xml:space="preserve"> </w:t>
      </w:r>
      <w:r>
        <w:t xml:space="preserve">580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-7%</w:t>
      </w:r>
      <w:r>
        <w:t xml:space="preserve"> </w:t>
      </w:r>
      <w:r>
        <w:t xml:space="preserve">-9%</w:t>
      </w:r>
      <w:r>
        <w:t xml:space="preserve"> </w:t>
      </w:r>
      <w:r>
        <w:t xml:space="preserve">-6%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-193</w:t>
      </w:r>
      <w:r>
        <w:t xml:space="preserve"> </w:t>
      </w:r>
      <w:r>
        <w:t xml:space="preserve">-373</w:t>
      </w:r>
      <w:r>
        <w:t xml:space="preserve"> </w:t>
      </w:r>
      <w:r>
        <w:t xml:space="preserve">-375</w:t>
      </w:r>
      <w:r>
        <w:t xml:space="preserve"> </w:t>
      </w:r>
      <w:r>
        <w:t xml:space="preserve">OVC-HEV 20%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2</w:t>
      </w:r>
      <w:r>
        <w:t xml:space="preserve"> </w:t>
      </w:r>
      <w:r>
        <w:t xml:space="preserve">413</w:t>
      </w:r>
      <w:r>
        <w:t xml:space="preserve"> </w:t>
      </w:r>
      <w:r>
        <w:t xml:space="preserve">1 544</w:t>
      </w:r>
      <w:r>
        <w:t xml:space="preserve"> </w:t>
      </w:r>
      <w:r>
        <w:t xml:space="preserve">2 415</w:t>
      </w:r>
      <w:r>
        <w:t xml:space="preserve"> </w:t>
      </w:r>
      <w:r>
        <w:t xml:space="preserve">2 761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-3%</w:t>
      </w:r>
      <w:r>
        <w:t xml:space="preserve"> </w:t>
      </w:r>
      <w:r>
        <w:t xml:space="preserve">-4%</w:t>
      </w:r>
      <w:r>
        <w:t xml:space="preserve"> </w:t>
      </w:r>
      <w:r>
        <w:t xml:space="preserve">-4%</w:t>
      </w:r>
      <w:r>
        <w:t xml:space="preserve"> </w:t>
      </w:r>
      <w:r>
        <w:t xml:space="preserve">-1</w:t>
      </w:r>
      <w:r>
        <w:t xml:space="preserve"> </w:t>
      </w:r>
      <w:r>
        <w:t xml:space="preserve">-111</w:t>
      </w:r>
      <w:r>
        <w:t xml:space="preserve"> </w:t>
      </w:r>
      <w:r>
        <w:t xml:space="preserve">-702</w:t>
      </w:r>
      <w:r>
        <w:t xml:space="preserve"> </w:t>
      </w:r>
      <w:r>
        <w:t xml:space="preserve">-1 042</w:t>
      </w:r>
      <w:r>
        <w:t xml:space="preserve"> </w:t>
      </w:r>
      <w:r>
        <w:t xml:space="preserve">-966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14%</w:t>
      </w:r>
      <w:r>
        <w:t xml:space="preserve"> </w:t>
      </w:r>
      <w:r>
        <w:t xml:space="preserve">32%</w:t>
      </w:r>
      <w:r>
        <w:t xml:space="preserve"> </w:t>
      </w:r>
      <w:r>
        <w:t xml:space="preserve">3</w:t>
      </w:r>
      <w:r>
        <w:t xml:space="preserve"> </w:t>
      </w:r>
      <w:r>
        <w:t xml:space="preserve">417</w:t>
      </w:r>
      <w:r>
        <w:t xml:space="preserve"> </w:t>
      </w:r>
      <w:r>
        <w:t xml:space="preserve">1 830</w:t>
      </w:r>
      <w:r>
        <w:t xml:space="preserve"> </w:t>
      </w:r>
      <w:r>
        <w:t xml:space="preserve">1 920</w:t>
      </w:r>
      <w:r>
        <w:t xml:space="preserve"> </w:t>
      </w:r>
      <w:r>
        <w:t xml:space="preserve">619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12%</w:t>
      </w:r>
      <w:r>
        <w:t xml:space="preserve"> </w:t>
      </w:r>
      <w:r>
        <w:t xml:space="preserve">31%</w:t>
      </w:r>
      <w:r>
        <w:t xml:space="preserve"> </w:t>
      </w:r>
      <w:r>
        <w:t xml:space="preserve">0</w:t>
      </w:r>
      <w:r>
        <w:t xml:space="preserve"> </w:t>
      </w:r>
      <w:r>
        <w:t xml:space="preserve">98</w:t>
      </w:r>
      <w:r>
        <w:t xml:space="preserve"> </w:t>
      </w:r>
      <w:r>
        <w:t xml:space="preserve">504</w:t>
      </w:r>
      <w:r>
        <w:t xml:space="preserve"> </w:t>
      </w:r>
      <w:r>
        <w:t xml:space="preserve">1 244</w:t>
      </w:r>
      <w:r>
        <w:t xml:space="preserve"> </w:t>
      </w:r>
      <w:r>
        <w:t xml:space="preserve">2 022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0</w:t>
      </w:r>
      <w:r>
        <w:t xml:space="preserve"> </w:t>
      </w:r>
      <w:r>
        <w:t xml:space="preserve">11</w:t>
      </w:r>
      <w:r>
        <w:t xml:space="preserve"> </w:t>
      </w:r>
      <w:r>
        <w:t xml:space="preserve">414</w:t>
      </w:r>
      <w:r>
        <w:t xml:space="preserve"> </w:t>
      </w:r>
      <w:r>
        <w:t xml:space="preserve">1 238</w:t>
      </w:r>
      <w:r>
        <w:t xml:space="preserve"> </w:t>
      </w:r>
      <w:r>
        <w:t xml:space="preserve">2 513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-19%</w:t>
      </w:r>
      <w:r>
        <w:t xml:space="preserve"> </w:t>
      </w:r>
      <w:r>
        <w:t xml:space="preserve">-22%</w:t>
      </w:r>
      <w:r>
        <w:t xml:space="preserve"> </w:t>
      </w:r>
      <w:r>
        <w:t xml:space="preserve">-24%</w:t>
      </w:r>
      <w:r>
        <w:t xml:space="preserve"> </w:t>
      </w:r>
      <w:r>
        <w:t xml:space="preserve">-0</w:t>
      </w:r>
      <w:r>
        <w:t xml:space="preserve"> </w:t>
      </w:r>
      <w:r>
        <w:t xml:space="preserve">-2</w:t>
      </w:r>
      <w:r>
        <w:t xml:space="preserve"> </w:t>
      </w:r>
      <w:r>
        <w:t xml:space="preserve">-502</w:t>
      </w:r>
      <w:r>
        <w:t xml:space="preserve"> </w:t>
      </w:r>
      <w:r>
        <w:t xml:space="preserve">-945</w:t>
      </w:r>
      <w:r>
        <w:t xml:space="preserve"> </w:t>
      </w:r>
      <w:r>
        <w:t xml:space="preserve">-1 426</w:t>
      </w:r>
      <w:r>
        <w:t xml:space="preserve"> </w:t>
      </w:r>
      <w:r>
        <w:t xml:space="preserve">CCM-RFNBO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0</w:t>
      </w:r>
      <w:r>
        <w:t xml:space="preserve"> </w:t>
      </w:r>
      <w:r>
        <w:t xml:space="preserve">97</w:t>
      </w:r>
      <w:r>
        <w:t xml:space="preserve"> </w:t>
      </w:r>
      <w:r>
        <w:t xml:space="preserve">1 251</w:t>
      </w:r>
      <w:r>
        <w:t xml:space="preserve"> </w:t>
      </w:r>
      <w:r>
        <w:t xml:space="preserve">4 124</w:t>
      </w:r>
      <w:r>
        <w:t xml:space="preserve"> </w:t>
      </w:r>
      <w:r>
        <w:t xml:space="preserve">4 134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-5%</w:t>
      </w:r>
      <w:r>
        <w:t xml:space="preserve"> </w:t>
      </w:r>
      <w:r>
        <w:t xml:space="preserve">0</w:t>
      </w:r>
      <w:r>
        <w:t xml:space="preserve"> </w:t>
      </w:r>
      <w:r>
        <w:t xml:space="preserve">-39</w:t>
      </w:r>
      <w:r>
        <w:t xml:space="preserve"> </w:t>
      </w:r>
      <w:r>
        <w:t xml:space="preserve">-414</w:t>
      </w:r>
      <w:r>
        <w:t xml:space="preserve"> </w:t>
      </w:r>
      <w:r>
        <w:t xml:space="preserve">-1 411</w:t>
      </w:r>
      <w:r>
        <w:t xml:space="preserve"> </w:t>
      </w:r>
      <w:r>
        <w:t xml:space="preserve">-1 391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18%</w:t>
      </w:r>
      <w:r>
        <w:t xml:space="preserve"> </w:t>
      </w:r>
      <w:r>
        <w:t xml:space="preserve">34%</w:t>
      </w:r>
      <w:r>
        <w:t xml:space="preserve"> </w:t>
      </w:r>
      <w:r>
        <w:t xml:space="preserve">0</w:t>
      </w:r>
      <w:r>
        <w:t xml:space="preserve"> </w:t>
      </w:r>
      <w:r>
        <w:t xml:space="preserve">118</w:t>
      </w:r>
      <w:r>
        <w:t xml:space="preserve"> </w:t>
      </w:r>
      <w:r>
        <w:t xml:space="preserve">1 120</w:t>
      </w:r>
      <w:r>
        <w:t xml:space="preserve"> </w:t>
      </w:r>
      <w:r>
        <w:t xml:space="preserve">2 420</w:t>
      </w:r>
      <w:r>
        <w:t xml:space="preserve"> </w:t>
      </w:r>
      <w:r>
        <w:t xml:space="preserve">653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413</w:t>
      </w:r>
      <w:r>
        <w:t xml:space="preserve"> </w:t>
      </w:r>
      <w:r>
        <w:t xml:space="preserve">2 004</w:t>
      </w:r>
      <w:r>
        <w:t xml:space="preserve"> </w:t>
      </w:r>
      <w:r>
        <w:t xml:space="preserve">2 630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17%</w:t>
      </w:r>
      <w:r>
        <w:t xml:space="preserve"> </w:t>
      </w:r>
      <w:r>
        <w:t xml:space="preserve">36%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249</w:t>
      </w:r>
      <w:r>
        <w:t xml:space="preserve"> </w:t>
      </w:r>
      <w:r>
        <w:t xml:space="preserve">1 562</w:t>
      </w:r>
      <w:r>
        <w:t xml:space="preserve"> </w:t>
      </w:r>
      <w:r>
        <w:t xml:space="preserve">2 757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-4%</w:t>
      </w:r>
      <w:r>
        <w:t xml:space="preserve"> </w:t>
      </w:r>
      <w:r>
        <w:t xml:space="preserve">-11%</w:t>
      </w:r>
      <w:r>
        <w:t xml:space="preserve"> </w:t>
      </w:r>
      <w:r>
        <w:t xml:space="preserve">-9%</w:t>
      </w:r>
      <w:r>
        <w:t xml:space="preserve"> </w:t>
      </w:r>
      <w:r>
        <w:t xml:space="preserve">0</w:t>
      </w:r>
      <w:r>
        <w:t xml:space="preserve"> </w:t>
      </w:r>
      <w:r>
        <w:t xml:space="preserve">-5</w:t>
      </w:r>
      <w:r>
        <w:t xml:space="preserve"> </w:t>
      </w:r>
      <w:r>
        <w:t xml:space="preserve">-117</w:t>
      </w:r>
      <w:r>
        <w:t xml:space="preserve"> </w:t>
      </w:r>
      <w:r>
        <w:t xml:space="preserve">-450</w:t>
      </w:r>
      <w:r>
        <w:t xml:space="preserve"> </w:t>
      </w:r>
      <w:r>
        <w:t xml:space="preserve">-516</w:t>
      </w:r>
      <w:r>
        <w:t xml:space="preserve"> </w:t>
      </w:r>
      <w:r>
        <w:t xml:space="preserve">CCM-SRF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0</w:t>
      </w:r>
      <w:r>
        <w:t xml:space="preserve"> </w:t>
      </w:r>
      <w:r>
        <w:t xml:space="preserve">1 007</w:t>
      </w:r>
      <w:r>
        <w:t xml:space="preserve"> </w:t>
      </w:r>
      <w:r>
        <w:t xml:space="preserve">5 872</w:t>
      </w:r>
      <w:r>
        <w:t xml:space="preserve"> </w:t>
      </w:r>
      <w:r>
        <w:t xml:space="preserve">9 339</w:t>
      </w:r>
      <w:r>
        <w:t xml:space="preserve"> </w:t>
      </w:r>
      <w:r>
        <w:t xml:space="preserve">7 988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-2%</w:t>
      </w:r>
      <w:r>
        <w:t xml:space="preserve"> </w:t>
      </w:r>
      <w:r>
        <w:t xml:space="preserve">-9%</w:t>
      </w:r>
      <w:r>
        <w:t xml:space="preserve"> </w:t>
      </w:r>
      <w:r>
        <w:t xml:space="preserve">-13%</w:t>
      </w:r>
      <w:r>
        <w:t xml:space="preserve"> </w:t>
      </w:r>
      <w:r>
        <w:t xml:space="preserve">-10%</w:t>
      </w:r>
      <w:r>
        <w:t xml:space="preserve"> </w:t>
      </w:r>
      <w:r>
        <w:t xml:space="preserve">0</w:t>
      </w:r>
      <w:r>
        <w:t xml:space="preserve"> </w:t>
      </w:r>
      <w:r>
        <w:t xml:space="preserve">-320</w:t>
      </w:r>
      <w:r>
        <w:t xml:space="preserve"> </w:t>
      </w:r>
      <w:r>
        <w:t xml:space="preserve">-1 915</w:t>
      </w:r>
      <w:r>
        <w:t xml:space="preserve"> </w:t>
      </w:r>
      <w:r>
        <w:t xml:space="preserve">-3 198</w:t>
      </w:r>
      <w:r>
        <w:t xml:space="preserve"> </w:t>
      </w:r>
      <w:r>
        <w:t xml:space="preserve">-2 733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39%</w:t>
      </w:r>
      <w:r>
        <w:t xml:space="preserve"> </w:t>
      </w:r>
      <w:r>
        <w:t xml:space="preserve">65%</w:t>
      </w:r>
      <w:r>
        <w:t xml:space="preserve"> </w:t>
      </w:r>
      <w:r>
        <w:t xml:space="preserve">0</w:t>
      </w:r>
      <w:r>
        <w:t xml:space="preserve"> </w:t>
      </w:r>
      <w:r>
        <w:t xml:space="preserve">1 078</w:t>
      </w:r>
      <w:r>
        <w:t xml:space="preserve"> </w:t>
      </w:r>
      <w:r>
        <w:t xml:space="preserve">5 132</w:t>
      </w:r>
      <w:r>
        <w:t xml:space="preserve"> </w:t>
      </w:r>
      <w:r>
        <w:t xml:space="preserve">5 379</w:t>
      </w:r>
      <w:r>
        <w:t xml:space="preserve"> </w:t>
      </w:r>
      <w:r>
        <w:t xml:space="preserve">1 260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15%</w:t>
      </w:r>
      <w:r>
        <w:t xml:space="preserve"> </w:t>
      </w:r>
      <w:r>
        <w:t xml:space="preserve">45%</w:t>
      </w:r>
      <w:r>
        <w:t xml:space="preserve"> </w:t>
      </w:r>
      <w:r>
        <w:t xml:space="preserve">77%</w:t>
      </w:r>
      <w:r>
        <w:t xml:space="preserve"> </w:t>
      </w:r>
      <w:r>
        <w:t xml:space="preserve">0</w:t>
      </w:r>
      <w:r>
        <w:t xml:space="preserve"> </w:t>
      </w:r>
      <w:r>
        <w:t xml:space="preserve">260</w:t>
      </w:r>
      <w:r>
        <w:t xml:space="preserve"> </w:t>
      </w:r>
      <w:r>
        <w:t xml:space="preserve">1 946</w:t>
      </w:r>
      <w:r>
        <w:t xml:space="preserve"> </w:t>
      </w:r>
      <w:r>
        <w:t xml:space="preserve">4 504</w:t>
      </w:r>
      <w:r>
        <w:t xml:space="preserve"> </w:t>
      </w:r>
      <w:r>
        <w:t xml:space="preserve">5 030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39%</w:t>
      </w:r>
      <w:r>
        <w:t xml:space="preserve"> </w:t>
      </w:r>
      <w:r>
        <w:t xml:space="preserve">69%</w:t>
      </w:r>
      <w:r>
        <w:t xml:space="preserve"> </w:t>
      </w:r>
      <w:r>
        <w:t xml:space="preserve">0</w:t>
      </w:r>
      <w:r>
        <w:t xml:space="preserve"> </w:t>
      </w:r>
      <w:r>
        <w:t xml:space="preserve">19</w:t>
      </w:r>
      <w:r>
        <w:t xml:space="preserve"> </w:t>
      </w:r>
      <w:r>
        <w:t xml:space="preserve">1 142</w:t>
      </w:r>
      <w:r>
        <w:t xml:space="preserve"> </w:t>
      </w:r>
      <w:r>
        <w:t xml:space="preserve">3 503</w:t>
      </w:r>
      <w:r>
        <w:t xml:space="preserve"> </w:t>
      </w:r>
      <w:r>
        <w:t xml:space="preserve">5 280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-17%</w:t>
      </w:r>
      <w:r>
        <w:t xml:space="preserve"> </w:t>
      </w:r>
      <w:r>
        <w:t xml:space="preserve">-20%</w:t>
      </w:r>
      <w:r>
        <w:t xml:space="preserve"> </w:t>
      </w:r>
      <w:r>
        <w:t xml:space="preserve">-14%</w:t>
      </w:r>
      <w:r>
        <w:t xml:space="preserve"> </w:t>
      </w:r>
      <w:r>
        <w:t xml:space="preserve">0</w:t>
      </w:r>
      <w:r>
        <w:t xml:space="preserve"> </w:t>
      </w:r>
      <w:r>
        <w:t xml:space="preserve">-31</w:t>
      </w:r>
      <w:r>
        <w:t xml:space="preserve"> </w:t>
      </w:r>
      <w:r>
        <w:t xml:space="preserve">-433</w:t>
      </w:r>
      <w:r>
        <w:t xml:space="preserve"> </w:t>
      </w:r>
      <w:r>
        <w:t xml:space="preserve">-850</w:t>
      </w:r>
      <w:r>
        <w:t xml:space="preserve"> </w:t>
      </w:r>
      <w:r>
        <w:t xml:space="preserve">-850</w:t>
      </w:r>
      <w:r>
        <w:t xml:space="preserve"> </w:t>
      </w:r>
      <w:r>
        <w:t xml:space="preserve">VEEF-SRF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</w:t>
      </w:r>
      <w:r>
        <w:t xml:space="preserve"> </w:t>
      </w:r>
      <w:r>
        <w:t xml:space="preserve">133</w:t>
      </w:r>
      <w:r>
        <w:t xml:space="preserve"> </w:t>
      </w:r>
      <w:r>
        <w:t xml:space="preserve">1 270</w:t>
      </w:r>
      <w:r>
        <w:t xml:space="preserve"> </w:t>
      </w:r>
      <w:r>
        <w:t xml:space="preserve">1 703</w:t>
      </w:r>
      <w:r>
        <w:t xml:space="preserve"> </w:t>
      </w:r>
      <w:r>
        <w:t xml:space="preserve">1 488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0</w:t>
      </w:r>
      <w:r>
        <w:t xml:space="preserve"> </w:t>
      </w:r>
      <w:r>
        <w:t xml:space="preserve">-128</w:t>
      </w:r>
      <w:r>
        <w:t xml:space="preserve"> </w:t>
      </w:r>
      <w:r>
        <w:t xml:space="preserve">-460</w:t>
      </w:r>
      <w:r>
        <w:t xml:space="preserve"> </w:t>
      </w:r>
      <w:r>
        <w:t xml:space="preserve">-581</w:t>
      </w:r>
      <w:r>
        <w:t xml:space="preserve"> </w:t>
      </w:r>
      <w:r>
        <w:t xml:space="preserve">-476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0</w:t>
      </w:r>
      <w:r>
        <w:t xml:space="preserve"> </w:t>
      </w:r>
      <w:r>
        <w:t xml:space="preserve">-1 083</w:t>
      </w:r>
      <w:r>
        <w:t xml:space="preserve"> </w:t>
      </w:r>
      <w:r>
        <w:t xml:space="preserve">-744</w:t>
      </w:r>
      <w:r>
        <w:t xml:space="preserve"> </w:t>
      </w:r>
      <w:r>
        <w:t xml:space="preserve">-307</w:t>
      </w:r>
      <w:r>
        <w:t xml:space="preserve"> </w:t>
      </w:r>
      <w:r>
        <w:t xml:space="preserve">-42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0</w:t>
      </w:r>
      <w:r>
        <w:t xml:space="preserve"> </w:t>
      </w:r>
      <w:r>
        <w:t xml:space="preserve">1 150</w:t>
      </w:r>
      <w:r>
        <w:t xml:space="preserve"> </w:t>
      </w:r>
      <w:r>
        <w:t xml:space="preserve">1 277</w:t>
      </w:r>
      <w:r>
        <w:t xml:space="preserve"> </w:t>
      </w:r>
      <w:r>
        <w:t xml:space="preserve">1 361</w:t>
      </w:r>
      <w:r>
        <w:t xml:space="preserve"> </w:t>
      </w:r>
      <w:r>
        <w:t xml:space="preserve">948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0</w:t>
      </w:r>
      <w:r>
        <w:t xml:space="preserve"> </w:t>
      </w:r>
      <w:r>
        <w:t xml:space="preserve">210</w:t>
      </w:r>
      <w:r>
        <w:t xml:space="preserve"> </w:t>
      </w:r>
      <w:r>
        <w:t xml:space="preserve">1 304</w:t>
      </w:r>
      <w:r>
        <w:t xml:space="preserve"> </w:t>
      </w:r>
      <w:r>
        <w:t xml:space="preserve">1 399</w:t>
      </w:r>
      <w:r>
        <w:t xml:space="preserve"> </w:t>
      </w:r>
      <w:r>
        <w:t xml:space="preserve">1 213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-3%</w:t>
      </w:r>
      <w:r>
        <w:t xml:space="preserve"> </w:t>
      </w:r>
      <w:r>
        <w:t xml:space="preserve">-4%</w:t>
      </w:r>
      <w:r>
        <w:t xml:space="preserve"> </w:t>
      </w:r>
      <w:r>
        <w:t xml:space="preserve">-4%</w:t>
      </w:r>
      <w:r>
        <w:t xml:space="preserve"> </w:t>
      </w:r>
      <w:r>
        <w:t xml:space="preserve">-3%</w:t>
      </w:r>
      <w:r>
        <w:t xml:space="preserve"> </w:t>
      </w:r>
      <w:r>
        <w:t xml:space="preserve">0</w:t>
      </w:r>
      <w:r>
        <w:t xml:space="preserve"> </w:t>
      </w:r>
      <w:r>
        <w:t xml:space="preserve">-17</w:t>
      </w:r>
      <w:r>
        <w:t xml:space="preserve"> </w:t>
      </w:r>
      <w:r>
        <w:t xml:space="preserve">-107</w:t>
      </w:r>
      <w:r>
        <w:t xml:space="preserve"> </w:t>
      </w:r>
      <w:r>
        <w:t xml:space="preserve">-168</w:t>
      </w:r>
      <w:r>
        <w:t xml:space="preserve"> </w:t>
      </w:r>
      <w:r>
        <w:t xml:space="preserve">-155</w:t>
      </w:r>
      <w:r>
        <w:t xml:space="preserve"> </w:t>
      </w:r>
      <w:r>
        <w:t xml:space="preserve">VEEF-RFNBO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-92</w:t>
      </w:r>
      <w:r>
        <w:t xml:space="preserve"> </w:t>
      </w:r>
      <w:r>
        <w:t xml:space="preserve">737</w:t>
      </w:r>
      <w:r>
        <w:t xml:space="preserve"> </w:t>
      </w:r>
      <w:r>
        <w:t xml:space="preserve">1 053</w:t>
      </w:r>
      <w:r>
        <w:t xml:space="preserve"> </w:t>
      </w:r>
      <w:r>
        <w:t xml:space="preserve">965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0</w:t>
      </w:r>
      <w:r>
        <w:t xml:space="preserve"> </w:t>
      </w:r>
      <w:r>
        <w:t xml:space="preserve">-53</w:t>
      </w:r>
      <w:r>
        <w:t xml:space="preserve"> </w:t>
      </w:r>
      <w:r>
        <w:t xml:space="preserve">-296</w:t>
      </w:r>
      <w:r>
        <w:t xml:space="preserve"> </w:t>
      </w:r>
      <w:r>
        <w:t xml:space="preserve">-399</w:t>
      </w:r>
      <w:r>
        <w:t xml:space="preserve"> </w:t>
      </w:r>
      <w:r>
        <w:t xml:space="preserve">-337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</w:t>
      </w:r>
      <w:r>
        <w:t xml:space="preserve"> </w:t>
      </w:r>
      <w:r>
        <w:t xml:space="preserve">-678</w:t>
      </w:r>
      <w:r>
        <w:t xml:space="preserve"> </w:t>
      </w:r>
      <w:r>
        <w:t xml:space="preserve">-460</w:t>
      </w:r>
      <w:r>
        <w:t xml:space="preserve"> </w:t>
      </w:r>
      <w:r>
        <w:t xml:space="preserve">-195</w:t>
      </w:r>
      <w:r>
        <w:t xml:space="preserve"> </w:t>
      </w:r>
      <w:r>
        <w:t xml:space="preserve">-28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</w:t>
      </w:r>
      <w:r>
        <w:t xml:space="preserve"> </w:t>
      </w:r>
      <w:r>
        <w:t xml:space="preserve">-83</w:t>
      </w:r>
      <w:r>
        <w:t xml:space="preserve"> </w:t>
      </w:r>
      <w:r>
        <w:t xml:space="preserve">-95</w:t>
      </w:r>
      <w:r>
        <w:t xml:space="preserve"> </w:t>
      </w:r>
      <w:r>
        <w:t xml:space="preserve">-111</w:t>
      </w:r>
      <w:r>
        <w:t xml:space="preserve"> </w:t>
      </w:r>
      <w:r>
        <w:t xml:space="preserve">-84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18%</w:t>
      </w:r>
      <w:r>
        <w:t xml:space="preserve"> </w:t>
      </w:r>
      <w:r>
        <w:t xml:space="preserve">21%</w:t>
      </w:r>
      <w:r>
        <w:t xml:space="preserve"> </w:t>
      </w:r>
      <w:r>
        <w:t xml:space="preserve">20%</w:t>
      </w:r>
      <w:r>
        <w:t xml:space="preserve"> </w:t>
      </w:r>
      <w:r>
        <w:t xml:space="preserve">0</w:t>
      </w:r>
      <w:r>
        <w:t xml:space="preserve"> </w:t>
      </w:r>
      <w:r>
        <w:t xml:space="preserve">736</w:t>
      </w:r>
      <w:r>
        <w:t xml:space="preserve"> </w:t>
      </w:r>
      <w:r>
        <w:t xml:space="preserve">1 667</w:t>
      </w:r>
      <w:r>
        <w:t xml:space="preserve"> </w:t>
      </w:r>
      <w:r>
        <w:t xml:space="preserve">1 884</w:t>
      </w:r>
      <w:r>
        <w:t xml:space="preserve"> </w:t>
      </w:r>
      <w:r>
        <w:t xml:space="preserve">1 533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-2%</w:t>
      </w:r>
      <w:r>
        <w:t xml:space="preserve"> </w:t>
      </w:r>
      <w:r>
        <w:t xml:space="preserve">-3%</w:t>
      </w:r>
      <w:r>
        <w:t xml:space="preserve"> </w:t>
      </w:r>
      <w:r>
        <w:t xml:space="preserve">-3%</w:t>
      </w:r>
      <w:r>
        <w:t xml:space="preserve"> </w:t>
      </w:r>
      <w:r>
        <w:t xml:space="preserve">-2%</w:t>
      </w:r>
      <w:r>
        <w:t xml:space="preserve"> </w:t>
      </w:r>
      <w:r>
        <w:t xml:space="preserve">0</w:t>
      </w:r>
      <w:r>
        <w:t xml:space="preserve"> </w:t>
      </w:r>
      <w:r>
        <w:t xml:space="preserve">-14</w:t>
      </w:r>
      <w:r>
        <w:t xml:space="preserve"> </w:t>
      </w:r>
      <w:r>
        <w:t xml:space="preserve">-80</w:t>
      </w:r>
      <w:r>
        <w:t xml:space="preserve"> </w:t>
      </w:r>
      <w:r>
        <w:t xml:space="preserve">-127</w:t>
      </w:r>
      <w:r>
        <w:t xml:space="preserve"> </w:t>
      </w:r>
      <w:r>
        <w:t xml:space="preserve">-119</w:t>
      </w:r>
      <w:r>
        <w:t xml:space="preserve"> </w:t>
      </w:r>
      <w:r>
        <w:t xml:space="preserve">VEEF-SRF-20%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28%</w:t>
      </w:r>
      <w:r>
        <w:t xml:space="preserve"> </w:t>
      </w:r>
      <w:r>
        <w:t xml:space="preserve">44%</w:t>
      </w:r>
      <w:r>
        <w:t xml:space="preserve"> </w:t>
      </w:r>
      <w:r>
        <w:t xml:space="preserve">2</w:t>
      </w:r>
      <w:r>
        <w:t xml:space="preserve"> </w:t>
      </w:r>
      <w:r>
        <w:t xml:space="preserve">1 087</w:t>
      </w:r>
      <w:r>
        <w:t xml:space="preserve"> </w:t>
      </w:r>
      <w:r>
        <w:t xml:space="preserve">10 666</w:t>
      </w:r>
      <w:r>
        <w:t xml:space="preserve"> </w:t>
      </w:r>
      <w:r>
        <w:t xml:space="preserve">17 573</w:t>
      </w:r>
      <w:r>
        <w:t xml:space="preserve"> </w:t>
      </w:r>
      <w:r>
        <w:t xml:space="preserve">21 491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-3%</w:t>
      </w:r>
      <w:r>
        <w:t xml:space="preserve"> </w:t>
      </w:r>
      <w:r>
        <w:t xml:space="preserve">-15%</w:t>
      </w:r>
      <w:r>
        <w:t xml:space="preserve"> </w:t>
      </w:r>
      <w:r>
        <w:t xml:space="preserve">-21%</w:t>
      </w:r>
      <w:r>
        <w:t xml:space="preserve"> </w:t>
      </w:r>
      <w:r>
        <w:t xml:space="preserve">-24%</w:t>
      </w:r>
      <w:r>
        <w:t xml:space="preserve"> </w:t>
      </w:r>
      <w:r>
        <w:t xml:space="preserve">-1</w:t>
      </w:r>
      <w:r>
        <w:t xml:space="preserve"> </w:t>
      </w:r>
      <w:r>
        <w:t xml:space="preserve">-403</w:t>
      </w:r>
      <w:r>
        <w:t xml:space="preserve"> </w:t>
      </w:r>
      <w:r>
        <w:t xml:space="preserve">-3 190</w:t>
      </w:r>
      <w:r>
        <w:t xml:space="preserve"> </w:t>
      </w:r>
      <w:r>
        <w:t xml:space="preserve">-5 358</w:t>
      </w:r>
      <w:r>
        <w:t xml:space="preserve"> </w:t>
      </w:r>
      <w:r>
        <w:t xml:space="preserve">-6 362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-3%</w:t>
      </w:r>
      <w:r>
        <w:t xml:space="preserve"> </w:t>
      </w:r>
      <w:r>
        <w:t xml:space="preserve">-4%</w:t>
      </w:r>
      <w:r>
        <w:t xml:space="preserve"> </w:t>
      </w:r>
      <w:r>
        <w:t xml:space="preserve">3</w:t>
      </w:r>
      <w:r>
        <w:t xml:space="preserve"> </w:t>
      </w:r>
      <w:r>
        <w:t xml:space="preserve">-1 073</w:t>
      </w:r>
      <w:r>
        <w:t xml:space="preserve"> </w:t>
      </w:r>
      <w:r>
        <w:t xml:space="preserve">-965</w:t>
      </w:r>
      <w:r>
        <w:t xml:space="preserve"> </w:t>
      </w:r>
      <w:r>
        <w:t xml:space="preserve">-435</w:t>
      </w:r>
      <w:r>
        <w:t xml:space="preserve"> </w:t>
      </w:r>
      <w:r>
        <w:t xml:space="preserve">-68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59%</w:t>
      </w:r>
      <w:r>
        <w:t xml:space="preserve"> </w:t>
      </w:r>
      <w:r>
        <w:t xml:space="preserve">119%</w:t>
      </w:r>
      <w:r>
        <w:t xml:space="preserve"> </w:t>
      </w:r>
      <w:r>
        <w:t xml:space="preserve">199%</w:t>
      </w:r>
      <w:r>
        <w:t xml:space="preserve"> </w:t>
      </w:r>
      <w:r>
        <w:t xml:space="preserve">0</w:t>
      </w:r>
      <w:r>
        <w:t xml:space="preserve"> </w:t>
      </w:r>
      <w:r>
        <w:t xml:space="preserve">2 148</w:t>
      </w:r>
      <w:r>
        <w:t xml:space="preserve"> </w:t>
      </w:r>
      <w:r>
        <w:t xml:space="preserve">7 516</w:t>
      </w:r>
      <w:r>
        <w:t xml:space="preserve"> </w:t>
      </w:r>
      <w:r>
        <w:t xml:space="preserve">11 870</w:t>
      </w:r>
      <w:r>
        <w:t xml:space="preserve"> </w:t>
      </w:r>
      <w:r>
        <w:t xml:space="preserve">12 922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84%</w:t>
      </w:r>
      <w:r>
        <w:t xml:space="preserve"> </w:t>
      </w:r>
      <w:r>
        <w:t xml:space="preserve">140%</w:t>
      </w:r>
      <w:r>
        <w:t xml:space="preserve"> </w:t>
      </w:r>
      <w:r>
        <w:t xml:space="preserve">218%</w:t>
      </w:r>
      <w:r>
        <w:t xml:space="preserve"> </w:t>
      </w:r>
      <w:r>
        <w:t xml:space="preserve">0</w:t>
      </w:r>
      <w:r>
        <w:t xml:space="preserve"> </w:t>
      </w:r>
      <w:r>
        <w:t xml:space="preserve">446</w:t>
      </w:r>
      <w:r>
        <w:t xml:space="preserve"> </w:t>
      </w:r>
      <w:r>
        <w:t xml:space="preserve">7 864</w:t>
      </w:r>
      <w:r>
        <w:t xml:space="preserve"> </w:t>
      </w:r>
      <w:r>
        <w:t xml:space="preserve">12 558</w:t>
      </w:r>
      <w:r>
        <w:t xml:space="preserve"> </w:t>
      </w:r>
      <w:r>
        <w:t xml:space="preserve">16 590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-21%</w:t>
      </w:r>
      <w:r>
        <w:t xml:space="preserve"> </w:t>
      </w:r>
      <w:r>
        <w:t xml:space="preserve">-25%</w:t>
      </w:r>
      <w:r>
        <w:t xml:space="preserve"> </w:t>
      </w:r>
      <w:r>
        <w:t xml:space="preserve">-26%</w:t>
      </w:r>
      <w:r>
        <w:t xml:space="preserve"> </w:t>
      </w:r>
      <w:r>
        <w:t xml:space="preserve">-0</w:t>
      </w:r>
      <w:r>
        <w:t xml:space="preserve"> </w:t>
      </w:r>
      <w:r>
        <w:t xml:space="preserve">-31</w:t>
      </w:r>
      <w:r>
        <w:t xml:space="preserve"> </w:t>
      </w:r>
      <w:r>
        <w:t xml:space="preserve">-559</w:t>
      </w:r>
      <w:r>
        <w:t xml:space="preserve"> </w:t>
      </w:r>
      <w:r>
        <w:t xml:space="preserve">-1 062</w:t>
      </w:r>
      <w:r>
        <w:t xml:space="preserve"> </w:t>
      </w:r>
      <w:r>
        <w:t xml:space="preserve">-1 591</w:t>
      </w:r>
      <w:r>
        <w:t xml:space="preserve"> </w:t>
      </w:r>
      <w:r>
        <w:t xml:space="preserve">VEEF-RFNBO-20%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12%</w:t>
      </w:r>
      <w:r>
        <w:t xml:space="preserve"> </w:t>
      </w:r>
      <w:r>
        <w:t xml:space="preserve">27%</w:t>
      </w:r>
      <w:r>
        <w:t xml:space="preserve"> </w:t>
      </w:r>
      <w:r>
        <w:t xml:space="preserve">42%</w:t>
      </w:r>
      <w:r>
        <w:t xml:space="preserve"> </w:t>
      </w:r>
      <w:r>
        <w:t xml:space="preserve">2</w:t>
      </w:r>
      <w:r>
        <w:t xml:space="preserve"> </w:t>
      </w:r>
      <w:r>
        <w:t xml:space="preserve">1 291</w:t>
      </w:r>
      <w:r>
        <w:t xml:space="preserve"> </w:t>
      </w:r>
      <w:r>
        <w:t xml:space="preserve">10 523</w:t>
      </w:r>
      <w:r>
        <w:t xml:space="preserve"> </w:t>
      </w:r>
      <w:r>
        <w:t xml:space="preserve">16 965</w:t>
      </w:r>
      <w:r>
        <w:t xml:space="preserve"> </w:t>
      </w:r>
      <w:r>
        <w:t xml:space="preserve">20 569</w:t>
      </w:r>
      <w:r>
        <w:t xml:space="preserve"> </w:t>
      </w:r>
      <w:r>
        <w:t xml:space="preserve">Electricity</w:t>
      </w:r>
      <w:r>
        <w:t xml:space="preserve"> </w:t>
      </w:r>
      <w:r>
        <w:t xml:space="preserve">0%</w:t>
      </w:r>
      <w:r>
        <w:t xml:space="preserve"> </w:t>
      </w:r>
      <w:r>
        <w:t xml:space="preserve">-4%</w:t>
      </w:r>
      <w:r>
        <w:t xml:space="preserve"> </w:t>
      </w:r>
      <w:r>
        <w:t xml:space="preserve">-16%</w:t>
      </w:r>
      <w:r>
        <w:t xml:space="preserve"> </w:t>
      </w:r>
      <w:r>
        <w:t xml:space="preserve">-22%</w:t>
      </w:r>
      <w:r>
        <w:t xml:space="preserve"> </w:t>
      </w:r>
      <w:r>
        <w:t xml:space="preserve">-25%</w:t>
      </w:r>
      <w:r>
        <w:t xml:space="preserve"> </w:t>
      </w:r>
      <w:r>
        <w:t xml:space="preserve">-1</w:t>
      </w:r>
      <w:r>
        <w:t xml:space="preserve"> </w:t>
      </w:r>
      <w:r>
        <w:t xml:space="preserve">-493</w:t>
      </w:r>
      <w:r>
        <w:t xml:space="preserve"> </w:t>
      </w:r>
      <w:r>
        <w:t xml:space="preserve">-3 370</w:t>
      </w:r>
      <w:r>
        <w:t xml:space="preserve"> </w:t>
      </w:r>
      <w:r>
        <w:t xml:space="preserve">-5 640</w:t>
      </w:r>
      <w:r>
        <w:t xml:space="preserve"> </w:t>
      </w:r>
      <w:r>
        <w:t xml:space="preserve">-6 696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-3%</w:t>
      </w:r>
      <w:r>
        <w:t xml:space="preserve"> </w:t>
      </w:r>
      <w:r>
        <w:t xml:space="preserve">-3%</w:t>
      </w:r>
      <w:r>
        <w:t xml:space="preserve"> </w:t>
      </w:r>
      <w:r>
        <w:t xml:space="preserve">3</w:t>
      </w:r>
      <w:r>
        <w:t xml:space="preserve"> </w:t>
      </w:r>
      <w:r>
        <w:t xml:space="preserve">-815</w:t>
      </w:r>
      <w:r>
        <w:t xml:space="preserve"> </w:t>
      </w:r>
      <w:r>
        <w:t xml:space="preserve">-816</w:t>
      </w:r>
      <w:r>
        <w:t xml:space="preserve"> </w:t>
      </w:r>
      <w:r>
        <w:t xml:space="preserve">-383</w:t>
      </w:r>
      <w:r>
        <w:t xml:space="preserve"> </w:t>
      </w:r>
      <w:r>
        <w:t xml:space="preserve">-63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-3%</w:t>
      </w:r>
      <w:r>
        <w:t xml:space="preserve"> </w:t>
      </w:r>
      <w:r>
        <w:t xml:space="preserve">0</w:t>
      </w:r>
      <w:r>
        <w:t xml:space="preserve"> </w:t>
      </w:r>
      <w:r>
        <w:t xml:space="preserve">-106</w:t>
      </w:r>
      <w:r>
        <w:t xml:space="preserve"> </w:t>
      </w:r>
      <w:r>
        <w:t xml:space="preserve">-204</w:t>
      </w:r>
      <w:r>
        <w:t xml:space="preserve"> </w:t>
      </w:r>
      <w:r>
        <w:t xml:space="preserve">-250</w:t>
      </w:r>
      <w:r>
        <w:t xml:space="preserve"> </w:t>
      </w:r>
      <w:r>
        <w:t xml:space="preserve">-202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185%</w:t>
      </w:r>
      <w:r>
        <w:t xml:space="preserve"> </w:t>
      </w:r>
      <w:r>
        <w:t xml:space="preserve">166%</w:t>
      </w:r>
      <w:r>
        <w:t xml:space="preserve"> </w:t>
      </w:r>
      <w:r>
        <w:t xml:space="preserve">272%</w:t>
      </w:r>
      <w:r>
        <w:t xml:space="preserve"> </w:t>
      </w:r>
      <w:r>
        <w:t xml:space="preserve">383%</w:t>
      </w:r>
      <w:r>
        <w:t xml:space="preserve"> </w:t>
      </w:r>
      <w:r>
        <w:t xml:space="preserve">0</w:t>
      </w:r>
      <w:r>
        <w:t xml:space="preserve"> </w:t>
      </w:r>
      <w:r>
        <w:t xml:space="preserve">2 741</w:t>
      </w:r>
      <w:r>
        <w:t xml:space="preserve"> </w:t>
      </w:r>
      <w:r>
        <w:t xml:space="preserve">15 495</w:t>
      </w:r>
      <w:r>
        <w:t xml:space="preserve"> </w:t>
      </w:r>
      <w:r>
        <w:t xml:space="preserve">24 352</w:t>
      </w:r>
      <w:r>
        <w:t xml:space="preserve"> </w:t>
      </w:r>
      <w:r>
        <w:t xml:space="preserve">29 198</w:t>
      </w:r>
      <w:r>
        <w:t xml:space="preserve"> </w:t>
      </w:r>
      <w:r>
        <w:t xml:space="preserve">Hydrogen</w:t>
      </w:r>
      <w:r>
        <w:t xml:space="preserve"> </w:t>
      </w:r>
      <w:r>
        <w:t xml:space="preserve">0%</w:t>
      </w:r>
      <w:r>
        <w:t xml:space="preserve"> </w:t>
      </w:r>
      <w:r>
        <w:t xml:space="preserve">-6%</w:t>
      </w:r>
      <w:r>
        <w:t xml:space="preserve"> </w:t>
      </w:r>
      <w:r>
        <w:t xml:space="preserve">-22%</w:t>
      </w:r>
      <w:r>
        <w:t xml:space="preserve"> </w:t>
      </w:r>
      <w:r>
        <w:t xml:space="preserve">-26%</w:t>
      </w:r>
      <w:r>
        <w:t xml:space="preserve"> </w:t>
      </w:r>
      <w:r>
        <w:t xml:space="preserve">-28%</w:t>
      </w:r>
      <w:r>
        <w:t xml:space="preserve"> </w:t>
      </w:r>
      <w:r>
        <w:t xml:space="preserve">-0</w:t>
      </w:r>
      <w:r>
        <w:t xml:space="preserve"> </w:t>
      </w:r>
      <w:r>
        <w:t xml:space="preserve">-36</w:t>
      </w:r>
      <w:r>
        <w:t xml:space="preserve"> </w:t>
      </w:r>
      <w:r>
        <w:t xml:space="preserve">-583</w:t>
      </w:r>
      <w:r>
        <w:t xml:space="preserve"> </w:t>
      </w:r>
      <w:r>
        <w:t xml:space="preserve">-1 114</w:t>
      </w:r>
      <w:r>
        <w:t xml:space="preserve"> </w:t>
      </w:r>
      <w:r>
        <w:t xml:space="preserve">-1 667</w:t>
      </w:r>
      <w:r>
        <w:t xml:space="preserve"> </w:t>
      </w:r>
      <w:r>
        <w:t xml:space="preserve">Small ZEV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0.2%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262</w:t>
      </w:r>
      <w:r>
        <w:t xml:space="preserve"> </w:t>
      </w:r>
      <w:r>
        <w:t xml:space="preserve">593</w:t>
      </w:r>
      <w:r>
        <w:t xml:space="preserve"> </w:t>
      </w:r>
      <w:r>
        <w:t xml:space="preserve">394</w:t>
      </w:r>
      <w:r>
        <w:t xml:space="preserve"> </w:t>
      </w:r>
      <w:r>
        <w:t xml:space="preserve">210</w:t>
      </w:r>
      <w:r>
        <w:t xml:space="preserve"> </w:t>
      </w:r>
      <w:r>
        <w:t xml:space="preserve">122</w:t>
      </w:r>
      <w:r>
        <w:t xml:space="preserve"> </w:t>
      </w:r>
      <w:r>
        <w:t xml:space="preserve">Electricity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-71</w:t>
      </w:r>
      <w:r>
        <w:t xml:space="preserve"> </w:t>
      </w:r>
      <w:r>
        <w:t xml:space="preserve">-174</w:t>
      </w:r>
      <w:r>
        <w:t xml:space="preserve"> </w:t>
      </w:r>
      <w:r>
        <w:t xml:space="preserve">-121</w:t>
      </w:r>
      <w:r>
        <w:t xml:space="preserve"> </w:t>
      </w:r>
      <w:r>
        <w:t xml:space="preserve">-68</w:t>
      </w:r>
      <w:r>
        <w:t xml:space="preserve"> </w:t>
      </w:r>
      <w:r>
        <w:t xml:space="preserve">-37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271</w:t>
      </w:r>
      <w:r>
        <w:t xml:space="preserve"> </w:t>
      </w:r>
      <w:r>
        <w:t xml:space="preserve">622</w:t>
      </w:r>
      <w:r>
        <w:t xml:space="preserve"> </w:t>
      </w:r>
      <w:r>
        <w:t xml:space="preserve">333</w:t>
      </w:r>
      <w:r>
        <w:t xml:space="preserve"> </w:t>
      </w:r>
      <w:r>
        <w:t xml:space="preserve">117</w:t>
      </w:r>
      <w:r>
        <w:t xml:space="preserve"> </w:t>
      </w:r>
      <w:r>
        <w:t xml:space="preserve">17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63</w:t>
      </w:r>
      <w:r>
        <w:t xml:space="preserve"> </w:t>
      </w:r>
      <w:r>
        <w:t xml:space="preserve">138</w:t>
      </w:r>
      <w:r>
        <w:t xml:space="preserve"> </w:t>
      </w:r>
      <w:r>
        <w:t xml:space="preserve">110</w:t>
      </w:r>
      <w:r>
        <w:t xml:space="preserve"> </w:t>
      </w:r>
      <w:r>
        <w:t xml:space="preserve">91</w:t>
      </w:r>
      <w:r>
        <w:t xml:space="preserve"> </w:t>
      </w:r>
      <w:r>
        <w:t xml:space="preserve">68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78</w:t>
      </w:r>
      <w:r>
        <w:t xml:space="preserve"> </w:t>
      </w:r>
      <w:r>
        <w:t xml:space="preserve">75</w:t>
      </w:r>
      <w:r>
        <w:t xml:space="preserve"> </w:t>
      </w:r>
      <w:r>
        <w:t xml:space="preserve">76</w:t>
      </w:r>
      <w:r>
        <w:t xml:space="preserve"> </w:t>
      </w:r>
      <w:r>
        <w:t xml:space="preserve">Hydrogen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-2</w:t>
      </w:r>
      <w:r>
        <w:t xml:space="preserve"> </w:t>
      </w:r>
      <w:r>
        <w:t xml:space="preserve">-6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COMBI_1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273</w:t>
      </w:r>
      <w:r>
        <w:t xml:space="preserve"> </w:t>
      </w:r>
      <w:r>
        <w:t xml:space="preserve">1 044</w:t>
      </w:r>
      <w:r>
        <w:t xml:space="preserve"> </w:t>
      </w:r>
      <w:r>
        <w:t xml:space="preserve">1 759</w:t>
      </w:r>
      <w:r>
        <w:t xml:space="preserve"> </w:t>
      </w:r>
      <w:r>
        <w:t xml:space="preserve">1 992</w:t>
      </w:r>
      <w:r>
        <w:t xml:space="preserve"> </w:t>
      </w:r>
      <w:r>
        <w:t xml:space="preserve">2 158</w:t>
      </w:r>
      <w:r>
        <w:t xml:space="preserve"> </w:t>
      </w:r>
      <w:r>
        <w:t xml:space="preserve">Electricity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-3%</w:t>
      </w:r>
      <w:r>
        <w:t xml:space="preserve"> </w:t>
      </w:r>
      <w:r>
        <w:t xml:space="preserve">-3%</w:t>
      </w:r>
      <w:r>
        <w:t xml:space="preserve"> </w:t>
      </w:r>
      <w:r>
        <w:t xml:space="preserve">-2%</w:t>
      </w:r>
      <w:r>
        <w:t xml:space="preserve"> </w:t>
      </w:r>
      <w:r>
        <w:t xml:space="preserve">-73</w:t>
      </w:r>
      <w:r>
        <w:t xml:space="preserve"> </w:t>
      </w:r>
      <w:r>
        <w:t xml:space="preserve">-309</w:t>
      </w:r>
      <w:r>
        <w:t xml:space="preserve"> </w:t>
      </w:r>
      <w:r>
        <w:t xml:space="preserve">-598</w:t>
      </w:r>
      <w:r>
        <w:t xml:space="preserve"> </w:t>
      </w:r>
      <w:r>
        <w:t xml:space="preserve">-688</w:t>
      </w:r>
      <w:r>
        <w:t xml:space="preserve"> </w:t>
      </w:r>
      <w:r>
        <w:t xml:space="preserve">-645</w:t>
      </w:r>
      <w:r>
        <w:t xml:space="preserve"> </w:t>
      </w:r>
      <w:r>
        <w:t xml:space="preserve">Fossil fuels</w:t>
      </w:r>
      <w:r>
        <w:t xml:space="preserve"> </w:t>
      </w:r>
      <w:r>
        <w:t xml:space="preserve">0.23%</w:t>
      </w:r>
      <w:r>
        <w:t xml:space="preserve"> </w:t>
      </w:r>
      <w:r>
        <w:t xml:space="preserve">0.006%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286</w:t>
      </w:r>
      <w:r>
        <w:t xml:space="preserve"> </w:t>
      </w:r>
      <w:r>
        <w:t xml:space="preserve">6</w:t>
      </w:r>
      <w:r>
        <w:t xml:space="preserve"> </w:t>
      </w:r>
      <w:r>
        <w:t xml:space="preserve">242</w:t>
      </w:r>
      <w:r>
        <w:t xml:space="preserve"> </w:t>
      </w:r>
      <w:r>
        <w:t xml:space="preserve">300</w:t>
      </w:r>
      <w:r>
        <w:t xml:space="preserve"> </w:t>
      </w:r>
      <w:r>
        <w:t xml:space="preserve">109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22%</w:t>
      </w:r>
      <w:r>
        <w:t xml:space="preserve"> </w:t>
      </w:r>
      <w:r>
        <w:t xml:space="preserve">62</w:t>
      </w:r>
      <w:r>
        <w:t xml:space="preserve"> </w:t>
      </w:r>
      <w:r>
        <w:t xml:space="preserve">1 172</w:t>
      </w:r>
      <w:r>
        <w:t xml:space="preserve"> </w:t>
      </w:r>
      <w:r>
        <w:t xml:space="preserve">1 183</w:t>
      </w:r>
      <w:r>
        <w:t xml:space="preserve"> </w:t>
      </w:r>
      <w:r>
        <w:t xml:space="preserve">1 362</w:t>
      </w:r>
      <w:r>
        <w:t xml:space="preserve"> </w:t>
      </w:r>
      <w:r>
        <w:t xml:space="preserve">1 430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23%</w:t>
      </w:r>
      <w:r>
        <w:t xml:space="preserve"> </w:t>
      </w:r>
      <w:r>
        <w:t xml:space="preserve">0</w:t>
      </w:r>
      <w:r>
        <w:t xml:space="preserve"> </w:t>
      </w:r>
      <w:r>
        <w:t xml:space="preserve">201</w:t>
      </w:r>
      <w:r>
        <w:t xml:space="preserve"> </w:t>
      </w:r>
      <w:r>
        <w:t xml:space="preserve">1 135</w:t>
      </w:r>
      <w:r>
        <w:t xml:space="preserve"> </w:t>
      </w:r>
      <w:r>
        <w:t xml:space="preserve">1 367</w:t>
      </w:r>
      <w:r>
        <w:t xml:space="preserve"> </w:t>
      </w:r>
      <w:r>
        <w:t xml:space="preserve">1 788</w:t>
      </w:r>
      <w:r>
        <w:t xml:space="preserve"> </w:t>
      </w:r>
      <w:r>
        <w:t xml:space="preserve">Hydrogen</w:t>
      </w:r>
      <w:r>
        <w:t xml:space="preserve"> </w:t>
      </w:r>
      <w:r>
        <w:t xml:space="preserve">-1%</w:t>
      </w:r>
      <w:r>
        <w:t xml:space="preserve"> </w:t>
      </w:r>
      <w:r>
        <w:t xml:space="preserve">-4%</w:t>
      </w:r>
      <w:r>
        <w:t xml:space="preserve"> </w:t>
      </w:r>
      <w:r>
        <w:t xml:space="preserve">-8%</w:t>
      </w:r>
      <w:r>
        <w:t xml:space="preserve"> </w:t>
      </w:r>
      <w:r>
        <w:t xml:space="preserve">-8%</w:t>
      </w:r>
      <w:r>
        <w:t xml:space="preserve"> </w:t>
      </w:r>
      <w:r>
        <w:t xml:space="preserve">-9%</w:t>
      </w:r>
      <w:r>
        <w:t xml:space="preserve"> </w:t>
      </w:r>
      <w:r>
        <w:t xml:space="preserve">-2</w:t>
      </w:r>
      <w:r>
        <w:t xml:space="preserve"> </w:t>
      </w:r>
      <w:r>
        <w:t xml:space="preserve">-26</w:t>
      </w:r>
      <w:r>
        <w:t xml:space="preserve"> </w:t>
      </w:r>
      <w:r>
        <w:t xml:space="preserve">-204</w:t>
      </w:r>
      <w:r>
        <w:t xml:space="preserve"> </w:t>
      </w:r>
      <w:r>
        <w:t xml:space="preserve">-350</w:t>
      </w:r>
      <w:r>
        <w:t xml:space="preserve"> </w:t>
      </w:r>
      <w:r>
        <w:t xml:space="preserve">-524</w:t>
      </w:r>
      <w:r>
        <w:t xml:space="preserve"> </w:t>
      </w:r>
      <w:r>
        <w:t xml:space="preserve">COMBI_2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Energy demand</w:t>
      </w:r>
      <w:r>
        <w:t xml:space="preserve"> </w:t>
      </w:r>
      <w:r>
        <w:t xml:space="preserve">LDVs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14%</w:t>
      </w:r>
      <w:r>
        <w:t xml:space="preserve"> </w:t>
      </w:r>
      <w:r>
        <w:t xml:space="preserve">21%</w:t>
      </w:r>
      <w:r>
        <w:t xml:space="preserve"> </w:t>
      </w:r>
      <w:r>
        <w:t xml:space="preserve">384</w:t>
      </w:r>
      <w:r>
        <w:t xml:space="preserve"> </w:t>
      </w:r>
      <w:r>
        <w:t xml:space="preserve">2 102</w:t>
      </w:r>
      <w:r>
        <w:t xml:space="preserve"> </w:t>
      </w:r>
      <w:r>
        <w:t xml:space="preserve">6 568</w:t>
      </w:r>
      <w:r>
        <w:t xml:space="preserve"> </w:t>
      </w:r>
      <w:r>
        <w:t xml:space="preserve">8 938</w:t>
      </w:r>
      <w:r>
        <w:t xml:space="preserve"> </w:t>
      </w:r>
      <w:r>
        <w:t xml:space="preserve">10 418</w:t>
      </w:r>
      <w:r>
        <w:t xml:space="preserve"> </w:t>
      </w:r>
      <w:r>
        <w:t xml:space="preserve">Electricity</w:t>
      </w:r>
      <w:r>
        <w:t xml:space="preserve"> </w:t>
      </w:r>
      <w:r>
        <w:t xml:space="preserve">-1%</w:t>
      </w:r>
      <w:r>
        <w:t xml:space="preserve"> </w:t>
      </w:r>
      <w:r>
        <w:t xml:space="preserve">-5%</w:t>
      </w:r>
      <w:r>
        <w:t xml:space="preserve"> </w:t>
      </w:r>
      <w:r>
        <w:t xml:space="preserve">-10%</w:t>
      </w:r>
      <w:r>
        <w:t xml:space="preserve"> </w:t>
      </w:r>
      <w:r>
        <w:t xml:space="preserve">-12%</w:t>
      </w:r>
      <w:r>
        <w:t xml:space="preserve"> </w:t>
      </w:r>
      <w:r>
        <w:t xml:space="preserve">-13%</w:t>
      </w:r>
      <w:r>
        <w:t xml:space="preserve"> </w:t>
      </w:r>
      <w:r>
        <w:t xml:space="preserve">-105</w:t>
      </w:r>
      <w:r>
        <w:t xml:space="preserve"> </w:t>
      </w:r>
      <w:r>
        <w:t xml:space="preserve">-642</w:t>
      </w:r>
      <w:r>
        <w:t xml:space="preserve"> </w:t>
      </w:r>
      <w:r>
        <w:t xml:space="preserve">-2 178</w:t>
      </w:r>
      <w:r>
        <w:t xml:space="preserve"> </w:t>
      </w:r>
      <w:r>
        <w:t xml:space="preserve">-3 120</w:t>
      </w:r>
      <w:r>
        <w:t xml:space="preserve"> </w:t>
      </w:r>
      <w:r>
        <w:t xml:space="preserve">-3 518</w:t>
      </w:r>
      <w:r>
        <w:t xml:space="preserve"> </w:t>
      </w:r>
      <w:r>
        <w:t xml:space="preserve">Fossil fuels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31%</w:t>
      </w:r>
      <w:r>
        <w:t xml:space="preserve"> </w:t>
      </w:r>
      <w:r>
        <w:t xml:space="preserve">72%</w:t>
      </w:r>
      <w:r>
        <w:t xml:space="preserve"> </w:t>
      </w:r>
      <w:r>
        <w:t xml:space="preserve">404</w:t>
      </w:r>
      <w:r>
        <w:t xml:space="preserve"> </w:t>
      </w:r>
      <w:r>
        <w:t xml:space="preserve">1 157</w:t>
      </w:r>
      <w:r>
        <w:t xml:space="preserve"> </w:t>
      </w:r>
      <w:r>
        <w:t xml:space="preserve">4 382</w:t>
      </w:r>
      <w:r>
        <w:t xml:space="preserve"> </w:t>
      </w:r>
      <w:r>
        <w:t xml:space="preserve">4 242</w:t>
      </w:r>
      <w:r>
        <w:t xml:space="preserve"> </w:t>
      </w:r>
      <w:r>
        <w:t xml:space="preserve">1 381</w:t>
      </w:r>
      <w:r>
        <w:t xml:space="preserve"> </w:t>
      </w:r>
      <w:r>
        <w:t xml:space="preserve">Biofuels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22%</w:t>
      </w:r>
      <w:r>
        <w:t xml:space="preserve"> </w:t>
      </w:r>
      <w:r>
        <w:t xml:space="preserve">48%</w:t>
      </w:r>
      <w:r>
        <w:t xml:space="preserve"> </w:t>
      </w:r>
      <w:r>
        <w:t xml:space="preserve">103%</w:t>
      </w:r>
      <w:r>
        <w:t xml:space="preserve"> </w:t>
      </w:r>
      <w:r>
        <w:t xml:space="preserve">88</w:t>
      </w:r>
      <w:r>
        <w:t xml:space="preserve"> </w:t>
      </w:r>
      <w:r>
        <w:t xml:space="preserve">1 422</w:t>
      </w:r>
      <w:r>
        <w:t xml:space="preserve"> </w:t>
      </w:r>
      <w:r>
        <w:t xml:space="preserve">2 824</w:t>
      </w:r>
      <w:r>
        <w:t xml:space="preserve"> </w:t>
      </w:r>
      <w:r>
        <w:t xml:space="preserve">4 802</w:t>
      </w:r>
      <w:r>
        <w:t xml:space="preserve"> </w:t>
      </w:r>
      <w:r>
        <w:t xml:space="preserve">6 720</w:t>
      </w:r>
      <w:r>
        <w:t xml:space="preserve"> </w:t>
      </w:r>
      <w:r>
        <w:t xml:space="preserve">RFNBO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44%</w:t>
      </w:r>
      <w:r>
        <w:t xml:space="preserve"> </w:t>
      </w:r>
      <w:r>
        <w:t xml:space="preserve">94%</w:t>
      </w:r>
      <w:r>
        <w:t xml:space="preserve"> </w:t>
      </w:r>
      <w:r>
        <w:t xml:space="preserve">0</w:t>
      </w:r>
      <w:r>
        <w:t xml:space="preserve"> </w:t>
      </w:r>
      <w:r>
        <w:t xml:space="preserve">215</w:t>
      </w:r>
      <w:r>
        <w:t xml:space="preserve"> </w:t>
      </w:r>
      <w:r>
        <w:t xml:space="preserve">2 031</w:t>
      </w:r>
      <w:r>
        <w:t xml:space="preserve"> </w:t>
      </w:r>
      <w:r>
        <w:t xml:space="preserve">3 895</w:t>
      </w:r>
      <w:r>
        <w:t xml:space="preserve"> </w:t>
      </w:r>
      <w:r>
        <w:t xml:space="preserve">7 123</w:t>
      </w:r>
      <w:r>
        <w:t xml:space="preserve"> </w:t>
      </w:r>
      <w:r>
        <w:t xml:space="preserve">Hydrogen</w:t>
      </w:r>
      <w:r>
        <w:t xml:space="preserve"> </w:t>
      </w:r>
      <w:r>
        <w:t xml:space="preserve">-2%</w:t>
      </w:r>
      <w:r>
        <w:t xml:space="preserve"> </w:t>
      </w:r>
      <w:r>
        <w:t xml:space="preserve">-8%</w:t>
      </w:r>
      <w:r>
        <w:t xml:space="preserve"> </w:t>
      </w:r>
      <w:r>
        <w:t xml:space="preserve">-19%</w:t>
      </w:r>
      <w:r>
        <w:t xml:space="preserve"> </w:t>
      </w:r>
      <w:r>
        <w:t xml:space="preserve">-21%</w:t>
      </w:r>
      <w:r>
        <w:t xml:space="preserve"> </w:t>
      </w:r>
      <w:r>
        <w:t xml:space="preserve">-21%</w:t>
      </w:r>
      <w:r>
        <w:t xml:space="preserve"> </w:t>
      </w:r>
      <w:r>
        <w:t xml:space="preserve">-3</w:t>
      </w:r>
      <w:r>
        <w:t xml:space="preserve"> </w:t>
      </w:r>
      <w:r>
        <w:t xml:space="preserve">-51</w:t>
      </w:r>
      <w:r>
        <w:t xml:space="preserve"> </w:t>
      </w:r>
      <w:r>
        <w:t xml:space="preserve">-492</w:t>
      </w:r>
      <w:r>
        <w:t xml:space="preserve"> </w:t>
      </w:r>
      <w:r>
        <w:t xml:space="preserve">-882</w:t>
      </w:r>
      <w:r>
        <w:t xml:space="preserve"> </w:t>
      </w:r>
      <w:r>
        <w:t xml:space="preserve">-1 289</w:t>
      </w:r>
      <w:r>
        <w:t xml:space="preserve"> </w:t>
      </w:r>
      <w:r>
        <w:t xml:space="preserve">The table below shows the cumulative (2030 to 2050) CO2 emissions of the light-duty</w:t>
      </w:r>
      <w:r>
        <w:t xml:space="preserve"> </w:t>
      </w:r>
      <w:r>
        <w:t xml:space="preserve">vehicles, and the difference in relative (%) and absolute (Mt CO2) terms to the baseline. It</w:t>
      </w:r>
      <w:r>
        <w:t xml:space="preserve"> </w:t>
      </w:r>
      <w:r>
        <w:t xml:space="preserve">also shows the impact in terms of external costs of CO297</w:t>
      </w:r>
      <w:r>
        <w:br/>
      </w:r>
      <w:r>
        <w:t xml:space="preserve">Cumulative emissions LDVs</w:t>
      </w:r>
      <w:r>
        <w:t xml:space="preserve"> </w:t>
      </w:r>
      <w:r>
        <w:t xml:space="preserve">External cost CO2</w:t>
      </w:r>
    </w:p>
    <w:p>
      <w:pPr>
        <w:pStyle w:val="BodyText"/>
      </w:pPr>
      <w:r>
        <w:t xml:space="preserve">2030-50</w:t>
      </w:r>
      <w:r>
        <w:br/>
      </w:r>
      <w:r>
        <w:t xml:space="preserve">(Mt CO2)</w:t>
      </w:r>
      <w:r>
        <w:t xml:space="preserve"> </w:t>
      </w:r>
      <w:r>
        <w:t xml:space="preserve">Diff. vs</w:t>
      </w:r>
      <w:r>
        <w:t xml:space="preserve"> </w:t>
      </w:r>
      <w:r>
        <w:t xml:space="preserve">baseline</w:t>
      </w:r>
      <w:r>
        <w:t xml:space="preserve"> </w:t>
      </w:r>
      <w:r>
        <w:t xml:space="preserve">(%)</w:t>
      </w:r>
      <w:r>
        <w:t xml:space="preserve"> </w:t>
      </w:r>
      <w:r>
        <w:t xml:space="preserve">Diff. vs</w:t>
      </w:r>
      <w:r>
        <w:t xml:space="preserve"> </w:t>
      </w:r>
      <w:r>
        <w:t xml:space="preserve">baseline</w:t>
      </w:r>
      <w:r>
        <w:t xml:space="preserve"> </w:t>
      </w:r>
      <w:r>
        <w:t xml:space="preserve">(Mt CO2)</w:t>
      </w:r>
      <w:r>
        <w:t xml:space="preserve"> </w:t>
      </w:r>
      <w:r>
        <w:t xml:space="preserve">2030-50</w:t>
      </w:r>
      <w:r>
        <w:br/>
      </w:r>
      <w:r>
        <w:t xml:space="preserve">(bn EUR)</w:t>
      </w:r>
      <w:r>
        <w:t xml:space="preserve"> </w:t>
      </w:r>
      <w:r>
        <w:t xml:space="preserve">Diff. vs</w:t>
      </w:r>
      <w:r>
        <w:t xml:space="preserve"> </w:t>
      </w:r>
      <w:r>
        <w:t xml:space="preserve">baseline</w:t>
      </w:r>
      <w:r>
        <w:t xml:space="preserve"> </w:t>
      </w:r>
      <w:r>
        <w:t xml:space="preserve">(bn EUR)</w:t>
      </w:r>
      <w:r>
        <w:t xml:space="preserve"> </w:t>
      </w:r>
      <w:r>
        <w:t xml:space="preserve">Baseline</w:t>
      </w:r>
      <w:r>
        <w:t xml:space="preserve"> </w:t>
      </w:r>
      <w:r>
        <w:t xml:space="preserve">3 396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TL_Vans</w:t>
      </w:r>
      <w:r>
        <w:t xml:space="preserve"> </w:t>
      </w:r>
      <w:r>
        <w:t xml:space="preserve">3 418</w:t>
      </w:r>
      <w:r>
        <w:t xml:space="preserve"> </w:t>
      </w:r>
      <w:r>
        <w:t xml:space="preserve">0.6%</w:t>
      </w:r>
      <w:r>
        <w:t xml:space="preserve"> </w:t>
      </w:r>
      <w:r>
        <w:t xml:space="preserve">21</w:t>
      </w:r>
      <w:r>
        <w:t xml:space="preserve"> </w:t>
      </w:r>
      <w:r>
        <w:t xml:space="preserve">370</w:t>
      </w:r>
      <w:r>
        <w:t xml:space="preserve"> </w:t>
      </w:r>
      <w:r>
        <w:t xml:space="preserve">2</w:t>
      </w:r>
      <w:r>
        <w:t xml:space="preserve"> </w:t>
      </w:r>
      <w:r>
        <w:t xml:space="preserve">TL_100_2040</w:t>
      </w:r>
      <w:r>
        <w:t xml:space="preserve"> </w:t>
      </w:r>
      <w:r>
        <w:t xml:space="preserve">3 488</w:t>
      </w:r>
      <w:r>
        <w:t xml:space="preserve"> </w:t>
      </w:r>
      <w:r>
        <w:t xml:space="preserve">2.7%</w:t>
      </w:r>
      <w:r>
        <w:t xml:space="preserve"> </w:t>
      </w:r>
      <w:r>
        <w:t xml:space="preserve">92</w:t>
      </w:r>
      <w:r>
        <w:t xml:space="preserve"> </w:t>
      </w:r>
      <w:r>
        <w:t xml:space="preserve">376</w:t>
      </w:r>
      <w:r>
        <w:t xml:space="preserve"> </w:t>
      </w:r>
      <w:r>
        <w:t xml:space="preserve">8</w:t>
      </w:r>
      <w:r>
        <w:t xml:space="preserve"> </w:t>
      </w:r>
      <w:r>
        <w:t xml:space="preserve">TL_90</w:t>
      </w:r>
      <w:r>
        <w:t xml:space="preserve"> </w:t>
      </w:r>
      <w:r>
        <w:t xml:space="preserve">3 563</w:t>
      </w:r>
      <w:r>
        <w:t xml:space="preserve"> </w:t>
      </w:r>
      <w:r>
        <w:t xml:space="preserve">4.9%</w:t>
      </w:r>
      <w:r>
        <w:t xml:space="preserve"> </w:t>
      </w:r>
      <w:r>
        <w:t xml:space="preserve">167</w:t>
      </w:r>
      <w:r>
        <w:t xml:space="preserve"> </w:t>
      </w:r>
      <w:r>
        <w:t xml:space="preserve">383</w:t>
      </w:r>
      <w:r>
        <w:t xml:space="preserve"> </w:t>
      </w:r>
      <w:r>
        <w:t xml:space="preserve">15</w:t>
      </w:r>
      <w:r>
        <w:t xml:space="preserve"> </w:t>
      </w:r>
      <w:r>
        <w:t xml:space="preserve">OVC-HEV</w:t>
      </w:r>
      <w:r>
        <w:t xml:space="preserve"> </w:t>
      </w:r>
      <w:r>
        <w:t xml:space="preserve">3 420</w:t>
      </w:r>
      <w:r>
        <w:t xml:space="preserve"> </w:t>
      </w:r>
      <w:r>
        <w:t xml:space="preserve">0.7%</w:t>
      </w:r>
      <w:r>
        <w:t xml:space="preserve"> </w:t>
      </w:r>
      <w:r>
        <w:t xml:space="preserve">23</w:t>
      </w:r>
      <w:r>
        <w:t xml:space="preserve"> </w:t>
      </w:r>
      <w:r>
        <w:t xml:space="preserve">370</w:t>
      </w:r>
      <w:r>
        <w:t xml:space="preserve"> </w:t>
      </w:r>
      <w:r>
        <w:t xml:space="preserve">2</w:t>
      </w:r>
      <w:r>
        <w:t xml:space="preserve"> </w:t>
      </w:r>
      <w:r>
        <w:t xml:space="preserve">OVC-HEV 20%</w:t>
      </w:r>
      <w:r>
        <w:t xml:space="preserve"> </w:t>
      </w:r>
      <w:r>
        <w:t xml:space="preserve">3 464</w:t>
      </w:r>
      <w:r>
        <w:t xml:space="preserve"> </w:t>
      </w:r>
      <w:r>
        <w:t xml:space="preserve">2.0%</w:t>
      </w:r>
      <w:r>
        <w:t xml:space="preserve"> </w:t>
      </w:r>
      <w:r>
        <w:t xml:space="preserve">67</w:t>
      </w:r>
      <w:r>
        <w:t xml:space="preserve"> </w:t>
      </w:r>
      <w:r>
        <w:t xml:space="preserve">374</w:t>
      </w:r>
      <w:r>
        <w:t xml:space="preserve"> </w:t>
      </w:r>
      <w:r>
        <w:t xml:space="preserve">6</w:t>
      </w:r>
      <w:r>
        <w:t xml:space="preserve"> </w:t>
      </w:r>
      <w:r>
        <w:t xml:space="preserve">CCM-RFNBO</w:t>
      </w:r>
      <w:r>
        <w:t xml:space="preserve"> </w:t>
      </w:r>
      <w:r>
        <w:t xml:space="preserve">3 458</w:t>
      </w:r>
      <w:r>
        <w:t xml:space="preserve"> </w:t>
      </w:r>
      <w:r>
        <w:t xml:space="preserve">1.8%</w:t>
      </w:r>
      <w:r>
        <w:t xml:space="preserve"> </w:t>
      </w:r>
      <w:r>
        <w:t xml:space="preserve">62</w:t>
      </w:r>
      <w:r>
        <w:t xml:space="preserve"> </w:t>
      </w:r>
      <w:r>
        <w:t xml:space="preserve">373</w:t>
      </w:r>
      <w:r>
        <w:t xml:space="preserve"> </w:t>
      </w:r>
      <w:r>
        <w:t xml:space="preserve">5</w:t>
      </w:r>
      <w:r>
        <w:t xml:space="preserve"> </w:t>
      </w:r>
      <w:r>
        <w:t xml:space="preserve">CCM-SRF</w:t>
      </w:r>
      <w:r>
        <w:t xml:space="preserve"> </w:t>
      </w:r>
      <w:r>
        <w:t xml:space="preserve">3 585</w:t>
      </w:r>
      <w:r>
        <w:t xml:space="preserve"> </w:t>
      </w:r>
      <w:r>
        <w:t xml:space="preserve">5.5%</w:t>
      </w:r>
      <w:r>
        <w:t xml:space="preserve"> </w:t>
      </w:r>
      <w:r>
        <w:t xml:space="preserve">188</w:t>
      </w:r>
      <w:r>
        <w:t xml:space="preserve"> </w:t>
      </w:r>
      <w:r>
        <w:t xml:space="preserve">384</w:t>
      </w:r>
      <w:r>
        <w:t xml:space="preserve"> </w:t>
      </w:r>
      <w:r>
        <w:t xml:space="preserve">17</w:t>
      </w:r>
      <w:r>
        <w:t xml:space="preserve"> </w:t>
      </w:r>
      <w:r>
        <w:t xml:space="preserve">VEEF-SRF</w:t>
      </w:r>
      <w:r>
        <w:t xml:space="preserve"> </w:t>
      </w:r>
      <w:r>
        <w:t xml:space="preserve">3 365</w:t>
      </w:r>
      <w:r>
        <w:t xml:space="preserve"> </w:t>
      </w:r>
      <w:r>
        <w:t xml:space="preserve">-0.9%</w:t>
      </w:r>
      <w:r>
        <w:t xml:space="preserve"> </w:t>
      </w:r>
      <w:r>
        <w:t xml:space="preserve">-32</w:t>
      </w:r>
      <w:r>
        <w:t xml:space="preserve"> </w:t>
      </w:r>
      <w:r>
        <w:t xml:space="preserve">365</w:t>
      </w:r>
      <w:r>
        <w:t xml:space="preserve"> </w:t>
      </w:r>
      <w:r>
        <w:t xml:space="preserve">-3</w:t>
      </w:r>
      <w:r>
        <w:t xml:space="preserve"> </w:t>
      </w:r>
      <w:r>
        <w:t xml:space="preserve">VEEF-RFNBO</w:t>
      </w:r>
      <w:r>
        <w:t xml:space="preserve"> </w:t>
      </w:r>
      <w:r>
        <w:t xml:space="preserve">3 377</w:t>
      </w:r>
      <w:r>
        <w:t xml:space="preserve"> </w:t>
      </w:r>
      <w:r>
        <w:t xml:space="preserve">-0.6%</w:t>
      </w:r>
      <w:r>
        <w:t xml:space="preserve"> </w:t>
      </w:r>
      <w:r>
        <w:t xml:space="preserve">-20</w:t>
      </w:r>
      <w:r>
        <w:t xml:space="preserve"> </w:t>
      </w:r>
      <w:r>
        <w:t xml:space="preserve">366</w:t>
      </w:r>
      <w:r>
        <w:t xml:space="preserve"> </w:t>
      </w:r>
      <w:r>
        <w:t xml:space="preserve">-2</w:t>
      </w:r>
      <w:r>
        <w:t xml:space="preserve"> </w:t>
      </w:r>
      <w:r>
        <w:t xml:space="preserve">VEEF-SRF-20%</w:t>
      </w:r>
      <w:r>
        <w:t xml:space="preserve"> </w:t>
      </w:r>
      <w:r>
        <w:t xml:space="preserve">3 360</w:t>
      </w:r>
      <w:r>
        <w:t xml:space="preserve"> </w:t>
      </w:r>
      <w:r>
        <w:t xml:space="preserve">-1.1%</w:t>
      </w:r>
      <w:r>
        <w:t xml:space="preserve"> </w:t>
      </w:r>
      <w:r>
        <w:t xml:space="preserve">-37</w:t>
      </w:r>
      <w:r>
        <w:t xml:space="preserve"> </w:t>
      </w:r>
      <w:r>
        <w:t xml:space="preserve">364</w:t>
      </w:r>
      <w:r>
        <w:t xml:space="preserve"> </w:t>
      </w:r>
      <w:r>
        <w:t xml:space="preserve">-4</w:t>
      </w:r>
      <w:r>
        <w:t xml:space="preserve"> </w:t>
      </w:r>
      <w:r>
        <w:t xml:space="preserve">VEEF-RFNBO-20%</w:t>
      </w:r>
      <w:r>
        <w:t xml:space="preserve"> </w:t>
      </w:r>
      <w:r>
        <w:t xml:space="preserve">3 366</w:t>
      </w:r>
      <w:r>
        <w:t xml:space="preserve"> </w:t>
      </w:r>
      <w:r>
        <w:t xml:space="preserve">-0.9%</w:t>
      </w:r>
      <w:r>
        <w:t xml:space="preserve"> </w:t>
      </w:r>
      <w:r>
        <w:t xml:space="preserve">-30</w:t>
      </w:r>
      <w:r>
        <w:t xml:space="preserve"> </w:t>
      </w:r>
      <w:r>
        <w:t xml:space="preserve">365</w:t>
      </w:r>
      <w:r>
        <w:t xml:space="preserve"> </w:t>
      </w:r>
      <w:r>
        <w:t xml:space="preserve">-3</w:t>
      </w:r>
      <w:r>
        <w:t xml:space="preserve"> </w:t>
      </w:r>
      <w:r>
        <w:t xml:space="preserve">Small ZEV</w:t>
      </w:r>
      <w:r>
        <w:t xml:space="preserve"> </w:t>
      </w:r>
      <w:r>
        <w:t xml:space="preserve">3 415</w:t>
      </w:r>
      <w:r>
        <w:t xml:space="preserve"> </w:t>
      </w:r>
      <w:r>
        <w:t xml:space="preserve">1%</w:t>
      </w:r>
      <w:r>
        <w:t xml:space="preserve"> </w:t>
      </w:r>
      <w:r>
        <w:t xml:space="preserve">19</w:t>
      </w:r>
      <w:r>
        <w:t xml:space="preserve"> </w:t>
      </w:r>
      <w:r>
        <w:t xml:space="preserve">370</w:t>
      </w:r>
      <w:r>
        <w:t xml:space="preserve"> </w:t>
      </w:r>
      <w:r>
        <w:t xml:space="preserve">2</w:t>
      </w:r>
      <w:r>
        <w:t xml:space="preserve"> </w:t>
      </w:r>
      <w:r>
        <w:t xml:space="preserve">COMBI_1</w:t>
      </w:r>
      <w:r>
        <w:t xml:space="preserve"> </w:t>
      </w:r>
      <w:r>
        <w:t xml:space="preserve">3 410</w:t>
      </w:r>
      <w:r>
        <w:t xml:space="preserve"> </w:t>
      </w:r>
      <w:r>
        <w:t xml:space="preserve">0.4%</w:t>
      </w:r>
      <w:r>
        <w:t xml:space="preserve"> </w:t>
      </w:r>
      <w:r>
        <w:t xml:space="preserve">13</w:t>
      </w:r>
      <w:r>
        <w:t xml:space="preserve"> </w:t>
      </w:r>
      <w:r>
        <w:t xml:space="preserve">369</w:t>
      </w:r>
      <w:r>
        <w:t xml:space="preserve"> </w:t>
      </w:r>
      <w:r>
        <w:t xml:space="preserve">1</w:t>
      </w:r>
      <w:r>
        <w:t xml:space="preserve"> </w:t>
      </w:r>
      <w:r>
        <w:t xml:space="preserve">COMBI_2</w:t>
      </w:r>
      <w:r>
        <w:t xml:space="preserve"> </w:t>
      </w:r>
      <w:r>
        <w:t xml:space="preserve">3 565</w:t>
      </w:r>
      <w:r>
        <w:t xml:space="preserve"> </w:t>
      </w:r>
      <w:r>
        <w:t xml:space="preserve">5.0%</w:t>
      </w:r>
      <w:r>
        <w:t xml:space="preserve"> </w:t>
      </w:r>
      <w:r>
        <w:t xml:space="preserve">168</w:t>
      </w:r>
      <w:r>
        <w:t xml:space="preserve"> </w:t>
      </w:r>
      <w:r>
        <w:t xml:space="preserve">383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The table below shows the external costs of air pollution (2030 to 2050), in million euros</w:t>
      </w:r>
      <w:r>
        <w:t xml:space="preserve"> </w:t>
      </w:r>
      <w:r>
        <w:t xml:space="preserve">(baseline) in selected year, their NPV (in billion euro) and as % difference compared to</w:t>
      </w:r>
      <w:r>
        <w:t xml:space="preserve"> </w:t>
      </w:r>
      <w:r>
        <w:t xml:space="preserve">the Baseline98.</w:t>
      </w:r>
    </w:p>
    <w:p>
      <w:pPr>
        <w:pStyle w:val="BodyText"/>
      </w:pPr>
      <w:r>
        <w:t xml:space="preserve">97 Monetised using the value presented in the 2019 Handbook on the external costs of transport</w:t>
      </w:r>
      <w:r>
        <w:t xml:space="preserve"> </w:t>
      </w:r>
      <w:r>
        <w:t xml:space="preserve">https://op.europa.eu/en/publication-detail/-/publication/9781f65f-8448-11ea-bf12-01aa75ed71a1</w:t>
      </w:r>
      <w:r>
        <w:t xml:space="preserve"> </w:t>
      </w:r>
      <w:r>
        <w:t xml:space="preserve">98 See footnote 97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LDVs Air Pollution External Costs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NPV (bn</w:t>
      </w:r>
      <w:r>
        <w:t xml:space="preserve"> </w:t>
      </w:r>
      <w:r>
        <w:t xml:space="preserve">EUR)</w:t>
      </w:r>
      <w:r>
        <w:t xml:space="preserve"> </w:t>
      </w:r>
      <w:r>
        <w:t xml:space="preserve">NPV - diff. vs</w:t>
      </w:r>
      <w:r>
        <w:t xml:space="preserve"> </w:t>
      </w:r>
      <w:r>
        <w:t xml:space="preserve">baseline (%)</w:t>
      </w:r>
      <w:r>
        <w:t xml:space="preserve"> </w:t>
      </w:r>
      <w:r>
        <w:t xml:space="preserve">Baseline</w:t>
      </w:r>
      <w:r>
        <w:t xml:space="preserve"> </w:t>
      </w:r>
      <w:r>
        <w:t xml:space="preserve">13 007</w:t>
      </w:r>
      <w:r>
        <w:br/>
      </w:r>
      <w:r>
        <w:t xml:space="preserve">4 137</w:t>
      </w:r>
      <w:r>
        <w:br/>
      </w:r>
      <w:r>
        <w:t xml:space="preserve">655</w:t>
      </w:r>
      <w:r>
        <w:br/>
      </w:r>
      <w:r>
        <w:t xml:space="preserve">93.7</w:t>
      </w:r>
    </w:p>
    <w:p>
      <w:pPr>
        <w:pStyle w:val="BodyText"/>
      </w:pPr>
      <w:r>
        <w:t xml:space="preserve">TL_Vans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94.2</w:t>
      </w:r>
      <w:r>
        <w:br/>
      </w:r>
      <w:r>
        <w:t xml:space="preserve">1%</w:t>
      </w:r>
      <w:r>
        <w:t xml:space="preserve"> </w:t>
      </w:r>
      <w:r>
        <w:t xml:space="preserve">TL_100_2040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95.4</w:t>
      </w:r>
      <w:r>
        <w:br/>
      </w:r>
      <w:r>
        <w:t xml:space="preserve">2%</w:t>
      </w:r>
      <w:r>
        <w:t xml:space="preserve"> </w:t>
      </w:r>
      <w:r>
        <w:t xml:space="preserve">TL_90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55%</w:t>
      </w:r>
      <w:r>
        <w:t xml:space="preserve"> </w:t>
      </w:r>
      <w:r>
        <w:t xml:space="preserve">97.3</w:t>
      </w:r>
      <w:r>
        <w:br/>
      </w:r>
      <w:r>
        <w:t xml:space="preserve">4%</w:t>
      </w:r>
      <w:r>
        <w:t xml:space="preserve"> </w:t>
      </w:r>
      <w:r>
        <w:t xml:space="preserve">OVC-HEV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94.2</w:t>
      </w:r>
      <w:r>
        <w:br/>
      </w:r>
      <w:r>
        <w:t xml:space="preserve">1%</w:t>
      </w:r>
      <w:r>
        <w:t xml:space="preserve"> </w:t>
      </w:r>
      <w:r>
        <w:t xml:space="preserve">OVC-HEV 20%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94.4</w:t>
      </w:r>
      <w:r>
        <w:br/>
      </w:r>
      <w:r>
        <w:t xml:space="preserve">1%</w:t>
      </w:r>
      <w:r>
        <w:t xml:space="preserve"> </w:t>
      </w:r>
      <w:r>
        <w:t xml:space="preserve">CCM-SRF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72%</w:t>
      </w:r>
      <w:r>
        <w:t xml:space="preserve"> </w:t>
      </w:r>
      <w:r>
        <w:t xml:space="preserve">97.8</w:t>
      </w:r>
      <w:r>
        <w:br/>
      </w:r>
      <w:r>
        <w:t xml:space="preserve">4%</w:t>
      </w:r>
      <w:r>
        <w:t xml:space="preserve"> </w:t>
      </w:r>
      <w:r>
        <w:t xml:space="preserve">CCM-RFNBO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36%</w:t>
      </w:r>
      <w:r>
        <w:t xml:space="preserve"> </w:t>
      </w:r>
      <w:r>
        <w:t xml:space="preserve">95.2</w:t>
      </w:r>
      <w:r>
        <w:br/>
      </w:r>
      <w:r>
        <w:t xml:space="preserve">2%</w:t>
      </w:r>
      <w:r>
        <w:t xml:space="preserve"> </w:t>
      </w:r>
      <w:r>
        <w:t xml:space="preserve">VEEF-SRF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12%</w:t>
      </w:r>
      <w:r>
        <w:t xml:space="preserve"> </w:t>
      </w:r>
      <w:r>
        <w:t xml:space="preserve">94.5</w:t>
      </w:r>
      <w:r>
        <w:br/>
      </w:r>
      <w:r>
        <w:t xml:space="preserve">1%</w:t>
      </w:r>
      <w:r>
        <w:t xml:space="preserve"> </w:t>
      </w:r>
      <w:r>
        <w:t xml:space="preserve">VEEF-RFNBO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94.4</w:t>
      </w:r>
      <w:r>
        <w:br/>
      </w:r>
      <w:r>
        <w:t xml:space="preserve">1%</w:t>
      </w:r>
      <w:r>
        <w:t xml:space="preserve"> </w:t>
      </w:r>
      <w:r>
        <w:t xml:space="preserve">VEEF-SRF-20%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169%</w:t>
      </w:r>
      <w:r>
        <w:t xml:space="preserve"> </w:t>
      </w:r>
      <w:r>
        <w:t xml:space="preserve">101.1</w:t>
      </w:r>
      <w:r>
        <w:br/>
      </w:r>
      <w:r>
        <w:t xml:space="preserve">8%</w:t>
      </w:r>
      <w:r>
        <w:t xml:space="preserve"> </w:t>
      </w:r>
      <w:r>
        <w:t xml:space="preserve">VEEF-RFNBO-20%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182%</w:t>
      </w:r>
      <w:r>
        <w:t xml:space="preserve"> </w:t>
      </w:r>
      <w:r>
        <w:t xml:space="preserve">101.9</w:t>
      </w:r>
      <w:r>
        <w:br/>
      </w:r>
      <w:r>
        <w:t xml:space="preserve">9%</w:t>
      </w:r>
      <w:r>
        <w:t xml:space="preserve"> </w:t>
      </w:r>
      <w:r>
        <w:t xml:space="preserve">Small ZEV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94.1</w:t>
      </w:r>
      <w:r>
        <w:br/>
      </w:r>
      <w:r>
        <w:t xml:space="preserve">0%</w:t>
      </w:r>
      <w:r>
        <w:t xml:space="preserve"> </w:t>
      </w:r>
      <w:r>
        <w:t xml:space="preserve">COMBI_1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14%</w:t>
      </w:r>
      <w:r>
        <w:t xml:space="preserve"> </w:t>
      </w:r>
      <w:r>
        <w:t xml:space="preserve">95.3</w:t>
      </w:r>
      <w:r>
        <w:br/>
      </w:r>
      <w:r>
        <w:t xml:space="preserve">2%</w:t>
      </w:r>
      <w:r>
        <w:t xml:space="preserve"> </w:t>
      </w:r>
      <w:r>
        <w:t xml:space="preserve">COMBI_2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97%</w:t>
      </w:r>
      <w:r>
        <w:t xml:space="preserve"> </w:t>
      </w:r>
      <w:r>
        <w:t xml:space="preserve">99.2</w:t>
      </w:r>
      <w:r>
        <w:br/>
      </w:r>
      <w:r>
        <w:t xml:space="preserve">6%</w:t>
      </w:r>
    </w:p>
    <w:p>
      <w:pPr>
        <w:pStyle w:val="BodyText"/>
      </w:pPr>
      <w:r>
        <w:t xml:space="preserve">4.4.</w:t>
      </w:r>
      <w:r>
        <w:t xml:space="preserve"> </w:t>
      </w:r>
      <w:r>
        <w:t xml:space="preserve">MACRO-ECONOMIC IMPACTS OF THE COMBINATIONS OF OPTIONS</w:t>
      </w:r>
      <w:r>
        <w:t xml:space="preserve"> </w:t>
      </w:r>
      <w:r>
        <w:t xml:space="preserve">This section evaluates the macroeconomic and sectoral implications of the two</w:t>
      </w:r>
      <w:r>
        <w:t xml:space="preserve"> </w:t>
      </w:r>
      <w:r>
        <w:t xml:space="preserve">combinations of options (COMBI_1 and COMBI2) that result in a shift from electric</w:t>
      </w:r>
      <w:r>
        <w:t xml:space="preserve"> </w:t>
      </w:r>
      <w:r>
        <w:t xml:space="preserve">mobility (EVs) to internal combustion engine (ICEV) vehicles mostly powered by</w:t>
      </w:r>
      <w:r>
        <w:t xml:space="preserve"> </w:t>
      </w:r>
      <w:r>
        <w:t xml:space="preserve">sustainable renewable fuels.</w:t>
      </w:r>
      <w:r>
        <w:t xml:space="preserve"> </w:t>
      </w:r>
      <w:r>
        <w:t xml:space="preserve">Key findings:</w:t>
      </w:r>
      <w:r>
        <w:t xml:space="preserve"> </w:t>
      </w:r>
      <w:r>
        <w:t xml:space="preserve">•</w:t>
      </w:r>
      <w:r>
        <w:t xml:space="preserve"> </w:t>
      </w:r>
      <w:r>
        <w:t xml:space="preserve">GDP declines modestly in both scenarios, mainly due to lower exports.</w:t>
      </w:r>
      <w:r>
        <w:t xml:space="preserve"> </w:t>
      </w:r>
      <w:r>
        <w:t xml:space="preserve">•</w:t>
      </w:r>
      <w:r>
        <w:t xml:space="preserve"> </w:t>
      </w:r>
      <w:r>
        <w:t xml:space="preserve">Investments increase, driven by capital-intensive sustainable renewable fuels</w:t>
      </w:r>
      <w:r>
        <w:t xml:space="preserve"> </w:t>
      </w:r>
      <w:r>
        <w:t xml:space="preserve">production.</w:t>
      </w:r>
      <w:r>
        <w:t xml:space="preserve"> </w:t>
      </w:r>
      <w:r>
        <w:t xml:space="preserve">•</w:t>
      </w:r>
      <w:r>
        <w:t xml:space="preserve"> </w:t>
      </w:r>
      <w:r>
        <w:t xml:space="preserve">Household expenditures on vehicles fall while expenditures on operation</w:t>
      </w:r>
      <w:r>
        <w:t xml:space="preserve"> </w:t>
      </w:r>
      <w:r>
        <w:t xml:space="preserve">increase.</w:t>
      </w:r>
      <w:r>
        <w:br/>
      </w:r>
      <w:r>
        <w:t xml:space="preserve">•</w:t>
      </w:r>
      <w:r>
        <w:t xml:space="preserve"> </w:t>
      </w:r>
      <w:r>
        <w:t xml:space="preserve">Exports of batteries and non-ferrous metals decline, while domestic ICEV</w:t>
      </w:r>
      <w:r>
        <w:t xml:space="preserve"> </w:t>
      </w:r>
      <w:r>
        <w:t xml:space="preserve">production offsets EV losses.</w:t>
      </w:r>
      <w:r>
        <w:t xml:space="preserve"> </w:t>
      </w:r>
      <w:r>
        <w:t xml:space="preserve">•</w:t>
      </w:r>
      <w:r>
        <w:t xml:space="preserve"> </w:t>
      </w:r>
      <w:r>
        <w:t xml:space="preserve">Sustainable renewable fuels emerge as the strongest growth sector, while power</w:t>
      </w:r>
      <w:r>
        <w:t xml:space="preserve"> </w:t>
      </w:r>
      <w:r>
        <w:t xml:space="preserve">supply and battery production contract.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At the household level, the reduction in activity leads to a reduction in the number of new</w:t>
      </w:r>
      <w:r>
        <w:t xml:space="preserve"> </w:t>
      </w:r>
      <w:r>
        <w:t xml:space="preserve">vehicles which drives a decline in expenditures on vehicle purchases. On the other hand,</w:t>
      </w:r>
      <w:r>
        <w:t xml:space="preserve"> </w:t>
      </w:r>
      <w:r>
        <w:t xml:space="preserve">operating costs increase, reflecting higher expenses associated with running ICEV vehicles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on sustainable renewable fuels (SRF) compared to electricity. In the land transport sector99,</w:t>
      </w:r>
      <w:r>
        <w:t xml:space="preserve"> </w:t>
      </w:r>
      <w:r>
        <w:t xml:space="preserve">however, the cost of purchasing vehicles rises, though the increase is smaller than the</w:t>
      </w:r>
      <w:r>
        <w:t xml:space="preserve"> </w:t>
      </w:r>
      <w:r>
        <w:t xml:space="preserve">savings observed at the household level.</w:t>
      </w:r>
      <w:r>
        <w:br/>
      </w:r>
      <w:r>
        <w:t xml:space="preserve">Overall, the direct impacts can be positive. Substituting EVs with ICEVs increases the use</w:t>
      </w:r>
      <w:r>
        <w:t xml:space="preserve"> </w:t>
      </w:r>
      <w:r>
        <w:t xml:space="preserve">of domestically produced vehicles and other inputs, while the switch to SRF reduces</w:t>
      </w:r>
      <w:r>
        <w:t xml:space="preserve"> </w:t>
      </w:r>
      <w:r>
        <w:t xml:space="preserve">reliance on technology imports. At the same time, SRF value generation outweighs the</w:t>
      </w:r>
      <w:r>
        <w:t xml:space="preserve"> </w:t>
      </w:r>
      <w:r>
        <w:t xml:space="preserve">losses from lower electricity demand.</w:t>
      </w:r>
      <w:r>
        <w:br/>
      </w:r>
      <w:r>
        <w:t xml:space="preserve">Macro-economic Impacts</w:t>
      </w:r>
      <w:r>
        <w:t xml:space="preserve"> </w:t>
      </w:r>
      <w:r>
        <w:t xml:space="preserve">Despite these positive direct effects, GDP falls marginally under both policy scenarios.</w:t>
      </w:r>
      <w:r>
        <w:t xml:space="preserve"> </w:t>
      </w:r>
      <w:r>
        <w:t xml:space="preserve">The primary driver is a reduction in exports, as higher production costs reduce</w:t>
      </w:r>
      <w:r>
        <w:t xml:space="preserve"> </w:t>
      </w:r>
      <w:r>
        <w:t xml:space="preserve">competitiveness in international markets.</w:t>
      </w:r>
      <w:r>
        <w:t xml:space="preserve"> </w:t>
      </w:r>
      <w:r>
        <w:t xml:space="preserve">Labour costs are a key driver of rising production costs. As the consumer price index</w:t>
      </w:r>
      <w:r>
        <w:t xml:space="preserve"> </w:t>
      </w:r>
      <w:r>
        <w:t xml:space="preserve">increases—primarily due to higher vehicle operating costs—nominal wages rise, feeding</w:t>
      </w:r>
      <w:r>
        <w:t xml:space="preserve"> </w:t>
      </w:r>
      <w:r>
        <w:t xml:space="preserve">into higher unit costs across the economy.</w:t>
      </w:r>
      <w:r>
        <w:t xml:space="preserve"> </w:t>
      </w:r>
      <w:r>
        <w:t xml:space="preserve">Capital costs also rise, as the demand for SRF production capacity is capital intensive and</w:t>
      </w:r>
      <w:r>
        <w:t xml:space="preserve"> </w:t>
      </w:r>
      <w:r>
        <w:t xml:space="preserve">outpaces the available supply of capital. The model assumes no idle capital, so even as</w:t>
      </w:r>
      <w:r>
        <w:t xml:space="preserve"> </w:t>
      </w:r>
      <w:r>
        <w:t xml:space="preserve">other sectors release resources, the surge in demand for SRF pushes up the cost of capital.</w:t>
      </w:r>
      <w:r>
        <w:t xml:space="preserve"> </w:t>
      </w:r>
      <w:r>
        <w:t xml:space="preserve">This dynamic increases investment but also places stress on the capital market. Over time,</w:t>
      </w:r>
      <w:r>
        <w:t xml:space="preserve"> </w:t>
      </w:r>
      <w:r>
        <w:t xml:space="preserve">however, the larger capital stock can provide minor long-term benefits.</w:t>
      </w:r>
      <w:r>
        <w:t xml:space="preserve"> </w:t>
      </w:r>
      <w:r>
        <w:t xml:space="preserve">To serve the higher demand for capital, investment increases in both policy scenarios. This</w:t>
      </w:r>
      <w:r>
        <w:t xml:space="preserve"> </w:t>
      </w:r>
      <w:r>
        <w:t xml:space="preserve">is due to the capital-intensive nature of SRF production, which requires significant upfront</w:t>
      </w:r>
      <w:r>
        <w:t xml:space="preserve"> </w:t>
      </w:r>
      <w:r>
        <w:t xml:space="preserve">spending. Renewable power supply is also capital-intensive, but the demand for SRF</w:t>
      </w:r>
      <w:r>
        <w:t xml:space="preserve"> </w:t>
      </w:r>
      <w:r>
        <w:t xml:space="preserve">outweighs the declining demand for electricity.</w:t>
      </w:r>
    </w:p>
    <w:p>
      <w:pPr>
        <w:pStyle w:val="BodyText"/>
      </w:pPr>
      <w:r>
        <w:t xml:space="preserve">% change from baseline</w:t>
      </w:r>
      <w:r>
        <w:br/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Macro-economic Aggregates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COMBI_1 COMBI_2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-0.02%</w:t>
      </w:r>
      <w:r>
        <w:t xml:space="preserve"> </w:t>
      </w:r>
      <w:r>
        <w:t xml:space="preserve">-0.04%</w:t>
      </w:r>
      <w:r>
        <w:t xml:space="preserve"> </w:t>
      </w:r>
      <w:r>
        <w:t xml:space="preserve">-0.04%</w:t>
      </w:r>
      <w:r>
        <w:t xml:space="preserve"> </w:t>
      </w:r>
      <w:r>
        <w:t xml:space="preserve">-0.12%</w:t>
      </w:r>
      <w:r>
        <w:t xml:space="preserve"> </w:t>
      </w:r>
      <w:r>
        <w:t xml:space="preserve">Investment</w:t>
      </w:r>
      <w:r>
        <w:t xml:space="preserve"> </w:t>
      </w:r>
      <w:r>
        <w:t xml:space="preserve">0.02%</w:t>
      </w:r>
      <w:r>
        <w:t xml:space="preserve"> </w:t>
      </w:r>
      <w:r>
        <w:t xml:space="preserve">0.05%</w:t>
      </w:r>
      <w:r>
        <w:t xml:space="preserve"> </w:t>
      </w:r>
      <w:r>
        <w:t xml:space="preserve">0.02%</w:t>
      </w:r>
      <w:r>
        <w:t xml:space="preserve"> </w:t>
      </w:r>
      <w:r>
        <w:t xml:space="preserve">0.12%</w:t>
      </w:r>
      <w:r>
        <w:t xml:space="preserve"> </w:t>
      </w:r>
      <w:r>
        <w:t xml:space="preserve">Public Consumption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0.00%</w:t>
      </w:r>
      <w:r>
        <w:t xml:space="preserve"> </w:t>
      </w:r>
      <w:r>
        <w:t xml:space="preserve">-0.04%</w:t>
      </w:r>
      <w:r>
        <w:t xml:space="preserve"> </w:t>
      </w:r>
      <w:r>
        <w:t xml:space="preserve">-0.01%</w:t>
      </w:r>
      <w:r>
        <w:t xml:space="preserve"> </w:t>
      </w:r>
      <w:r>
        <w:t xml:space="preserve">-0.04%</w:t>
      </w:r>
      <w:r>
        <w:t xml:space="preserve"> </w:t>
      </w:r>
      <w:r>
        <w:t xml:space="preserve">Exports</w:t>
      </w:r>
      <w:r>
        <w:t xml:space="preserve"> </w:t>
      </w:r>
      <w:r>
        <w:t xml:space="preserve">-0.24%</w:t>
      </w:r>
      <w:r>
        <w:t xml:space="preserve"> </w:t>
      </w:r>
      <w:r>
        <w:t xml:space="preserve">-0.46%</w:t>
      </w:r>
      <w:r>
        <w:t xml:space="preserve"> </w:t>
      </w:r>
      <w:r>
        <w:t xml:space="preserve">-0.27%</w:t>
      </w:r>
      <w:r>
        <w:t xml:space="preserve"> </w:t>
      </w:r>
      <w:r>
        <w:t xml:space="preserve">-0.76%</w:t>
      </w:r>
      <w:r>
        <w:t xml:space="preserve"> </w:t>
      </w:r>
      <w:r>
        <w:t xml:space="preserve">Imports</w:t>
      </w:r>
      <w:r>
        <w:t xml:space="preserve"> </w:t>
      </w:r>
      <w:r>
        <w:t xml:space="preserve">-0.16%</w:t>
      </w:r>
      <w:r>
        <w:t xml:space="preserve"> </w:t>
      </w:r>
      <w:r>
        <w:t xml:space="preserve">-0.38%</w:t>
      </w:r>
      <w:r>
        <w:t xml:space="preserve"> </w:t>
      </w:r>
      <w:r>
        <w:t xml:space="preserve">-0.11%</w:t>
      </w:r>
      <w:r>
        <w:t xml:space="preserve"> </w:t>
      </w:r>
      <w:r>
        <w:t xml:space="preserve">-0.20%</w:t>
      </w:r>
    </w:p>
    <w:p>
      <w:pPr>
        <w:pStyle w:val="BodyText"/>
      </w:pPr>
      <w:r>
        <w:t xml:space="preserve">Trade and Competitiveness</w:t>
      </w:r>
    </w:p>
    <w:p>
      <w:pPr>
        <w:pStyle w:val="BodyText"/>
      </w:pPr>
      <w:r>
        <w:t xml:space="preserve">99 Land transport includes road transport other than private passenger transport, including rail transport,</w:t>
      </w:r>
      <w:r>
        <w:t xml:space="preserve"> </w:t>
      </w:r>
      <w:r>
        <w:t xml:space="preserve">pipelines, and other related auxiliary transport services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Exports decline most sharply in batteries and non-ferrous metals. Battery exports fall</w:t>
      </w:r>
      <w:r>
        <w:t xml:space="preserve"> </w:t>
      </w:r>
      <w:r>
        <w:t xml:space="preserve">because global prices rise as learning-by-doing effects weaken with the reduced EU</w:t>
      </w:r>
      <w:r>
        <w:t xml:space="preserve"> </w:t>
      </w:r>
      <w:r>
        <w:t xml:space="preserve">demand, while non-ferrous metals suffer from reduced demand as battery production</w:t>
      </w:r>
      <w:r>
        <w:t xml:space="preserve"> </w:t>
      </w:r>
      <w:r>
        <w:t xml:space="preserve">slows.</w:t>
      </w:r>
      <w:r>
        <w:t xml:space="preserve"> </w:t>
      </w:r>
      <w:r>
        <w:t xml:space="preserve">In absolute terms, the largest export losses occur in high-exporting sectors such as other</w:t>
      </w:r>
      <w:r>
        <w:t xml:space="preserve"> </w:t>
      </w:r>
      <w:r>
        <w:t xml:space="preserve">equipment goods, market service, computer and electronic products, and transport</w:t>
      </w:r>
      <w:r>
        <w:t xml:space="preserve"> </w:t>
      </w:r>
      <w:r>
        <w:t xml:space="preserve">equipment. These declines are driven by higher unit costs of production, which stem from</w:t>
      </w:r>
      <w:r>
        <w:t xml:space="preserve"> </w:t>
      </w:r>
      <w:r>
        <w:t xml:space="preserve">rising labour and capital costs, as well as higher costs in land transport.</w:t>
      </w:r>
      <w:r>
        <w:t xml:space="preserve"> </w:t>
      </w:r>
      <w:r>
        <w:t xml:space="preserve">Imports also fall, reflecting lower overall demand and the substitution of imported EVs</w:t>
      </w:r>
      <w:r>
        <w:t xml:space="preserve"> </w:t>
      </w:r>
      <w:r>
        <w:t xml:space="preserve">and batteries with domestically produced ICEVs.</w:t>
      </w:r>
    </w:p>
    <w:p>
      <w:pPr>
        <w:pStyle w:val="BodyText"/>
      </w:pPr>
      <w:r>
        <w:t xml:space="preserve">% change from baseline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Exports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Agriculture</w:t>
      </w:r>
      <w:r>
        <w:t xml:space="preserve"> </w:t>
      </w:r>
      <w:r>
        <w:t xml:space="preserve">-0.24%</w:t>
      </w:r>
      <w:r>
        <w:t xml:space="preserve"> </w:t>
      </w:r>
      <w:r>
        <w:t xml:space="preserve">-0.45%</w:t>
      </w:r>
      <w:r>
        <w:t xml:space="preserve"> </w:t>
      </w:r>
      <w:r>
        <w:t xml:space="preserve">-0.31%</w:t>
      </w:r>
      <w:r>
        <w:t xml:space="preserve"> </w:t>
      </w:r>
      <w:r>
        <w:t xml:space="preserve">-0.87%</w:t>
      </w:r>
      <w:r>
        <w:t xml:space="preserve"> </w:t>
      </w:r>
      <w:r>
        <w:t xml:space="preserve">Oil</w:t>
      </w:r>
      <w:r>
        <w:t xml:space="preserve"> </w:t>
      </w:r>
      <w:r>
        <w:t xml:space="preserve">-0.01%</w:t>
      </w:r>
      <w:r>
        <w:t xml:space="preserve"> </w:t>
      </w:r>
      <w:r>
        <w:t xml:space="preserve">-0.17%</w:t>
      </w:r>
      <w:r>
        <w:t xml:space="preserve"> </w:t>
      </w:r>
      <w:r>
        <w:t xml:space="preserve">-0.02%</w:t>
      </w:r>
      <w:r>
        <w:t xml:space="preserve"> </w:t>
      </w:r>
      <w:r>
        <w:t xml:space="preserve">0.03%</w:t>
      </w:r>
      <w:r>
        <w:t xml:space="preserve"> </w:t>
      </w:r>
      <w:r>
        <w:t xml:space="preserve">Power Supply</w:t>
      </w:r>
      <w:r>
        <w:t xml:space="preserve"> </w:t>
      </w:r>
      <w:r>
        <w:t xml:space="preserve">-0.19%</w:t>
      </w:r>
      <w:r>
        <w:t xml:space="preserve"> </w:t>
      </w:r>
      <w:r>
        <w:t xml:space="preserve">-0.37%</w:t>
      </w:r>
      <w:r>
        <w:t xml:space="preserve"> </w:t>
      </w:r>
      <w:r>
        <w:t xml:space="preserve">-0.17%</w:t>
      </w:r>
      <w:r>
        <w:t xml:space="preserve"> </w:t>
      </w:r>
      <w:r>
        <w:t xml:space="preserve">-0.45%</w:t>
      </w:r>
      <w:r>
        <w:t xml:space="preserve"> </w:t>
      </w:r>
      <w:r>
        <w:t xml:space="preserve">SRF</w:t>
      </w:r>
      <w:r>
        <w:t xml:space="preserve"> </w:t>
      </w:r>
      <w:r>
        <w:t xml:space="preserve">-0.11%</w:t>
      </w:r>
      <w:r>
        <w:t xml:space="preserve"> </w:t>
      </w:r>
      <w:r>
        <w:t xml:space="preserve">-0.21%</w:t>
      </w:r>
      <w:r>
        <w:t xml:space="preserve"> </w:t>
      </w:r>
      <w:r>
        <w:t xml:space="preserve">-0.14%</w:t>
      </w:r>
      <w:r>
        <w:t xml:space="preserve"> </w:t>
      </w:r>
      <w:r>
        <w:t xml:space="preserve">-0.38%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-0.39%</w:t>
      </w:r>
      <w:r>
        <w:t xml:space="preserve"> </w:t>
      </w:r>
      <w:r>
        <w:t xml:space="preserve">-0.74%</w:t>
      </w:r>
      <w:r>
        <w:t xml:space="preserve"> </w:t>
      </w:r>
      <w:r>
        <w:t xml:space="preserve">-0.47%</w:t>
      </w:r>
      <w:r>
        <w:t xml:space="preserve"> </w:t>
      </w:r>
      <w:r>
        <w:t xml:space="preserve">-1.31%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-0.76%</w:t>
      </w:r>
      <w:r>
        <w:t xml:space="preserve"> </w:t>
      </w:r>
      <w:r>
        <w:t xml:space="preserve">-1.59%</w:t>
      </w:r>
      <w:r>
        <w:t xml:space="preserve"> </w:t>
      </w:r>
      <w:r>
        <w:t xml:space="preserve">-0.78%</w:t>
      </w:r>
      <w:r>
        <w:t xml:space="preserve"> </w:t>
      </w:r>
      <w:r>
        <w:t xml:space="preserve">-2.07%</w:t>
      </w:r>
      <w:r>
        <w:t xml:space="preserve"> </w:t>
      </w:r>
      <w:r>
        <w:t xml:space="preserve">Transport equipment (excluding EV)100</w:t>
      </w:r>
      <w:r>
        <w:t xml:space="preserve"> </w:t>
      </w:r>
      <w:r>
        <w:t xml:space="preserve">-0.27%</w:t>
      </w:r>
      <w:r>
        <w:t xml:space="preserve"> </w:t>
      </w:r>
      <w:r>
        <w:t xml:space="preserve">-0.51%</w:t>
      </w:r>
      <w:r>
        <w:t xml:space="preserve"> </w:t>
      </w:r>
      <w:r>
        <w:t xml:space="preserve">-0.31%</w:t>
      </w:r>
      <w:r>
        <w:t xml:space="preserve"> </w:t>
      </w:r>
      <w:r>
        <w:t xml:space="preserve">-0.90%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-0.33%</w:t>
      </w:r>
      <w:r>
        <w:t xml:space="preserve"> </w:t>
      </w:r>
      <w:r>
        <w:t xml:space="preserve">-0.64%</w:t>
      </w:r>
      <w:r>
        <w:t xml:space="preserve"> </w:t>
      </w:r>
      <w:r>
        <w:t xml:space="preserve">-0.38%</w:t>
      </w:r>
      <w:r>
        <w:t xml:space="preserve"> </w:t>
      </w:r>
      <w:r>
        <w:t xml:space="preserve">-1.07%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-0.29%</w:t>
      </w:r>
      <w:r>
        <w:t xml:space="preserve"> </w:t>
      </w:r>
      <w:r>
        <w:t xml:space="preserve">-0.54%</w:t>
      </w:r>
      <w:r>
        <w:t xml:space="preserve"> </w:t>
      </w:r>
      <w:r>
        <w:t xml:space="preserve">-0.32%</w:t>
      </w:r>
      <w:r>
        <w:t xml:space="preserve"> </w:t>
      </w:r>
      <w:r>
        <w:t xml:space="preserve">-0.89%</w:t>
      </w:r>
      <w:r>
        <w:t xml:space="preserve"> </w:t>
      </w:r>
      <w:r>
        <w:t xml:space="preserve">Construction</w:t>
      </w:r>
      <w:r>
        <w:t xml:space="preserve"> </w:t>
      </w:r>
      <w:r>
        <w:t xml:space="preserve">-0.27%</w:t>
      </w:r>
      <w:r>
        <w:t xml:space="preserve"> </w:t>
      </w:r>
      <w:r>
        <w:t xml:space="preserve">-0.51%</w:t>
      </w:r>
      <w:r>
        <w:t xml:space="preserve"> </w:t>
      </w:r>
      <w:r>
        <w:t xml:space="preserve">-0.33%</w:t>
      </w:r>
      <w:r>
        <w:t xml:space="preserve"> </w:t>
      </w:r>
      <w:r>
        <w:t xml:space="preserve">-0.97%</w:t>
      </w:r>
      <w:r>
        <w:t xml:space="preserve"> </w:t>
      </w:r>
      <w:r>
        <w:t xml:space="preserve">Batteries</w:t>
      </w:r>
      <w:r>
        <w:t xml:space="preserve"> </w:t>
      </w:r>
      <w:r>
        <w:t xml:space="preserve">-1.43%</w:t>
      </w:r>
      <w:r>
        <w:t xml:space="preserve"> </w:t>
      </w:r>
      <w:r>
        <w:t xml:space="preserve">-3.09%</w:t>
      </w:r>
      <w:r>
        <w:t xml:space="preserve"> </w:t>
      </w:r>
      <w:r>
        <w:t xml:space="preserve">-1.29%</w:t>
      </w:r>
      <w:r>
        <w:t xml:space="preserve"> </w:t>
      </w:r>
      <w:r>
        <w:t xml:space="preserve">-3.35%</w:t>
      </w:r>
      <w:r>
        <w:t xml:space="preserve"> </w:t>
      </w:r>
      <w:r>
        <w:t xml:space="preserve">EV Transport Equipment101</w:t>
      </w:r>
      <w:r>
        <w:t xml:space="preserve"> </w:t>
      </w:r>
      <w:r>
        <w:t xml:space="preserve">-0.22%</w:t>
      </w:r>
      <w:r>
        <w:t xml:space="preserve"> </w:t>
      </w:r>
      <w:r>
        <w:t xml:space="preserve">-0.45%</w:t>
      </w:r>
      <w:r>
        <w:t xml:space="preserve"> </w:t>
      </w:r>
      <w:r>
        <w:t xml:space="preserve">-0.27%</w:t>
      </w:r>
      <w:r>
        <w:t xml:space="preserve"> </w:t>
      </w:r>
      <w:r>
        <w:t xml:space="preserve">-0.74%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0.04%</w:t>
      </w:r>
      <w:r>
        <w:t xml:space="preserve"> </w:t>
      </w:r>
      <w:r>
        <w:t xml:space="preserve">0.11%</w:t>
      </w:r>
      <w:r>
        <w:t xml:space="preserve"> </w:t>
      </w:r>
      <w:r>
        <w:t xml:space="preserve">0.01%</w:t>
      </w:r>
      <w:r>
        <w:t xml:space="preserve"> </w:t>
      </w:r>
      <w:r>
        <w:t xml:space="preserve">-0.04%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-0.20%</w:t>
      </w:r>
      <w:r>
        <w:t xml:space="preserve"> </w:t>
      </w:r>
      <w:r>
        <w:t xml:space="preserve">-0.37%</w:t>
      </w:r>
      <w:r>
        <w:t xml:space="preserve"> </w:t>
      </w:r>
      <w:r>
        <w:t xml:space="preserve">-0.22%</w:t>
      </w:r>
      <w:r>
        <w:t xml:space="preserve"> </w:t>
      </w:r>
      <w:r>
        <w:t xml:space="preserve">-0.62%</w:t>
      </w:r>
      <w:r>
        <w:t xml:space="preserve"> </w:t>
      </w:r>
      <w:r>
        <w:t xml:space="preserve">Non Market Services</w:t>
      </w:r>
      <w:r>
        <w:t xml:space="preserve"> </w:t>
      </w:r>
      <w:r>
        <w:t xml:space="preserve">-0.22%</w:t>
      </w:r>
      <w:r>
        <w:t xml:space="preserve"> </w:t>
      </w:r>
      <w:r>
        <w:t xml:space="preserve">-0.43%</w:t>
      </w:r>
      <w:r>
        <w:t xml:space="preserve"> </w:t>
      </w:r>
      <w:r>
        <w:t xml:space="preserve">-0.27%</w:t>
      </w:r>
      <w:r>
        <w:t xml:space="preserve"> </w:t>
      </w:r>
      <w:r>
        <w:t xml:space="preserve">-0.77%</w:t>
      </w:r>
      <w:r>
        <w:t xml:space="preserve"> </w:t>
      </w:r>
      <w:r>
        <w:t xml:space="preserve">Employment Impacts</w:t>
      </w:r>
      <w:r>
        <w:t xml:space="preserve"> </w:t>
      </w:r>
      <w:r>
        <w:t xml:space="preserve">Total employment has marginal impacts, with minor increases in the short-term and small</w:t>
      </w:r>
      <w:r>
        <w:t xml:space="preserve"> </w:t>
      </w:r>
      <w:r>
        <w:t xml:space="preserve">reductions in the longer-term relative to the reference scenario. Sectoral employment</w:t>
      </w:r>
      <w:r>
        <w:t xml:space="preserve"> </w:t>
      </w:r>
      <w:r>
        <w:t xml:space="preserve">generally follows the trends in domestic production. Employment in the overall transport</w:t>
      </w:r>
      <w:r>
        <w:t xml:space="preserve"> </w:t>
      </w:r>
      <w:r>
        <w:t xml:space="preserve">equipment sector records a net positive effect due to the higher domestic content of ICEV</w:t>
      </w:r>
    </w:p>
    <w:p>
      <w:pPr>
        <w:pStyle w:val="BodyText"/>
      </w:pPr>
      <w:r>
        <w:t xml:space="preserve">100 ICE vehicle vale chain including suppliers</w:t>
      </w:r>
      <w:r>
        <w:t xml:space="preserve"> </w:t>
      </w:r>
      <w:r>
        <w:t xml:space="preserve">101 EV vehicle value chain including suppliers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transport equipment, while SRF also experience employment gains driven by their</w:t>
      </w:r>
      <w:r>
        <w:t xml:space="preserve"> </w:t>
      </w:r>
      <w:r>
        <w:t xml:space="preserve">increased adoption. The sharpest employment declines are observed in EV equipment,</w:t>
      </w:r>
      <w:r>
        <w:t xml:space="preserve"> </w:t>
      </w:r>
      <w:r>
        <w:t xml:space="preserve">reflecting the substitution towards ICEV vehicles, as well as in batteries and non-ferrous</w:t>
      </w:r>
      <w:r>
        <w:t xml:space="preserve"> </w:t>
      </w:r>
      <w:r>
        <w:t xml:space="preserve">metals, due to reduced demand from the EV transport equipment sector.</w:t>
      </w:r>
    </w:p>
    <w:p>
      <w:pPr>
        <w:pStyle w:val="BodyText"/>
      </w:pPr>
      <w:r>
        <w:t xml:space="preserve">% change from baseline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Sectoral employment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Agriculture</w:t>
      </w:r>
      <w:r>
        <w:t xml:space="preserve"> </w:t>
      </w:r>
      <w:r>
        <w:t xml:space="preserve">-0.03%</w:t>
      </w:r>
      <w:r>
        <w:t xml:space="preserve"> </w:t>
      </w:r>
      <w:r>
        <w:t xml:space="preserve">-0.04%</w:t>
      </w:r>
      <w:r>
        <w:t xml:space="preserve"> </w:t>
      </w:r>
      <w:r>
        <w:t xml:space="preserve">-0.04%</w:t>
      </w:r>
      <w:r>
        <w:t xml:space="preserve"> </w:t>
      </w:r>
      <w:r>
        <w:t xml:space="preserve">-0.02%</w:t>
      </w:r>
      <w:r>
        <w:t xml:space="preserve"> </w:t>
      </w:r>
      <w:r>
        <w:t xml:space="preserve">Oil</w:t>
      </w:r>
      <w:r>
        <w:t xml:space="preserve"> </w:t>
      </w:r>
      <w:r>
        <w:t xml:space="preserve">-0.02%</w:t>
      </w:r>
      <w:r>
        <w:t xml:space="preserve"> </w:t>
      </w:r>
      <w:r>
        <w:t xml:space="preserve">1.18%</w:t>
      </w:r>
      <w:r>
        <w:t xml:space="preserve"> </w:t>
      </w:r>
      <w:r>
        <w:t xml:space="preserve">0.07%</w:t>
      </w:r>
      <w:r>
        <w:t xml:space="preserve"> </w:t>
      </w:r>
      <w:r>
        <w:t xml:space="preserve">1.01%</w:t>
      </w:r>
      <w:r>
        <w:t xml:space="preserve"> </w:t>
      </w:r>
      <w:r>
        <w:t xml:space="preserve">Power Supply</w:t>
      </w:r>
      <w:r>
        <w:t xml:space="preserve"> </w:t>
      </w:r>
      <w:r>
        <w:t xml:space="preserve">-0.40%</w:t>
      </w:r>
      <w:r>
        <w:t xml:space="preserve"> </w:t>
      </w:r>
      <w:r>
        <w:t xml:space="preserve">-1.27%</w:t>
      </w:r>
      <w:r>
        <w:t xml:space="preserve"> </w:t>
      </w:r>
      <w:r>
        <w:t xml:space="preserve">-0.45%</w:t>
      </w:r>
      <w:r>
        <w:t xml:space="preserve"> </w:t>
      </w:r>
      <w:r>
        <w:t xml:space="preserve">-2.82%</w:t>
      </w:r>
      <w:r>
        <w:t xml:space="preserve"> </w:t>
      </w:r>
      <w:r>
        <w:t xml:space="preserve">Sustainable renewable fuels</w:t>
      </w:r>
      <w:r>
        <w:t xml:space="preserve"> </w:t>
      </w:r>
      <w:r>
        <w:t xml:space="preserve">5.08%</w:t>
      </w:r>
      <w:r>
        <w:t xml:space="preserve"> </w:t>
      </w:r>
      <w:r>
        <w:t xml:space="preserve">9.79%</w:t>
      </w:r>
      <w:r>
        <w:t xml:space="preserve"> </w:t>
      </w:r>
      <w:r>
        <w:t xml:space="preserve">7.67%</w:t>
      </w:r>
      <w:r>
        <w:t xml:space="preserve"> </w:t>
      </w:r>
      <w:r>
        <w:t xml:space="preserve">28.99%</w:t>
      </w:r>
      <w:r>
        <w:t xml:space="preserve"> </w:t>
      </w:r>
      <w:r>
        <w:t xml:space="preserve">Hydrogen</w:t>
      </w:r>
      <w:r>
        <w:t xml:space="preserve"> </w:t>
      </w:r>
      <w:r>
        <w:t xml:space="preserve">-0.52%</w:t>
      </w:r>
      <w:r>
        <w:t xml:space="preserve"> </w:t>
      </w:r>
      <w:r>
        <w:t xml:space="preserve">-1.13%</w:t>
      </w:r>
      <w:r>
        <w:t xml:space="preserve"> </w:t>
      </w:r>
      <w:r>
        <w:t xml:space="preserve">-0.32%</w:t>
      </w:r>
      <w:r>
        <w:t xml:space="preserve"> </w:t>
      </w:r>
      <w:r>
        <w:t xml:space="preserve">-1.53%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-0.06%</w:t>
      </w:r>
      <w:r>
        <w:t xml:space="preserve"> </w:t>
      </w:r>
      <w:r>
        <w:t xml:space="preserve">-0.05%</w:t>
      </w:r>
      <w:r>
        <w:t xml:space="preserve"> </w:t>
      </w:r>
      <w:r>
        <w:t xml:space="preserve">-0.20%</w:t>
      </w:r>
      <w:r>
        <w:t xml:space="preserve"> </w:t>
      </w:r>
      <w:r>
        <w:t xml:space="preserve">-0.69%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-1.73%</w:t>
      </w:r>
      <w:r>
        <w:t xml:space="preserve"> </w:t>
      </w:r>
      <w:r>
        <w:t xml:space="preserve">-3.99%</w:t>
      </w:r>
      <w:r>
        <w:t xml:space="preserve"> </w:t>
      </w:r>
      <w:r>
        <w:t xml:space="preserve">-1.76%</w:t>
      </w:r>
      <w:r>
        <w:t xml:space="preserve"> </w:t>
      </w:r>
      <w:r>
        <w:t xml:space="preserve">-4.97%</w:t>
      </w:r>
      <w:r>
        <w:t xml:space="preserve"> </w:t>
      </w:r>
      <w:r>
        <w:t xml:space="preserve">Transport equipment (excluding EV)</w:t>
      </w:r>
      <w:r>
        <w:t xml:space="preserve"> </w:t>
      </w:r>
      <w:r>
        <w:t xml:space="preserve">1.95%</w:t>
      </w:r>
      <w:r>
        <w:t xml:space="preserve"> </w:t>
      </w:r>
      <w:r>
        <w:t xml:space="preserve">4.56%</w:t>
      </w:r>
      <w:r>
        <w:t xml:space="preserve"> </w:t>
      </w:r>
      <w:r>
        <w:t xml:space="preserve">1.54%</w:t>
      </w:r>
      <w:r>
        <w:t xml:space="preserve"> </w:t>
      </w:r>
      <w:r>
        <w:t xml:space="preserve">3.67%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-0.15%</w:t>
      </w:r>
      <w:r>
        <w:t xml:space="preserve"> </w:t>
      </w:r>
      <w:r>
        <w:t xml:space="preserve">-0.26%</w:t>
      </w:r>
      <w:r>
        <w:t xml:space="preserve"> </w:t>
      </w:r>
      <w:r>
        <w:t xml:space="preserve">-0.26%</w:t>
      </w:r>
      <w:r>
        <w:t xml:space="preserve"> </w:t>
      </w:r>
      <w:r>
        <w:t xml:space="preserve">-0.80%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-0.11%</w:t>
      </w:r>
      <w:r>
        <w:t xml:space="preserve"> </w:t>
      </w:r>
      <w:r>
        <w:t xml:space="preserve">-0.20%</w:t>
      </w:r>
      <w:r>
        <w:t xml:space="preserve"> </w:t>
      </w:r>
      <w:r>
        <w:t xml:space="preserve">-0.17%</w:t>
      </w:r>
      <w:r>
        <w:t xml:space="preserve"> </w:t>
      </w:r>
      <w:r>
        <w:t xml:space="preserve">-0.52%</w:t>
      </w:r>
      <w:r>
        <w:t xml:space="preserve"> </w:t>
      </w:r>
      <w:r>
        <w:t xml:space="preserve">Construction</w:t>
      </w:r>
      <w:r>
        <w:t xml:space="preserve"> </w:t>
      </w:r>
      <w:r>
        <w:t xml:space="preserve">-0.01%</w:t>
      </w:r>
      <w:r>
        <w:t xml:space="preserve"> </w:t>
      </w:r>
      <w:r>
        <w:t xml:space="preserve">-0.02%</w:t>
      </w:r>
      <w:r>
        <w:t xml:space="preserve"> </w:t>
      </w:r>
      <w:r>
        <w:t xml:space="preserve">-0.06%</w:t>
      </w:r>
      <w:r>
        <w:t xml:space="preserve"> </w:t>
      </w:r>
      <w:r>
        <w:t xml:space="preserve">-0.19%</w:t>
      </w:r>
      <w:r>
        <w:t xml:space="preserve"> </w:t>
      </w:r>
      <w:r>
        <w:t xml:space="preserve">Batteries</w:t>
      </w:r>
      <w:r>
        <w:t xml:space="preserve"> </w:t>
      </w:r>
      <w:r>
        <w:t xml:space="preserve">-3.67%</w:t>
      </w:r>
      <w:r>
        <w:t xml:space="preserve"> </w:t>
      </w:r>
      <w:r>
        <w:t xml:space="preserve">-9.17%</w:t>
      </w:r>
      <w:r>
        <w:t xml:space="preserve"> </w:t>
      </w:r>
      <w:r>
        <w:t xml:space="preserve">-3.28%</w:t>
      </w:r>
      <w:r>
        <w:t xml:space="preserve"> </w:t>
      </w:r>
      <w:r>
        <w:t xml:space="preserve">-9.86%</w:t>
      </w:r>
      <w:r>
        <w:t xml:space="preserve"> </w:t>
      </w:r>
      <w:r>
        <w:t xml:space="preserve">EV Transport Equipment</w:t>
      </w:r>
      <w:r>
        <w:t xml:space="preserve"> </w:t>
      </w:r>
      <w:r>
        <w:t xml:space="preserve">-5.07%</w:t>
      </w:r>
      <w:r>
        <w:t xml:space="preserve"> </w:t>
      </w:r>
      <w:r>
        <w:t xml:space="preserve">-12.36%</w:t>
      </w:r>
      <w:r>
        <w:t xml:space="preserve"> </w:t>
      </w:r>
      <w:r>
        <w:t xml:space="preserve">-4.94%</w:t>
      </w:r>
      <w:r>
        <w:t xml:space="preserve"> </w:t>
      </w:r>
      <w:r>
        <w:t xml:space="preserve">-13.62%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-0.08%</w:t>
      </w:r>
      <w:r>
        <w:t xml:space="preserve"> </w:t>
      </w:r>
      <w:r>
        <w:t xml:space="preserve">-0.30%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-0.02%</w:t>
      </w:r>
      <w:r>
        <w:t xml:space="preserve"> </w:t>
      </w:r>
      <w:r>
        <w:t xml:space="preserve">-0.04%</w:t>
      </w:r>
      <w:r>
        <w:t xml:space="preserve"> </w:t>
      </w:r>
      <w:r>
        <w:t xml:space="preserve">-0.10%</w:t>
      </w:r>
      <w:r>
        <w:t xml:space="preserve"> </w:t>
      </w:r>
      <w:r>
        <w:t xml:space="preserve">-0.33%</w:t>
      </w:r>
      <w:r>
        <w:t xml:space="preserve"> </w:t>
      </w:r>
      <w:r>
        <w:t xml:space="preserve">Non Market Services</w:t>
      </w:r>
      <w:r>
        <w:t xml:space="preserve"> </w:t>
      </w:r>
      <w:r>
        <w:t xml:space="preserve">-0.01%</w:t>
      </w:r>
      <w:r>
        <w:t xml:space="preserve"> </w:t>
      </w:r>
      <w:r>
        <w:t xml:space="preserve">-0.03%</w:t>
      </w:r>
      <w:r>
        <w:t xml:space="preserve"> </w:t>
      </w:r>
      <w:r>
        <w:t xml:space="preserve">-0.04%</w:t>
      </w:r>
      <w:r>
        <w:t xml:space="preserve"> </w:t>
      </w:r>
      <w:r>
        <w:t xml:space="preserve">-0.14%</w:t>
      </w:r>
      <w:r>
        <w:t xml:space="preserve"> </w:t>
      </w:r>
      <w:r>
        <w:t xml:space="preserve">Total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-0.05%</w:t>
      </w:r>
      <w:r>
        <w:t xml:space="preserve"> </w:t>
      </w:r>
      <w:r>
        <w:t xml:space="preserve">-0.18%</w:t>
      </w:r>
      <w:r>
        <w:t xml:space="preserve"> </w:t>
      </w:r>
      <w:r>
        <w:t xml:space="preserve">Sectoral Impacts</w:t>
      </w:r>
      <w:r>
        <w:t xml:space="preserve"> </w:t>
      </w:r>
      <w:r>
        <w:t xml:space="preserve">Domestic production of conventional vehicles offsets the decline in EV production, as</w:t>
      </w:r>
      <w:r>
        <w:t xml:space="preserve"> </w:t>
      </w:r>
      <w:r>
        <w:t xml:space="preserve">ICEV vehicles have a lower import share. Similarly, domestic production of biofuels</w:t>
      </w:r>
      <w:r>
        <w:t xml:space="preserve"> </w:t>
      </w:r>
      <w:r>
        <w:t xml:space="preserve">offsets the decline in power supply, as the shift to less efficient modes implies higher</w:t>
      </w:r>
      <w:r>
        <w:t xml:space="preserve"> </w:t>
      </w:r>
      <w:r>
        <w:t xml:space="preserve">production volumes. Yet, the indirect effects result in an overall lower production levels</w:t>
      </w:r>
      <w:r>
        <w:t xml:space="preserve"> </w:t>
      </w:r>
      <w:r>
        <w:t xml:space="preserve">compared to the reference case. This is both due to lower production of non-ferrous metals,</w:t>
      </w:r>
      <w:r>
        <w:t xml:space="preserve"> </w:t>
      </w:r>
      <w:r>
        <w:t xml:space="preserve">reflecting reduced domestic and international demand for batteries, and due to the higher</w:t>
      </w:r>
      <w:r>
        <w:t xml:space="preserve"> </w:t>
      </w:r>
      <w:r>
        <w:t xml:space="preserve">labour and capital costs that result in lower production levels for all the remaining</w:t>
      </w:r>
      <w:r>
        <w:t xml:space="preserve"> </w:t>
      </w:r>
      <w:r>
        <w:t xml:space="preserve">manufacturing industries and service sectors.</w:t>
      </w:r>
      <w:r>
        <w:t xml:space="preserve"> </w:t>
      </w:r>
      <w:r>
        <w:t xml:space="preserve">Among all sectors, land transport experiences the largest increase in unit costs in 2040, due</w:t>
      </w:r>
      <w:r>
        <w:t xml:space="preserve"> </w:t>
      </w:r>
      <w:r>
        <w:t xml:space="preserve">to the switch from electricity to SRF. By 2050, the battery sector faces the steepest cost</w:t>
      </w:r>
      <w:r>
        <w:t xml:space="preserve"> </w:t>
      </w:r>
      <w:r>
        <w:t xml:space="preserve">increases, as the shrinking global market raises production costs through reduced</w:t>
      </w:r>
      <w:r>
        <w:t xml:space="preserve"> </w:t>
      </w:r>
      <w:r>
        <w:t xml:space="preserve">economies of scale.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% change from baseline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Sectoral Production</w:t>
      </w:r>
      <w:r>
        <w:t xml:space="preserve"> </w:t>
      </w:r>
      <w:r>
        <w:t xml:space="preserve">COMBI_1 COMBI_2 COMBI_1 COMBI_2</w:t>
      </w:r>
      <w:r>
        <w:t xml:space="preserve"> </w:t>
      </w:r>
      <w:r>
        <w:t xml:space="preserve">Agriculture</w:t>
      </w:r>
      <w:r>
        <w:t xml:space="preserve"> </w:t>
      </w:r>
      <w:r>
        <w:t xml:space="preserve">-0.03%</w:t>
      </w:r>
      <w:r>
        <w:t xml:space="preserve"> </w:t>
      </w:r>
      <w:r>
        <w:t xml:space="preserve">-0.04%</w:t>
      </w:r>
      <w:r>
        <w:t xml:space="preserve"> </w:t>
      </w:r>
      <w:r>
        <w:t xml:space="preserve">-0.03%</w:t>
      </w:r>
      <w:r>
        <w:t xml:space="preserve"> </w:t>
      </w:r>
      <w:r>
        <w:t xml:space="preserve">-0.01%</w:t>
      </w:r>
      <w:r>
        <w:t xml:space="preserve"> </w:t>
      </w:r>
      <w:r>
        <w:t xml:space="preserve">Oil</w:t>
      </w:r>
      <w:r>
        <w:t xml:space="preserve"> </w:t>
      </w:r>
      <w:r>
        <w:t xml:space="preserve">0.05%</w:t>
      </w:r>
      <w:r>
        <w:t xml:space="preserve"> </w:t>
      </w:r>
      <w:r>
        <w:t xml:space="preserve">1.34%</w:t>
      </w:r>
      <w:r>
        <w:t xml:space="preserve"> </w:t>
      </w:r>
      <w:r>
        <w:t xml:space="preserve">0.23%</w:t>
      </w:r>
      <w:r>
        <w:t xml:space="preserve"> </w:t>
      </w:r>
      <w:r>
        <w:t xml:space="preserve">1.41%</w:t>
      </w:r>
      <w:r>
        <w:t xml:space="preserve"> </w:t>
      </w:r>
      <w:r>
        <w:t xml:space="preserve">Power Supply</w:t>
      </w:r>
      <w:r>
        <w:t xml:space="preserve"> </w:t>
      </w:r>
      <w:r>
        <w:t xml:space="preserve">-0.46%</w:t>
      </w:r>
      <w:r>
        <w:t xml:space="preserve"> </w:t>
      </w:r>
      <w:r>
        <w:t xml:space="preserve">-1.43%</w:t>
      </w:r>
      <w:r>
        <w:t xml:space="preserve"> </w:t>
      </w:r>
      <w:r>
        <w:t xml:space="preserve">-0.58%</w:t>
      </w:r>
      <w:r>
        <w:t xml:space="preserve"> </w:t>
      </w:r>
      <w:r>
        <w:t xml:space="preserve">-3.23%</w:t>
      </w:r>
      <w:r>
        <w:t xml:space="preserve"> </w:t>
      </w:r>
      <w:r>
        <w:t xml:space="preserve">Sustainable renewable fuels</w:t>
      </w:r>
      <w:r>
        <w:t xml:space="preserve"> </w:t>
      </w:r>
      <w:r>
        <w:t xml:space="preserve">5.41%</w:t>
      </w:r>
      <w:r>
        <w:t xml:space="preserve"> </w:t>
      </w:r>
      <w:r>
        <w:t xml:space="preserve">10.46%</w:t>
      </w:r>
      <w:r>
        <w:t xml:space="preserve"> </w:t>
      </w:r>
      <w:r>
        <w:t xml:space="preserve">8.33%</w:t>
      </w:r>
      <w:r>
        <w:t xml:space="preserve"> </w:t>
      </w:r>
      <w:r>
        <w:t xml:space="preserve">30.96%</w:t>
      </w:r>
      <w:r>
        <w:t xml:space="preserve"> </w:t>
      </w:r>
      <w:r>
        <w:t xml:space="preserve">Hydrogen</w:t>
      </w:r>
      <w:r>
        <w:t xml:space="preserve"> </w:t>
      </w:r>
      <w:r>
        <w:t xml:space="preserve">-0.57%</w:t>
      </w:r>
      <w:r>
        <w:t xml:space="preserve"> </w:t>
      </w:r>
      <w:r>
        <w:t xml:space="preserve">-1.22%</w:t>
      </w:r>
      <w:r>
        <w:t xml:space="preserve"> </w:t>
      </w:r>
      <w:r>
        <w:t xml:space="preserve">-0.35%</w:t>
      </w:r>
      <w:r>
        <w:t xml:space="preserve"> </w:t>
      </w:r>
      <w:r>
        <w:t xml:space="preserve">-1.49%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-0.05%</w:t>
      </w:r>
      <w:r>
        <w:t xml:space="preserve"> </w:t>
      </w:r>
      <w:r>
        <w:t xml:space="preserve">-0.02%</w:t>
      </w:r>
      <w:r>
        <w:t xml:space="preserve"> </w:t>
      </w:r>
      <w:r>
        <w:t xml:space="preserve">-0.16%</w:t>
      </w:r>
      <w:r>
        <w:t xml:space="preserve"> </w:t>
      </w:r>
      <w:r>
        <w:t xml:space="preserve">-0.57%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-1.69%</w:t>
      </w:r>
      <w:r>
        <w:t xml:space="preserve"> </w:t>
      </w:r>
      <w:r>
        <w:t xml:space="preserve">-3.86%</w:t>
      </w:r>
      <w:r>
        <w:t xml:space="preserve"> </w:t>
      </w:r>
      <w:r>
        <w:t xml:space="preserve">-1.68%</w:t>
      </w:r>
      <w:r>
        <w:t xml:space="preserve"> </w:t>
      </w:r>
      <w:r>
        <w:t xml:space="preserve">-4.63%</w:t>
      </w:r>
      <w:r>
        <w:t xml:space="preserve"> </w:t>
      </w:r>
      <w:r>
        <w:t xml:space="preserve">Transport equipment (excluding EV)</w:t>
      </w:r>
      <w:r>
        <w:t xml:space="preserve"> </w:t>
      </w:r>
      <w:r>
        <w:t xml:space="preserve">1.95%</w:t>
      </w:r>
      <w:r>
        <w:t xml:space="preserve"> </w:t>
      </w:r>
      <w:r>
        <w:t xml:space="preserve">4.53%</w:t>
      </w:r>
      <w:r>
        <w:t xml:space="preserve"> </w:t>
      </w:r>
      <w:r>
        <w:t xml:space="preserve">1.56%</w:t>
      </w:r>
      <w:r>
        <w:t xml:space="preserve"> </w:t>
      </w:r>
      <w:r>
        <w:t xml:space="preserve">3.73%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-0.13%</w:t>
      </w:r>
      <w:r>
        <w:t xml:space="preserve"> </w:t>
      </w:r>
      <w:r>
        <w:t xml:space="preserve">-0.23%</w:t>
      </w:r>
      <w:r>
        <w:t xml:space="preserve"> </w:t>
      </w:r>
      <w:r>
        <w:t xml:space="preserve">-0.22%</w:t>
      </w:r>
      <w:r>
        <w:t xml:space="preserve"> </w:t>
      </w:r>
      <w:r>
        <w:t xml:space="preserve">-0.67%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-0.09%</w:t>
      </w:r>
      <w:r>
        <w:t xml:space="preserve"> </w:t>
      </w:r>
      <w:r>
        <w:t xml:space="preserve">-0.17%</w:t>
      </w:r>
      <w:r>
        <w:t xml:space="preserve"> </w:t>
      </w:r>
      <w:r>
        <w:t xml:space="preserve">-0.13%</w:t>
      </w:r>
      <w:r>
        <w:t xml:space="preserve"> </w:t>
      </w:r>
      <w:r>
        <w:t xml:space="preserve">-0.39%</w:t>
      </w:r>
      <w:r>
        <w:t xml:space="preserve"> </w:t>
      </w:r>
      <w:r>
        <w:t xml:space="preserve">Construction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-0.01%</w:t>
      </w:r>
      <w:r>
        <w:t xml:space="preserve"> </w:t>
      </w:r>
      <w:r>
        <w:t xml:space="preserve">0.01%</w:t>
      </w:r>
      <w:r>
        <w:t xml:space="preserve"> </w:t>
      </w:r>
      <w:r>
        <w:t xml:space="preserve">Batteries</w:t>
      </w:r>
      <w:r>
        <w:t xml:space="preserve"> </w:t>
      </w:r>
      <w:r>
        <w:t xml:space="preserve">-3.71%</w:t>
      </w:r>
      <w:r>
        <w:t xml:space="preserve"> </w:t>
      </w:r>
      <w:r>
        <w:t xml:space="preserve">-8.91%</w:t>
      </w:r>
      <w:r>
        <w:t xml:space="preserve"> </w:t>
      </w:r>
      <w:r>
        <w:t xml:space="preserve">-3.29%</w:t>
      </w:r>
      <w:r>
        <w:t xml:space="preserve"> </w:t>
      </w:r>
      <w:r>
        <w:t xml:space="preserve">-9.12%</w:t>
      </w:r>
      <w:r>
        <w:t xml:space="preserve"> </w:t>
      </w:r>
      <w:r>
        <w:t xml:space="preserve">EV Transport Equipment</w:t>
      </w:r>
      <w:r>
        <w:t xml:space="preserve"> </w:t>
      </w:r>
      <w:r>
        <w:t xml:space="preserve">-5.22%</w:t>
      </w:r>
      <w:r>
        <w:t xml:space="preserve"> </w:t>
      </w:r>
      <w:r>
        <w:t xml:space="preserve">-12.31%</w:t>
      </w:r>
      <w:r>
        <w:t xml:space="preserve"> </w:t>
      </w:r>
      <w:r>
        <w:t xml:space="preserve">-4.77%</w:t>
      </w:r>
      <w:r>
        <w:t xml:space="preserve"> </w:t>
      </w:r>
      <w:r>
        <w:t xml:space="preserve">-12.53%</w:t>
      </w:r>
      <w:r>
        <w:t xml:space="preserve"> </w:t>
      </w:r>
      <w:r>
        <w:t xml:space="preserve">Land transport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-0.04%</w:t>
      </w:r>
      <w:r>
        <w:t xml:space="preserve"> </w:t>
      </w:r>
      <w:r>
        <w:t xml:space="preserve">-0.17%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-0.01%</w:t>
      </w:r>
      <w:r>
        <w:t xml:space="preserve"> </w:t>
      </w:r>
      <w:r>
        <w:t xml:space="preserve">-0.01%</w:t>
      </w:r>
      <w:r>
        <w:t xml:space="preserve"> </w:t>
      </w:r>
      <w:r>
        <w:t xml:space="preserve">-0.05%</w:t>
      </w:r>
      <w:r>
        <w:t xml:space="preserve"> </w:t>
      </w:r>
      <w:r>
        <w:t xml:space="preserve">-0.20%</w:t>
      </w:r>
      <w:r>
        <w:t xml:space="preserve"> </w:t>
      </w:r>
      <w:r>
        <w:t xml:space="preserve">Non Market Services</w:t>
      </w:r>
      <w:r>
        <w:t xml:space="preserve"> </w:t>
      </w:r>
      <w:r>
        <w:t xml:space="preserve">-0.01%</w:t>
      </w:r>
      <w:r>
        <w:t xml:space="preserve"> </w:t>
      </w:r>
      <w:r>
        <w:t xml:space="preserve">-0.01%</w:t>
      </w:r>
      <w:r>
        <w:t xml:space="preserve"> </w:t>
      </w:r>
      <w:r>
        <w:t xml:space="preserve">-0.02%</w:t>
      </w:r>
      <w:r>
        <w:t xml:space="preserve"> </w:t>
      </w:r>
      <w:r>
        <w:t xml:space="preserve">-0.08%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shift from EVs to ICEV vehicles powered by sustainable renewable fuels creates a</w:t>
      </w:r>
      <w:r>
        <w:t xml:space="preserve"> </w:t>
      </w:r>
      <w:r>
        <w:t xml:space="preserve">mixed economic picture:</w:t>
      </w:r>
      <w:r>
        <w:t xml:space="preserve"> </w:t>
      </w:r>
      <w:r>
        <w:t xml:space="preserve">•</w:t>
      </w:r>
      <w:r>
        <w:t xml:space="preserve"> </w:t>
      </w:r>
      <w:r>
        <w:t xml:space="preserve">Households face lower costs, and the economy as a whole faces modest GDP</w:t>
      </w:r>
      <w:r>
        <w:t xml:space="preserve"> </w:t>
      </w:r>
      <w:r>
        <w:t xml:space="preserve">losses.</w:t>
      </w:r>
      <w:r>
        <w:t xml:space="preserve"> </w:t>
      </w:r>
      <w:r>
        <w:t xml:space="preserve">•</w:t>
      </w:r>
      <w:r>
        <w:t xml:space="preserve"> </w:t>
      </w:r>
      <w:r>
        <w:t xml:space="preserve">Investments rise due to the capital-intensive nature of sustainable renewable fuels</w:t>
      </w:r>
      <w:r>
        <w:t xml:space="preserve"> </w:t>
      </w:r>
      <w:r>
        <w:t xml:space="preserve">sustainable renewable fuels production, though this also raises capital costs.</w:t>
      </w:r>
      <w:r>
        <w:t xml:space="preserve"> </w:t>
      </w:r>
      <w:r>
        <w:t xml:space="preserve">•</w:t>
      </w:r>
      <w:r>
        <w:t xml:space="preserve"> </w:t>
      </w:r>
      <w:r>
        <w:t xml:space="preserve">Exports decline, particularly in batteries and non-ferrous metals, while domestic</w:t>
      </w:r>
      <w:r>
        <w:t xml:space="preserve"> </w:t>
      </w:r>
      <w:r>
        <w:t xml:space="preserve">ICEV production provides partial compensation.</w:t>
      </w:r>
      <w:r>
        <w:t xml:space="preserve"> </w:t>
      </w:r>
      <w:r>
        <w:t xml:space="preserve">•</w:t>
      </w:r>
      <w:r>
        <w:t xml:space="preserve"> </w:t>
      </w:r>
      <w:r>
        <w:t xml:space="preserve">Sustainable renewable fuels emerge as a growth engine, but EV-related industries</w:t>
      </w:r>
      <w:r>
        <w:t xml:space="preserve"> </w:t>
      </w:r>
      <w:r>
        <w:t xml:space="preserve">and power supply contract.</w:t>
      </w:r>
      <w:r>
        <w:t xml:space="preserve"> </w:t>
      </w:r>
      <w:r>
        <w:t xml:space="preserve">The results are robust across sensitivity analyses on the capital intensity of sustainable</w:t>
      </w:r>
      <w:r>
        <w:t xml:space="preserve"> </w:t>
      </w:r>
      <w:r>
        <w:t xml:space="preserve">renewable fuels production.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4.5.</w:t>
      </w:r>
      <w:r>
        <w:t xml:space="preserve"> </w:t>
      </w:r>
      <w:r>
        <w:t xml:space="preserve">MODELLING OF BIOFUELS IN PRIMES</w:t>
      </w:r>
      <w:r>
        <w:t xml:space="preserve"> </w:t>
      </w:r>
      <w:r>
        <w:t xml:space="preserve">In PRIMES, biofuels availability depends on domestic feedstock potential for energy</w:t>
      </w:r>
      <w:r>
        <w:t xml:space="preserve"> </w:t>
      </w:r>
      <w:r>
        <w:t xml:space="preserve">purposes and on imported feedstock or biofuels from outside the EU. The modelling</w:t>
      </w:r>
      <w:r>
        <w:t xml:space="preserve"> </w:t>
      </w:r>
      <w:r>
        <w:t xml:space="preserve">incorporates explicit, time-dependent cost-supply curves, specific to each EU Member</w:t>
      </w:r>
      <w:r>
        <w:t xml:space="preserve"> </w:t>
      </w:r>
      <w:r>
        <w:t xml:space="preserve">State, for approximately 20 different feedstock types. Feedstock is used to produce</w:t>
      </w:r>
      <w:r>
        <w:t xml:space="preserve"> </w:t>
      </w:r>
      <w:r>
        <w:t xml:space="preserve">demand-driven food-based, Part A (advanced) and Part B liquid biofuels and other types</w:t>
      </w:r>
      <w:r>
        <w:t xml:space="preserve"> </w:t>
      </w:r>
      <w:r>
        <w:t xml:space="preserve">of bioenergy (e.g., solid biomass, biomethane). The cost-supply curves exhibit decreasing</w:t>
      </w:r>
      <w:r>
        <w:t xml:space="preserve"> </w:t>
      </w:r>
      <w:r>
        <w:t xml:space="preserve">returns to scale as marginal production costs increase. Over time, feedstock costs decrease</w:t>
      </w:r>
      <w:r>
        <w:t xml:space="preserve"> </w:t>
      </w:r>
      <w:r>
        <w:t xml:space="preserve">incrementally, driven by more efficient agricultural management practices and yield</w:t>
      </w:r>
      <w:r>
        <w:t xml:space="preserve"> </w:t>
      </w:r>
      <w:r>
        <w:t xml:space="preserve">increases. Total available land for food and lignocellulosic crops for energy acts as an</w:t>
      </w:r>
      <w:r>
        <w:t xml:space="preserve"> </w:t>
      </w:r>
      <w:r>
        <w:t xml:space="preserve">optimisation constraint, ultimately determining the domestic supply potential for these</w:t>
      </w:r>
      <w:r>
        <w:t xml:space="preserve"> </w:t>
      </w:r>
      <w:r>
        <w:t xml:space="preserve">crops. The upper limit, different by Member State, reaches around 40 Mha for the EU,</w:t>
      </w:r>
      <w:r>
        <w:t xml:space="preserve"> </w:t>
      </w:r>
      <w:r>
        <w:t xml:space="preserve">assuming extension to marginal and degraded lands. Extra-EU imports of bioenergy</w:t>
      </w:r>
      <w:r>
        <w:t xml:space="preserve"> </w:t>
      </w:r>
      <w:r>
        <w:t xml:space="preserve">commodities and feedstock are subject to their own cost-supply structures. In both cases,</w:t>
      </w:r>
      <w:r>
        <w:t xml:space="preserve"> </w:t>
      </w:r>
      <w:r>
        <w:t xml:space="preserve">we see higher prices with increasing produced or imported quantities.</w:t>
      </w:r>
      <w:r>
        <w:br/>
      </w:r>
      <w:r>
        <w:t xml:space="preserve">The cost-supply curves were constructed by linking with PRIMES the inputs from other</w:t>
      </w:r>
      <w:r>
        <w:t xml:space="preserve"> </w:t>
      </w:r>
      <w:r>
        <w:t xml:space="preserve">dedicated model outputs on forestry, waste and crop production, with the most recent</w:t>
      </w:r>
      <w:r>
        <w:t xml:space="preserve"> </w:t>
      </w:r>
      <w:r>
        <w:t xml:space="preserve">updates made during 2024-2025 (Table 25).</w:t>
      </w:r>
      <w:r>
        <w:t xml:space="preserve"> </w:t>
      </w:r>
      <w:r>
        <w:t xml:space="preserve">Table 25: Overview of sources of the cost-supply curves</w:t>
      </w:r>
      <w:r>
        <w:t xml:space="preserve"> </w:t>
      </w:r>
      <w:r>
        <w:t xml:space="preserve">Feedstock</w:t>
      </w:r>
      <w:r>
        <w:t xml:space="preserve"> </w:t>
      </w:r>
      <w:r>
        <w:t xml:space="preserve">Source</w:t>
      </w:r>
      <w:r>
        <w:t xml:space="preserve"> </w:t>
      </w:r>
      <w:r>
        <w:t xml:space="preserve">Food and feed crops</w:t>
      </w:r>
      <w:r>
        <w:t xml:space="preserve"> </w:t>
      </w:r>
      <w:r>
        <w:t xml:space="preserve">Bottom-up cost estimates based on detailed</w:t>
      </w:r>
      <w:r>
        <w:t xml:space="preserve"> </w:t>
      </w:r>
      <w:r>
        <w:t xml:space="preserve">cost components.</w:t>
      </w:r>
      <w:r>
        <w:br/>
      </w:r>
      <w:r>
        <w:t xml:space="preserve">Supply potential based on CAPRIa</w:t>
      </w:r>
      <w:r>
        <w:t xml:space="preserve"> </w:t>
      </w:r>
      <w:r>
        <w:t xml:space="preserve">Forestry feedstock (harvestable stemwood,</w:t>
      </w:r>
      <w:r>
        <w:t xml:space="preserve"> </w:t>
      </w:r>
      <w:r>
        <w:t xml:space="preserve">primary forestry residues, secondary</w:t>
      </w:r>
      <w:r>
        <w:t xml:space="preserve"> </w:t>
      </w:r>
      <w:r>
        <w:t xml:space="preserve">forestry residues)</w:t>
      </w:r>
      <w:r>
        <w:t xml:space="preserve"> </w:t>
      </w:r>
      <w:r>
        <w:t xml:space="preserve">IIASA – GLOBIOM / G4M</w:t>
      </w:r>
      <w:r>
        <w:t xml:space="preserve"> </w:t>
      </w:r>
      <w:r>
        <w:t xml:space="preserve">Annual and perennial energy crops</w:t>
      </w:r>
      <w:r>
        <w:t xml:space="preserve"> </w:t>
      </w:r>
      <w:r>
        <w:t xml:space="preserve">IIASA – GLOBIOM / G4M</w:t>
      </w:r>
      <w:r>
        <w:t xml:space="preserve"> </w:t>
      </w:r>
      <w:r>
        <w:t xml:space="preserve">Agricultural residues</w:t>
      </w:r>
      <w:r>
        <w:t xml:space="preserve"> </w:t>
      </w:r>
      <w:r>
        <w:t xml:space="preserve">EUROCARE – CAPRI102</w:t>
      </w:r>
      <w:r>
        <w:t xml:space="preserve"> </w:t>
      </w:r>
      <w:r>
        <w:t xml:space="preserve">Waste feedstock categories (manure, MSW,</w:t>
      </w:r>
      <w:r>
        <w:t xml:space="preserve"> </w:t>
      </w:r>
      <w:r>
        <w:t xml:space="preserve">industrial solid waste, wastewater)</w:t>
      </w:r>
      <w:r>
        <w:t xml:space="preserve"> </w:t>
      </w:r>
      <w:r>
        <w:t xml:space="preserve">IIASA – GAINS103</w:t>
      </w:r>
      <w:r>
        <w:t xml:space="preserve"> </w:t>
      </w:r>
      <w:r>
        <w:t xml:space="preserve">Other waste feedstock (e.g., used cooking</w:t>
      </w:r>
      <w:r>
        <w:t xml:space="preserve"> </w:t>
      </w:r>
      <w:r>
        <w:t xml:space="preserve">oil, black liquor)</w:t>
      </w:r>
      <w:r>
        <w:t xml:space="preserve"> </w:t>
      </w:r>
      <w:r>
        <w:t xml:space="preserve">Linked with endogenous drivers in</w:t>
      </w:r>
      <w:r>
        <w:t xml:space="preserve"> </w:t>
      </w:r>
      <w:r>
        <w:t xml:space="preserve">PRIMES</w:t>
      </w:r>
      <w:r>
        <w:br/>
      </w:r>
      <w:r>
        <w:t xml:space="preserve">The demand for bioenergy and the distribution of different biofuels and bioenergy across</w:t>
      </w:r>
      <w:r>
        <w:t xml:space="preserve"> </w:t>
      </w:r>
      <w:r>
        <w:t xml:space="preserve">the various end-use sectors is projected with PRIMES and depend on bottom-up</w:t>
      </w:r>
      <w:r>
        <w:t xml:space="preserve"> </w:t>
      </w:r>
      <w:r>
        <w:t xml:space="preserve">interactions among EU regulations, sectoral and system-wide targets, EU-wide and</w:t>
      </w:r>
      <w:r>
        <w:t xml:space="preserve"> </w:t>
      </w:r>
      <w:r>
        <w:t xml:space="preserve">Member State policies (e.g. RES targets, blending mandates), technical constraints (e.g. </w:t>
      </w:r>
    </w:p>
    <w:p>
      <w:pPr>
        <w:pStyle w:val="BodyText"/>
      </w:pPr>
      <w:r>
        <w:t xml:space="preserve">102 Research and innovation perspective of the mid-and long-term potential for advanced biofuels in Europe</w:t>
      </w:r>
      <w:r>
        <w:t xml:space="preserve"> </w:t>
      </w:r>
      <w:r>
        <w:t xml:space="preserve">- Publications Office of the EU</w:t>
      </w:r>
      <w:r>
        <w:t xml:space="preserve"> </w:t>
      </w:r>
      <w:r>
        <w:t xml:space="preserve">103</w:t>
      </w:r>
      <w:r>
        <w:t xml:space="preserve"> </w:t>
      </w:r>
      <w:r>
        <w:t xml:space="preserve">As</w:t>
      </w:r>
      <w:r>
        <w:t xml:space="preserve"> </w:t>
      </w:r>
      <w:r>
        <w:t xml:space="preserve">developed</w:t>
      </w:r>
      <w:r>
        <w:t xml:space="preserve"> </w:t>
      </w:r>
      <w:r>
        <w:t xml:space="preserve">in</w:t>
      </w:r>
      <w:r>
        <w:t xml:space="preserve"> </w:t>
      </w:r>
      <w:r>
        <w:t xml:space="preserve">EUCLIMIT</w:t>
      </w:r>
      <w:r>
        <w:t xml:space="preserve"> </w:t>
      </w:r>
      <w:r>
        <w:t xml:space="preserve">VI,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https://adgeo.copernicus.org/articles/45/105/2018/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blend walls of internal combustion engines), and economic criteria such as fuel prices and</w:t>
      </w:r>
      <w:r>
        <w:t xml:space="preserve"> </w:t>
      </w:r>
      <w:r>
        <w:t xml:space="preserve">technological alternatives.</w:t>
      </w:r>
      <w:r>
        <w:br/>
      </w:r>
      <w:r>
        <w:t xml:space="preserve">On the supply-side, the model computes energy and resource balances endogenously for</w:t>
      </w:r>
      <w:r>
        <w:t xml:space="preserve"> </w:t>
      </w:r>
      <w:r>
        <w:t xml:space="preserve">the production of bioenergy and calculates various prices (e.g., advanced biofuels, solid</w:t>
      </w:r>
      <w:r>
        <w:t xml:space="preserve"> </w:t>
      </w:r>
      <w:r>
        <w:t xml:space="preserve">biomass for electricity and heat, biomethane). This is performed by solving a minimization</w:t>
      </w:r>
      <w:r>
        <w:t xml:space="preserve"> </w:t>
      </w:r>
      <w:r>
        <w:t xml:space="preserve">problem for long-term bioenergy supply costs subject to equilibrium constraints for each</w:t>
      </w:r>
      <w:r>
        <w:t xml:space="preserve"> </w:t>
      </w:r>
      <w:r>
        <w:t xml:space="preserve">bioenergy commodity and MS. The outputs reflect the cost-supply of the various</w:t>
      </w:r>
      <w:r>
        <w:t xml:space="preserve"> </w:t>
      </w:r>
      <w:r>
        <w:t xml:space="preserve">feedstocks and the cost functions of technology suppliers (including capital, fixed</w:t>
      </w:r>
      <w:r>
        <w:t xml:space="preserve"> </w:t>
      </w:r>
      <w:r>
        <w:t xml:space="preserve">operational and other non-feedstock variable cost).</w:t>
      </w:r>
      <w:r>
        <w:br/>
      </w:r>
      <w:r>
        <w:t xml:space="preserve">For different biofuel prices the model re-optimises fuel consumption in the transport sector,</w:t>
      </w:r>
      <w:r>
        <w:t xml:space="preserve"> </w:t>
      </w:r>
      <w:r>
        <w:t xml:space="preserve">potentially shifting demand to other fuels and energy carriers and end-use technologies</w:t>
      </w:r>
      <w:r>
        <w:t xml:space="preserve"> </w:t>
      </w:r>
      <w:r>
        <w:t xml:space="preserve">based on cost-effectiveness and policy constraints. An increase in demand for biomass,</w:t>
      </w:r>
      <w:r>
        <w:t xml:space="preserve"> </w:t>
      </w:r>
      <w:r>
        <w:t xml:space="preserve">due to an increase in bioenergy demand, would entail exploiting costlier parts of the</w:t>
      </w:r>
      <w:r>
        <w:t xml:space="preserve"> </w:t>
      </w:r>
      <w:r>
        <w:t xml:space="preserve">feedstock supply curves.</w:t>
      </w:r>
      <w:r>
        <w:br/>
      </w:r>
      <w:r>
        <w:t xml:space="preserve">The non-linearity of the cost-supply curves is an inherent feature of the optimization and</w:t>
      </w:r>
      <w:r>
        <w:t xml:space="preserve"> </w:t>
      </w:r>
      <w:r>
        <w:t xml:space="preserve">resource allocation problem in PRIMES, reflecting the increasing difficulty of deployment</w:t>
      </w:r>
      <w:r>
        <w:t xml:space="preserve"> </w:t>
      </w:r>
      <w:r>
        <w:t xml:space="preserve">(e.g., administrative, logistical, and practical constraints) as feedstock expansion and</w:t>
      </w:r>
      <w:r>
        <w:t xml:space="preserve"> </w:t>
      </w:r>
      <w:r>
        <w:t xml:space="preserve">utilisation progress. However, this non-linearity of all feedstocks does not necessarily</w:t>
      </w:r>
      <w:r>
        <w:t xml:space="preserve"> </w:t>
      </w:r>
      <w:r>
        <w:t xml:space="preserve">translate directly into biofuel pricing, which is influenced by various elements (e.g. </w:t>
      </w:r>
      <w:r>
        <w:t xml:space="preserve"> </w:t>
      </w:r>
      <w:r>
        <w:t xml:space="preserve">feedstock type, fossil fuel price elasticity). This is reflected in the price of a bioenergy</w:t>
      </w:r>
      <w:r>
        <w:t xml:space="preserve"> </w:t>
      </w:r>
      <w:r>
        <w:t xml:space="preserve">commodity, not necessarily the one driving the demand increase, as the model solves the</w:t>
      </w:r>
      <w:r>
        <w:t xml:space="preserve"> </w:t>
      </w:r>
      <w:r>
        <w:t xml:space="preserve">minimization problem for the entire biomass supply system over time. Small changes in</w:t>
      </w:r>
      <w:r>
        <w:t xml:space="preserve"> </w:t>
      </w:r>
      <w:r>
        <w:t xml:space="preserve">bioenergy demand, typically do not impact bioenergy prices enough to influence the</w:t>
      </w:r>
      <w:r>
        <w:t xml:space="preserve"> </w:t>
      </w:r>
      <w:r>
        <w:t xml:space="preserve">competitiveness of bioenergy commodities relative to other fuels and technologies.</w:t>
      </w:r>
      <w:r>
        <w:t xml:space="preserve"> </w:t>
      </w:r>
      <w:r>
        <w:t xml:space="preserve">Notable differences in bioenergy demand or for a specific bioenergy commodity would be</w:t>
      </w:r>
      <w:r>
        <w:t xml:space="preserve"> </w:t>
      </w:r>
      <w:r>
        <w:t xml:space="preserve">needed for bioenergy prices to be distinctly different. In events of significant bioenergy</w:t>
      </w:r>
      <w:r>
        <w:t xml:space="preserve"> </w:t>
      </w:r>
      <w:r>
        <w:t xml:space="preserve">demand increase the model identifies the cost-optimal production pathway, prioritising</w:t>
      </w:r>
      <w:r>
        <w:t xml:space="preserve"> </w:t>
      </w:r>
      <w:r>
        <w:t xml:space="preserve">more economically viable alternatives within the available supply options as it dynamically</w:t>
      </w:r>
      <w:r>
        <w:t xml:space="preserve"> </w:t>
      </w:r>
      <w:r>
        <w:t xml:space="preserve">adjusts the fuel mix in response to updated price signals.</w:t>
      </w:r>
      <w:r>
        <w:t xml:space="preserve"> </w:t>
      </w:r>
      <w:r>
        <w:t xml:space="preserve">Higher ends of the bioenergy supply curve represent theoretical upper limits to factor in</w:t>
      </w:r>
      <w:r>
        <w:t xml:space="preserve"> </w:t>
      </w:r>
      <w:r>
        <w:t xml:space="preserve">land use considerations, including the sustainability dimension, rather than operational</w:t>
      </w:r>
      <w:r>
        <w:t xml:space="preserve"> </w:t>
      </w:r>
      <w:r>
        <w:t xml:space="preserve">supply expectations.</w:t>
      </w:r>
      <w:r>
        <w:br/>
      </w:r>
      <w:r>
        <w:t xml:space="preserve">The upper limit for the overall bioenergy use in the entire EU energy system in the</w:t>
      </w:r>
      <w:r>
        <w:t xml:space="preserve"> </w:t>
      </w:r>
      <w:r>
        <w:t xml:space="preserve">scenarios has been capped at 210 Mtoe in 2040, increasing to 235 Mtoe in 2050. This is</w:t>
      </w:r>
      <w:r>
        <w:t xml:space="preserve"> </w:t>
      </w:r>
      <w:r>
        <w:t xml:space="preserve">aligned with the total potential of the JRC’s ENSPRESO biomass database,104,105, and is</w:t>
      </w:r>
      <w:r>
        <w:t xml:space="preserve"> </w:t>
      </w:r>
      <w:r>
        <w:t xml:space="preserve">roughly 60% higher than the current overall bioenergy production level. This is</w:t>
      </w:r>
    </w:p>
    <w:p>
      <w:pPr>
        <w:pStyle w:val="BodyText"/>
      </w:pPr>
      <w:r>
        <w:t xml:space="preserve">104 The JRC ENSPRESO Biomass database provides different potentials for biomass for energy purposes</w:t>
      </w:r>
      <w:r>
        <w:t xml:space="preserve"> </w:t>
      </w:r>
      <w:r>
        <w:t xml:space="preserve">combining assumptions on land use, productivity and activities: https://data.jrc.ec.europa.eu/collection/id-</w:t>
      </w:r>
      <w:r>
        <w:t xml:space="preserve"> </w:t>
      </w:r>
      <w:r>
        <w:t xml:space="preserve">00138</w:t>
      </w:r>
      <w:r>
        <w:t xml:space="preserve"> </w:t>
      </w:r>
      <w:r>
        <w:t xml:space="preserve">105 The cap on bioenergy availability considered here is in-between the “low scenario” and the “medium</w:t>
      </w:r>
      <w:r>
        <w:t xml:space="preserve"> </w:t>
      </w:r>
      <w:r>
        <w:t xml:space="preserve">scenario” of the JRC ENSPRESO Biomass database.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complemented by a specific cap on the use of forestry products and residues106 as</w:t>
      </w:r>
      <w:r>
        <w:t xml:space="preserve"> </w:t>
      </w:r>
      <w:r>
        <w:t xml:space="preserve">feedstocks for bioenergy purposes. Finally, the modelling assumes a limitation of the</w:t>
      </w:r>
      <w:r>
        <w:t xml:space="preserve"> </w:t>
      </w:r>
      <w:r>
        <w:t xml:space="preserve">contribution of bioenergy net imports to 15 Mtoe of biomass feedstock or biofuels imports.</w:t>
      </w:r>
      <w:r>
        <w:t xml:space="preserve"> </w:t>
      </w:r>
      <w:r>
        <w:t xml:space="preserve">These caps aim at limiting the uptake of bioenergy in the energy system in view of the</w:t>
      </w:r>
      <w:r>
        <w:t xml:space="preserve"> </w:t>
      </w:r>
      <w:r>
        <w:t xml:space="preserve">sustainability considerations. The total bioenergy demand in the Baseline scenario respects</w:t>
      </w:r>
      <w:r>
        <w:t xml:space="preserve"> </w:t>
      </w:r>
      <w:r>
        <w:t xml:space="preserve">the assumed production cap and the import availability. Assuming typical conversion</w:t>
      </w:r>
      <w:r>
        <w:t xml:space="preserve"> </w:t>
      </w:r>
      <w:r>
        <w:t xml:space="preserve">efficiencies, converting all the primary biomass (produced and imported) to advanced</w:t>
      </w:r>
      <w:r>
        <w:t xml:space="preserve"> </w:t>
      </w:r>
      <w:r>
        <w:t xml:space="preserve">biofuels within the upper limit as described above, would yield approximately 145 Mtoe</w:t>
      </w:r>
      <w:r>
        <w:t xml:space="preserve"> </w:t>
      </w:r>
      <w:r>
        <w:t xml:space="preserve">in 2040 and 162 Mtoe in 2050. However, bioenergy is consumed in various sectors,</w:t>
      </w:r>
      <w:r>
        <w:t xml:space="preserve"> </w:t>
      </w:r>
      <w:r>
        <w:t xml:space="preserve">including in power and heat production (where it can generate carbon removals if</w:t>
      </w:r>
      <w:r>
        <w:t xml:space="preserve"> </w:t>
      </w:r>
      <w:r>
        <w:t xml:space="preserve">associated with CCS), industry, buildings, aviation and navigation, beside road transport.</w:t>
      </w:r>
      <w:r>
        <w:br/>
      </w:r>
      <w:r>
        <w:t xml:space="preserve">For comparison the liquid fuel demand in road transport was 241 Mtoe in 2023 (Eurostat).</w:t>
      </w:r>
      <w:r>
        <w:t xml:space="preserve"> </w:t>
      </w:r>
      <w:r>
        <w:t xml:space="preserve">In the same year, total transport biofuel demand was 4.3 Mtoe Part A, 3.3 Mtoe Part B and</w:t>
      </w:r>
      <w:r>
        <w:t xml:space="preserve"> </w:t>
      </w:r>
      <w:r>
        <w:t xml:space="preserve">10.5 Mtoe of food- and feed-based, most of which consumed in road transport (SHARES,</w:t>
      </w:r>
      <w:r>
        <w:t xml:space="preserve"> </w:t>
      </w:r>
      <w:r>
        <w:t xml:space="preserve">2025).</w:t>
      </w:r>
      <w:r>
        <w:br/>
      </w:r>
      <w:r>
        <w:t xml:space="preserve">The quantities of advanced biofuels consumed in road transport in the Baseline scenario</w:t>
      </w:r>
      <w:r>
        <w:t xml:space="preserve"> </w:t>
      </w:r>
      <w:r>
        <w:t xml:space="preserve">projection is 19 Mtoe in 2040 and 15 Mtoe in 2050. This translates into primary biomass</w:t>
      </w:r>
      <w:r>
        <w:t xml:space="preserve"> </w:t>
      </w:r>
      <w:r>
        <w:t xml:space="preserve">needs for road transport of 30 Mtoe in 2040 and 24 Mtoe in 2050. This amount represents</w:t>
      </w:r>
      <w:r>
        <w:t xml:space="preserve"> </w:t>
      </w:r>
      <w:r>
        <w:t xml:space="preserve">14% and 12% of total domestic sustainable primary biomass potential in 2040 and 2050,</w:t>
      </w:r>
      <w:r>
        <w:t xml:space="preserve"> </w:t>
      </w:r>
      <w:r>
        <w:t xml:space="preserve">respectively. In the Baseline scenario, cultivated land for bioenergy is projected at 16 Mha</w:t>
      </w:r>
      <w:r>
        <w:t xml:space="preserve"> </w:t>
      </w:r>
      <w:r>
        <w:t xml:space="preserve">in 2040 and 13 Mha in 2050. Arable land used to produce road transport advanced biofuels</w:t>
      </w:r>
      <w:r>
        <w:t xml:space="preserve"> </w:t>
      </w:r>
      <w:r>
        <w:t xml:space="preserve">is around 4 Mha representing around 25% - 31% of cultivated land for bioenergy.</w:t>
      </w:r>
      <w:r>
        <w:br/>
      </w:r>
      <w:r>
        <w:t xml:space="preserve">Excluding the demand from all sectors (including road transport), as projected in the</w:t>
      </w:r>
      <w:r>
        <w:t xml:space="preserve"> </w:t>
      </w:r>
      <w:r>
        <w:t xml:space="preserve">Baseline, the remaining available sustainable potential for additional advanced biofuels in</w:t>
      </w:r>
      <w:r>
        <w:t xml:space="preserve"> </w:t>
      </w:r>
      <w:r>
        <w:t xml:space="preserve">road transport for the policy scenarios is about 2 Mtoe in 2040 (fully relying on imports,</w:t>
      </w:r>
      <w:r>
        <w:t xml:space="preserve"> </w:t>
      </w:r>
      <w:r>
        <w:t xml:space="preserve">as the cap for domestic primary biomass production is reached) and about 30 Mtoe of</w:t>
      </w:r>
      <w:r>
        <w:t xml:space="preserve"> </w:t>
      </w:r>
      <w:r>
        <w:t xml:space="preserve">primary biomass in 2050 (equivalent to 2 Mtoe of advanced biofuels imports in 2040, and</w:t>
      </w:r>
      <w:r>
        <w:t xml:space="preserve"> </w:t>
      </w:r>
      <w:r>
        <w:t xml:space="preserve">21 Mtoe in 2050 of advanced biofuels domestically produced and imported).</w:t>
      </w:r>
      <w:r>
        <w:br/>
      </w:r>
      <w:r>
        <w:t xml:space="preserve">If the aviation and the maritime sector are also included, then the advanced biofuels supply</w:t>
      </w:r>
      <w:r>
        <w:t xml:space="preserve"> </w:t>
      </w:r>
      <w:r>
        <w:t xml:space="preserve">increases to around 54 Mtoe in 2040 and 2050, and the resulting primary biomass needs</w:t>
      </w:r>
      <w:r>
        <w:t xml:space="preserve"> </w:t>
      </w:r>
      <w:r>
        <w:t xml:space="preserve">reach around 80 Mtoe. Domestic supply of Part B biofuels is fully utilized, reaching 2.6</w:t>
      </w:r>
      <w:r>
        <w:t xml:space="preserve"> </w:t>
      </w:r>
      <w:r>
        <w:t xml:space="preserve">Mtoe in 2030, 3.2 Mtoe in 2040 and 3.6 Mtoe in 2050, limited by the amount of collectable</w:t>
      </w:r>
      <w:r>
        <w:t xml:space="preserve"> </w:t>
      </w:r>
      <w:r>
        <w:t xml:space="preserve">used cooking oil within the EU (domestic feedstock ranges between 3-5 Mtoe in the period</w:t>
      </w:r>
      <w:r>
        <w:t xml:space="preserve"> </w:t>
      </w:r>
      <w:r>
        <w:t xml:space="preserve">2030-2050). Road transport is responsible for 85%, 65%, 35% of Part B biofuels in 2030,</w:t>
      </w:r>
      <w:r>
        <w:t xml:space="preserve"> </w:t>
      </w:r>
      <w:r>
        <w:t xml:space="preserve">2040, and 2050, respectively. With imports the supply may increase considerably, yet in</w:t>
      </w:r>
      <w:r>
        <w:t xml:space="preserve"> </w:t>
      </w:r>
      <w:r>
        <w:t xml:space="preserve">the model this is limited to maximum historical net import levels.</w:t>
      </w:r>
    </w:p>
    <w:p>
      <w:pPr>
        <w:pStyle w:val="BodyText"/>
      </w:pPr>
      <w:r>
        <w:t xml:space="preserve">106 Forestry-based feedstocks are key for sustainability and LULUCF dimensions. The cap on such type of</w:t>
      </w:r>
      <w:r>
        <w:t xml:space="preserve"> </w:t>
      </w:r>
      <w:r>
        <w:t xml:space="preserve">feedstock is set at 50 Mtoe, which is 35% lower than in the “low scenario” of the JRC ENSPRESO database.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15: Cost-supply curves of feedstocks for liquid biofuels production in PRIMES</w:t>
      </w:r>
      <w:r>
        <w:t xml:space="preserve"> </w:t>
      </w:r>
      <w:r>
        <w:t xml:space="preserve">for the EU27 in 2040 and 2050</w:t>
      </w:r>
      <w:r>
        <w:t xml:space="preserve"> </w:t>
      </w:r>
      <w:r>
        <w:t xml:space="preserve">Note: PRIMES incorporates cost-supply curves at the MS level. The curves represent the EU27 aggregate.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2040</w:t>
      </w:r>
      <w:r>
        <w:t xml:space="preserve"> </w:t>
      </w:r>
      <w:r>
        <w:t xml:space="preserve">Annual crops</w:t>
      </w:r>
      <w:r>
        <w:t xml:space="preserve"> </w:t>
      </w:r>
      <w:r>
        <w:t xml:space="preserve">Perennial crops</w:t>
      </w:r>
      <w:r>
        <w:t xml:space="preserve"> </w:t>
      </w:r>
      <w:r>
        <w:t xml:space="preserve">Agri residues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2050</w:t>
      </w:r>
      <w:r>
        <w:t xml:space="preserve"> </w:t>
      </w:r>
      <w:r>
        <w:t xml:space="preserve">Annual crops</w:t>
      </w:r>
      <w:r>
        <w:t xml:space="preserve"> </w:t>
      </w:r>
      <w:r>
        <w:t xml:space="preserve">Perennial crops</w:t>
      </w:r>
      <w:r>
        <w:t xml:space="preserve"> </w:t>
      </w:r>
      <w:r>
        <w:t xml:space="preserve">Agri residues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2040</w:t>
      </w:r>
      <w:r>
        <w:t xml:space="preserve"> </w:t>
      </w:r>
      <w:r>
        <w:t xml:space="preserve">Sugar crops</w:t>
      </w:r>
      <w:r>
        <w:t xml:space="preserve"> </w:t>
      </w:r>
      <w:r>
        <w:t xml:space="preserve">Starch crops</w:t>
      </w:r>
      <w:r>
        <w:t xml:space="preserve"> </w:t>
      </w:r>
      <w:r>
        <w:t xml:space="preserve">Oil crops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2050</w:t>
      </w:r>
      <w:r>
        <w:t xml:space="preserve"> </w:t>
      </w:r>
      <w:r>
        <w:t xml:space="preserve">Sugar crops</w:t>
      </w:r>
      <w:r>
        <w:t xml:space="preserve"> </w:t>
      </w:r>
      <w:r>
        <w:t xml:space="preserve">Starch crops</w:t>
      </w:r>
      <w:r>
        <w:t xml:space="preserve"> </w:t>
      </w:r>
      <w:r>
        <w:t xml:space="preserve">Oil crops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2040</w:t>
      </w:r>
      <w:r>
        <w:t xml:space="preserve"> </w:t>
      </w:r>
      <w:r>
        <w:t xml:space="preserve">Stemwood</w:t>
      </w:r>
      <w:r>
        <w:t xml:space="preserve"> </w:t>
      </w:r>
      <w:r>
        <w:t xml:space="preserve">Forestry residues</w:t>
      </w:r>
      <w:r>
        <w:t xml:space="preserve"> </w:t>
      </w:r>
      <w:r>
        <w:t xml:space="preserve">Wood Waste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Euro/toe</w:t>
      </w:r>
      <w:r>
        <w:t xml:space="preserve"> </w:t>
      </w:r>
      <w:r>
        <w:t xml:space="preserve">Mtoe</w:t>
      </w:r>
      <w:r>
        <w:t xml:space="preserve"> </w:t>
      </w:r>
      <w:r>
        <w:t xml:space="preserve">2050</w:t>
      </w:r>
      <w:r>
        <w:t xml:space="preserve"> </w:t>
      </w:r>
      <w:r>
        <w:t xml:space="preserve">Stemwood</w:t>
      </w:r>
      <w:r>
        <w:t xml:space="preserve"> </w:t>
      </w:r>
      <w:r>
        <w:t xml:space="preserve">Forestry residues</w:t>
      </w:r>
      <w:r>
        <w:t xml:space="preserve"> </w:t>
      </w:r>
      <w:r>
        <w:t xml:space="preserve">Wood Waste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4.6.MODELLING OF RFNBO IN PRIMES</w:t>
      </w:r>
      <w:r>
        <w:t xml:space="preserve"> </w:t>
      </w:r>
      <w:r>
        <w:t xml:space="preserve">Similarly to biofuels demand, hydrogen and e-fuels demand projections depend on the</w:t>
      </w:r>
      <w:r>
        <w:t xml:space="preserve"> </w:t>
      </w:r>
      <w:r>
        <w:t xml:space="preserve">interplay of various factors, including regulatory restrictions, targets, technical constraints,</w:t>
      </w:r>
      <w:r>
        <w:t xml:space="preserve"> </w:t>
      </w:r>
      <w:r>
        <w:t xml:space="preserve">pricing, and the existence of technological alternatives. example, e-fuels are in direct</w:t>
      </w:r>
      <w:r>
        <w:t xml:space="preserve"> </w:t>
      </w:r>
      <w:r>
        <w:t xml:space="preserve">competition with biofuels since they are interchangeable in terms of use in ICEVs, so their</w:t>
      </w:r>
      <w:r>
        <w:t xml:space="preserve"> </w:t>
      </w:r>
      <w:r>
        <w:t xml:space="preserve">share is to some extent the result of the interplay of their pricing, feedstock availability etc.</w:t>
      </w:r>
      <w:r>
        <w:t xml:space="preserve"> </w:t>
      </w:r>
      <w:r>
        <w:t xml:space="preserve">In the supply side, hydrogen and synthetic fuels production capability for each country is</w:t>
      </w:r>
      <w:r>
        <w:t xml:space="preserve"> </w:t>
      </w:r>
      <w:r>
        <w:t xml:space="preserve">determined based on RES capacity expansion potential, taking into account current</w:t>
      </w:r>
      <w:r>
        <w:t xml:space="preserve"> </w:t>
      </w:r>
      <w:r>
        <w:t xml:space="preserve">projections of RES electricity for other end uses and satisfying constraints on additionality.</w:t>
      </w:r>
      <w:r>
        <w:t xml:space="preserve"> </w:t>
      </w:r>
      <w:r>
        <w:t xml:space="preserve">The model then computes each country’s hydrogen and e-fuels production capacities,</w:t>
      </w:r>
      <w:r>
        <w:t xml:space="preserve"> </w:t>
      </w:r>
      <w:r>
        <w:t xml:space="preserve">quantities, and prices, solving a minimization problem incorporating technical (e.g. </w:t>
      </w:r>
      <w:r>
        <w:t xml:space="preserve"> </w:t>
      </w:r>
      <w:r>
        <w:t xml:space="preserve">electricity, CO2 and H2 feedstock needs) and cost assumptions of various technologies, the</w:t>
      </w:r>
      <w:r>
        <w:t xml:space="preserve"> </w:t>
      </w:r>
      <w:r>
        <w:t xml:space="preserve">endogenously calculated cost of electricity for each country, availability and costs of CO2</w:t>
      </w:r>
      <w:r>
        <w:t xml:space="preserve"> </w:t>
      </w:r>
      <w:r>
        <w:t xml:space="preserve">sources for synthetic fuel production, and hydrogen trading infrastructure availability,</w:t>
      </w:r>
      <w:r>
        <w:t xml:space="preserve"> </w:t>
      </w:r>
      <w:r>
        <w:t xml:space="preserve">capacity and cost. Table 26 includes all carriers and respective technologies used in the</w:t>
      </w:r>
      <w:r>
        <w:t xml:space="preserve"> </w:t>
      </w:r>
      <w:r>
        <w:t xml:space="preserve">model, as well as a list of the main sources used in our technoeconomic assumptions.</w:t>
      </w:r>
      <w:r>
        <w:t xml:space="preserve"> </w:t>
      </w:r>
      <w:r>
        <w:t xml:space="preserve">Table 26: Overview of carriers, associated production technologies, and</w:t>
      </w:r>
      <w:r>
        <w:t xml:space="preserve"> </w:t>
      </w:r>
      <w:r>
        <w:t xml:space="preserve">technoeconomic assumptions sources</w:t>
      </w:r>
      <w:r>
        <w:t xml:space="preserve"> </w:t>
      </w:r>
      <w:r>
        <w:t xml:space="preserve">Carriers</w:t>
      </w:r>
      <w:r>
        <w:t xml:space="preserve"> </w:t>
      </w:r>
      <w:r>
        <w:t xml:space="preserve">Technologies</w:t>
      </w:r>
      <w:r>
        <w:t xml:space="preserve"> </w:t>
      </w:r>
      <w:r>
        <w:t xml:space="preserve">Sources</w:t>
      </w:r>
      <w:r>
        <w:t xml:space="preserve"> </w:t>
      </w:r>
      <w:r>
        <w:t xml:space="preserve">Hydrogen</w:t>
      </w:r>
      <w:r>
        <w:t xml:space="preserve"> </w:t>
      </w:r>
      <w:r>
        <w:t xml:space="preserve">Alkaline Electrolysers</w:t>
      </w:r>
      <w:r>
        <w:t xml:space="preserve"> </w:t>
      </w:r>
      <w:r>
        <w:t xml:space="preserve">PEM Electrolysers</w:t>
      </w:r>
      <w:r>
        <w:t xml:space="preserve"> </w:t>
      </w:r>
      <w:r>
        <w:t xml:space="preserve">SOEC Electrolysers</w:t>
      </w:r>
      <w:r>
        <w:t xml:space="preserve"> </w:t>
      </w:r>
      <w:r>
        <w:t xml:space="preserve">SMR</w:t>
      </w:r>
      <w:r>
        <w:t xml:space="preserve"> </w:t>
      </w:r>
      <w:r>
        <w:t xml:space="preserve">SMR with CCS</w:t>
      </w:r>
      <w:r>
        <w:t xml:space="preserve"> </w:t>
      </w:r>
      <w:r>
        <w:t xml:space="preserve">Methane Pyrolysis</w:t>
      </w:r>
      <w:r>
        <w:t xml:space="preserve"> </w:t>
      </w:r>
      <w:r>
        <w:t xml:space="preserve">Biomass Gasification</w:t>
      </w:r>
      <w:r>
        <w:t xml:space="preserve"> </w:t>
      </w:r>
      <w:r>
        <w:t xml:space="preserve">Ammonia Cracking</w:t>
      </w:r>
      <w:r>
        <w:t xml:space="preserve"> </w:t>
      </w:r>
      <w:r>
        <w:t xml:space="preserve">—</w:t>
      </w:r>
      <w:r>
        <w:t xml:space="preserve"> </w:t>
      </w:r>
      <w:r>
        <w:t xml:space="preserve">DEA (2024), Technology Data</w:t>
      </w:r>
      <w:r>
        <w:t xml:space="preserve"> </w:t>
      </w:r>
      <w:r>
        <w:t xml:space="preserve">for Generation of Electricity and</w:t>
      </w:r>
      <w:r>
        <w:t xml:space="preserve"> </w:t>
      </w:r>
      <w:r>
        <w:t xml:space="preserve">District Heating, Energy Storage,</w:t>
      </w:r>
      <w:r>
        <w:t xml:space="preserve"> </w:t>
      </w:r>
      <w:r>
        <w:t xml:space="preserve">Renewable Fuels, Carbon Capture</w:t>
      </w:r>
      <w:r>
        <w:t xml:space="preserve"> </w:t>
      </w:r>
      <w:r>
        <w:t xml:space="preserve">and Storage. Danish Energy Agency</w:t>
      </w:r>
      <w:r>
        <w:t xml:space="preserve"> </w:t>
      </w:r>
      <w:r>
        <w:t xml:space="preserve">—</w:t>
      </w:r>
      <w:r>
        <w:t xml:space="preserve"> </w:t>
      </w:r>
      <w:r>
        <w:t xml:space="preserve">DNV (2020), Study on the</w:t>
      </w:r>
      <w:r>
        <w:t xml:space="preserve"> </w:t>
      </w:r>
      <w:r>
        <w:t xml:space="preserve">Import of Liquid Renewable Energy:</w:t>
      </w:r>
      <w:r>
        <w:t xml:space="preserve"> </w:t>
      </w:r>
      <w:r>
        <w:t xml:space="preserve">Technology Cost Assessment</w:t>
      </w:r>
      <w:r>
        <w:t xml:space="preserve"> </w:t>
      </w:r>
      <w:r>
        <w:t xml:space="preserve">—</w:t>
      </w:r>
      <w:r>
        <w:t xml:space="preserve"> </w:t>
      </w:r>
      <w:r>
        <w:t xml:space="preserve">IEA (2024), Global Hydrogen</w:t>
      </w:r>
      <w:r>
        <w:t xml:space="preserve"> </w:t>
      </w:r>
      <w:r>
        <w:t xml:space="preserve">Review</w:t>
      </w:r>
      <w:r>
        <w:t xml:space="preserve"> </w:t>
      </w:r>
      <w:r>
        <w:t xml:space="preserve">—</w:t>
      </w:r>
      <w:r>
        <w:t xml:space="preserve"> </w:t>
      </w:r>
      <w:r>
        <w:t xml:space="preserve">CONCAWE (2024), E-fuels</w:t>
      </w:r>
      <w:r>
        <w:t xml:space="preserve"> </w:t>
      </w:r>
      <w:r>
        <w:t xml:space="preserve">—</w:t>
      </w:r>
      <w:r>
        <w:t xml:space="preserve"> </w:t>
      </w:r>
      <w:r>
        <w:t xml:space="preserve">Platts (2023), Platts</w:t>
      </w:r>
      <w:r>
        <w:t xml:space="preserve"> </w:t>
      </w:r>
      <w:r>
        <w:t xml:space="preserve">Methodology and Specifications</w:t>
      </w:r>
      <w:r>
        <w:t xml:space="preserve"> </w:t>
      </w:r>
      <w:r>
        <w:t xml:space="preserve">Guide: Global Hydrogen &amp;</w:t>
      </w:r>
      <w:r>
        <w:t xml:space="preserve"> </w:t>
      </w:r>
      <w:r>
        <w:t xml:space="preserve">Ammonia</w:t>
      </w:r>
      <w:r>
        <w:t xml:space="preserve"> </w:t>
      </w:r>
      <w:r>
        <w:t xml:space="preserve">—</w:t>
      </w:r>
      <w:r>
        <w:t xml:space="preserve"> </w:t>
      </w:r>
      <w:r>
        <w:t xml:space="preserve">IEA (2020), CCUS in Clean</w:t>
      </w:r>
      <w:r>
        <w:t xml:space="preserve"> </w:t>
      </w:r>
      <w:r>
        <w:t xml:space="preserve">Energy Transitions</w:t>
      </w:r>
      <w:r>
        <w:t xml:space="preserve"> </w:t>
      </w:r>
      <w:r>
        <w:t xml:space="preserve">—</w:t>
      </w:r>
      <w:r>
        <w:t xml:space="preserve"> </w:t>
      </w:r>
      <w:r>
        <w:t xml:space="preserve">DNV(2025), Energy Transition</w:t>
      </w:r>
      <w:r>
        <w:t xml:space="preserve"> </w:t>
      </w:r>
      <w:r>
        <w:t xml:space="preserve">Outlook: CCS to 2050</w:t>
      </w:r>
      <w:r>
        <w:t xml:space="preserve"> </w:t>
      </w:r>
      <w:r>
        <w:t xml:space="preserve">Synthetic</w:t>
      </w:r>
      <w:r>
        <w:t xml:space="preserve"> </w:t>
      </w:r>
      <w:r>
        <w:t xml:space="preserve">Methane</w:t>
      </w:r>
      <w:r>
        <w:t xml:space="preserve"> </w:t>
      </w:r>
      <w:r>
        <w:t xml:space="preserve">Methanation (Sabatier)</w:t>
      </w:r>
      <w:r>
        <w:t xml:space="preserve"> </w:t>
      </w:r>
      <w:r>
        <w:t xml:space="preserve">e-Methanol</w:t>
      </w:r>
      <w:r>
        <w:t xml:space="preserve"> </w:t>
      </w:r>
      <w:r>
        <w:t xml:space="preserve">Methanol Synthesis</w:t>
      </w:r>
      <w:r>
        <w:t xml:space="preserve"> </w:t>
      </w:r>
      <w:r>
        <w:t xml:space="preserve">e-Ammonia</w:t>
      </w:r>
      <w:r>
        <w:t xml:space="preserve"> </w:t>
      </w:r>
      <w:r>
        <w:t xml:space="preserve">Haber-Bosch Synthesis</w:t>
      </w:r>
      <w:r>
        <w:t xml:space="preserve"> </w:t>
      </w:r>
      <w:r>
        <w:t xml:space="preserve">e-Gasoline</w:t>
      </w:r>
      <w:r>
        <w:t xml:space="preserve"> </w:t>
      </w:r>
      <w:r>
        <w:t xml:space="preserve">Fischer-Tropsch</w:t>
      </w:r>
      <w:r>
        <w:t xml:space="preserve"> </w:t>
      </w:r>
      <w:r>
        <w:t xml:space="preserve">Synthesis</w:t>
      </w:r>
      <w:r>
        <w:t xml:space="preserve"> </w:t>
      </w:r>
      <w:r>
        <w:t xml:space="preserve">Methanol-to-Gasoline</w:t>
      </w:r>
      <w:r>
        <w:t xml:space="preserve"> </w:t>
      </w:r>
      <w:r>
        <w:t xml:space="preserve">e-Diesel</w:t>
      </w:r>
      <w:r>
        <w:t xml:space="preserve"> </w:t>
      </w:r>
      <w:r>
        <w:t xml:space="preserve">Fischer-Tropsch</w:t>
      </w:r>
      <w:r>
        <w:t xml:space="preserve"> </w:t>
      </w:r>
      <w:r>
        <w:t xml:space="preserve">Synthesis</w:t>
      </w:r>
      <w:r>
        <w:t xml:space="preserve"> </w:t>
      </w:r>
      <w:r>
        <w:t xml:space="preserve">Methanol-to-Diesel</w:t>
      </w:r>
      <w:r>
        <w:t xml:space="preserve"> </w:t>
      </w:r>
      <w:r>
        <w:t xml:space="preserve">e-Kerosene</w:t>
      </w:r>
      <w:r>
        <w:t xml:space="preserve"> </w:t>
      </w:r>
      <w:r>
        <w:t xml:space="preserve">Fischer-Tropsch</w:t>
      </w:r>
      <w:r>
        <w:t xml:space="preserve"> </w:t>
      </w:r>
      <w:r>
        <w:t xml:space="preserve">Synthesis</w:t>
      </w:r>
      <w:r>
        <w:t xml:space="preserve"> </w:t>
      </w:r>
      <w:r>
        <w:t xml:space="preserve">Methanol-to-Kerosene</w:t>
      </w:r>
      <w:r>
        <w:t xml:space="preserve"> </w:t>
      </w:r>
      <w:r>
        <w:t xml:space="preserve">The model assumes a technology mix of Fischer-Tropsch and Methanol-to-X pathways, of</w:t>
      </w:r>
      <w:r>
        <w:t xml:space="preserve"> </w:t>
      </w:r>
      <w:r>
        <w:t xml:space="preserve">which Methanol-to-X is the dominant one. Methanol-to-X has lower H2 and CO2 feedstock</w:t>
      </w:r>
      <w:r>
        <w:t xml:space="preserve"> </w:t>
      </w:r>
      <w:r>
        <w:t xml:space="preserve">needs than Fischer-Tropsch although it has higher fixed costs.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Hydrogen and synthetic fuels production is assumed to comply with the RFNBO definition</w:t>
      </w:r>
      <w:r>
        <w:t xml:space="preserve"> </w:t>
      </w:r>
      <w:r>
        <w:t xml:space="preserve">provided in the RED and to be climate neutral. The installed capacity of electrolysers is</w:t>
      </w:r>
      <w:r>
        <w:t xml:space="preserve"> </w:t>
      </w:r>
      <w:r>
        <w:t xml:space="preserve">approximatively 30 GW in 2030, 250 GW in 2040 and 500 GW in 2050.</w:t>
      </w:r>
      <w:r>
        <w:t xml:space="preserve"> </w:t>
      </w:r>
      <w:r>
        <w:t xml:space="preserve">PRIMES determines the technology mix used for hydrogen and synthetic fuels production</w:t>
      </w:r>
      <w:r>
        <w:t xml:space="preserve"> </w:t>
      </w:r>
      <w:r>
        <w:t xml:space="preserve">for each country based on the capital and operational costs of each technology and the fuel</w:t>
      </w:r>
      <w:r>
        <w:t xml:space="preserve"> </w:t>
      </w:r>
      <w:r>
        <w:t xml:space="preserve">price (electricity in most cases) in conjunction with fuel consumption for each technology</w:t>
      </w:r>
      <w:r>
        <w:t xml:space="preserve"> </w:t>
      </w:r>
      <w:r>
        <w:t xml:space="preserve">or P2X pathway. The costs and conversion efficiencies associated with each production</w:t>
      </w:r>
      <w:r>
        <w:t xml:space="preserve"> </w:t>
      </w:r>
      <w:r>
        <w:t xml:space="preserve">technology are as follows:</w:t>
      </w:r>
      <w:r>
        <w:br/>
      </w:r>
      <w:r>
        <w:t xml:space="preserve">Table 27: Investment Costs of Hydrogen and E-Fuels</w:t>
      </w:r>
    </w:p>
    <w:p>
      <w:pPr>
        <w:pStyle w:val="BodyText"/>
      </w:pPr>
      <w:r>
        <w:t xml:space="preserve">Table 28: Heat/Electricity input requirements (input/output)</w:t>
      </w:r>
    </w:p>
    <w:p>
      <w:pPr>
        <w:pStyle w:val="BodyText"/>
      </w:pPr>
      <w:r>
        <w:t xml:space="preserve">Table 29: Feedstock H2/CO2 requirements for e-fuels</w:t>
      </w:r>
    </w:p>
    <w:p>
      <w:pPr>
        <w:pStyle w:val="BodyText"/>
      </w:pPr>
      <w:r>
        <w:t xml:space="preserve">The prices of electricity are derived from the PRIMES Power and steam generation and</w:t>
      </w:r>
      <w:r>
        <w:t xml:space="preserve"> </w:t>
      </w:r>
      <w:r>
        <w:t xml:space="preserve">supply model. Electricity (and steam/heat) fuel prices are determined by category of</w:t>
      </w:r>
      <w:r>
        <w:t xml:space="preserve"> </w:t>
      </w:r>
      <w:r>
        <w:t xml:space="preserve">customer (sectors and sub-sectors of demand). The aim is to allocate variable, fixed, and</w:t>
      </w:r>
      <w:r>
        <w:t xml:space="preserve"> </w:t>
      </w:r>
      <w:r>
        <w:t xml:space="preserve">capital costs as well as grid and other costs to each category of customers as would be the</w:t>
      </w:r>
      <w:r>
        <w:t xml:space="preserve"> </w:t>
      </w:r>
      <w:r>
        <w:t xml:space="preserve">case in a well-functioning market in which suppliers would conclude efficient and stable</w:t>
      </w:r>
      <w:r>
        <w:t xml:space="preserve"> </w:t>
      </w:r>
      <w:r>
        <w:t xml:space="preserve">bilateral contracts with each customer category, based for example on the specific load</w:t>
      </w:r>
      <w:r>
        <w:t xml:space="preserve"> </w:t>
      </w:r>
      <w:r>
        <w:t xml:space="preserve">profile of the customer. Accordingly, the price of electricity used by electrolysers depends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Ultimate</w:t>
      </w:r>
      <w:r>
        <w:t xml:space="preserve"> </w:t>
      </w:r>
      <w:r>
        <w:t xml:space="preserve">Εlectrolysis PEM centralised - Large scale (per 1 kW H2 LHV)</w:t>
      </w:r>
      <w:r>
        <w:t xml:space="preserve"> </w:t>
      </w:r>
      <w:r>
        <w:t xml:space="preserve">2195</w:t>
      </w:r>
      <w:r>
        <w:t xml:space="preserve"> </w:t>
      </w:r>
      <w:r>
        <w:t xml:space="preserve">1155</w:t>
      </w:r>
      <w:r>
        <w:t xml:space="preserve"> </w:t>
      </w:r>
      <w:r>
        <w:t xml:space="preserve">825</w:t>
      </w:r>
      <w:r>
        <w:t xml:space="preserve"> </w:t>
      </w:r>
      <w:r>
        <w:t xml:space="preserve">590</w:t>
      </w:r>
      <w:r>
        <w:t xml:space="preserve"> </w:t>
      </w:r>
      <w:r>
        <w:t xml:space="preserve">Εlectrolysis PEM de-centralised (per 1 kW H2 LHV)</w:t>
      </w:r>
      <w:r>
        <w:t xml:space="preserve"> </w:t>
      </w:r>
      <w:r>
        <w:t xml:space="preserve">3130</w:t>
      </w:r>
      <w:r>
        <w:t xml:space="preserve"> </w:t>
      </w:r>
      <w:r>
        <w:t xml:space="preserve">1775</w:t>
      </w:r>
      <w:r>
        <w:t xml:space="preserve"> </w:t>
      </w:r>
      <w:r>
        <w:t xml:space="preserve">1175</w:t>
      </w:r>
      <w:r>
        <w:t xml:space="preserve"> </w:t>
      </w:r>
      <w:r>
        <w:t xml:space="preserve">645</w:t>
      </w:r>
      <w:r>
        <w:t xml:space="preserve"> </w:t>
      </w:r>
      <w:r>
        <w:t xml:space="preserve">Εlectrolysis - Alkaline centralised - Large scale (per 1 kW H2 LHV)</w:t>
      </w:r>
      <w:r>
        <w:t xml:space="preserve"> </w:t>
      </w:r>
      <w:r>
        <w:t xml:space="preserve">1600</w:t>
      </w:r>
      <w:r>
        <w:t xml:space="preserve"> </w:t>
      </w:r>
      <w:r>
        <w:t xml:space="preserve">850</w:t>
      </w:r>
      <w:r>
        <w:t xml:space="preserve"> </w:t>
      </w:r>
      <w:r>
        <w:t xml:space="preserve">720</w:t>
      </w:r>
      <w:r>
        <w:t xml:space="preserve"> </w:t>
      </w:r>
      <w:r>
        <w:t xml:space="preserve">555</w:t>
      </w:r>
      <w:r>
        <w:t xml:space="preserve"> </w:t>
      </w:r>
      <w:r>
        <w:t xml:space="preserve">Electrolysis Alkaline de-centralised (per 1 kW H2 LHV)</w:t>
      </w:r>
      <w:r>
        <w:t xml:space="preserve"> </w:t>
      </w:r>
      <w:r>
        <w:t xml:space="preserve">2700</w:t>
      </w:r>
      <w:r>
        <w:t xml:space="preserve"> </w:t>
      </w:r>
      <w:r>
        <w:t xml:space="preserve">1217</w:t>
      </w:r>
      <w:r>
        <w:t xml:space="preserve"> </w:t>
      </w:r>
      <w:r>
        <w:t xml:space="preserve">920</w:t>
      </w:r>
      <w:r>
        <w:t xml:space="preserve"> </w:t>
      </w:r>
      <w:r>
        <w:t xml:space="preserve">670</w:t>
      </w:r>
      <w:r>
        <w:t xml:space="preserve"> </w:t>
      </w:r>
      <w:r>
        <w:t xml:space="preserve">Electrolysis SOEC centralised - electric driven heat (per 1 kW H2 LHV)</w:t>
      </w:r>
      <w:r>
        <w:t xml:space="preserve"> </w:t>
      </w:r>
      <w:r>
        <w:t xml:space="preserve">2500</w:t>
      </w:r>
      <w:r>
        <w:t xml:space="preserve"> </w:t>
      </w:r>
      <w:r>
        <w:t xml:space="preserve">1670</w:t>
      </w:r>
      <w:r>
        <w:t xml:space="preserve"> </w:t>
      </w:r>
      <w:r>
        <w:t xml:space="preserve">920</w:t>
      </w:r>
      <w:r>
        <w:t xml:space="preserve"> </w:t>
      </w:r>
      <w:r>
        <w:t xml:space="preserve">695</w:t>
      </w:r>
      <w:r>
        <w:t xml:space="preserve"> </w:t>
      </w:r>
      <w:r>
        <w:t xml:space="preserve">Electrolysis SOEC de-centralised - external heat input (per 1 kW H2 LHV)</w:t>
      </w:r>
      <w:r>
        <w:t xml:space="preserve"> </w:t>
      </w:r>
      <w:r>
        <w:t xml:space="preserve">5525</w:t>
      </w:r>
      <w:r>
        <w:t xml:space="preserve"> </w:t>
      </w:r>
      <w:r>
        <w:t xml:space="preserve">2905</w:t>
      </w:r>
      <w:r>
        <w:t xml:space="preserve"> </w:t>
      </w:r>
      <w:r>
        <w:t xml:space="preserve">1895</w:t>
      </w:r>
      <w:r>
        <w:t xml:space="preserve"> </w:t>
      </w:r>
      <w:r>
        <w:t xml:space="preserve">1220</w:t>
      </w:r>
      <w:r>
        <w:t xml:space="preserve"> </w:t>
      </w:r>
      <w:r>
        <w:t xml:space="preserve">Methanation (per 1 kW CH4 LHV)</w:t>
      </w:r>
      <w:r>
        <w:t xml:space="preserve"> </w:t>
      </w:r>
      <w:r>
        <w:t xml:space="preserve">1200</w:t>
      </w:r>
      <w:r>
        <w:t xml:space="preserve"> </w:t>
      </w:r>
      <w:r>
        <w:t xml:space="preserve">880</w:t>
      </w:r>
      <w:r>
        <w:t xml:space="preserve"> </w:t>
      </w:r>
      <w:r>
        <w:t xml:space="preserve">525</w:t>
      </w:r>
      <w:r>
        <w:t xml:space="preserve"> </w:t>
      </w:r>
      <w:r>
        <w:t xml:space="preserve">500</w:t>
      </w:r>
      <w:r>
        <w:t xml:space="preserve"> </w:t>
      </w:r>
      <w:r>
        <w:t xml:space="preserve">Methanol synthesis (per 1 kW CH3OH LHV)</w:t>
      </w:r>
      <w:r>
        <w:t xml:space="preserve"> </w:t>
      </w:r>
      <w:r>
        <w:t xml:space="preserve">1685</w:t>
      </w:r>
      <w:r>
        <w:t xml:space="preserve"> </w:t>
      </w:r>
      <w:r>
        <w:t xml:space="preserve">1419</w:t>
      </w:r>
      <w:r>
        <w:t xml:space="preserve"> </w:t>
      </w:r>
      <w:r>
        <w:t xml:space="preserve">1246</w:t>
      </w:r>
      <w:r>
        <w:t xml:space="preserve"> </w:t>
      </w:r>
      <w:r>
        <w:t xml:space="preserve">830</w:t>
      </w:r>
      <w:r>
        <w:t xml:space="preserve"> </w:t>
      </w:r>
      <w:r>
        <w:t xml:space="preserve">Methanol-to-Olefins, Methanol-to-Kerosene and Methanol-to-Gasoline (per 1 kW final fuel</w:t>
      </w:r>
      <w:r>
        <w:t xml:space="preserve"> </w:t>
      </w:r>
      <w:r>
        <w:t xml:space="preserve">2113</w:t>
      </w:r>
      <w:r>
        <w:t xml:space="preserve"> </w:t>
      </w:r>
      <w:r>
        <w:t xml:space="preserve">1788</w:t>
      </w:r>
      <w:r>
        <w:t xml:space="preserve"> </w:t>
      </w:r>
      <w:r>
        <w:t xml:space="preserve">1563</w:t>
      </w:r>
      <w:r>
        <w:t xml:space="preserve"> </w:t>
      </w:r>
      <w:r>
        <w:t xml:space="preserve">1089</w:t>
      </w:r>
      <w:r>
        <w:t xml:space="preserve"> </w:t>
      </w:r>
      <w:r>
        <w:t xml:space="preserve">Fischer Tropsch (per 1 kW FT LHV - considered same as diesel)</w:t>
      </w:r>
      <w:r>
        <w:t xml:space="preserve"> </w:t>
      </w:r>
      <w:r>
        <w:t xml:space="preserve">2040</w:t>
      </w:r>
      <w:r>
        <w:t xml:space="preserve"> </w:t>
      </w:r>
      <w:r>
        <w:t xml:space="preserve">1628</w:t>
      </w:r>
      <w:r>
        <w:t xml:space="preserve"> </w:t>
      </w:r>
      <w:r>
        <w:t xml:space="preserve">1232</w:t>
      </w:r>
      <w:r>
        <w:t xml:space="preserve"> </w:t>
      </w:r>
      <w:r>
        <w:t xml:space="preserve">880</w:t>
      </w:r>
      <w:r>
        <w:t xml:space="preserve"> </w:t>
      </w:r>
      <w:r>
        <w:t xml:space="preserve">Haber-Bosch ammonia synthesis (per 1 kW NH3 LHV)</w:t>
      </w:r>
      <w:r>
        <w:t xml:space="preserve"> </w:t>
      </w:r>
      <w:r>
        <w:t xml:space="preserve">1915</w:t>
      </w:r>
      <w:r>
        <w:t xml:space="preserve"> </w:t>
      </w:r>
      <w:r>
        <w:t xml:space="preserve">1815</w:t>
      </w:r>
      <w:r>
        <w:t xml:space="preserve"> </w:t>
      </w:r>
      <w:r>
        <w:t xml:space="preserve">1650</w:t>
      </w:r>
      <w:r>
        <w:t xml:space="preserve"> </w:t>
      </w:r>
      <w:r>
        <w:t xml:space="preserve">1510</w:t>
      </w:r>
      <w:r>
        <w:t xml:space="preserve"> </w:t>
      </w:r>
      <w:r>
        <w:t xml:space="preserve">Conversion technologies</w:t>
      </w:r>
      <w:r>
        <w:t xml:space="preserve"> </w:t>
      </w:r>
      <w:r>
        <w:t xml:space="preserve">Investment cost per unit of capacity (EUR/kW-output)</w:t>
      </w:r>
      <w:r>
        <w:t xml:space="preserve"> </w:t>
      </w:r>
      <w:r>
        <w:t xml:space="preserve">2020</w:t>
      </w:r>
      <w:r>
        <w:t xml:space="preserve"> </w:t>
      </w:r>
      <w:r>
        <w:t xml:space="preserve">Heat</w:t>
      </w:r>
      <w:r>
        <w:t xml:space="preserve"> </w:t>
      </w:r>
      <w:r>
        <w:t xml:space="preserve">2020</w:t>
      </w:r>
      <w:r>
        <w:t xml:space="preserve"> </w:t>
      </w:r>
      <w:r>
        <w:t xml:space="preserve">Electricity</w:t>
      </w:r>
      <w:r>
        <w:t xml:space="preserve"> </w:t>
      </w:r>
      <w:r>
        <w:t xml:space="preserve">2030</w:t>
      </w:r>
      <w:r>
        <w:t xml:space="preserve"> </w:t>
      </w:r>
      <w:r>
        <w:t xml:space="preserve">Heat</w:t>
      </w:r>
      <w:r>
        <w:t xml:space="preserve"> </w:t>
      </w:r>
      <w:r>
        <w:t xml:space="preserve">2030</w:t>
      </w:r>
      <w:r>
        <w:t xml:space="preserve"> </w:t>
      </w:r>
      <w:r>
        <w:t xml:space="preserve">Electricity</w:t>
      </w:r>
      <w:r>
        <w:t xml:space="preserve"> </w:t>
      </w:r>
      <w:r>
        <w:t xml:space="preserve">2040</w:t>
      </w:r>
      <w:r>
        <w:t xml:space="preserve"> </w:t>
      </w:r>
      <w:r>
        <w:t xml:space="preserve">Heat</w:t>
      </w:r>
      <w:r>
        <w:t xml:space="preserve"> </w:t>
      </w:r>
      <w:r>
        <w:t xml:space="preserve">2040</w:t>
      </w:r>
      <w:r>
        <w:t xml:space="preserve"> </w:t>
      </w:r>
      <w:r>
        <w:t xml:space="preserve">Electricity</w:t>
      </w:r>
      <w:r>
        <w:t xml:space="preserve"> </w:t>
      </w:r>
      <w:r>
        <w:t xml:space="preserve">Ultimate</w:t>
      </w:r>
      <w:r>
        <w:t xml:space="preserve"> </w:t>
      </w:r>
      <w:r>
        <w:t xml:space="preserve">Heat</w:t>
      </w:r>
      <w:r>
        <w:t xml:space="preserve"> </w:t>
      </w:r>
      <w:r>
        <w:t xml:space="preserve">Ultimate</w:t>
      </w:r>
      <w:r>
        <w:t xml:space="preserve"> </w:t>
      </w:r>
      <w:r>
        <w:t xml:space="preserve">Electricity</w:t>
      </w:r>
      <w:r>
        <w:t xml:space="preserve"> </w:t>
      </w:r>
      <w:r>
        <w:t xml:space="preserve">Εlectrolysis PEM centralised - Large scale (per 1 kW H2 LHV)</w:t>
      </w:r>
      <w:r>
        <w:t xml:space="preserve"> </w:t>
      </w:r>
      <w:r>
        <w:t xml:space="preserve">0.00</w:t>
      </w:r>
      <w:r>
        <w:t xml:space="preserve"> </w:t>
      </w:r>
      <w:r>
        <w:t xml:space="preserve">1.64</w:t>
      </w:r>
      <w:r>
        <w:t xml:space="preserve"> </w:t>
      </w:r>
      <w:r>
        <w:t xml:space="preserve">0.00</w:t>
      </w:r>
      <w:r>
        <w:t xml:space="preserve"> </w:t>
      </w:r>
      <w:r>
        <w:t xml:space="preserve">1.42</w:t>
      </w:r>
      <w:r>
        <w:t xml:space="preserve"> </w:t>
      </w:r>
      <w:r>
        <w:t xml:space="preserve">0.00</w:t>
      </w:r>
      <w:r>
        <w:t xml:space="preserve"> </w:t>
      </w:r>
      <w:r>
        <w:t xml:space="preserve">1.38</w:t>
      </w:r>
      <w:r>
        <w:t xml:space="preserve"> </w:t>
      </w:r>
      <w:r>
        <w:t xml:space="preserve">0.00</w:t>
      </w:r>
      <w:r>
        <w:t xml:space="preserve"> </w:t>
      </w:r>
      <w:r>
        <w:t xml:space="preserve">1.38</w:t>
      </w:r>
      <w:r>
        <w:t xml:space="preserve"> </w:t>
      </w:r>
      <w:r>
        <w:t xml:space="preserve">Εlectrolysis PEM de-centralised (per 1 kW H2 LHV)</w:t>
      </w:r>
      <w:r>
        <w:t xml:space="preserve"> </w:t>
      </w:r>
      <w:r>
        <w:t xml:space="preserve">0.00</w:t>
      </w:r>
      <w:r>
        <w:t xml:space="preserve"> </w:t>
      </w:r>
      <w:r>
        <w:t xml:space="preserve">1.73</w:t>
      </w:r>
      <w:r>
        <w:t xml:space="preserve"> </w:t>
      </w:r>
      <w:r>
        <w:t xml:space="preserve">0.00</w:t>
      </w:r>
      <w:r>
        <w:t xml:space="preserve"> </w:t>
      </w:r>
      <w:r>
        <w:t xml:space="preserve">1.50</w:t>
      </w:r>
      <w:r>
        <w:t xml:space="preserve"> </w:t>
      </w:r>
      <w:r>
        <w:t xml:space="preserve">0.00</w:t>
      </w:r>
      <w:r>
        <w:t xml:space="preserve"> </w:t>
      </w:r>
      <w:r>
        <w:t xml:space="preserve">1.48</w:t>
      </w:r>
      <w:r>
        <w:t xml:space="preserve"> </w:t>
      </w:r>
      <w:r>
        <w:t xml:space="preserve">0.00</w:t>
      </w:r>
      <w:r>
        <w:t xml:space="preserve"> </w:t>
      </w:r>
      <w:r>
        <w:t xml:space="preserve">1.41</w:t>
      </w:r>
      <w:r>
        <w:t xml:space="preserve"> </w:t>
      </w:r>
      <w:r>
        <w:t xml:space="preserve">Εlectrolysis - Alkaline centralised - Large scale (per 1 kW H2 LHV)</w:t>
      </w:r>
      <w:r>
        <w:t xml:space="preserve"> </w:t>
      </w:r>
      <w:r>
        <w:t xml:space="preserve">0.00</w:t>
      </w:r>
      <w:r>
        <w:t xml:space="preserve"> </w:t>
      </w:r>
      <w:r>
        <w:t xml:space="preserve">1.54</w:t>
      </w:r>
      <w:r>
        <w:t xml:space="preserve"> </w:t>
      </w:r>
      <w:r>
        <w:t xml:space="preserve">0.00</w:t>
      </w:r>
      <w:r>
        <w:t xml:space="preserve"> </w:t>
      </w:r>
      <w:r>
        <w:t xml:space="preserve">1.50</w:t>
      </w:r>
      <w:r>
        <w:t xml:space="preserve"> </w:t>
      </w:r>
      <w:r>
        <w:t xml:space="preserve">0.00</w:t>
      </w:r>
      <w:r>
        <w:t xml:space="preserve"> </w:t>
      </w:r>
      <w:r>
        <w:t xml:space="preserve">1.43</w:t>
      </w:r>
      <w:r>
        <w:t xml:space="preserve"> </w:t>
      </w:r>
      <w:r>
        <w:t xml:space="preserve">0.00</w:t>
      </w:r>
      <w:r>
        <w:t xml:space="preserve"> </w:t>
      </w:r>
      <w:r>
        <w:t xml:space="preserve">1.39</w:t>
      </w:r>
      <w:r>
        <w:t xml:space="preserve"> </w:t>
      </w:r>
      <w:r>
        <w:t xml:space="preserve">Electrolysis Alkaline de-centralised (per 1 kW H2 LHV)</w:t>
      </w:r>
      <w:r>
        <w:t xml:space="preserve"> </w:t>
      </w:r>
      <w:r>
        <w:t xml:space="preserve">0.00</w:t>
      </w:r>
      <w:r>
        <w:t xml:space="preserve"> </w:t>
      </w:r>
      <w:r>
        <w:t xml:space="preserve">1.65</w:t>
      </w:r>
      <w:r>
        <w:t xml:space="preserve"> </w:t>
      </w:r>
      <w:r>
        <w:t xml:space="preserve">0.00</w:t>
      </w:r>
      <w:r>
        <w:t xml:space="preserve"> </w:t>
      </w:r>
      <w:r>
        <w:t xml:space="preserve">1.50</w:t>
      </w:r>
      <w:r>
        <w:t xml:space="preserve"> </w:t>
      </w:r>
      <w:r>
        <w:t xml:space="preserve">0.00</w:t>
      </w:r>
      <w:r>
        <w:t xml:space="preserve"> </w:t>
      </w:r>
      <w:r>
        <w:t xml:space="preserve">1.43</w:t>
      </w:r>
      <w:r>
        <w:t xml:space="preserve"> </w:t>
      </w:r>
      <w:r>
        <w:t xml:space="preserve">0.00</w:t>
      </w:r>
      <w:r>
        <w:t xml:space="preserve"> </w:t>
      </w:r>
      <w:r>
        <w:t xml:space="preserve">1.42</w:t>
      </w:r>
      <w:r>
        <w:t xml:space="preserve"> </w:t>
      </w:r>
      <w:r>
        <w:t xml:space="preserve">Electrolysis SOEC centralised - electric driven heat (per 1 kW H2 LHV)</w:t>
      </w:r>
      <w:r>
        <w:t xml:space="preserve"> </w:t>
      </w:r>
      <w:r>
        <w:t xml:space="preserve">0.00</w:t>
      </w:r>
      <w:r>
        <w:t xml:space="preserve"> </w:t>
      </w:r>
      <w:r>
        <w:t xml:space="preserve">1.71</w:t>
      </w:r>
      <w:r>
        <w:t xml:space="preserve"> </w:t>
      </w:r>
      <w:r>
        <w:t xml:space="preserve">0.00</w:t>
      </w:r>
      <w:r>
        <w:t xml:space="preserve"> </w:t>
      </w:r>
      <w:r>
        <w:t xml:space="preserve">1.50</w:t>
      </w:r>
      <w:r>
        <w:t xml:space="preserve"> </w:t>
      </w:r>
      <w:r>
        <w:t xml:space="preserve">0.00</w:t>
      </w:r>
      <w:r>
        <w:t xml:space="preserve"> </w:t>
      </w:r>
      <w:r>
        <w:t xml:space="preserve">1.42</w:t>
      </w:r>
      <w:r>
        <w:t xml:space="preserve"> </w:t>
      </w:r>
      <w:r>
        <w:t xml:space="preserve">0.00</w:t>
      </w:r>
      <w:r>
        <w:t xml:space="preserve"> </w:t>
      </w:r>
      <w:r>
        <w:t xml:space="preserve">1.30</w:t>
      </w:r>
      <w:r>
        <w:t xml:space="preserve"> </w:t>
      </w:r>
      <w:r>
        <w:t xml:space="preserve">Electrolysis SOEC de-centralised - external heat input (per 1 kW H2 LHV)</w:t>
      </w:r>
      <w:r>
        <w:t xml:space="preserve"> </w:t>
      </w:r>
      <w:r>
        <w:t xml:space="preserve">0.35</w:t>
      </w:r>
      <w:r>
        <w:t xml:space="preserve"> </w:t>
      </w:r>
      <w:r>
        <w:t xml:space="preserve">1.38</w:t>
      </w:r>
      <w:r>
        <w:t xml:space="preserve"> </w:t>
      </w:r>
      <w:r>
        <w:t xml:space="preserve">0.33</w:t>
      </w:r>
      <w:r>
        <w:t xml:space="preserve"> </w:t>
      </w:r>
      <w:r>
        <w:t xml:space="preserve">1.24</w:t>
      </w:r>
      <w:r>
        <w:t xml:space="preserve"> </w:t>
      </w:r>
      <w:r>
        <w:t xml:space="preserve">0.31</w:t>
      </w:r>
      <w:r>
        <w:t xml:space="preserve"> </w:t>
      </w:r>
      <w:r>
        <w:t xml:space="preserve">1.06</w:t>
      </w:r>
      <w:r>
        <w:t xml:space="preserve"> </w:t>
      </w:r>
      <w:r>
        <w:t xml:space="preserve">0.30</w:t>
      </w:r>
      <w:r>
        <w:t xml:space="preserve"> </w:t>
      </w:r>
      <w:r>
        <w:t xml:space="preserve">1.00</w:t>
      </w:r>
      <w:r>
        <w:t xml:space="preserve"> </w:t>
      </w:r>
      <w:r>
        <w:t xml:space="preserve">Methanation (per 1 kW CH4 LHV)</w:t>
      </w:r>
      <w:r>
        <w:t xml:space="preserve"> </w:t>
      </w:r>
      <w:r>
        <w:t xml:space="preserve">-0.173</w:t>
      </w:r>
      <w:r>
        <w:t xml:space="preserve"> </w:t>
      </w:r>
      <w:r>
        <w:t xml:space="preserve">0.022</w:t>
      </w:r>
      <w:r>
        <w:t xml:space="preserve"> </w:t>
      </w:r>
      <w:r>
        <w:t xml:space="preserve">-0.173</w:t>
      </w:r>
      <w:r>
        <w:t xml:space="preserve"> </w:t>
      </w:r>
      <w:r>
        <w:t xml:space="preserve">0.022</w:t>
      </w:r>
      <w:r>
        <w:t xml:space="preserve"> </w:t>
      </w:r>
      <w:r>
        <w:t xml:space="preserve">-0.173</w:t>
      </w:r>
      <w:r>
        <w:t xml:space="preserve"> </w:t>
      </w:r>
      <w:r>
        <w:t xml:space="preserve">0.022</w:t>
      </w:r>
      <w:r>
        <w:t xml:space="preserve"> </w:t>
      </w:r>
      <w:r>
        <w:t xml:space="preserve">-0.173</w:t>
      </w:r>
      <w:r>
        <w:t xml:space="preserve"> </w:t>
      </w:r>
      <w:r>
        <w:t xml:space="preserve">0.022</w:t>
      </w:r>
      <w:r>
        <w:t xml:space="preserve"> </w:t>
      </w:r>
      <w:r>
        <w:t xml:space="preserve">Methanol synthesis (per 1 kW CH3OH LHV)</w:t>
      </w:r>
      <w:r>
        <w:t xml:space="preserve"> </w:t>
      </w:r>
      <w:r>
        <w:t xml:space="preserve">-0.072</w:t>
      </w:r>
      <w:r>
        <w:t xml:space="preserve"> </w:t>
      </w:r>
      <w:r>
        <w:t xml:space="preserve">0.045</w:t>
      </w:r>
      <w:r>
        <w:t xml:space="preserve"> </w:t>
      </w:r>
      <w:r>
        <w:t xml:space="preserve">-0.072</w:t>
      </w:r>
      <w:r>
        <w:t xml:space="preserve"> </w:t>
      </w:r>
      <w:r>
        <w:t xml:space="preserve">0.045</w:t>
      </w:r>
      <w:r>
        <w:t xml:space="preserve"> </w:t>
      </w:r>
      <w:r>
        <w:t xml:space="preserve">-0.072</w:t>
      </w:r>
      <w:r>
        <w:t xml:space="preserve"> </w:t>
      </w:r>
      <w:r>
        <w:t xml:space="preserve">0.045</w:t>
      </w:r>
      <w:r>
        <w:t xml:space="preserve"> </w:t>
      </w:r>
      <w:r>
        <w:t xml:space="preserve">-0.072</w:t>
      </w:r>
      <w:r>
        <w:t xml:space="preserve"> </w:t>
      </w:r>
      <w:r>
        <w:t xml:space="preserve">0.045</w:t>
      </w:r>
      <w:r>
        <w:t xml:space="preserve"> </w:t>
      </w:r>
      <w:r>
        <w:t xml:space="preserve">Methanol-to-Olefins, Methanol-to-Kerosene and Methanol-to-Gasoline (per 1 kW final fuel</w:t>
      </w:r>
      <w:r>
        <w:t xml:space="preserve"> </w:t>
      </w:r>
      <w:r>
        <w:t xml:space="preserve">-0.030</w:t>
      </w:r>
      <w:r>
        <w:t xml:space="preserve"> </w:t>
      </w:r>
      <w:r>
        <w:t xml:space="preserve">0.068</w:t>
      </w:r>
      <w:r>
        <w:t xml:space="preserve"> </w:t>
      </w:r>
      <w:r>
        <w:t xml:space="preserve">-0.030</w:t>
      </w:r>
      <w:r>
        <w:t xml:space="preserve"> </w:t>
      </w:r>
      <w:r>
        <w:t xml:space="preserve">0.068</w:t>
      </w:r>
      <w:r>
        <w:t xml:space="preserve"> </w:t>
      </w:r>
      <w:r>
        <w:t xml:space="preserve">-0.030</w:t>
      </w:r>
      <w:r>
        <w:t xml:space="preserve"> </w:t>
      </w:r>
      <w:r>
        <w:t xml:space="preserve">0.068</w:t>
      </w:r>
      <w:r>
        <w:t xml:space="preserve"> </w:t>
      </w:r>
      <w:r>
        <w:t xml:space="preserve">-0.030</w:t>
      </w:r>
      <w:r>
        <w:t xml:space="preserve"> </w:t>
      </w:r>
      <w:r>
        <w:t xml:space="preserve">0.068</w:t>
      </w:r>
      <w:r>
        <w:t xml:space="preserve"> </w:t>
      </w:r>
      <w:r>
        <w:t xml:space="preserve">Fischer Tropsch (per 1 kW FT LHV - considered same as diesel)</w:t>
      </w:r>
      <w:r>
        <w:t xml:space="preserve"> </w:t>
      </w:r>
      <w:r>
        <w:t xml:space="preserve">-0.200</w:t>
      </w:r>
      <w:r>
        <w:t xml:space="preserve"> </w:t>
      </w:r>
      <w:r>
        <w:t xml:space="preserve">0.044</w:t>
      </w:r>
      <w:r>
        <w:t xml:space="preserve"> </w:t>
      </w:r>
      <w:r>
        <w:t xml:space="preserve">-0.200</w:t>
      </w:r>
      <w:r>
        <w:t xml:space="preserve"> </w:t>
      </w:r>
      <w:r>
        <w:t xml:space="preserve">0.044</w:t>
      </w:r>
      <w:r>
        <w:t xml:space="preserve"> </w:t>
      </w:r>
      <w:r>
        <w:t xml:space="preserve">-0.200</w:t>
      </w:r>
      <w:r>
        <w:t xml:space="preserve"> </w:t>
      </w:r>
      <w:r>
        <w:t xml:space="preserve">0.044</w:t>
      </w:r>
      <w:r>
        <w:t xml:space="preserve"> </w:t>
      </w:r>
      <w:r>
        <w:t xml:space="preserve">-0.200</w:t>
      </w:r>
      <w:r>
        <w:t xml:space="preserve"> </w:t>
      </w:r>
      <w:r>
        <w:t xml:space="preserve">0.044</w:t>
      </w:r>
      <w:r>
        <w:t xml:space="preserve"> </w:t>
      </w:r>
      <w:r>
        <w:t xml:space="preserve">Haber-Bosch ammonia synthesis (per 1 kW NH3 LHV)</w:t>
      </w:r>
      <w:r>
        <w:t xml:space="preserve"> </w:t>
      </w:r>
      <w:r>
        <w:t xml:space="preserve">-0.116</w:t>
      </w:r>
      <w:r>
        <w:t xml:space="preserve"> </w:t>
      </w:r>
      <w:r>
        <w:t xml:space="preserve">0.132</w:t>
      </w:r>
      <w:r>
        <w:t xml:space="preserve"> </w:t>
      </w:r>
      <w:r>
        <w:t xml:space="preserve">-0.116</w:t>
      </w:r>
      <w:r>
        <w:t xml:space="preserve"> </w:t>
      </w:r>
      <w:r>
        <w:t xml:space="preserve">0.132</w:t>
      </w:r>
      <w:r>
        <w:t xml:space="preserve"> </w:t>
      </w:r>
      <w:r>
        <w:t xml:space="preserve">-0.116</w:t>
      </w:r>
      <w:r>
        <w:t xml:space="preserve"> </w:t>
      </w:r>
      <w:r>
        <w:t xml:space="preserve">0.132</w:t>
      </w:r>
      <w:r>
        <w:t xml:space="preserve"> </w:t>
      </w:r>
      <w:r>
        <w:t xml:space="preserve">-0.116</w:t>
      </w:r>
      <w:r>
        <w:t xml:space="preserve"> </w:t>
      </w:r>
      <w:r>
        <w:t xml:space="preserve">0.132</w:t>
      </w:r>
      <w:r>
        <w:t xml:space="preserve"> </w:t>
      </w:r>
      <w:r>
        <w:t xml:space="preserve">Conversion technologies</w:t>
      </w:r>
      <w:r>
        <w:t xml:space="preserve"> </w:t>
      </w:r>
      <w:r>
        <w:t xml:space="preserve">Fuel consumption</w:t>
      </w:r>
      <w:r>
        <w:t xml:space="preserve"> </w:t>
      </w:r>
      <w:r>
        <w:t xml:space="preserve">(input over output ratio)</w:t>
      </w:r>
      <w:r>
        <w:t xml:space="preserve"> </w:t>
      </w:r>
      <w:r>
        <w:t xml:space="preserve">H2 (1MWh H2/</w:t>
      </w:r>
      <w:r>
        <w:t xml:space="preserve"> </w:t>
      </w:r>
      <w:r>
        <w:t xml:space="preserve">1MWh output)</w:t>
      </w:r>
      <w:r>
        <w:t xml:space="preserve"> </w:t>
      </w:r>
      <w:r>
        <w:t xml:space="preserve">CO2 (t CO2/</w:t>
      </w:r>
      <w:r>
        <w:t xml:space="preserve"> </w:t>
      </w:r>
      <w:r>
        <w:t xml:space="preserve">1MWh output)</w:t>
      </w:r>
      <w:r>
        <w:t xml:space="preserve"> </w:t>
      </w:r>
      <w:r>
        <w:t xml:space="preserve">Methanation (per 1 kW CH4 LHV)</w:t>
      </w:r>
      <w:r>
        <w:t xml:space="preserve"> </w:t>
      </w:r>
      <w:r>
        <w:t xml:space="preserve">1.250</w:t>
      </w:r>
      <w:r>
        <w:t xml:space="preserve"> </w:t>
      </w:r>
      <w:r>
        <w:t xml:space="preserve">0.200</w:t>
      </w:r>
      <w:r>
        <w:t xml:space="preserve"> </w:t>
      </w:r>
      <w:r>
        <w:t xml:space="preserve">Methanol synthesis (per 1 kW CH3OH LHV)</w:t>
      </w:r>
      <w:r>
        <w:t xml:space="preserve"> </w:t>
      </w:r>
      <w:r>
        <w:t xml:space="preserve">1.185</w:t>
      </w:r>
      <w:r>
        <w:t xml:space="preserve"> </w:t>
      </w:r>
      <w:r>
        <w:t xml:space="preserve">0.279</w:t>
      </w:r>
      <w:r>
        <w:t xml:space="preserve"> </w:t>
      </w:r>
      <w:r>
        <w:t xml:space="preserve">Methanol-to-Olefins, Methanol-to-Kerosene and Methanol-to-Gasoline (per 1 kW final fuel</w:t>
      </w:r>
      <w:r>
        <w:t xml:space="preserve"> </w:t>
      </w:r>
      <w:r>
        <w:t xml:space="preserve">1.304</w:t>
      </w:r>
      <w:r>
        <w:t xml:space="preserve"> </w:t>
      </w:r>
      <w:r>
        <w:t xml:space="preserve">0.279</w:t>
      </w:r>
      <w:r>
        <w:t xml:space="preserve"> </w:t>
      </w:r>
      <w:r>
        <w:t xml:space="preserve">Fischer Tropsch (per 1 kW FT LHV - considered same as diesel)</w:t>
      </w:r>
      <w:r>
        <w:t xml:space="preserve"> </w:t>
      </w:r>
      <w:r>
        <w:t xml:space="preserve">1.465</w:t>
      </w:r>
      <w:r>
        <w:t xml:space="preserve"> </w:t>
      </w:r>
      <w:r>
        <w:t xml:space="preserve">0.409</w:t>
      </w:r>
      <w:r>
        <w:t xml:space="preserve"> </w:t>
      </w:r>
      <w:r>
        <w:t xml:space="preserve">Haber-Bosch ammonia synthesis (per 1 kW NH3 LHV)</w:t>
      </w:r>
      <w:r>
        <w:t xml:space="preserve"> </w:t>
      </w:r>
      <w:r>
        <w:t xml:space="preserve">1.154</w:t>
      </w:r>
      <w:r>
        <w:t xml:space="preserve"> </w:t>
      </w:r>
      <w:r>
        <w:t xml:space="preserve">Conversion technologies</w:t>
      </w:r>
      <w:r>
        <w:t xml:space="preserve"> </w:t>
      </w:r>
      <w:r>
        <w:t xml:space="preserve">Feedstock input requirements</w:t>
      </w:r>
      <w:r>
        <w:t xml:space="preserve"> </w:t>
      </w:r>
      <w:r>
        <w:t xml:space="preserve">(input over output ratio)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on end use demand and differ by sector. Demand of hydrogen blended in the natural gas</w:t>
      </w:r>
      <w:r>
        <w:t xml:space="preserve"> </w:t>
      </w:r>
      <w:r>
        <w:t xml:space="preserve">pipeline network by all sectors, as well as hydrogen production aimed at exporting, which</w:t>
      </w:r>
      <w:r>
        <w:t xml:space="preserve"> </w:t>
      </w:r>
      <w:r>
        <w:t xml:space="preserve">would require larger scale electrolysers with higher utilization rates due to technical</w:t>
      </w:r>
      <w:r>
        <w:t xml:space="preserve"> </w:t>
      </w:r>
      <w:r>
        <w:t xml:space="preserve">constraints related to the hydrogen injection to the grid, is assumed to use grid electricity</w:t>
      </w:r>
      <w:r>
        <w:t xml:space="preserve"> </w:t>
      </w:r>
      <w:r>
        <w:t xml:space="preserve">prices. This corresponds to the centralized electrolyser category of the technical datasheets,</w:t>
      </w:r>
      <w:r>
        <w:t xml:space="preserve"> </w:t>
      </w:r>
      <w:r>
        <w:t xml:space="preserve">as it has larger capacities and lower specific technology costs. For most end use demand</w:t>
      </w:r>
      <w:r>
        <w:t xml:space="preserve"> </w:t>
      </w:r>
      <w:r>
        <w:t xml:space="preserve">sectors a RES PPA pricing scheme is assumed. PPAs are priced based on the LCOE of the</w:t>
      </w:r>
      <w:r>
        <w:t xml:space="preserve"> </w:t>
      </w:r>
      <w:r>
        <w:t xml:space="preserve">RES plus grid tariffs plus a risk premium. Transport costs depend on the carrier form used</w:t>
      </w:r>
      <w:r>
        <w:t xml:space="preserve"> </w:t>
      </w:r>
      <w:r>
        <w:t xml:space="preserve">in each demand sector and the location of the electrolyser. The utilization rate of such</w:t>
      </w:r>
      <w:r>
        <w:t xml:space="preserve"> </w:t>
      </w:r>
      <w:r>
        <w:t xml:space="preserve">facilities is similar to the one for RES. The electrolyser technology used corresponds to the</w:t>
      </w:r>
      <w:r>
        <w:t xml:space="preserve"> </w:t>
      </w:r>
      <w:r>
        <w:t xml:space="preserve">decentralized category of our technical datasheets, as it has smaller capacities and higher</w:t>
      </w:r>
      <w:r>
        <w:t xml:space="preserve"> </w:t>
      </w:r>
      <w:r>
        <w:t xml:space="preserve">technology costs. Those sectors fall into one of the following categories: a) Sectors that</w:t>
      </w:r>
      <w:r>
        <w:t xml:space="preserve"> </w:t>
      </w:r>
      <w:r>
        <w:t xml:space="preserve">the nature of their main activity, allows them to shift easily to synthetic fuel production,</w:t>
      </w:r>
      <w:r>
        <w:t xml:space="preserve"> </w:t>
      </w:r>
      <w:r>
        <w:t xml:space="preserve">such as Chemicals, Petrochemicals and Refineries. b) sectors that their process needs,</w:t>
      </w:r>
      <w:r>
        <w:t xml:space="preserve"> </w:t>
      </w:r>
      <w:r>
        <w:t xml:space="preserve">combined with their already established infrastructure, would facilitate an on-site</w:t>
      </w:r>
      <w:r>
        <w:t xml:space="preserve"> </w:t>
      </w:r>
      <w:r>
        <w:t xml:space="preserve">production of hydrogen. Finally, in limited cases where logistics allow, hydrogen is</w:t>
      </w:r>
      <w:r>
        <w:t xml:space="preserve"> </w:t>
      </w:r>
      <w:r>
        <w:t xml:space="preserve">produced using electricity by RES which is installed on-site (e.g. industrial complex,</w:t>
      </w:r>
      <w:r>
        <w:t xml:space="preserve"> </w:t>
      </w:r>
      <w:r>
        <w:t xml:space="preserve">hydrogen valley etc). In such cases the electricity is priced at the lowest possible cost, close</w:t>
      </w:r>
      <w:r>
        <w:t xml:space="preserve"> </w:t>
      </w:r>
      <w:r>
        <w:t xml:space="preserve">to the levelized cost of RES.</w:t>
      </w:r>
      <w:r>
        <w:br/>
      </w:r>
      <w:r>
        <w:t xml:space="preserve">CO2 feedstock for e-fuels in PRIMES is either derived from biogas upgrade, bioethanol</w:t>
      </w:r>
      <w:r>
        <w:t xml:space="preserve"> </w:t>
      </w:r>
      <w:r>
        <w:t xml:space="preserve">and biofuels production processes, or by DAC. The possibility of using industrial capture</w:t>
      </w:r>
      <w:r>
        <w:t xml:space="preserve"> </w:t>
      </w:r>
      <w:r>
        <w:t xml:space="preserve">is present in the model, but not allowed in these scenarios due to the Delegated Act (EU)</w:t>
      </w:r>
      <w:r>
        <w:t xml:space="preserve"> </w:t>
      </w:r>
      <w:r>
        <w:t xml:space="preserve">2023/1184. As such, CO2 feedstock is determined by the associated costs and availability</w:t>
      </w:r>
      <w:r>
        <w:t xml:space="preserve"> </w:t>
      </w:r>
      <w:r>
        <w:t xml:space="preserve">of each of the previously mentioned CO2 streams and DAC is used when the cheaper</w:t>
      </w:r>
      <w:r>
        <w:t xml:space="preserve"> </w:t>
      </w:r>
      <w:r>
        <w:t xml:space="preserve">biogenic CO2 potential is depleted. CO2 intercountry trading is not yet implemented in the</w:t>
      </w:r>
      <w:r>
        <w:t xml:space="preserve"> </w:t>
      </w:r>
      <w:r>
        <w:t xml:space="preserve">modelling.</w:t>
      </w:r>
      <w:r>
        <w:t xml:space="preserve"> </w:t>
      </w:r>
      <w:r>
        <w:t xml:space="preserve">Hydrogen trading between countries is realised by pipelines. The infrastructure modelled</w:t>
      </w:r>
      <w:r>
        <w:t xml:space="preserve"> </w:t>
      </w:r>
      <w:r>
        <w:t xml:space="preserve">currently follows TYNDP’s assumptions107 on available pipelines and possible</w:t>
      </w:r>
      <w:r>
        <w:t xml:space="preserve"> </w:t>
      </w:r>
      <w:r>
        <w:t xml:space="preserve">expansions, which are themselves based on the European Hydrogen Backbone suggested</w:t>
      </w:r>
      <w:r>
        <w:t xml:space="preserve"> </w:t>
      </w:r>
      <w:r>
        <w:t xml:space="preserve">pipeline network. The drivers for hydrogen imports are, consequentially, the pricing for its</w:t>
      </w:r>
      <w:r>
        <w:t xml:space="preserve"> </w:t>
      </w:r>
      <w:r>
        <w:t xml:space="preserve">production, the cost of its transportation, and the technical constraints associated with</w:t>
      </w:r>
      <w:r>
        <w:t xml:space="preserve"> </w:t>
      </w:r>
      <w:r>
        <w:t xml:space="preserve">pipeline infrastructure. For e-fuels trading inside and outside the EU, the assumption is that</w:t>
      </w:r>
      <w:r>
        <w:t xml:space="preserve"> </w:t>
      </w:r>
      <w:r>
        <w:t xml:space="preserve">the main producers and exporters of their fossil fuel equivalents will remain largely the</w:t>
      </w:r>
      <w:r>
        <w:t xml:space="preserve"> </w:t>
      </w:r>
      <w:r>
        <w:t xml:space="preserve">same. Those that have refinery assets, will be able to capitalize on the accumulated</w:t>
      </w:r>
      <w:r>
        <w:t xml:space="preserve"> </w:t>
      </w:r>
      <w:r>
        <w:t xml:space="preserve">experience, storage, favourable land use near ports and manpower expertise and maintain</w:t>
      </w:r>
      <w:r>
        <w:t xml:space="preserve"> </w:t>
      </w:r>
      <w:r>
        <w:t xml:space="preserve">their production capacity by shifting to clean fuels. It will be extremely difficult for new</w:t>
      </w:r>
      <w:r>
        <w:t xml:space="preserve"> </w:t>
      </w:r>
      <w:r>
        <w:t xml:space="preserve">actors to be able to produce those fuels and build all the infrastructure needed in a</w:t>
      </w:r>
      <w:r>
        <w:t xml:space="preserve"> </w:t>
      </w:r>
      <w:r>
        <w:t xml:space="preserve">competitive manner. Based on the above, and the fact that no region will have an inherent</w:t>
      </w:r>
      <w:r>
        <w:t xml:space="preserve"> </w:t>
      </w:r>
      <w:r>
        <w:t xml:space="preserve">competitive advantage on e-fuel costs, we expect that the current trade flows of distillation</w:t>
      </w:r>
      <w:r>
        <w:t xml:space="preserve"> </w:t>
      </w:r>
      <w:r>
        <w:t xml:space="preserve">products will also be to a significant extent maintained in the future. After the</w:t>
      </w:r>
      <w:r>
        <w:t xml:space="preserve"> </w:t>
      </w:r>
      <w:r>
        <w:t xml:space="preserve">determination of production and trading quantities, the final price of each fuel is the result</w:t>
      </w:r>
      <w:r>
        <w:t xml:space="preserve"> </w:t>
      </w:r>
      <w:r>
        <w:t xml:space="preserve">of the interplay of each country’s production cost, the production and transportation costs</w:t>
      </w:r>
      <w:r>
        <w:t xml:space="preserve"> </w:t>
      </w:r>
      <w:r>
        <w:t xml:space="preserve">of the imported quantities, and costs associated with storage, compression/liquefaction etc.</w:t>
      </w:r>
    </w:p>
    <w:p>
      <w:pPr>
        <w:pStyle w:val="BodyText"/>
      </w:pPr>
      <w:r>
        <w:t xml:space="preserve">107 Ten-Year Network Development Plan: https://tyndp.entsoe.eu/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Hydrogen trading between countries is realised by pipelines. The infrastructure modelled</w:t>
      </w:r>
      <w:r>
        <w:t xml:space="preserve"> </w:t>
      </w:r>
      <w:r>
        <w:t xml:space="preserve">currently follows TYNDP’s assumptions108 on available pipelines and possible</w:t>
      </w:r>
      <w:r>
        <w:t xml:space="preserve"> </w:t>
      </w:r>
      <w:r>
        <w:t xml:space="preserve">expansions, which are themselves based on the European Hydrogen Backbone suggested</w:t>
      </w:r>
      <w:r>
        <w:t xml:space="preserve"> </w:t>
      </w:r>
      <w:r>
        <w:t xml:space="preserve">pipeline network. The drivers for hydrogen imports are, consequentially, the pricing for its</w:t>
      </w:r>
      <w:r>
        <w:t xml:space="preserve"> </w:t>
      </w:r>
      <w:r>
        <w:t xml:space="preserve">production, the cost of its transportation, and the technical constraints associated with</w:t>
      </w:r>
      <w:r>
        <w:t xml:space="preserve"> </w:t>
      </w:r>
      <w:r>
        <w:t xml:space="preserve">pipeline infrastructure. For e-fuels trading inside and outside the EU, the assumption is that</w:t>
      </w:r>
      <w:r>
        <w:t xml:space="preserve"> </w:t>
      </w:r>
      <w:r>
        <w:t xml:space="preserve">the main producers and exporters of their fossil fuel equivalents will remain largely the</w:t>
      </w:r>
      <w:r>
        <w:t xml:space="preserve"> </w:t>
      </w:r>
      <w:r>
        <w:t xml:space="preserve">same. Those that have refinery assets, will be able to capitalize on the accumulated</w:t>
      </w:r>
      <w:r>
        <w:t xml:space="preserve"> </w:t>
      </w:r>
      <w:r>
        <w:t xml:space="preserve">experience, storage, favourable land use near ports and manpower expertise and maintain</w:t>
      </w:r>
      <w:r>
        <w:t xml:space="preserve"> </w:t>
      </w:r>
      <w:r>
        <w:t xml:space="preserve">their production capacity by shifting to clean fuels. It will be extremely difficult for new</w:t>
      </w:r>
      <w:r>
        <w:t xml:space="preserve"> </w:t>
      </w:r>
      <w:r>
        <w:t xml:space="preserve">actors to be able to produce those fuels and build all the infrastructure needed in a</w:t>
      </w:r>
      <w:r>
        <w:t xml:space="preserve"> </w:t>
      </w:r>
      <w:r>
        <w:t xml:space="preserve">competitive manner. Based on the above, and the fact that no region will have an inherent</w:t>
      </w:r>
      <w:r>
        <w:t xml:space="preserve"> </w:t>
      </w:r>
      <w:r>
        <w:t xml:space="preserve">competitive advantage on e-fuel costs, we expect that the current trade flows of distillation</w:t>
      </w:r>
      <w:r>
        <w:t xml:space="preserve"> </w:t>
      </w:r>
      <w:r>
        <w:t xml:space="preserve">products will also be to a significant extent maintained in the future. After the</w:t>
      </w:r>
      <w:r>
        <w:t xml:space="preserve"> </w:t>
      </w:r>
      <w:r>
        <w:t xml:space="preserve">determination of production and trading quantities, the final price of each fuel is the result</w:t>
      </w:r>
      <w:r>
        <w:t xml:space="preserve"> </w:t>
      </w:r>
      <w:r>
        <w:t xml:space="preserve">of the interplay of each country’s production cost, the production and transportation costs</w:t>
      </w:r>
      <w:r>
        <w:t xml:space="preserve"> </w:t>
      </w:r>
      <w:r>
        <w:t xml:space="preserve">of the imported quantities, and costs associated with storage, compression/liquefaction etc.</w:t>
      </w:r>
    </w:p>
    <w:p>
      <w:pPr>
        <w:pStyle w:val="BodyText"/>
      </w:pPr>
      <w:r>
        <w:t xml:space="preserve">108 Ten-Year Network Development Plan: https://tyndp.entsoe.eu/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4.7.</w:t>
      </w:r>
      <w:r>
        <w:t xml:space="preserve"> </w:t>
      </w:r>
      <w:r>
        <w:t xml:space="preserve">IMPACT OF MULTIANNUAL COMPLIANCE</w:t>
      </w:r>
      <w:r>
        <w:t xml:space="preserve"> </w:t>
      </w:r>
      <w:r>
        <w:t xml:space="preserve">Options and Mechanism</w:t>
      </w:r>
      <w:r>
        <w:t xml:space="preserve"> </w:t>
      </w:r>
      <w:r>
        <w:t xml:space="preserve">We consider the following two options for estimating the impact of the multiannual</w:t>
      </w:r>
      <w:r>
        <w:t xml:space="preserve"> </w:t>
      </w:r>
      <w:r>
        <w:t xml:space="preserve">compliance:</w:t>
      </w:r>
      <w:r>
        <w:t xml:space="preserve"> </w:t>
      </w:r>
      <w:r>
        <w:t xml:space="preserve">• Option 0: status-quo, no multiannual compliance in 2030 and beyond.</w:t>
      </w:r>
      <w:r>
        <w:t xml:space="preserve"> </w:t>
      </w:r>
      <w:r>
        <w:t xml:space="preserve">• Option 1 [MAC]: There is multiannual compliance for the years 2030 – 2032. In</w:t>
      </w:r>
      <w:r>
        <w:t xml:space="preserve"> </w:t>
      </w:r>
      <w:r>
        <w:t xml:space="preserve">this period, the OEMs have to comply in average with the CO2 emission standards.</w:t>
      </w:r>
      <w:r>
        <w:br/>
      </w:r>
      <w:r>
        <w:t xml:space="preserve">Impact Estimation</w:t>
      </w:r>
      <w:r>
        <w:t xml:space="preserve"> </w:t>
      </w:r>
      <w:r>
        <w:t xml:space="preserve">The estimation of the GHG emission impact of the two policy options is based on the</w:t>
      </w:r>
      <w:r>
        <w:t xml:space="preserve"> </w:t>
      </w:r>
      <w:r>
        <w:t xml:space="preserve">following key assumptions:</w:t>
      </w:r>
      <w:r>
        <w:br/>
      </w:r>
      <w:r>
        <w:t xml:space="preserve">The introduction of multiannual compliance alters the composition of newly registered</w:t>
      </w:r>
      <w:r>
        <w:t xml:space="preserve"> </w:t>
      </w:r>
      <w:r>
        <w:t xml:space="preserve">passenger cars between 2030 and 2032. While the total number of newly registered cars</w:t>
      </w:r>
      <w:r>
        <w:t xml:space="preserve"> </w:t>
      </w:r>
      <w:r>
        <w:t xml:space="preserve">per vehicle size class remains constant, a shift between drivetrains is assumed — from</w:t>
      </w:r>
      <w:r>
        <w:t xml:space="preserve"> </w:t>
      </w:r>
      <w:r>
        <w:t xml:space="preserve">ZEVs towards ICEVs and PHEVs, and vice versa.</w:t>
      </w:r>
      <w:r>
        <w:br/>
      </w:r>
      <w:r>
        <w:t xml:space="preserve">• In the first year (2030), the number of newly registered ZEVs is assumed to decrease</w:t>
      </w:r>
      <w:r>
        <w:t xml:space="preserve"> </w:t>
      </w:r>
      <w:r>
        <w:t xml:space="preserve">compared to the option without multiannual compliance, as fewer ZEVs are needed</w:t>
      </w:r>
      <w:r>
        <w:t xml:space="preserve"> </w:t>
      </w:r>
      <w:r>
        <w:t xml:space="preserve">to meet the CO₂ target.</w:t>
      </w:r>
      <w:r>
        <w:t xml:space="preserve"> </w:t>
      </w:r>
      <w:r>
        <w:t xml:space="preserve">• For the second year of the compliance period, no change in the composition of newly</w:t>
      </w:r>
      <w:r>
        <w:t xml:space="preserve"> </w:t>
      </w:r>
      <w:r>
        <w:t xml:space="preserve">registered vehicles is assumed compared to the 2030 data from PRIMES-TREMOVE</w:t>
      </w:r>
      <w:r>
        <w:t xml:space="preserve"> </w:t>
      </w:r>
      <w:r>
        <w:t xml:space="preserve">model.</w:t>
      </w:r>
      <w:r>
        <w:t xml:space="preserve"> </w:t>
      </w:r>
      <w:r>
        <w:t xml:space="preserve">• In the final year (2032), an increase in newly registered ZEVs is assumed to</w:t>
      </w:r>
      <w:r>
        <w:t xml:space="preserve"> </w:t>
      </w:r>
      <w:r>
        <w:t xml:space="preserve">compensate for non-compliance in 2030.</w:t>
      </w:r>
      <w:r>
        <w:br/>
      </w:r>
      <w:r>
        <w:t xml:space="preserve">• Changes in newly registered ZEVs per size class follow the existing yearly</w:t>
      </w:r>
      <w:r>
        <w:t xml:space="preserve"> </w:t>
      </w:r>
      <w:r>
        <w:t xml:space="preserve">distribution of ZEVs by size.</w:t>
      </w:r>
      <w:r>
        <w:br/>
      </w:r>
      <w:r>
        <w:t xml:space="preserve">No change in specific energy consumption is assumed within each drivetrain and vehicle</w:t>
      </w:r>
      <w:r>
        <w:t xml:space="preserve"> </w:t>
      </w:r>
      <w:r>
        <w:t xml:space="preserve">size class.</w:t>
      </w:r>
      <w:r>
        <w:br/>
      </w:r>
      <w:r>
        <w:t xml:space="preserve">The number of vehicles shifted between ZEVs to ICEVs and PHEVs (2030) and vice versa</w:t>
      </w:r>
      <w:r>
        <w:t xml:space="preserve"> </w:t>
      </w:r>
      <w:r>
        <w:t xml:space="preserve">(2032) is derived using the increase in average WLTP CO₂ emissions (in g CO₂/km) for</w:t>
      </w:r>
      <w:r>
        <w:t xml:space="preserve"> </w:t>
      </w:r>
      <w:r>
        <w:t xml:space="preserve">the first year of the multiannual compliance period as the input variable. This approach can</w:t>
      </w:r>
      <w:r>
        <w:t xml:space="preserve"> </w:t>
      </w:r>
      <w:r>
        <w:t xml:space="preserve">be used to estimate the impact of non-compliance in the first year of multi-year compliance</w:t>
      </w:r>
      <w:r>
        <w:t xml:space="preserve"> </w:t>
      </w:r>
      <w:r>
        <w:t xml:space="preserve">period.</w:t>
      </w:r>
      <w:r>
        <w:br/>
      </w:r>
      <w:r>
        <w:t xml:space="preserve">Methodological approach and assumptions</w:t>
      </w:r>
      <w:r>
        <w:t xml:space="preserve"> </w:t>
      </w:r>
      <w:r>
        <w:t xml:space="preserve">The estimation applies a post-processing approach to the PRIMES-TREMOVE model</w:t>
      </w:r>
      <w:r>
        <w:t xml:space="preserve"> </w:t>
      </w:r>
      <w:r>
        <w:t xml:space="preserve">results. Specifically, the analysis determines the impact on tank-to-wheel GHG emissions,</w:t>
      </w:r>
      <w:r>
        <w:t xml:space="preserve"> </w:t>
      </w:r>
      <w:r>
        <w:t xml:space="preserve">on the final energy demand by energy carrier, and on the associated energy costs for</w:t>
      </w:r>
      <w:r>
        <w:t xml:space="preserve"> </w:t>
      </w:r>
      <w:r>
        <w:t xml:space="preserve">passenger cars and vans newly registered between 2030 and 2032, over their lifetime until</w:t>
      </w:r>
      <w:r>
        <w:t xml:space="preserve"> </w:t>
      </w:r>
      <w:r>
        <w:t xml:space="preserve">2050, as described below.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• The number of newly registered vehicles in each drivetrain and vehicle size class is</w:t>
      </w:r>
      <w:r>
        <w:t xml:space="preserve"> </w:t>
      </w:r>
      <w:r>
        <w:t xml:space="preserve">multiplied by the average mileage, vehicle age, specific energy consumption and</w:t>
      </w:r>
      <w:r>
        <w:t xml:space="preserve"> </w:t>
      </w:r>
      <w:r>
        <w:t xml:space="preserve">respective GHG emission factor. This calculation is then repeated for each</w:t>
      </w:r>
      <w:r>
        <w:t xml:space="preserve"> </w:t>
      </w:r>
      <w:r>
        <w:t xml:space="preserve">subsequent year of vehicle use until 2050 for the cohort of vehicles newly registered</w:t>
      </w:r>
      <w:r>
        <w:t xml:space="preserve"> </w:t>
      </w:r>
      <w:r>
        <w:t xml:space="preserve">between 2030 and 2032.</w:t>
      </w:r>
      <w:r>
        <w:br/>
      </w:r>
      <w:r>
        <w:t xml:space="preserve">• The input data on the number of new registrations, specific energy consumption,</w:t>
      </w:r>
      <w:r>
        <w:t xml:space="preserve"> </w:t>
      </w:r>
      <w:r>
        <w:t xml:space="preserve">average annual mileage by vehicle age and emission factors are derived from</w:t>
      </w:r>
      <w:r>
        <w:t xml:space="preserve"> </w:t>
      </w:r>
      <w:r>
        <w:t xml:space="preserve">PRIMES model outputs.</w:t>
      </w:r>
      <w:r>
        <w:br/>
      </w:r>
      <w:r>
        <w:t xml:space="preserve">• For option 1 the adjusted composition of new registrations, as defined by the above</w:t>
      </w:r>
      <w:r>
        <w:t xml:space="preserve"> </w:t>
      </w:r>
      <w:r>
        <w:t xml:space="preserve">assumptions, is taken into account.</w:t>
      </w:r>
      <w:r>
        <w:br/>
      </w:r>
      <w:r>
        <w:t xml:space="preserve">• The resulting change in the above-mentioned categories (GHG emissions, final</w:t>
      </w:r>
      <w:r>
        <w:t xml:space="preserve"> </w:t>
      </w:r>
      <w:r>
        <w:t xml:space="preserve">energy demand, and energy costs) due to the introduction of multiannual compliance</w:t>
      </w:r>
      <w:r>
        <w:t xml:space="preserve"> </w:t>
      </w:r>
      <w:r>
        <w:t xml:space="preserve">is calculated as the difference between the total values of option 1 and option 0.</w:t>
      </w:r>
      <w:r>
        <w:t xml:space="preserve"> </w:t>
      </w:r>
      <w:r>
        <w:t xml:space="preserve">• The annual mileage is assumed to be the same for all drivetrains within a given</w:t>
      </w:r>
      <w:r>
        <w:t xml:space="preserve"> </w:t>
      </w:r>
      <w:r>
        <w:t xml:space="preserve">vehicle size class (assumption from PRIMES).</w:t>
      </w:r>
      <w:r>
        <w:br/>
      </w:r>
      <w:r>
        <w:t xml:space="preserve">• Vehicle energy consumption per kilometre and per drivetrain, as calculated by the</w:t>
      </w:r>
      <w:r>
        <w:t xml:space="preserve"> </w:t>
      </w:r>
      <w:r>
        <w:t xml:space="preserve">PRIMES model, is constant (values for 2030 in PRIMES)</w:t>
      </w:r>
      <w:r>
        <w:t xml:space="preserve"> </w:t>
      </w:r>
      <w:r>
        <w:t xml:space="preserve">• The fuel emission factors and energy costs for end users from the PRIMES model</w:t>
      </w:r>
      <w:r>
        <w:t xml:space="preserve"> </w:t>
      </w:r>
      <w:r>
        <w:t xml:space="preserve">are linearly interpolated between the values provided for modelled years (2030,</w:t>
      </w:r>
      <w:r>
        <w:t xml:space="preserve"> </w:t>
      </w:r>
      <w:r>
        <w:t xml:space="preserve">2035, 2040, 2045, 2050).</w:t>
      </w:r>
      <w:r>
        <w:br/>
      </w:r>
      <w:r>
        <w:t xml:space="preserve">For the counterfactual scenario of option 0 (no multiannual compliance), there is no</w:t>
      </w:r>
      <w:r>
        <w:t xml:space="preserve"> </w:t>
      </w:r>
      <w:r>
        <w:t xml:space="preserve">modelled data for the years 2031 and 2032. Therefore, an assumption must be made on the</w:t>
      </w:r>
      <w:r>
        <w:t xml:space="preserve"> </w:t>
      </w:r>
      <w:r>
        <w:t xml:space="preserve">emission trend for the years 2031 and 2032. For past target values steps in 2015 and 2021,</w:t>
      </w:r>
      <w:r>
        <w:t xml:space="preserve"> </w:t>
      </w:r>
      <w:r>
        <w:t xml:space="preserve">the following emission trends for passenger cars are visible in the monitoring data in the</w:t>
      </w:r>
      <w:r>
        <w:t xml:space="preserve"> </w:t>
      </w:r>
      <w:r>
        <w:t xml:space="preserve">period after the target levels increased:</w:t>
      </w:r>
      <w:r>
        <w:t xml:space="preserve"> </w:t>
      </w:r>
      <w:r>
        <w:t xml:space="preserve">• 2015: 119.5 g CO2/km; 2016: 118.1 g CO2/km (-1.2% compared to 2015); 2017:</w:t>
      </w:r>
      <w:r>
        <w:t xml:space="preserve"> </w:t>
      </w:r>
      <w:r>
        <w:t xml:space="preserve">118.5 g CO2/km (-0.8% compared to 2015)</w:t>
      </w:r>
      <w:r>
        <w:t xml:space="preserve"> </w:t>
      </w:r>
      <w:r>
        <w:t xml:space="preserve">• 2021: 114.1 g CO2/km; 2022: 108.1 g CO2/km (-5.3% compared to 2021); 2023:</w:t>
      </w:r>
      <w:r>
        <w:t xml:space="preserve"> </w:t>
      </w:r>
      <w:r>
        <w:t xml:space="preserve">106.4 g CO2/km (-7.7% compared to 2021)</w:t>
      </w:r>
      <w:r>
        <w:t xml:space="preserve"> </w:t>
      </w:r>
      <w:r>
        <w:t xml:space="preserve">The data on past developments between years in which new targets were set clearly shows</w:t>
      </w:r>
      <w:r>
        <w:t xml:space="preserve"> </w:t>
      </w:r>
      <w:r>
        <w:t xml:space="preserve">that the average CO2 emissions of new vehicles only decreased slightly after the year in</w:t>
      </w:r>
      <w:r>
        <w:t xml:space="preserve"> </w:t>
      </w:r>
      <w:r>
        <w:t xml:space="preserve">which the new target was set. For the counterfactual scenario without the multiannual</w:t>
      </w:r>
      <w:r>
        <w:t xml:space="preserve"> </w:t>
      </w:r>
      <w:r>
        <w:t xml:space="preserve">compliance option, we therefore assume for our impact estimation that the average CO2</w:t>
      </w:r>
      <w:r>
        <w:t xml:space="preserve"> </w:t>
      </w:r>
      <w:r>
        <w:t xml:space="preserve">emissions of new vehicles</w:t>
      </w:r>
      <w:r>
        <w:t xml:space="preserve"> </w:t>
      </w:r>
      <w:r>
        <w:t xml:space="preserve">• in 2031 will be 1.25 g CO2/km lower than in 2030, and</w:t>
      </w:r>
      <w:r>
        <w:t xml:space="preserve"> </w:t>
      </w:r>
      <w:r>
        <w:t xml:space="preserve">• in 2032 2.5 g CO2/km lower than in 2030.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This assumption is set for passenger cars and for vans.</w:t>
      </w:r>
      <w:r>
        <w:t xml:space="preserve"> </w:t>
      </w:r>
      <w:r>
        <w:t xml:space="preserve">Current data for 2025 shows that OEMs are likely to fall well short of the new 2025 target</w:t>
      </w:r>
      <w:r>
        <w:t xml:space="preserve"> </w:t>
      </w:r>
      <w:r>
        <w:t xml:space="preserve">and will have to compensate for this deficit in 2026 and 2027. For the period from January</w:t>
      </w:r>
      <w:r>
        <w:t xml:space="preserve"> </w:t>
      </w:r>
      <w:r>
        <w:t xml:space="preserve">to August 2025, the gap between actual and target emissions of passenger cars is 9% or 8</w:t>
      </w:r>
      <w:r>
        <w:t xml:space="preserve"> </w:t>
      </w:r>
      <w:r>
        <w:t xml:space="preserve">g CO2/km109.</w:t>
      </w:r>
      <w:r>
        <w:t xml:space="preserve"> </w:t>
      </w:r>
      <w:r>
        <w:t xml:space="preserve">For the analyses, we therefore assume for passenger cars and vans that there will be a 9%</w:t>
      </w:r>
      <w:r>
        <w:t xml:space="preserve"> </w:t>
      </w:r>
      <w:r>
        <w:t xml:space="preserve">deficit in 2030, which OEMs will compensate for in 2032. For 2031, it is assumed that</w:t>
      </w:r>
      <w:r>
        <w:t xml:space="preserve"> </w:t>
      </w:r>
      <w:r>
        <w:t xml:space="preserve">manufacturers will meet the 2030 target value precisely.</w:t>
      </w:r>
      <w:r>
        <w:t xml:space="preserve"> </w:t>
      </w:r>
      <w:r>
        <w:t xml:space="preserve">Results</w:t>
      </w:r>
      <w:r>
        <w:t xml:space="preserve"> </w:t>
      </w:r>
      <w:r>
        <w:t xml:space="preserve">Option 1 results in additional emissions compared to the scenario in which the target values</w:t>
      </w:r>
      <w:r>
        <w:t xml:space="preserve"> </w:t>
      </w:r>
      <w:r>
        <w:t xml:space="preserve">must be met from 2030 onwards. Overall, GHG emissions from newly registered passenger</w:t>
      </w:r>
      <w:r>
        <w:t xml:space="preserve"> </w:t>
      </w:r>
      <w:r>
        <w:t xml:space="preserve">cars and vans in the years 2030–2032 increase by 2.9%. The majority of the additional</w:t>
      </w:r>
      <w:r>
        <w:t xml:space="preserve"> </w:t>
      </w:r>
      <w:r>
        <w:t xml:space="preserve">GHG emissions will occur in the period up to 2039, as the mileage of new vehicles from</w:t>
      </w:r>
      <w:r>
        <w:t xml:space="preserve"> </w:t>
      </w:r>
      <w:r>
        <w:t xml:space="preserve">the 2030 – 2032 cohort decreases and the share of renewable fuel use increases over time.</w:t>
      </w:r>
      <w:r>
        <w:br/>
      </w:r>
      <w:r>
        <w:t xml:space="preserve">Passenger cars cause a total of 9.6 Mt CO2e in additional emissions; for vans, the additional</w:t>
      </w:r>
      <w:r>
        <w:t xml:space="preserve"> </w:t>
      </w:r>
      <w:r>
        <w:t xml:space="preserve">emissions are 2.7 Mt CO2e.</w:t>
      </w:r>
      <w:r>
        <w:br/>
      </w:r>
      <w:r>
        <w:t xml:space="preserve">The higher GHG emissions are due to higher fossil fuel energy demand. For passenger</w:t>
      </w:r>
      <w:r>
        <w:t xml:space="preserve"> </w:t>
      </w:r>
      <w:r>
        <w:t xml:space="preserve">cars, multiannual compliance increases the final energy demand by 3.1 million toe over</w:t>
      </w:r>
      <w:r>
        <w:t xml:space="preserve"> </w:t>
      </w:r>
      <w:r>
        <w:t xml:space="preserve">the period up to 2050. This corresponds to a final energy increase of 1.7% for newly</w:t>
      </w:r>
      <w:r>
        <w:t xml:space="preserve"> </w:t>
      </w:r>
      <w:r>
        <w:t xml:space="preserve">registered passenger cars in the years 2030–2032. Users of newly registered vans from</w:t>
      </w:r>
      <w:r>
        <w:t xml:space="preserve"> </w:t>
      </w:r>
      <w:r>
        <w:t xml:space="preserve">2030 - 2032 consume 0.9 million toe more final energy, which corresponds to a final</w:t>
      </w:r>
      <w:r>
        <w:t xml:space="preserve"> </w:t>
      </w:r>
      <w:r>
        <w:t xml:space="preserve">energy increase of 1.9% of the new vehicle cohort from the years 2030 – 2032 for the time</w:t>
      </w:r>
      <w:r>
        <w:t xml:space="preserve"> </w:t>
      </w:r>
      <w:r>
        <w:t xml:space="preserve">period until 2050.</w:t>
      </w:r>
      <w:r>
        <w:t xml:space="preserve"> </w:t>
      </w:r>
      <w:r>
        <w:t xml:space="preserve">The higher energy consumption also results in higher costs for the use of new vehicles in</w:t>
      </w:r>
      <w:r>
        <w:t xml:space="preserve"> </w:t>
      </w:r>
      <w:r>
        <w:t xml:space="preserve">the years 2030–2032. Overall, the additional costs for refuelling and charging amount to</w:t>
      </w:r>
      <w:r>
        <w:t xml:space="preserve"> </w:t>
      </w:r>
      <w:r>
        <w:t xml:space="preserve">EUR 7.8 billion (passenger cars) and EUR 1.8 billion (vans).</w:t>
      </w:r>
    </w:p>
    <w:p>
      <w:pPr>
        <w:pStyle w:val="BodyText"/>
      </w:pPr>
      <w:r>
        <w:t xml:space="preserve">109 https://theicct.org/wp-content/uploads/2025/09/ID-484-%E2%80%93-EU-monitor-September-market-</w:t>
      </w:r>
      <w:r>
        <w:t xml:space="preserve"> </w:t>
      </w:r>
      <w:r>
        <w:t xml:space="preserve">spotlight-A4-70167-v2.pdf</w:t>
      </w:r>
    </w:p>
    <w:p>
      <w:pPr>
        <w:pStyle w:val="BodyText"/>
      </w:pPr>
      <w:r>
        <w:t xml:space="preserve">119</w:t>
      </w:r>
    </w:p>
    <w:p>
      <w:pPr>
        <w:pStyle w:val="Compact"/>
        <w:numPr>
          <w:ilvl w:val="0"/>
          <w:numId w:val="1026"/>
        </w:numPr>
      </w:pPr>
      <w:r>
        <w:t xml:space="preserve">SOCIAL IMPACTS</w:t>
      </w:r>
      <w:r>
        <w:br/>
      </w:r>
      <w:r>
        <w:t xml:space="preserve">The main element considered as regards social impacts is whether and to what extent the</w:t>
      </w:r>
      <w:r>
        <w:t xml:space="preserve"> </w:t>
      </w:r>
      <w:r>
        <w:t xml:space="preserve">policy packages under assessment affect different population groups differentiated</w:t>
      </w:r>
      <w:r>
        <w:t xml:space="preserve"> </w:t>
      </w:r>
      <w:r>
        <w:t xml:space="preserve">according to their income. Therefore, building on an economic analysis of total costs of</w:t>
      </w:r>
      <w:r>
        <w:t xml:space="preserve"> </w:t>
      </w:r>
      <w:r>
        <w:t xml:space="preserve">ownership for first and second users, this analysis looks at the impacts of the different</w:t>
      </w:r>
      <w:r>
        <w:t xml:space="preserve"> </w:t>
      </w:r>
      <w:r>
        <w:t xml:space="preserve">packages on the welfare of consumers, taking into account the particular characteristics of</w:t>
      </w:r>
      <w:r>
        <w:t xml:space="preserve"> </w:t>
      </w:r>
      <w:r>
        <w:t xml:space="preserve">different income groups. It also looks at the affordability of ZEV in the different income</w:t>
      </w:r>
      <w:r>
        <w:t xml:space="preserve"> </w:t>
      </w:r>
      <w:r>
        <w:t xml:space="preserve">groups.</w:t>
      </w:r>
      <w:r>
        <w:br/>
      </w:r>
      <w:r>
        <w:t xml:space="preserve">Consumers in the EU were segmented into five income groups (quintiles Q1-Q5, with Q5</w:t>
      </w:r>
      <w:r>
        <w:t xml:space="preserve"> </w:t>
      </w:r>
      <w:r>
        <w:t xml:space="preserve">having the highest income, based on Eurostat statistics110). As a consequence of their</w:t>
      </w:r>
      <w:r>
        <w:t xml:space="preserve"> </w:t>
      </w:r>
      <w:r>
        <w:t xml:space="preserve">different annual income, these consumer groups face different situations as regards (i) the</w:t>
      </w:r>
      <w:r>
        <w:t xml:space="preserve"> </w:t>
      </w:r>
      <w:r>
        <w:t xml:space="preserve">need for finance for the upfront cost to purchase a car; and (ii) the consideration given to</w:t>
      </w:r>
      <w:r>
        <w:t xml:space="preserve"> </w:t>
      </w:r>
      <w:r>
        <w:t xml:space="preserve">the future operating expenditures. In particular, different income groups have different</w:t>
      </w:r>
      <w:r>
        <w:t xml:space="preserve"> </w:t>
      </w:r>
      <w:r>
        <w:t xml:space="preserve">levels of own-financing possibilities and face different maximum quotas and interest rates</w:t>
      </w:r>
      <w:r>
        <w:t xml:space="preserve"> </w:t>
      </w:r>
      <w:r>
        <w:t xml:space="preserve">for loans when access to finance is needed. In addition, they use different discount rates to</w:t>
      </w:r>
      <w:r>
        <w:t xml:space="preserve"> </w:t>
      </w:r>
      <w:r>
        <w:t xml:space="preserve">calculate the present value of future loan payments, fuel and other operating costs.</w:t>
      </w:r>
      <w:r>
        <w:br/>
      </w:r>
      <w:r>
        <w:t xml:space="preserve">The impacts on different income groups are analysed in terms of (i) affordability of</w:t>
      </w:r>
      <w:r>
        <w:t xml:space="preserve"> </w:t>
      </w:r>
      <w:r>
        <w:t xml:space="preserve">vehicles, and (ii) ‘subjective TCO’. The affordability reflects the variety of vehicle choice</w:t>
      </w:r>
      <w:r>
        <w:t xml:space="preserve"> </w:t>
      </w:r>
      <w:r>
        <w:t xml:space="preserve">available to the consumer groups in view of their financial capacity. The ‘subjective TCO’</w:t>
      </w:r>
      <w:r>
        <w:t xml:space="preserve"> </w:t>
      </w:r>
      <w:r>
        <w:t xml:space="preserve">refers to the total cost of ownership adjusted to reflect income-group-specific parameters.</w:t>
      </w:r>
      <w:r>
        <w:t xml:space="preserve"> </w:t>
      </w:r>
      <w:r>
        <w:t xml:space="preserve">The analysis covers all powertrain types across all scenarios, though some powertrains are</w:t>
      </w:r>
      <w:r>
        <w:t xml:space="preserve"> </w:t>
      </w:r>
      <w:r>
        <w:t xml:space="preserve">not available at all/have zero market uptake in certain scenarios (e.g. only ZEVs are</w:t>
      </w:r>
      <w:r>
        <w:t xml:space="preserve"> </w:t>
      </w:r>
      <w:r>
        <w:t xml:space="preserve">allowed from 2035 in the baseline scenario).</w:t>
      </w:r>
      <w:r>
        <w:t xml:space="preserve"> </w:t>
      </w:r>
      <w:r>
        <w:t xml:space="preserve">Affordability</w:t>
      </w:r>
      <w:r>
        <w:br/>
      </w:r>
      <w:r>
        <w:t xml:space="preserve">Table 30 summarises the results on affordability for the baseline and the two packages in</w:t>
      </w:r>
      <w:r>
        <w:t xml:space="preserve"> </w:t>
      </w:r>
      <w:r>
        <w:t xml:space="preserve">the years 2030, 2035 and 2040. It shows which car types (powertrains) and segments are</w:t>
      </w:r>
      <w:r>
        <w:t xml:space="preserve"> </w:t>
      </w:r>
      <w:r>
        <w:t xml:space="preserve">not affordable in each of those cases for the affected income groups. The analysis did not</w:t>
      </w:r>
      <w:r>
        <w:t xml:space="preserve"> </w:t>
      </w:r>
      <w:r>
        <w:t xml:space="preserve">indicate any affordability issues for income group Q5, for income group Q4 as second user,</w:t>
      </w:r>
      <w:r>
        <w:t xml:space="preserve"> </w:t>
      </w:r>
      <w:r>
        <w:t xml:space="preserve">and for the income groups Q2, Q3, and Q4 as third user. Therefore, these categories are</w:t>
      </w:r>
      <w:r>
        <w:t xml:space="preserve"> </w:t>
      </w:r>
      <w:r>
        <w:t xml:space="preserve">not included in the table.</w:t>
      </w:r>
      <w:r>
        <w:br/>
      </w:r>
      <w:r>
        <w:t xml:space="preserve">Across all scenarios, affordability patterns differ markedly between first, second, and third</w:t>
      </w:r>
      <w:r>
        <w:t xml:space="preserve"> </w:t>
      </w:r>
      <w:r>
        <w:t xml:space="preserve">users and, within each user group, are shaped mainly by vehicle size and (albeit to a lesser</w:t>
      </w:r>
      <w:r>
        <w:t xml:space="preserve"> </w:t>
      </w:r>
      <w:r>
        <w:t xml:space="preserve">extent) by powertrain type, rather than by year or scenario:</w:t>
      </w:r>
      <w:r>
        <w:t xml:space="preserve"> </w:t>
      </w:r>
      <w:r>
        <w:t xml:space="preserve">• First users: Q1 and Q2 cannot afford any vehicle segment (S, LM, UM, L). Q3 can</w:t>
      </w:r>
      <w:r>
        <w:t xml:space="preserve"> </w:t>
      </w:r>
      <w:r>
        <w:t xml:space="preserve">afford small (S) vehicles, while lower-medium (LM) is affordable only for</w:t>
      </w:r>
      <w:r>
        <w:t xml:space="preserve"> </w:t>
      </w:r>
      <w:r>
        <w:t xml:space="preserve">conventional and hybrid powertrains; upper-medium (UM) and large (L) vehicles</w:t>
      </w:r>
      <w:r>
        <w:t xml:space="preserve"> </w:t>
      </w:r>
      <w:r>
        <w:t xml:space="preserve">are unaffordable across all powertrains. Q4 can afford S, LM, and most UM</w:t>
      </w:r>
    </w:p>
    <w:p>
      <w:pPr>
        <w:pStyle w:val="FirstParagraph"/>
      </w:pPr>
      <w:r>
        <w:t xml:space="preserve">110 Mean and median economic resources of households by income, consumption and wealth quantiles -</w:t>
      </w:r>
      <w:r>
        <w:t xml:space="preserve"> </w:t>
      </w:r>
      <w:r>
        <w:t xml:space="preserve">experimental statistics, available at this link. A population-weighted EU27 average was calculated based on</w:t>
      </w:r>
      <w:r>
        <w:t xml:space="preserve"> </w:t>
      </w:r>
      <w:r>
        <w:t xml:space="preserve">available Member State data.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vehicles (only FCEV versions are unaffordable in 2030), while L vehicles remain</w:t>
      </w:r>
      <w:r>
        <w:t xml:space="preserve"> </w:t>
      </w:r>
      <w:r>
        <w:t xml:space="preserve">unaffordable. Q5 can afford all segments.</w:t>
      </w:r>
      <w:r>
        <w:t xml:space="preserve"> </w:t>
      </w:r>
      <w:r>
        <w:t xml:space="preserve">• Second users: Q1 again faces unaffordability across all size classes. Q2 finds most</w:t>
      </w:r>
      <w:r>
        <w:t xml:space="preserve"> </w:t>
      </w:r>
      <w:r>
        <w:t xml:space="preserve">UM (except SI + Hybrid) and L vehicles unaffordable (apart from a minor change</w:t>
      </w:r>
      <w:r>
        <w:t xml:space="preserve"> </w:t>
      </w:r>
      <w:r>
        <w:t xml:space="preserve">in Package 2, discussed below). Q3 can afford all segments except L (FCEV),</w:t>
      </w:r>
      <w:r>
        <w:t xml:space="preserve"> </w:t>
      </w:r>
      <w:r>
        <w:t xml:space="preserve">which becomes affordable by 2040, and Q4 shows no affordability constraints.</w:t>
      </w:r>
      <w:r>
        <w:t xml:space="preserve"> </w:t>
      </w:r>
      <w:r>
        <w:t xml:space="preserve">• Third users: Q1 faces unaffordability for UM (CI PHEV, BEV, FCEV) and L in</w:t>
      </w:r>
      <w:r>
        <w:t xml:space="preserve"> </w:t>
      </w:r>
      <w:r>
        <w:t xml:space="preserve">2030, but by 2035 both UM CI PHEV and UM BEV become affordable, leaving</w:t>
      </w:r>
      <w:r>
        <w:t xml:space="preserve"> </w:t>
      </w:r>
      <w:r>
        <w:t xml:space="preserve">only UM (FCEV) and L unaffordable. Higher-income groups (Q2–Q4) show no</w:t>
      </w:r>
      <w:r>
        <w:t xml:space="preserve"> </w:t>
      </w:r>
      <w:r>
        <w:t xml:space="preserve">affordability limitations for third-hand purchases.</w:t>
      </w:r>
      <w:r>
        <w:t xml:space="preserve"> </w:t>
      </w:r>
      <w:r>
        <w:t xml:space="preserve">Across all user types, differences by powertrain are limited. Electrified powertrains</w:t>
      </w:r>
      <w:r>
        <w:t xml:space="preserve"> </w:t>
      </w:r>
      <w:r>
        <w:t xml:space="preserve">(PHEV, BEV, FCEV) tend to be less affordable than conventional or hybrid ones. Overall,</w:t>
      </w:r>
      <w:r>
        <w:t xml:space="preserve"> </w:t>
      </w:r>
      <w:r>
        <w:t xml:space="preserve">affordability remains largely stable over time, with only minor shifts, confirming that</w:t>
      </w:r>
      <w:r>
        <w:t xml:space="preserve"> </w:t>
      </w:r>
      <w:r>
        <w:t xml:space="preserve">income and vehicle size dominate affordability outcomes rather than scenario-specific</w:t>
      </w:r>
      <w:r>
        <w:t xml:space="preserve"> </w:t>
      </w:r>
      <w:r>
        <w:t xml:space="preserve">effects.</w:t>
      </w:r>
      <w:r>
        <w:t xml:space="preserve"> </w:t>
      </w:r>
      <w:r>
        <w:t xml:space="preserve">Over time, only a few isolated changes occur. For first users, upper-medium FCEVs</w:t>
      </w:r>
      <w:r>
        <w:t xml:space="preserve"> </w:t>
      </w:r>
      <w:r>
        <w:t xml:space="preserve">become affordable for Q4 households by 2035; for second users, large FCEVs become</w:t>
      </w:r>
      <w:r>
        <w:t xml:space="preserve"> </w:t>
      </w:r>
      <w:r>
        <w:t xml:space="preserve">affordable for Q3 households by 2040; and for third users, some upper-medium electrified</w:t>
      </w:r>
      <w:r>
        <w:t xml:space="preserve"> </w:t>
      </w:r>
      <w:r>
        <w:t xml:space="preserve">options (CI PHEV and BEV) become affordable for Q1 households by 2035, while UM</w:t>
      </w:r>
      <w:r>
        <w:t xml:space="preserve"> </w:t>
      </w:r>
      <w:r>
        <w:t xml:space="preserve">FCEVs and large vehicles remain unaffordable.</w:t>
      </w:r>
      <w:r>
        <w:br/>
      </w:r>
      <w:r>
        <w:t xml:space="preserve">Table 30: Overview of unaffordable car types (powertrains) and segments per income</w:t>
      </w:r>
      <w:r>
        <w:t xml:space="preserve"> </w:t>
      </w:r>
      <w:r>
        <w:t xml:space="preserve">group under the baseline and the two combined options in 2030, 2035 and 2040</w:t>
      </w:r>
    </w:p>
    <w:p>
      <w:pPr>
        <w:pStyle w:val="BodyText"/>
      </w:pPr>
      <w:r>
        <w:t xml:space="preserve">Q1</w:t>
      </w:r>
      <w:r>
        <w:t xml:space="preserve"> </w:t>
      </w:r>
      <w:r>
        <w:t xml:space="preserve">Q2</w:t>
      </w:r>
      <w:r>
        <w:t xml:space="preserve"> </w:t>
      </w:r>
      <w:r>
        <w:t xml:space="preserve">Q3</w:t>
      </w:r>
      <w:r>
        <w:t xml:space="preserve"> </w:t>
      </w:r>
      <w:r>
        <w:t xml:space="preserve">Q4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First user</w:t>
      </w:r>
      <w:r>
        <w:t xml:space="preserve"> </w:t>
      </w:r>
      <w:r>
        <w:t xml:space="preserve">Baseline</w:t>
      </w:r>
      <w:r>
        <w:t xml:space="preserve"> </w:t>
      </w:r>
      <w:r>
        <w:t xml:space="preserve">S, LM, UM, L</w:t>
      </w:r>
      <w:r>
        <w:t xml:space="preserve"> </w:t>
      </w:r>
      <w:r>
        <w:t xml:space="preserve">LM (PHEV, BEV,</w:t>
      </w:r>
      <w:r>
        <w:t xml:space="preserve"> </w:t>
      </w:r>
      <w:r>
        <w:t xml:space="preserve">FCEV), UM, L</w:t>
      </w:r>
      <w:r>
        <w:t xml:space="preserve"> </w:t>
      </w:r>
      <w:r>
        <w:t xml:space="preserve">UM</w:t>
      </w:r>
      <w:r>
        <w:t xml:space="preserve"> </w:t>
      </w:r>
      <w:r>
        <w:t xml:space="preserve">(FCE</w:t>
      </w:r>
      <w:r>
        <w:t xml:space="preserve"> </w:t>
      </w:r>
      <w:r>
        <w:t xml:space="preserve">V), L</w:t>
      </w:r>
      <w:r>
        <w:t xml:space="preserve"> </w:t>
      </w:r>
      <w:r>
        <w:t xml:space="preserve">L</w:t>
      </w:r>
      <w:r>
        <w:t xml:space="preserve"> </w:t>
      </w: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Second user</w:t>
      </w:r>
      <w:r>
        <w:t xml:space="preserve"> </w:t>
      </w:r>
      <w:r>
        <w:t xml:space="preserve">Baseline</w:t>
      </w:r>
      <w:r>
        <w:t xml:space="preserve"> </w:t>
      </w:r>
      <w:r>
        <w:t xml:space="preserve">S, LM, UM, L</w:t>
      </w:r>
      <w:r>
        <w:t xml:space="preserve"> </w:t>
      </w:r>
      <w:r>
        <w:t xml:space="preserve">UM</w:t>
      </w:r>
      <w:r>
        <w:t xml:space="preserve"> </w:t>
      </w:r>
      <w:r>
        <w:t xml:space="preserve">(CI+Hybrid,</w:t>
      </w:r>
      <w:r>
        <w:t xml:space="preserve"> </w:t>
      </w:r>
      <w:r>
        <w:t xml:space="preserve">PHEV, BEV, FCEV), L</w:t>
      </w:r>
      <w:r>
        <w:t xml:space="preserve"> </w:t>
      </w:r>
      <w:r>
        <w:t xml:space="preserve">L (FCEV)</w:t>
      </w:r>
    </w:p>
    <w:p>
      <w:pPr>
        <w:pStyle w:val="BodyText"/>
      </w:pPr>
      <w:r>
        <w:t xml:space="preserve">COMBI_1</w:t>
      </w:r>
    </w:p>
    <w:p>
      <w:pPr>
        <w:pStyle w:val="BodyText"/>
      </w:pPr>
      <w:r>
        <w:t xml:space="preserve">UM, L</w:t>
      </w:r>
      <w:r>
        <w:t xml:space="preserve"> </w:t>
      </w:r>
      <w:r>
        <w:t xml:space="preserve">COMBI_2</w:t>
      </w:r>
    </w:p>
    <w:p>
      <w:pPr>
        <w:pStyle w:val="BodyText"/>
      </w:pPr>
      <w:r>
        <w:t xml:space="preserve">Third user</w:t>
      </w:r>
      <w:r>
        <w:t xml:space="preserve"> </w:t>
      </w:r>
      <w:r>
        <w:t xml:space="preserve">Baseline</w:t>
      </w:r>
      <w:r>
        <w:t xml:space="preserve"> </w:t>
      </w:r>
      <w:r>
        <w:t xml:space="preserve">UM (CI</w:t>
      </w:r>
      <w:r>
        <w:t xml:space="preserve"> </w:t>
      </w:r>
      <w:r>
        <w:t xml:space="preserve">PHEV,</w:t>
      </w:r>
      <w:r>
        <w:t xml:space="preserve"> </w:t>
      </w:r>
      <w:r>
        <w:t xml:space="preserve">BEV,</w:t>
      </w:r>
      <w:r>
        <w:t xml:space="preserve"> </w:t>
      </w:r>
      <w:r>
        <w:t xml:space="preserve">FCEV),</w:t>
      </w:r>
      <w:r>
        <w:t xml:space="preserve"> </w:t>
      </w:r>
      <w:r>
        <w:t xml:space="preserve">L</w:t>
      </w:r>
      <w:r>
        <w:t xml:space="preserve"> </w:t>
      </w:r>
      <w:r>
        <w:t xml:space="preserve">UM (FCEV), L</w:t>
      </w:r>
    </w:p>
    <w:p>
      <w:pPr>
        <w:pStyle w:val="BodyText"/>
      </w:pP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Legend: S (Small), LM (Lower Medium), UM (Upper Medium), L (Large) CI (Compression Ignition). Note: The table</w:t>
      </w:r>
      <w:r>
        <w:t xml:space="preserve"> </w:t>
      </w:r>
      <w:r>
        <w:t xml:space="preserve">does not show segments (powertrains) with less than 1% share in sales.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 only scenario-related difference appears in COMBI_1, while under COMBI_2 there</w:t>
      </w:r>
      <w:r>
        <w:t xml:space="preserve"> </w:t>
      </w:r>
      <w:r>
        <w:t xml:space="preserve">are no changes in affordability compared with the baseline. Under COMBI_1, the situation</w:t>
      </w:r>
      <w:r>
        <w:t xml:space="preserve"> </w:t>
      </w:r>
      <w:r>
        <w:t xml:space="preserve">changes only for Q2 households purchasing UM vehicles as second users (most likely due</w:t>
      </w:r>
      <w:r>
        <w:t xml:space="preserve"> </w:t>
      </w:r>
      <w:r>
        <w:t xml:space="preserve">to the additional costs of dedicated renewable fuel vehicles). In this case, also SI + Hybrid</w:t>
      </w:r>
      <w:r>
        <w:t xml:space="preserve"> </w:t>
      </w:r>
      <w:r>
        <w:t xml:space="preserve">vehicles become unaffordable, which means that all UM vehicles are unaffordable for Q2</w:t>
      </w:r>
      <w:r>
        <w:t xml:space="preserve"> </w:t>
      </w:r>
      <w:r>
        <w:t xml:space="preserve">second users under this option.</w:t>
      </w:r>
      <w:r>
        <w:t xml:space="preserve"> </w:t>
      </w:r>
      <w:r>
        <w:t xml:space="preserve">Subjective TCO</w:t>
      </w:r>
      <w:r>
        <w:br/>
      </w:r>
      <w:r>
        <w:t xml:space="preserve">An assessment has also been made on how each of the two packages affects the subjective</w:t>
      </w:r>
      <w:r>
        <w:t xml:space="preserve"> </w:t>
      </w:r>
      <w:r>
        <w:t xml:space="preserve">TCO for affordable options, as compared to the baseline.</w:t>
      </w:r>
      <w:r>
        <w:br/>
      </w:r>
      <w:r>
        <w:t xml:space="preserve">Figure 16 shows the percentage changes of the ratio between subjective TCO (only</w:t>
      </w:r>
      <w:r>
        <w:t xml:space="preserve"> </w:t>
      </w:r>
      <w:r>
        <w:t xml:space="preserve">accounting for the affordable vehicles option per income group) and average annual</w:t>
      </w:r>
      <w:r>
        <w:t xml:space="preserve"> </w:t>
      </w:r>
      <w:r>
        <w:t xml:space="preserve">income within the income group for the two packages, as compared to the baseline. Across</w:t>
      </w:r>
      <w:r>
        <w:t xml:space="preserve"> </w:t>
      </w:r>
      <w:r>
        <w:t xml:space="preserve">both packages, all income groups are projected to face increases in subjective TCO relative</w:t>
      </w:r>
      <w:r>
        <w:t xml:space="preserve"> </w:t>
      </w:r>
      <w:r>
        <w:t xml:space="preserve">to their annual income. The cost increases are higher under the more ambitious package</w:t>
      </w:r>
      <w:r>
        <w:t xml:space="preserve"> </w:t>
      </w:r>
      <w:r>
        <w:t xml:space="preserve">and decline with income: lower-income households experience larger increases relative to</w:t>
      </w:r>
      <w:r>
        <w:t xml:space="preserve"> </w:t>
      </w:r>
      <w:r>
        <w:t xml:space="preserve">income, while higher-income groups are less affected. Between 2030 and 2035, cost</w:t>
      </w:r>
      <w:r>
        <w:t xml:space="preserve"> </w:t>
      </w:r>
      <w:r>
        <w:t xml:space="preserve">increases become more pronounced across all income groups and for both packages. By</w:t>
      </w:r>
      <w:r>
        <w:t xml:space="preserve"> </w:t>
      </w:r>
      <w:r>
        <w:t xml:space="preserve">2040, they generally stabilise, with some income groups and packages showing slight</w:t>
      </w:r>
      <w:r>
        <w:t xml:space="preserve"> </w:t>
      </w:r>
      <w:r>
        <w:t xml:space="preserve">increases and others slight decreases compared to 2035.</w:t>
      </w:r>
      <w:r>
        <w:t xml:space="preserve"> </w:t>
      </w:r>
      <w:r>
        <w:t xml:space="preserve">This result is driven by two main factors: (i) both packages lead to a slightly higher share</w:t>
      </w:r>
      <w:r>
        <w:t xml:space="preserve"> </w:t>
      </w:r>
      <w:r>
        <w:t xml:space="preserve">of ICEVs, HEVs and PHEVs in the vehicle mix compared to the baseline. Since these</w:t>
      </w:r>
      <w:r>
        <w:t xml:space="preserve"> </w:t>
      </w:r>
      <w:r>
        <w:t xml:space="preserve">powertrains have higher TCO compared to BEVs (particularly in periods after 2030 as the</w:t>
      </w:r>
      <w:r>
        <w:t xml:space="preserve"> </w:t>
      </w:r>
      <w:r>
        <w:t xml:space="preserve">projected price of fuel increases more versus electricity), this results in overall increases in</w:t>
      </w:r>
      <w:r>
        <w:t xml:space="preserve"> </w:t>
      </w:r>
      <w:r>
        <w:t xml:space="preserve">average ownership costs across all income groups; (ii) even if differences in technology</w:t>
      </w:r>
      <w:r>
        <w:t xml:space="preserve"> </w:t>
      </w:r>
      <w:r>
        <w:t xml:space="preserve">costs and fuel savings are the same across income groups in absolute terms, they represent</w:t>
      </w:r>
      <w:r>
        <w:t xml:space="preserve"> </w:t>
      </w:r>
      <w:r>
        <w:t xml:space="preserve">a higher share of income for lower-income households, which amplifies the relative cost</w:t>
      </w:r>
      <w:r>
        <w:t xml:space="preserve"> </w:t>
      </w:r>
      <w:r>
        <w:t xml:space="preserve">increases observed for them across scenarios.</w:t>
      </w:r>
      <w:r>
        <w:t xml:space="preserve"> </w:t>
      </w:r>
      <w:r>
        <w:t xml:space="preserve">Figure 16: Average subjective TCO changes (% of annual income) for income groups</w:t>
      </w:r>
      <w:r>
        <w:t xml:space="preserve"> </w:t>
      </w:r>
      <w:r>
        <w:t xml:space="preserve">across the two combined options for a car newly purchased in 2030, 2035 and 2040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Note: Positive values represent cost increases. Assumptions used to calculate the average TCO savings: all Q1 are 3rd</w:t>
      </w:r>
      <w:r>
        <w:t xml:space="preserve"> </w:t>
      </w:r>
      <w:r>
        <w:t xml:space="preserve">users, 50% of Q2 are 3rd users and 50% are 2nd users, Q3 are all 2nd users, 50% of Q4 are 2nd users and 50% are 1st</w:t>
      </w:r>
      <w:r>
        <w:t xml:space="preserve"> </w:t>
      </w:r>
      <w:r>
        <w:t xml:space="preserve">users, Q5 are all 1st users.</w:t>
      </w:r>
      <w:r>
        <w:br/>
      </w:r>
      <w:r>
        <w:t xml:space="preserve">The social impact analysis focuses on income groups defined at the EU level since the CO2</w:t>
      </w:r>
      <w:r>
        <w:t xml:space="preserve"> </w:t>
      </w:r>
      <w:r>
        <w:t xml:space="preserve">emission standards do not set specific targets and/or requirements at the Member States</w:t>
      </w:r>
      <w:r>
        <w:t xml:space="preserve"> </w:t>
      </w:r>
      <w:r>
        <w:t xml:space="preserve">level. However, the analysis provides useful insight on how consumers in different</w:t>
      </w:r>
      <w:r>
        <w:t xml:space="preserve"> </w:t>
      </w:r>
      <w:r>
        <w:t xml:space="preserve">Member States may be affected.</w:t>
      </w:r>
      <w:r>
        <w:br/>
      </w:r>
      <w:r>
        <w:t xml:space="preserve">The conclusions of the analysis are qualitatively valid for each Member State. In each</w:t>
      </w:r>
      <w:r>
        <w:t xml:space="preserve"> </w:t>
      </w:r>
      <w:r>
        <w:t xml:space="preserve">Member State, lower income groups are expected to experience relatively more benefits</w:t>
      </w:r>
      <w:r>
        <w:t xml:space="preserve"> </w:t>
      </w:r>
      <w:r>
        <w:t xml:space="preserve">than higher income groups, but are also more likely to face affordability issues.</w:t>
      </w:r>
      <w:r>
        <w:br/>
      </w:r>
      <w:r>
        <w:t xml:space="preserve">Moreover, considering the distribution of impacts among Member States, consumers in</w:t>
      </w:r>
      <w:r>
        <w:t xml:space="preserve"> </w:t>
      </w:r>
      <w:r>
        <w:t xml:space="preserve">Member States with average disposable income lower than the EU average are expected</w:t>
      </w:r>
      <w:r>
        <w:t xml:space="preserve"> </w:t>
      </w:r>
      <w:r>
        <w:t xml:space="preserve">to experience higher TCO savings relative to their income than displayed in Figure 16.</w:t>
      </w:r>
      <w:r>
        <w:t xml:space="preserve"> </w:t>
      </w:r>
      <w:r>
        <w:t xml:space="preserve">Conversely, consumers in Member States with average disposable income higher than the</w:t>
      </w:r>
      <w:r>
        <w:t xml:space="preserve"> </w:t>
      </w:r>
      <w:r>
        <w:t xml:space="preserve">EU average are expected to experience lower TCO savings relative to their income than</w:t>
      </w:r>
      <w:r>
        <w:t xml:space="preserve"> </w:t>
      </w:r>
      <w:r>
        <w:t xml:space="preserve">displayed in Figure 16.</w:t>
      </w:r>
    </w:p>
    <w:p>
      <w:pPr>
        <w:pStyle w:val="BodyText"/>
      </w:pPr>
      <w:r>
        <w:t xml:space="preserve">123</w:t>
      </w:r>
    </w:p>
    <w:p>
      <w:pPr>
        <w:pStyle w:val="Compact"/>
        <w:numPr>
          <w:ilvl w:val="0"/>
          <w:numId w:val="1027"/>
        </w:numPr>
      </w:pPr>
      <w:r>
        <w:t xml:space="preserve">LITERATURE REGARDING AVAILABILITY AND COSTS OF SUSTAINABLE BIOLOGICAL</w:t>
      </w:r>
      <w:r>
        <w:t xml:space="preserve"> </w:t>
      </w:r>
      <w:r>
        <w:t xml:space="preserve">FEEDSTOCKS</w:t>
      </w:r>
      <w:r>
        <w:t xml:space="preserve"> </w:t>
      </w:r>
      <w:r>
        <w:t xml:space="preserve">In literature, there is a wide range of estimation for what concerns the potential availability</w:t>
      </w:r>
      <w:r>
        <w:t xml:space="preserve"> </w:t>
      </w:r>
      <w:r>
        <w:t xml:space="preserve">of sustainable biological feedstocks and their costs.</w:t>
      </w:r>
      <w:r>
        <w:br/>
      </w:r>
      <w:r>
        <w:t xml:space="preserve">A 2024 ICCT study111 found that the availability of RED advanced biofuel compliant</w:t>
      </w:r>
      <w:r>
        <w:t xml:space="preserve"> </w:t>
      </w:r>
      <w:r>
        <w:t xml:space="preserve">biomass in the EU would be short of meeting even fuel demand for the aviation sector after</w:t>
      </w:r>
    </w:p>
    <w:p>
      <w:pPr>
        <w:pStyle w:val="Compact"/>
        <w:numPr>
          <w:ilvl w:val="0"/>
          <w:numId w:val="1027"/>
        </w:numPr>
      </w:pPr>
      <w:r>
        <w:t xml:space="preserve">On the other hand, an Imperial College Report shows higher availability, and argues</w:t>
      </w:r>
      <w:r>
        <w:t xml:space="preserve"> </w:t>
      </w:r>
      <w:r>
        <w:t xml:space="preserve">that the potential availability of advanced and waste-based biofuels (through EU domestic</w:t>
      </w:r>
      <w:r>
        <w:t xml:space="preserve"> </w:t>
      </w:r>
      <w:r>
        <w:t xml:space="preserve">production) in 2050 can reach 137 Mtoe with some progress in biomass collection and</w:t>
      </w:r>
      <w:r>
        <w:t xml:space="preserve"> </w:t>
      </w:r>
      <w:r>
        <w:t xml:space="preserve">yield improvement. Similarly, a 2024 RTD study112 found out that there is feedstock</w:t>
      </w:r>
      <w:r>
        <w:t xml:space="preserve"> </w:t>
      </w:r>
      <w:r>
        <w:t xml:space="preserve">potential in Europe for the production of second-generation bioethanol, however,</w:t>
      </w:r>
      <w:r>
        <w:t xml:space="preserve"> </w:t>
      </w:r>
      <w:r>
        <w:t xml:space="preserve">feedstock potential is not enough to cover the biodiesel demand and it would need to be</w:t>
      </w:r>
      <w:r>
        <w:t xml:space="preserve"> </w:t>
      </w:r>
      <w:r>
        <w:t xml:space="preserve">imported from outside Europe. A 2025 IEA report on sustainable fuels113 argues that a</w:t>
      </w:r>
      <w:r>
        <w:t xml:space="preserve"> </w:t>
      </w:r>
      <w:r>
        <w:t xml:space="preserve">fourfold increase in the global use of sustainable fuels by 2035 is ambitious yet achievable.</w:t>
      </w:r>
      <w:r>
        <w:t xml:space="preserve"> </w:t>
      </w:r>
      <w:r>
        <w:t xml:space="preserve">A SPGCI Study, commissioned by Concawe114, argues that complementing electrification</w:t>
      </w:r>
      <w:r>
        <w:t xml:space="preserve"> </w:t>
      </w:r>
      <w:r>
        <w:t xml:space="preserve">with an increased use of low carbon fuels could save a significant number of refineries,</w:t>
      </w:r>
      <w:r>
        <w:t xml:space="preserve"> </w:t>
      </w:r>
      <w:r>
        <w:t xml:space="preserve">which otherwise would be shut down: the demand for low carbon fuels creates an</w:t>
      </w:r>
      <w:r>
        <w:t xml:space="preserve"> </w:t>
      </w:r>
      <w:r>
        <w:t xml:space="preserve">opportunity for traditional refineries to be reconverted. However, from the energy system</w:t>
      </w:r>
      <w:r>
        <w:t xml:space="preserve"> </w:t>
      </w:r>
      <w:r>
        <w:t xml:space="preserve">perspective, this comes with a cost. Electricity demand is higher in a scenario in which</w:t>
      </w:r>
      <w:r>
        <w:t xml:space="preserve"> </w:t>
      </w:r>
      <w:r>
        <w:t xml:space="preserve">transport electrification is relaxed, due to the energy intensity of hydrogen and e-fuels</w:t>
      </w:r>
      <w:r>
        <w:t xml:space="preserve"> </w:t>
      </w:r>
      <w:r>
        <w:t xml:space="preserve">production. The study also shows that, excluding carbon price, the cost of producing low</w:t>
      </w:r>
      <w:r>
        <w:t xml:space="preserve"> </w:t>
      </w:r>
      <w:r>
        <w:t xml:space="preserve">carbon fuels will be higher than that of fossil fuels. On RFNBO, the IEA report on the Role</w:t>
      </w:r>
      <w:r>
        <w:t xml:space="preserve"> </w:t>
      </w:r>
      <w:r>
        <w:t xml:space="preserve">of E-fuels in Decarbonising Transport115, and the International PowerToX Hub116 point out</w:t>
      </w:r>
      <w:r>
        <w:t xml:space="preserve"> </w:t>
      </w:r>
      <w:r>
        <w:t xml:space="preserve">to the technical challenges of ramping up electrolyser manufacturing needed to scale up</w:t>
      </w:r>
      <w:r>
        <w:t xml:space="preserve"> </w:t>
      </w:r>
      <w:r>
        <w:t xml:space="preserve">the production of such fuels. The International PowerToX Hub also states that e-fuels are</w:t>
      </w:r>
      <w:r>
        <w:t xml:space="preserve"> </w:t>
      </w:r>
      <w:r>
        <w:t xml:space="preserve">expensive and less energy efficient and will likely only be available in very limited</w:t>
      </w:r>
      <w:r>
        <w:t xml:space="preserve"> </w:t>
      </w:r>
      <w:r>
        <w:t xml:space="preserve">quantities over the next few decades. They should be prioritised for segments of the</w:t>
      </w:r>
      <w:r>
        <w:t xml:space="preserve"> </w:t>
      </w:r>
      <w:r>
        <w:t xml:space="preserve">transport sector that lack alternatives, mainly aviation and maritime transport. On RFNBO</w:t>
      </w:r>
      <w:r>
        <w:t xml:space="preserve"> </w:t>
      </w:r>
      <w:r>
        <w:t xml:space="preserve">prices, a report commissioned by Concawe117 argues that the cost for electricity has the</w:t>
      </w:r>
      <w:r>
        <w:t xml:space="preserve"> </w:t>
      </w:r>
      <w:r>
        <w:t xml:space="preserve">highest share of the overall costs of fuel supply (up to around 70%), that RFNBO supply</w:t>
      </w:r>
      <w:r>
        <w:t xml:space="preserve"> </w:t>
      </w:r>
      <w:r>
        <w:t xml:space="preserve">costs range between EUR 1.7 and 4.6 per litre of diesel equivalent in the short term and</w:t>
      </w:r>
      <w:r>
        <w:t xml:space="preserve"> </w:t>
      </w:r>
      <w:r>
        <w:t xml:space="preserve">between EUR 1.4 and 2.8 per litre of diesel equivalent in the long term, and that Europe is</w:t>
      </w:r>
      <w:r>
        <w:t xml:space="preserve"> </w:t>
      </w:r>
      <w:r>
        <w:t xml:space="preserve">cost competitive with the MENA region. On a similar note, the eFuel Alliance, in its cost</w:t>
      </w:r>
      <w:r>
        <w:t xml:space="preserve"> </w:t>
      </w:r>
      <w:r>
        <w:t xml:space="preserve">outlook118, shows that Spain due to its low electricity costs is cost competitive with</w:t>
      </w:r>
      <w:r>
        <w:t xml:space="preserve"> </w:t>
      </w:r>
      <w:r>
        <w:t xml:space="preserve">Colombia, Namibia and Australia, and projects costs (without taxes and profit margin)</w:t>
      </w:r>
      <w:r>
        <w:t xml:space="preserve"> </w:t>
      </w:r>
      <w:r>
        <w:t xml:space="preserve">around EUR 2 per litre of diesel equivalent for different types of RFNBO already for 2030.</w:t>
      </w:r>
    </w:p>
    <w:p>
      <w:pPr>
        <w:pStyle w:val="FirstParagraph"/>
      </w:pPr>
      <w:r>
        <w:t xml:space="preserve">111 https://theicct.org/wp-content/uploads/2024/08/ID-185-%E2%80%93-Biomass-SAF_brief_final2.pdf</w:t>
      </w:r>
      <w:r>
        <w:t xml:space="preserve"> </w:t>
      </w:r>
      <w:r>
        <w:t xml:space="preserve">112 Development of outlook for the necessary means to build industrial capacity for drop-in advanced biofuels</w:t>
      </w:r>
      <w:r>
        <w:t xml:space="preserve"> </w:t>
      </w:r>
      <w:r>
        <w:t xml:space="preserve">113 Delivering Sustainable Fuels, https://www.iea.org/reports/delivering-sustainable-fuels</w:t>
      </w:r>
      <w:r>
        <w:t xml:space="preserve"> </w:t>
      </w:r>
      <w:r>
        <w:t xml:space="preserve">114https://www.concawe.eu/publication/study-on-the-potential-evolution-of-refining-and-liquid-fuels-</w:t>
      </w:r>
      <w:r>
        <w:t xml:space="preserve"> </w:t>
      </w:r>
      <w:r>
        <w:t xml:space="preserve">production-in-europe/</w:t>
      </w:r>
      <w:r>
        <w:t xml:space="preserve"> </w:t>
      </w:r>
      <w:r>
        <w:t xml:space="preserve">115 The Role of E-fuels in Decarbonising Transport – Analysis - IEA</w:t>
      </w:r>
      <w:r>
        <w:br/>
      </w:r>
      <w:r>
        <w:t xml:space="preserve">116 Discussion paper: E-fuels – Separating the substance from the hype - PtX Hub</w:t>
      </w:r>
      <w:r>
        <w:t xml:space="preserve"> </w:t>
      </w:r>
      <w:r>
        <w:t xml:space="preserve">117 https://www.concawe.eu/wp-content/uploads/Rpt_24-4-1.pdf</w:t>
      </w:r>
      <w:r>
        <w:t xml:space="preserve"> </w:t>
      </w:r>
      <w:r>
        <w:t xml:space="preserve">118 https://www.efuel-alliance.eu/efuels/costs-outlook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To be noted that, in 2023, hydrogen production costs through electrolysis with a direct</w:t>
      </w:r>
      <w:r>
        <w:t xml:space="preserve"> </w:t>
      </w:r>
      <w:r>
        <w:t xml:space="preserve">connection to a renewable energy source had an average estimated cost of 6.61 €/kg119.</w:t>
      </w:r>
    </w:p>
    <w:p>
      <w:pPr>
        <w:pStyle w:val="BodyText"/>
      </w:pPr>
      <w:r>
        <w:t xml:space="preserve">119 The European hydrogen market landscape_November 2024.pdf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2026-07-31T16:48:30Z</dcterms:created>
  <dcterms:modified xsi:type="dcterms:W3CDTF">2026-07-31T16:48:30Z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