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10.12.2025</w:t>
      </w:r>
      <w:r>
        <w:br/>
      </w:r>
      <w:r>
        <w:t xml:space="preserve">SWD(2025) 2000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[European Grids Package]</w:t>
      </w:r>
      <w:r>
        <w:t xml:space="preserve"> </w:t>
      </w:r>
      <w:r>
        <w:t xml:space="preserve">Accompanying the documents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 on guidelines for trans-European energy infrastructure, amending</w:t>
      </w:r>
      <w:r>
        <w:t xml:space="preserve"> </w:t>
      </w:r>
      <w:r>
        <w:t xml:space="preserve">Regulations (EU) 2019/942, (EU) 2019/943 and (EU) 2024/1789 and repealing Regulation</w:t>
      </w:r>
      <w:r>
        <w:t xml:space="preserve"> </w:t>
      </w:r>
      <w:r>
        <w:t xml:space="preserve">(EU) 2022/869</w:t>
      </w:r>
      <w:r>
        <w:t xml:space="preserve"> </w:t>
      </w:r>
      <w:r>
        <w:t xml:space="preserve">Proposal for a DIRECTIVE OF THE EUROPEAN PARLIAMENT AND OF THE</w:t>
      </w:r>
      <w:r>
        <w:t xml:space="preserve"> </w:t>
      </w:r>
      <w:r>
        <w:t xml:space="preserve">COUNCIL amending Directives (EU) 2018/2001, (EU) 2019/944, (EU) 2024/1788 as</w:t>
      </w:r>
      <w:r>
        <w:t xml:space="preserve"> </w:t>
      </w:r>
      <w:r>
        <w:t xml:space="preserve">regards acceleration of permit-granting procedures</w:t>
      </w:r>
    </w:p>
    <w:p>
      <w:pPr>
        <w:pStyle w:val="BodyText"/>
      </w:pPr>
      <w:r>
        <w:t xml:space="preserve">{COM(2025) 1006 final} - {COM(2025) 1007 final} - {SWD(2025) 2001 final} -</w:t>
      </w:r>
      <w:r>
        <w:t xml:space="preserve"> </w:t>
      </w:r>
      <w:r>
        <w:t xml:space="preserve">{SEC(2025) 2000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1.1. Political context ……………………………………………………………………………………. 1</w:t>
      </w:r>
      <w:r>
        <w:t xml:space="preserve"> </w:t>
      </w:r>
      <w:r>
        <w:t xml:space="preserve">1.2. Legal context ………………………………………………………………………………………. 3</w:t>
      </w:r>
      <w:r>
        <w:t xml:space="preserve"> </w:t>
      </w:r>
      <w:r>
        <w:t xml:space="preserve">1.3. Synergies with other EU policy instruments …………………………………………….. 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4</w:t>
      </w:r>
      <w:r>
        <w:t xml:space="preserve"> </w:t>
      </w:r>
      <w:r>
        <w:t xml:space="preserve">2.1. What are the problems? …………………………………………………………………………. 4</w:t>
      </w:r>
      <w:r>
        <w:t xml:space="preserve"> </w:t>
      </w:r>
      <w:r>
        <w:t xml:space="preserve">2.2. What are the problem drivers? ……………………………………………………………….. 9</w:t>
      </w:r>
      <w:r>
        <w:t xml:space="preserve"> </w:t>
      </w:r>
      <w:r>
        <w:t xml:space="preserve">2.3. How likely is the problem to persist? …………………………………………………….. 18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19</w:t>
      </w:r>
      <w:r>
        <w:t xml:space="preserve"> </w:t>
      </w:r>
      <w:r>
        <w:t xml:space="preserve">3.1. Legal basis …………………………………………………………………………………………. 19</w:t>
      </w:r>
      <w:r>
        <w:t xml:space="preserve"> </w:t>
      </w:r>
      <w:r>
        <w:t xml:space="preserve">3.2. Subsidiarity: Necessity of EU action ……………………………………………………… 19</w:t>
      </w:r>
      <w:r>
        <w:t xml:space="preserve"> </w:t>
      </w:r>
      <w:r>
        <w:t xml:space="preserve">3.3. Subsidiarity: Added value of EU action …………………………………………………. 20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21</w:t>
      </w:r>
      <w:r>
        <w:t xml:space="preserve"> </w:t>
      </w:r>
      <w:r>
        <w:t xml:space="preserve">4.1. General objectives ………………………………………………………………………………. 21</w:t>
      </w:r>
      <w:r>
        <w:t xml:space="preserve"> </w:t>
      </w:r>
      <w:r>
        <w:t xml:space="preserve">4.2. Specific objectives ………………………………………………………………………………. 21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22</w:t>
      </w:r>
      <w:r>
        <w:t xml:space="preserve"> </w:t>
      </w:r>
      <w:r>
        <w:t xml:space="preserve">5.1. What is the baseline from which options are assessed? ……………………………. 22</w:t>
      </w:r>
      <w:r>
        <w:t xml:space="preserve"> </w:t>
      </w:r>
      <w:r>
        <w:t xml:space="preserve">5.2. Description of the policy measures and options ………………………………………. 24</w:t>
      </w:r>
      <w:r>
        <w:t xml:space="preserve"> </w:t>
      </w:r>
      <w:r>
        <w:t xml:space="preserve">5.3. Options discarded at an early stage ……………………………………………………….. 32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32</w:t>
      </w:r>
      <w:r>
        <w:t xml:space="preserve"> </w:t>
      </w:r>
      <w:r>
        <w:t xml:space="preserve">6.1. Economic impacts ………………………………………………………………………………. 33</w:t>
      </w:r>
      <w:r>
        <w:t xml:space="preserve"> </w:t>
      </w:r>
      <w:r>
        <w:t xml:space="preserve">6.2. Social Impacts ……………………………………………………………………………………. 42</w:t>
      </w:r>
      <w:r>
        <w:t xml:space="preserve"> </w:t>
      </w:r>
      <w:r>
        <w:t xml:space="preserve">6.3. Environmental Impacts ………………………………………………………………………… 44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47</w:t>
      </w:r>
      <w:r>
        <w:t xml:space="preserve"> </w:t>
      </w:r>
      <w:r>
        <w:t xml:space="preserve">7.1. Effectiveness ………………………………………………………………………………………. 48</w:t>
      </w:r>
      <w:r>
        <w:t xml:space="preserve"> </w:t>
      </w:r>
      <w:r>
        <w:t xml:space="preserve">7.2. Efficiency ………………………………………………………………………………………….. 51</w:t>
      </w:r>
      <w:r>
        <w:t xml:space="preserve"> </w:t>
      </w:r>
      <w:r>
        <w:t xml:space="preserve">7.3. Coherence ………………………………………………………………………………………….. 53</w:t>
      </w:r>
      <w:r>
        <w:t xml:space="preserve"> </w:t>
      </w:r>
      <w:r>
        <w:t xml:space="preserve">7.4. Subsidiarity and proportionality ……………………………………………………………. 54</w:t>
      </w:r>
      <w:r>
        <w:t xml:space="preserve"> </w:t>
      </w:r>
      <w:r>
        <w:t xml:space="preserve">7.5. Summary ……………………………………………………………………………………………. 55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55</w:t>
      </w:r>
      <w:r>
        <w:t xml:space="preserve"> </w:t>
      </w:r>
      <w:r>
        <w:t xml:space="preserve">8.1. Identification of preferred policy option ………………………………………………… 55</w:t>
      </w:r>
      <w:r>
        <w:t xml:space="preserve"> </w:t>
      </w:r>
      <w:r>
        <w:t xml:space="preserve">8.2. REFIT (simplification and improved efficiency) …………………………………….. 56</w:t>
      </w:r>
      <w:r>
        <w:t xml:space="preserve"> </w:t>
      </w:r>
      <w:r>
        <w:t xml:space="preserve">8.3. Application of the ‘one in, one out’ approach …………………………………………. 57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57</w:t>
      </w:r>
      <w:r>
        <w:t xml:space="preserve"> </w:t>
      </w:r>
      <w:r>
        <w:t xml:space="preserve">ANNEX 1: PROCEDURAL INFORMATION ……………………………………………………………………………….. 59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ANNEX 2: STAKEHOLDER CONSULTATION (SYNOPSIS REPORT) ………………………………………… 63</w:t>
      </w:r>
      <w:r>
        <w:t xml:space="preserve"> </w:t>
      </w:r>
      <w:r>
        <w:t xml:space="preserve">ANNEX 3: WHO IS AFFECTED AND HOW? ……………………………………………………………………………… 73</w:t>
      </w:r>
      <w:r>
        <w:t xml:space="preserve"> </w:t>
      </w:r>
      <w:r>
        <w:t xml:space="preserve">ANNEX 4: ANALYTICAL METHODS ……………………………………………………………………………………….. 82</w:t>
      </w:r>
      <w:r>
        <w:t xml:space="preserve"> </w:t>
      </w:r>
      <w:r>
        <w:t xml:space="preserve">ANNEX 5: COMPETITIVENESS CHECK …………………………………………………………………………………… 93</w:t>
      </w:r>
      <w:r>
        <w:t xml:space="preserve"> </w:t>
      </w:r>
      <w:r>
        <w:t xml:space="preserve">ANNEX 6: EXISTING LEGAL EU FRAMEWORK ………………………………………………………………………. 96</w:t>
      </w:r>
      <w:r>
        <w:t xml:space="preserve"> </w:t>
      </w:r>
      <w:r>
        <w:t xml:space="preserve">ANNEX 7: IMPLEMENTATION REPORTS ………………………………………………………………………………. 106</w:t>
      </w:r>
      <w:r>
        <w:t xml:space="preserve"> </w:t>
      </w:r>
      <w:r>
        <w:t xml:space="preserve">ANNEX 8: MONITORING………………………………………………………………………………………………………… 144</w:t>
      </w:r>
      <w:r>
        <w:t xml:space="preserve"> </w:t>
      </w:r>
      <w:r>
        <w:t xml:space="preserve">ANNEX 9: DESCRIPTION OF POLICY MEASURES …………………………………………………………………. 147</w:t>
      </w:r>
      <w:r>
        <w:t xml:space="preserve"> </w:t>
      </w:r>
      <w:r>
        <w:t xml:space="preserve">ANNEX 10: COMPARISON OF OPTIONS ………………………………………………………………………………… 158</w:t>
      </w:r>
      <w:r>
        <w:t xml:space="preserve"> </w:t>
      </w:r>
      <w:r>
        <w:t xml:space="preserve">ANNEX 11: GLOSSARY ………………………………………………………………………………………………………….. 159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Energy network infrastructure plays a crucial role in reinvigorating European</w:t>
      </w:r>
      <w:r>
        <w:t xml:space="preserve"> </w:t>
      </w:r>
      <w:r>
        <w:t xml:space="preserve">competitiveness, ensuring the security of our Union and in the energy transition and</w:t>
      </w:r>
      <w:r>
        <w:t xml:space="preserve"> </w:t>
      </w:r>
      <w:r>
        <w:t xml:space="preserve">decarbonisation. At the same time, the development of energy networks is confronted with new</w:t>
      </w:r>
      <w:r>
        <w:t xml:space="preserve"> </w:t>
      </w:r>
      <w:r>
        <w:t xml:space="preserve">and significant challenges.</w:t>
      </w:r>
      <w:r>
        <w:br/>
      </w:r>
      <w:r>
        <w:t xml:space="preserve">Electricity grids will need to serve growing demand linked to clean mobility, heating and</w:t>
      </w:r>
      <w:r>
        <w:t xml:space="preserve"> </w:t>
      </w:r>
      <w:r>
        <w:t xml:space="preserve">cooling, electrification of industry, data centres and the ramp-up of the hydrogen system.</w:t>
      </w:r>
      <w:r>
        <w:t xml:space="preserve"> </w:t>
      </w:r>
      <w:r>
        <w:t xml:space="preserve">Electrification of final energy consumption should increase from around 23% currently to around</w:t>
      </w:r>
      <w:r>
        <w:t xml:space="preserve"> </w:t>
      </w:r>
      <w:r>
        <w:t xml:space="preserve">32 % in 2030.1 Member States should aim for an electricity interconnectivity level of 15% by 2030.2</w:t>
      </w:r>
      <w:r>
        <w:br/>
      </w:r>
      <w:r>
        <w:t xml:space="preserve">Networks will need to integrate 2.2-2.4 TW of renewables capacity to meet 2040 EU targets.3 Grids</w:t>
      </w:r>
      <w:r>
        <w:t xml:space="preserve"> </w:t>
      </w:r>
      <w:r>
        <w:t xml:space="preserve">will need to adapt for the EU to have a more decentralised, digitalised and flexible electricity system</w:t>
      </w:r>
      <w:r>
        <w:t xml:space="preserve"> </w:t>
      </w:r>
      <w:r>
        <w:t xml:space="preserve">with millions of rooftop solar panels and local energy communities sharing resources. By 2040,</w:t>
      </w:r>
      <w:r>
        <w:t xml:space="preserve"> </w:t>
      </w:r>
      <w:r>
        <w:t xml:space="preserve">electricity transmission and distribution grids will require investments of EUR 1.2 trillion and</w:t>
      </w:r>
      <w:r>
        <w:t xml:space="preserve"> </w:t>
      </w:r>
      <w:r>
        <w:t xml:space="preserve">hydrogen networks of EUR 240 billion.4 Offshore renewables alone should increase by up to 360</w:t>
      </w:r>
      <w:r>
        <w:t xml:space="preserve"> </w:t>
      </w:r>
      <w:r>
        <w:t xml:space="preserve">GW by 20505, which need to be connected to shore including through necessary onshore grid</w:t>
      </w:r>
      <w:r>
        <w:t xml:space="preserve"> </w:t>
      </w:r>
      <w:r>
        <w:t xml:space="preserve">reinforcements. Hydrogen will be important in decarbonising industrial and transport</w:t>
      </w:r>
      <w:r>
        <w:t xml:space="preserve"> </w:t>
      </w:r>
      <w:r>
        <w:t xml:space="preserve">processes where electrification is not an attainable solution. Hydrogen networks will connect</w:t>
      </w:r>
      <w:r>
        <w:t xml:space="preserve"> </w:t>
      </w:r>
      <w:r>
        <w:t xml:space="preserve">production and demand centres across Europe, where on-site hydrogen production is not feasible.</w:t>
      </w:r>
      <w:r>
        <w:t xml:space="preserve"> </w:t>
      </w:r>
      <w:r>
        <w:t xml:space="preserve">The Draghi report6 called for simplifying and streamlining permitting and administrative processes</w:t>
      </w:r>
      <w:r>
        <w:t xml:space="preserve"> </w:t>
      </w:r>
      <w:r>
        <w:t xml:space="preserve">as well as for a coordinated strategic approach to cross-border infrastructure development between</w:t>
      </w:r>
      <w:r>
        <w:t xml:space="preserve"> </w:t>
      </w:r>
      <w:r>
        <w:t xml:space="preserve">the EU and Member States. The Council invited the Commission to propose a strengthened</w:t>
      </w:r>
      <w:r>
        <w:t xml:space="preserve"> </w:t>
      </w:r>
      <w:r>
        <w:t xml:space="preserve">framework for grid planning and rollout to be compliant with EU targets.7 In its Conclusions of 16</w:t>
      </w:r>
      <w:r>
        <w:t xml:space="preserve"> </w:t>
      </w:r>
      <w:r>
        <w:t xml:space="preserve">June 20258, the Council called on the Commission to propose a grids package consisting of</w:t>
      </w:r>
      <w:r>
        <w:t xml:space="preserve"> </w:t>
      </w:r>
      <w:r>
        <w:t xml:space="preserve">measures to, inter alia, simplify EU rules on grids, integrate EU-level, regional and national needs,</w:t>
      </w:r>
      <w:r>
        <w:t xml:space="preserve"> </w:t>
      </w:r>
      <w:r>
        <w:t xml:space="preserve">ensure the delivery of projects, develop effective cost sharing mechanisms for cross-border projects</w:t>
      </w:r>
      <w:r>
        <w:t xml:space="preserve"> </w:t>
      </w:r>
      <w:r>
        <w:t xml:space="preserve">of common interest, and assess the need for further legislative proposals to accelerate permitting of</w:t>
      </w:r>
      <w:r>
        <w:t xml:space="preserve"> </w:t>
      </w:r>
      <w:r>
        <w:t xml:space="preserve">energy infrastructure. The European Council in its Conclusions also called for Union-wide long-</w:t>
      </w:r>
      <w:r>
        <w:t xml:space="preserve"> </w:t>
      </w:r>
      <w:r>
        <w:t xml:space="preserve">term investment planning to fully integrate and interconnect the EU electricity market, contributing</w:t>
      </w:r>
      <w:r>
        <w:t xml:space="preserve"> </w:t>
      </w:r>
      <w:r>
        <w:t xml:space="preserve">to the Union’s energy security, and infrastructure protection and resilience.9 The European</w:t>
      </w:r>
      <w:r>
        <w:t xml:space="preserve"> </w:t>
      </w:r>
      <w:r>
        <w:t xml:space="preserve">Parliament highlighted the importance of modernising and expanding grids, as well as investment</w:t>
      </w:r>
      <w:r>
        <w:t xml:space="preserve"> </w:t>
      </w:r>
      <w:r>
        <w:t xml:space="preserve">into digitalisation, with a focus on integrated cross-sector and cross-level planning.10 It also</w:t>
      </w:r>
    </w:p>
    <w:p>
      <w:pPr>
        <w:pStyle w:val="FirstParagraph"/>
      </w:pPr>
      <w:r>
        <w:t xml:space="preserve">1 Clean Industry Deal COM(2025) 85 final</w:t>
      </w:r>
      <w:r>
        <w:t xml:space="preserve"> </w:t>
      </w:r>
      <w:r>
        <w:t xml:space="preserve">2 Regulation (EU) 2018/1999 on the Governance of the Energy Union and Climate Action</w:t>
      </w:r>
      <w:r>
        <w:t xml:space="preserve"> </w:t>
      </w:r>
      <w:r>
        <w:t xml:space="preserve">3 COM(2025) 524 final: Proposal for a Regulation establishing the framework for achieving climate neutrality</w:t>
      </w:r>
      <w:r>
        <w:t xml:space="preserve"> </w:t>
      </w:r>
      <w:r>
        <w:t xml:space="preserve">4 Artelys, LBST, Trinomics, Finesso, A. et al., Investment needs of European energy infrastructure to enable a</w:t>
      </w:r>
      <w:r>
        <w:t xml:space="preserve"> </w:t>
      </w:r>
      <w:r>
        <w:t xml:space="preserve">decarbonised economy, 2025; investment needs for distribution grids alone amount to EUR 730 billion.</w:t>
      </w:r>
      <w:r>
        <w:t xml:space="preserve"> </w:t>
      </w:r>
      <w:r>
        <w:t xml:space="preserve">5 https://energy.ec.europa.eu/news/member-states-agree-new-ambition-expanding-offshore-renewable-energy-2024-</w:t>
      </w:r>
      <w:r>
        <w:t xml:space="preserve"> </w:t>
      </w:r>
      <w:r>
        <w:t xml:space="preserve">12-18_en</w:t>
      </w:r>
      <w:r>
        <w:t xml:space="preserve"> </w:t>
      </w:r>
      <w:r>
        <w:t xml:space="preserve">6 https://commission.europa.eu/topics/eu-competitiveness/draghi-report_en#paragraph_47059</w:t>
      </w:r>
      <w:r>
        <w:t xml:space="preserve"> </w:t>
      </w:r>
      <w:r>
        <w:t xml:space="preserve">7 Energy Council Conclusions of 30 May 2024 on Advancing Sustainable Electricity Grid Infrastructure, 10459/24</w:t>
      </w:r>
      <w:r>
        <w:t xml:space="preserve"> </w:t>
      </w:r>
      <w:r>
        <w:t xml:space="preserve">8 Council of the European Union, 10279/25</w:t>
      </w:r>
      <w:r>
        <w:t xml:space="preserve"> </w:t>
      </w:r>
      <w:r>
        <w:t xml:space="preserve">9 Conclusions of the European Council of March 2025 EUCO 1/25</w:t>
      </w:r>
      <w:r>
        <w:t xml:space="preserve"> </w:t>
      </w:r>
      <w:r>
        <w:t xml:space="preserve">10 European Parliament resolution of 19 June 2025 on electricity grids (2025/2006(INI))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emphasises cross-border infrastructure as a condition for successful deepening of the single</w:t>
      </w:r>
      <w:r>
        <w:t xml:space="preserve"> </w:t>
      </w:r>
      <w:r>
        <w:t xml:space="preserve">market and for increasing the Union’s resilience.11</w:t>
      </w:r>
      <w:r>
        <w:t xml:space="preserve"> </w:t>
      </w:r>
      <w:r>
        <w:t xml:space="preserve">This initiative responds to the Commission’s commitment in the Action Plan for Affordable</w:t>
      </w:r>
      <w:r>
        <w:t xml:space="preserve"> </w:t>
      </w:r>
      <w:r>
        <w:t xml:space="preserve">Energy12 to propose a European Grid Package. It should consist of legislative and non-legislative</w:t>
      </w:r>
      <w:r>
        <w:t xml:space="preserve"> </w:t>
      </w:r>
      <w:r>
        <w:t xml:space="preserve">measures to, among others, simplify the trans-European energy networks (TEN-E) Regulation;</w:t>
      </w:r>
      <w:r>
        <w:t xml:space="preserve"> </w:t>
      </w:r>
      <w:r>
        <w:t xml:space="preserve">ensure cross-border integrated planning and delivery of projects, especially on interconnectors;</w:t>
      </w:r>
      <w:r>
        <w:t xml:space="preserve"> </w:t>
      </w:r>
      <w:r>
        <w:t xml:space="preserve">streamline permitting for renewable energy generation, grid, storage infrastructure, and recharging</w:t>
      </w:r>
      <w:r>
        <w:t xml:space="preserve"> </w:t>
      </w:r>
      <w:r>
        <w:t xml:space="preserve">stations for cars and trucks13; enhance electricity distribution grid planning; accelerate the ramp-up</w:t>
      </w:r>
      <w:r>
        <w:t xml:space="preserve"> </w:t>
      </w:r>
      <w:r>
        <w:t xml:space="preserve">of the hydrogen market; boost digitalisation and innovation and increase visibility of manufacturing</w:t>
      </w:r>
      <w:r>
        <w:t xml:space="preserve"> </w:t>
      </w:r>
      <w:r>
        <w:t xml:space="preserve">supply needs. It builds on the 2023 EU Action Plan for Grids14 that focused on implementing the</w:t>
      </w:r>
      <w:r>
        <w:t xml:space="preserve"> </w:t>
      </w:r>
      <w:r>
        <w:t xml:space="preserve">agreed legal framework to strengthen Europe’s energy networks, and on the 2022 Digitalisation of</w:t>
      </w:r>
      <w:r>
        <w:t xml:space="preserve"> </w:t>
      </w:r>
      <w:r>
        <w:t xml:space="preserve">Energy Action Plan15 that promoted electricity grid digitalisation.</w:t>
      </w:r>
      <w:r>
        <w:t xml:space="preserve"> </w:t>
      </w:r>
      <w:r>
        <w:t xml:space="preserve">This impact assessment addresses possible legislative measures for the Grids Package, focusing</w:t>
      </w:r>
      <w:r>
        <w:t xml:space="preserve"> </w:t>
      </w:r>
      <w:r>
        <w:t xml:space="preserve">on grid planning and development for transmission and distribution grids with a cross-border</w:t>
      </w:r>
      <w:r>
        <w:t xml:space="preserve"> </w:t>
      </w:r>
      <w:r>
        <w:t xml:space="preserve">dimension, cost-sharing mechanisms, as well as permitting-related measures covering energy</w:t>
      </w:r>
      <w:r>
        <w:t xml:space="preserve"> </w:t>
      </w:r>
      <w:r>
        <w:t xml:space="preserve">infrastructure, renewable energy generation, storage and recharging stations. It also addresses</w:t>
      </w:r>
      <w:r>
        <w:t xml:space="preserve"> </w:t>
      </w:r>
      <w:r>
        <w:t xml:space="preserve">possible legislative measures to improve the security and resilience of energy infrastructure. The</w:t>
      </w:r>
      <w:r>
        <w:t xml:space="preserve"> </w:t>
      </w:r>
      <w:r>
        <w:t xml:space="preserve">initiative would entail a revision of the TEN-E Regulation on cross-border energy infrastructure,</w:t>
      </w:r>
      <w:r>
        <w:t xml:space="preserve"> </w:t>
      </w:r>
      <w:r>
        <w:t xml:space="preserve">targeted amendments to the revised Renewable Energy Directive (RED) to accelerate permitting</w:t>
      </w:r>
      <w:r>
        <w:t xml:space="preserve"> </w:t>
      </w:r>
      <w:r>
        <w:t xml:space="preserve">procedures for renewable energy, related grids and energy storage, as well as recharging stations.</w:t>
      </w:r>
      <w:r>
        <w:t xml:space="preserve"> </w:t>
      </w:r>
      <w:r>
        <w:t xml:space="preserve">In addition, it would entail limited targeted amendments to the Electricity Directive and</w:t>
      </w:r>
      <w:r>
        <w:t xml:space="preserve"> </w:t>
      </w:r>
      <w:r>
        <w:t xml:space="preserve">Regulation as well as the Gas Directive and Regulation to ensure full alignment and legal</w:t>
      </w:r>
      <w:r>
        <w:t xml:space="preserve"> </w:t>
      </w:r>
      <w:r>
        <w:t xml:space="preserve">coherence as regards the framework for permitting procedures at EU-level. In view of ongoing</w:t>
      </w:r>
      <w:r>
        <w:t xml:space="preserve"> </w:t>
      </w:r>
      <w:r>
        <w:t xml:space="preserve">implementation measures, planning and access to distribution grids16 and resilient supply chains17</w:t>
      </w:r>
      <w:r>
        <w:t xml:space="preserve"> </w:t>
      </w:r>
      <w:r>
        <w:t xml:space="preserve">will be mainly covered through non-legislative measures to be set out in a Communication and in</w:t>
      </w:r>
      <w:r>
        <w:t xml:space="preserve"> </w:t>
      </w:r>
      <w:r>
        <w:t xml:space="preserve">a guidance document on grids connection18 as part of the Package. In addition, the Commission</w:t>
      </w:r>
      <w:r>
        <w:t xml:space="preserve"> </w:t>
      </w:r>
      <w:r>
        <w:t xml:space="preserve">will come forward with sectoral tripartites on offshore wind and grids as well as on energy storage</w:t>
      </w:r>
      <w:r>
        <w:t xml:space="preserve"> </w:t>
      </w:r>
      <w:r>
        <w:t xml:space="preserve">by the end of this year which will also address supply chain constraints.</w:t>
      </w:r>
    </w:p>
    <w:p>
      <w:pPr>
        <w:pStyle w:val="BodyText"/>
      </w:pPr>
      <w:r>
        <w:t xml:space="preserve">11 EP resolution of 7 May 2025 on a revamped long-term budget for the Union in a changing world (2024/2051(INI)),</w:t>
      </w:r>
      <w:r>
        <w:br/>
      </w:r>
      <w:r>
        <w:t xml:space="preserve">12 COM(2025) 79 final</w:t>
      </w:r>
      <w:r>
        <w:t xml:space="preserve"> </w:t>
      </w:r>
      <w:r>
        <w:t xml:space="preserve">13 Excluding recharging stations in residential and non-residential buildings, already covered by provisions in the</w:t>
      </w:r>
      <w:r>
        <w:t xml:space="preserve"> </w:t>
      </w:r>
      <w:r>
        <w:t xml:space="preserve">Energy Performance of Buildings Directive, as amended by Directive (EU) 2024/1275.</w:t>
      </w:r>
      <w:r>
        <w:t xml:space="preserve"> </w:t>
      </w:r>
      <w:r>
        <w:t xml:space="preserve">14 COM(2023) 757 final</w:t>
      </w:r>
    </w:p>
    <w:p>
      <w:pPr>
        <w:pStyle w:val="BodyText"/>
      </w:pPr>
      <w:r>
        <w:t xml:space="preserve">15 COM(2022) 552 final</w:t>
      </w:r>
      <w:r>
        <w:t xml:space="preserve"> </w:t>
      </w:r>
      <w:r>
        <w:t xml:space="preserve">16 In view of the recently revised legal framework on grid planning, grid capacity transparency and incentives for</w:t>
      </w:r>
      <w:r>
        <w:t xml:space="preserve"> </w:t>
      </w:r>
      <w:r>
        <w:t xml:space="preserve">smart and digital technologies, and the upcoming (legally binding) network code on demand side response, which</w:t>
      </w:r>
      <w:r>
        <w:t xml:space="preserve"> </w:t>
      </w:r>
      <w:r>
        <w:t xml:space="preserve">will address distribution grids, as described in the Annex 6, no additional legislative changes concerning network</w:t>
      </w:r>
      <w:r>
        <w:t xml:space="preserve"> </w:t>
      </w:r>
      <w:r>
        <w:t xml:space="preserve">planning or smart technologies on DSO level are proposed in the TEN-E revision, which addresses cross-border</w:t>
      </w:r>
      <w:r>
        <w:t xml:space="preserve"> </w:t>
      </w:r>
      <w:r>
        <w:t xml:space="preserve">infrastructure including smart electricity grids. The transposition and implementation of the existing framework and</w:t>
      </w:r>
      <w:r>
        <w:t xml:space="preserve"> </w:t>
      </w:r>
      <w:r>
        <w:t xml:space="preserve">upcoming network code will address the main challenges at distribution level for non-cross-border needs, including</w:t>
      </w:r>
      <w:r>
        <w:t xml:space="preserve"> </w:t>
      </w:r>
      <w:r>
        <w:t xml:space="preserve">with regard to the sufficient grid capacity for connection of industry, automobile sector and data centres for AI. In</w:t>
      </w:r>
      <w:r>
        <w:t xml:space="preserve"> </w:t>
      </w:r>
      <w:r>
        <w:t xml:space="preserve">addition, in view of the revision of the Governance Regulation and the transformation of NECPs into strategic</w:t>
      </w:r>
      <w:r>
        <w:t xml:space="preserve"> </w:t>
      </w:r>
      <w:r>
        <w:t xml:space="preserve">investment plans, the Commission will assess whether additional targeted action is required.</w:t>
      </w:r>
      <w:r>
        <w:t xml:space="preserve"> </w:t>
      </w:r>
      <w:r>
        <w:t xml:space="preserve">17 Building on the existing legal framework such as the Net-Zero Industry Act and ongoing measures of the Grids</w:t>
      </w:r>
      <w:r>
        <w:t xml:space="preserve"> </w:t>
      </w:r>
      <w:r>
        <w:t xml:space="preserve">Action Plan as well as the EIB Grids Manufacturing Package.</w:t>
      </w:r>
      <w:r>
        <w:br/>
      </w:r>
      <w:r>
        <w:t xml:space="preserve">18 As announced in the Automotive Action Plan, the Commission will present as part of this initiative a guidance on</w:t>
      </w:r>
      <w:r>
        <w:t xml:space="preserve"> </w:t>
      </w:r>
      <w:r>
        <w:t xml:space="preserve">grid connections to equip Member States with sufficient tools to manage grid connection requests more effectively.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The TEN-E Regulation19 lays down rules for the timely development and interoperability of trans-</w:t>
      </w:r>
      <w:r>
        <w:t xml:space="preserve"> </w:t>
      </w:r>
      <w:r>
        <w:t xml:space="preserve">European energy networks to achieve the EU’s energy objectives. The TEN-E Regulation was</w:t>
      </w:r>
      <w:r>
        <w:t xml:space="preserve"> </w:t>
      </w:r>
      <w:r>
        <w:t xml:space="preserve">revised in 2022 to fully align its scope with the European Green Deal. The TEN-E Regulation is</w:t>
      </w:r>
      <w:r>
        <w:t xml:space="preserve"> </w:t>
      </w:r>
      <w:r>
        <w:t xml:space="preserve">aligned to the provisions of the Electricity Market Regulation20 and Directive21, the hydrogen and</w:t>
      </w:r>
      <w:r>
        <w:t xml:space="preserve"> </w:t>
      </w:r>
      <w:r>
        <w:t xml:space="preserve">gas decarbonisation package22 as well as the Renewable Energy Directive (revised RED)23. The</w:t>
      </w:r>
      <w:r>
        <w:t xml:space="preserve"> </w:t>
      </w:r>
      <w:r>
        <w:t xml:space="preserve">Electricity Market Regulation and Directive set rules for network planning at national level and their</w:t>
      </w:r>
      <w:r>
        <w:t xml:space="preserve"> </w:t>
      </w:r>
      <w:r>
        <w:t xml:space="preserve">efficient use as well as incentives for the use of smart and digital technologies and on grid access</w:t>
      </w:r>
      <w:r>
        <w:t xml:space="preserve"> </w:t>
      </w:r>
      <w:r>
        <w:t xml:space="preserve">and transparency.</w:t>
      </w:r>
      <w:r>
        <w:br/>
      </w:r>
      <w:r>
        <w:t xml:space="preserve">The Gas Regulation, the Gas Directive and the revised RED, constituting the main pillars of the</w:t>
      </w:r>
      <w:r>
        <w:t xml:space="preserve"> </w:t>
      </w:r>
      <w:r>
        <w:t xml:space="preserve">EU’s regulatory framework for hydrogen, aim to enable the integration of renewable and low-carbon</w:t>
      </w:r>
      <w:r>
        <w:t xml:space="preserve"> </w:t>
      </w:r>
      <w:r>
        <w:t xml:space="preserve">gases in the gas system to create a competitive EU hydrogen market and infrastructure. The gas and</w:t>
      </w:r>
      <w:r>
        <w:t xml:space="preserve"> </w:t>
      </w:r>
      <w:r>
        <w:t xml:space="preserve">hydrogen legislative framework brings important policy considerations that require close alignment</w:t>
      </w:r>
      <w:r>
        <w:t xml:space="preserve"> </w:t>
      </w:r>
      <w:r>
        <w:t xml:space="preserve">in the TEN-E Regulation. ENTSO-E, ENTSOG and ENNOH24 respectively, are required to adopt</w:t>
      </w:r>
      <w:r>
        <w:t xml:space="preserve"> </w:t>
      </w:r>
      <w:r>
        <w:t xml:space="preserve">and publish biennially non-binding Union-wide ten-year network development plans (TYNDPs) to,</w:t>
      </w:r>
      <w:r>
        <w:t xml:space="preserve"> </w:t>
      </w:r>
      <w:r>
        <w:t xml:space="preserve">among others, identify investment gaps, in particular with respect to cross-border capacities.</w:t>
      </w:r>
      <w:r>
        <w:br/>
      </w:r>
      <w:r>
        <w:t xml:space="preserve">The revised RED, as amended in October 2023, sets the permitting framework for renewables,</w:t>
      </w:r>
      <w:r>
        <w:t xml:space="preserve"> </w:t>
      </w:r>
      <w:r>
        <w:t xml:space="preserve">related grids and co-located storage, as well as spatial planning requirements for renewable</w:t>
      </w:r>
      <w:r>
        <w:t xml:space="preserve"> </w:t>
      </w:r>
      <w:r>
        <w:t xml:space="preserve">energy generation, grids and storage infrastructure.</w:t>
      </w:r>
      <w:r>
        <w:br/>
      </w:r>
      <w:r>
        <w:t xml:space="preserve">The existing legal framework is in detail elaborated in Annex 6 and the Implementation Report</w:t>
      </w:r>
      <w:r>
        <w:t xml:space="preserve"> </w:t>
      </w:r>
      <w:r>
        <w:t xml:space="preserve">(Annex 7) takes stock of its implementation.</w:t>
      </w:r>
      <w:r>
        <w:t xml:space="preserve"> </w:t>
      </w:r>
      <w:r>
        <w:t xml:space="preserve">1.3.</w:t>
      </w:r>
      <w:r>
        <w:t xml:space="preserve"> </w:t>
      </w:r>
      <w:r>
        <w:t xml:space="preserve">Synergies with other EU policy instruments</w:t>
      </w:r>
      <w:r>
        <w:t xml:space="preserve"> </w:t>
      </w:r>
      <w:r>
        <w:t xml:space="preserve">The Grids Package is complementary to other initiatives that aim to create a more integrated</w:t>
      </w:r>
      <w:r>
        <w:t xml:space="preserve"> </w:t>
      </w:r>
      <w:r>
        <w:t xml:space="preserve">European energy market. Energy infrastructure is crucial to achieve the proposed 2040 EU climate</w:t>
      </w:r>
      <w:r>
        <w:t xml:space="preserve"> </w:t>
      </w:r>
      <w:r>
        <w:t xml:space="preserve">target.25 The Commission proposal for the new Multiannual Financial Framework (MFF) 2028-</w:t>
      </w:r>
      <w:r>
        <w:t xml:space="preserve"> </w:t>
      </w:r>
      <w:r>
        <w:t xml:space="preserve">203426 highlights “the vital importance of a genuine Energy Union and well-integrated EU</w:t>
      </w:r>
      <w:r>
        <w:t xml:space="preserve"> </w:t>
      </w:r>
      <w:r>
        <w:t xml:space="preserve">infrastructure networks”, which is reflected in a substantially increased budget proposed for the</w:t>
      </w:r>
      <w:r>
        <w:t xml:space="preserve"> </w:t>
      </w:r>
      <w:r>
        <w:t xml:space="preserve">Connecting Europe Facility (CEF) for Energy27. The TEN-E Regulation provides the basis for</w:t>
      </w:r>
      <w:r>
        <w:t xml:space="preserve"> </w:t>
      </w:r>
      <w:r>
        <w:t xml:space="preserve">energy infrastructure projects funded under CEF.</w:t>
      </w:r>
    </w:p>
    <w:p>
      <w:pPr>
        <w:pStyle w:val="BodyText"/>
      </w:pPr>
      <w:r>
        <w:t xml:space="preserve">19 Regulation (EU) 2022/869 of 30 May 2022 on guidelines for trans-European energy infrastructure</w:t>
      </w:r>
      <w:r>
        <w:t xml:space="preserve"> </w:t>
      </w:r>
      <w:r>
        <w:t xml:space="preserve">20 Regulation (EU) 2019/943 on the internal market for electricity (recast) (OJ L 158, 14.6. 2019, p.54)</w:t>
      </w:r>
      <w:r>
        <w:t xml:space="preserve"> </w:t>
      </w:r>
      <w:r>
        <w:t xml:space="preserve">21 Directive (EU) 2019/944 on common rules for the internal market for electricity (recast) (OJ L 158, 14.6.2019, p. </w:t>
      </w:r>
      <w:r>
        <w:t xml:space="preserve"> </w:t>
      </w:r>
      <w:r>
        <w:t xml:space="preserve">125).</w:t>
      </w:r>
      <w:r>
        <w:t xml:space="preserve"> </w:t>
      </w:r>
      <w:r>
        <w:t xml:space="preserve">22 Regulation (EU) 2024/1789 on the internal markets for renewable gas, natural gas and hydrogen and Directive (EU)</w:t>
      </w:r>
      <w:r>
        <w:t xml:space="preserve"> </w:t>
      </w:r>
      <w:r>
        <w:t xml:space="preserve">2024/1788 on common rules for the internal markets for renewable gas, natural gas and hydrogen</w:t>
      </w:r>
      <w:r>
        <w:t xml:space="preserve"> </w:t>
      </w:r>
      <w:r>
        <w:t xml:space="preserve">23 Directive (EU/2018/2001) on the promotion of the use of energy from renewable sources (RED), as amended by</w:t>
      </w:r>
      <w:r>
        <w:t xml:space="preserve"> </w:t>
      </w:r>
      <w:r>
        <w:t xml:space="preserve">Directive (EU/2023/2413)</w:t>
      </w:r>
      <w:r>
        <w:t xml:space="preserve"> </w:t>
      </w:r>
      <w:r>
        <w:t xml:space="preserve">24 As of January 2027. Until then the planning task remains with ENTSOG – Article 58 Regulation (EU) 2024/1789</w:t>
      </w:r>
      <w:r>
        <w:t xml:space="preserve"> </w:t>
      </w:r>
      <w:r>
        <w:t xml:space="preserve">25 COM(2025) 524 final: Proposal for a Regulation establishing the framework for achieving climate neutrality</w:t>
      </w:r>
      <w:r>
        <w:t xml:space="preserve"> </w:t>
      </w:r>
      <w:r>
        <w:t xml:space="preserve">26 COM(2025) 570 final: The Multiannual Financial Framework 2028-2034</w:t>
      </w:r>
      <w:r>
        <w:t xml:space="preserve"> </w:t>
      </w:r>
      <w:r>
        <w:t xml:space="preserve">27 COM(2025) 547 final: Proposal for a Regulation establishing the Connecting Europe Facility for 2028-2034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The Grids Package aims to support the goals of the electricity market legislation by ensuring that</w:t>
      </w:r>
      <w:r>
        <w:t xml:space="preserve"> </w:t>
      </w:r>
      <w:r>
        <w:t xml:space="preserve">infrastructure brings additional socio-economic welfare and to further strengthen efficient use of</w:t>
      </w:r>
      <w:r>
        <w:t xml:space="preserve"> </w:t>
      </w:r>
      <w:r>
        <w:t xml:space="preserve">existing infrastructure. The forthcoming Clean Energy Investment Strategy will cover the future</w:t>
      </w:r>
      <w:r>
        <w:t xml:space="preserve"> </w:t>
      </w:r>
      <w:r>
        <w:t xml:space="preserve">framework for the financing of energy investment. Possible measures to enhance electricity</w:t>
      </w:r>
      <w:r>
        <w:t xml:space="preserve"> </w:t>
      </w:r>
      <w:r>
        <w:t xml:space="preserve">interconnection targets enshrined in the Governance Regulation will be assessed as part of the</w:t>
      </w:r>
      <w:r>
        <w:t xml:space="preserve"> </w:t>
      </w:r>
      <w:r>
        <w:t xml:space="preserve">revision of that Regulation and measures to further support the necessary national investment</w:t>
      </w:r>
      <w:r>
        <w:t xml:space="preserve"> </w:t>
      </w:r>
      <w:r>
        <w:t xml:space="preserve">levels in energy infrastructure. The Grids Package will also complement the Environmental</w:t>
      </w:r>
      <w:r>
        <w:t xml:space="preserve"> </w:t>
      </w:r>
      <w:r>
        <w:t xml:space="preserve">Omnibus proposal that is due end of this year, by proposing complementary sectorial measures</w:t>
      </w:r>
      <w:r>
        <w:t xml:space="preserve"> </w:t>
      </w:r>
      <w:r>
        <w:t xml:space="preserve">that do not preclude the need and utility of the measures under the omnibus.</w:t>
      </w:r>
      <w:r>
        <w:br/>
      </w:r>
      <w:r>
        <w:t xml:space="preserve">The 2026 revision of the EU Energy Security Framework will address energy security</w:t>
      </w:r>
      <w:r>
        <w:t xml:space="preserve"> </w:t>
      </w:r>
      <w:r>
        <w:t xml:space="preserve">horizontally, complementing the network specific approach under this initiative. The security-</w:t>
      </w:r>
      <w:r>
        <w:t xml:space="preserve"> </w:t>
      </w:r>
      <w:r>
        <w:t xml:space="preserve">related measures under this initiative also align with and build on the requirements of the</w:t>
      </w:r>
      <w:r>
        <w:t xml:space="preserve"> </w:t>
      </w:r>
      <w:r>
        <w:t xml:space="preserve">horizontal security legislation, including the EU Critical Entities Resilience Directive, the NIS 2</w:t>
      </w:r>
      <w:r>
        <w:t xml:space="preserve"> </w:t>
      </w:r>
      <w:r>
        <w:t xml:space="preserve">Directive and the Network Code on sector-specific rules for cybersecurity aspects of cross-border</w:t>
      </w:r>
      <w:r>
        <w:t xml:space="preserve"> </w:t>
      </w:r>
      <w:r>
        <w:t xml:space="preserve">electricity flows, and support its objectives and implementation. The Industrial Decarbonisation</w:t>
      </w:r>
      <w:r>
        <w:t xml:space="preserve"> </w:t>
      </w:r>
      <w:r>
        <w:t xml:space="preserve">Accelerator Act will include measures to accelerate permitting of projects to decarbonise energy-</w:t>
      </w:r>
      <w:r>
        <w:t xml:space="preserve"> </w:t>
      </w:r>
      <w:r>
        <w:t xml:space="preserve">intensive industries. Having sufficient grid capacity and timely grid connection is crucial to</w:t>
      </w:r>
      <w:r>
        <w:t xml:space="preserve"> </w:t>
      </w:r>
      <w:r>
        <w:t xml:space="preserve">electrify industry, hence both initiatives are developed in close cooperation.28 The initiative also</w:t>
      </w:r>
      <w:r>
        <w:t xml:space="preserve"> </w:t>
      </w:r>
      <w:r>
        <w:t xml:space="preserve">complements the Trans-Mediterranean Renewable Energy and Clean Tech (T-MED) Initiative</w:t>
      </w:r>
      <w:r>
        <w:t xml:space="preserve"> </w:t>
      </w:r>
      <w:r>
        <w:t xml:space="preserve">and the Pact for the Mediterranean.</w:t>
      </w:r>
      <w:r>
        <w:br/>
      </w:r>
      <w:r>
        <w:t xml:space="preserve">In view of the planned Carbon Capture, Utilisation and Storage (CCUS) Package, the Grids</w:t>
      </w:r>
      <w:r>
        <w:t xml:space="preserve"> </w:t>
      </w:r>
      <w:r>
        <w:t xml:space="preserve">Package will not address carbon dioxide cross-border infrastructure planning. Given a strong link</w:t>
      </w:r>
      <w:r>
        <w:t xml:space="preserve"> </w:t>
      </w:r>
      <w:r>
        <w:t xml:space="preserve">between network planning on a national, regional and local levels and the heating and cooling</w:t>
      </w:r>
      <w:r>
        <w:t xml:space="preserve"> </w:t>
      </w:r>
      <w:r>
        <w:t xml:space="preserve">sector, the recent revision of the Gas Directive requires stronger coordination among sectors. The</w:t>
      </w:r>
      <w:r>
        <w:t xml:space="preserve"> </w:t>
      </w:r>
      <w:r>
        <w:t xml:space="preserve">Grids Package aims to build upon these requirements. In addition, the upcoming Electrification</w:t>
      </w:r>
      <w:r>
        <w:t xml:space="preserve"> </w:t>
      </w:r>
      <w:r>
        <w:t xml:space="preserve">Action Plan and the Strategic Roadmap on Digitalisation and AI in the energy sector as well as</w:t>
      </w:r>
      <w:r>
        <w:t xml:space="preserve"> </w:t>
      </w:r>
      <w:r>
        <w:t xml:space="preserve">the Heating and Cooling Strategy will provide important input for future grid planning. The</w:t>
      </w:r>
      <w:r>
        <w:t xml:space="preserve"> </w:t>
      </w:r>
      <w:r>
        <w:t xml:space="preserve">Package also underpins the Cloud and AI Development Act to attract investment in data centres.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key problems, corresponding drivers and consequences that are relevant for the Grids</w:t>
      </w:r>
      <w:r>
        <w:t xml:space="preserve"> </w:t>
      </w:r>
      <w:r>
        <w:t xml:space="preserve">Package are presented in Figure 1.</w:t>
      </w:r>
    </w:p>
    <w:p>
      <w:pPr>
        <w:pStyle w:val="BodyText"/>
      </w:pPr>
      <w:r>
        <w:t xml:space="preserve">28 For instance, the needs of industry in terms of energy consumption should be well reflected in national network</w:t>
      </w:r>
      <w:r>
        <w:t xml:space="preserve"> </w:t>
      </w:r>
      <w:r>
        <w:t xml:space="preserve">development plans and, vice-versa, there is a need for recognition of infrastructure planning in industrial policy</w:t>
      </w:r>
      <w:r>
        <w:t xml:space="preserve"> </w:t>
      </w:r>
      <w:r>
        <w:t xml:space="preserve">considering the need for grid and pipeline infrastructure for H2 and CO2.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Figure 1: Problem tree</w:t>
      </w:r>
    </w:p>
    <w:p>
      <w:pPr>
        <w:pStyle w:val="BodyText"/>
      </w:pPr>
      <w:r>
        <w:t xml:space="preserve">The revised TEN-E Regulation entered into force in 2022, and the revised RED was last amended</w:t>
      </w:r>
      <w:r>
        <w:t xml:space="preserve"> </w:t>
      </w:r>
      <w:r>
        <w:t xml:space="preserve">in 2023 with some, but limited, experience on their implementation and impacts. Despite the</w:t>
      </w:r>
      <w:r>
        <w:t xml:space="preserve"> </w:t>
      </w:r>
      <w:r>
        <w:t xml:space="preserve">recent revision of the TEN-E Regulation, however, the Implementation Report (Annex 7)</w:t>
      </w:r>
      <w:r>
        <w:t xml:space="preserve"> </w:t>
      </w:r>
      <w:r>
        <w:t xml:space="preserve">demonstrates deficiencies in the current framework, in particular as regards scenario</w:t>
      </w:r>
      <w:r>
        <w:t xml:space="preserve"> </w:t>
      </w:r>
      <w:r>
        <w:t xml:space="preserve">development, infrastructure needs identification, cost-sharing arrangements and the permitting</w:t>
      </w:r>
      <w:r>
        <w:t xml:space="preserve"> </w:t>
      </w:r>
      <w:r>
        <w:t xml:space="preserve">framework for PCIs and PMIs. Besides the Implementation Reports (Annex 7), the analysis of</w:t>
      </w:r>
      <w:r>
        <w:t xml:space="preserve"> </w:t>
      </w:r>
      <w:r>
        <w:t xml:space="preserve">the problems and their drivers relies mainly on most recent evidence, including ACER reports,</w:t>
      </w:r>
      <w:r>
        <w:t xml:space="preserve"> </w:t>
      </w:r>
      <w:r>
        <w:t xml:space="preserve">ENTSOs’ TYNDP data and assessments, JRC modelling as well as relevant input from</w:t>
      </w:r>
      <w:r>
        <w:t xml:space="preserve"> </w:t>
      </w:r>
      <w:r>
        <w:t xml:space="preserve">stakeholders and the public consultation on the Europeans Grids Package (Annex 2).</w:t>
      </w:r>
      <w:r>
        <w:t xml:space="preserve"> </w:t>
      </w:r>
      <w:r>
        <w:t xml:space="preserve">2.1.1. Problem 1: The existing and planned infrastructure projects are not</w:t>
      </w:r>
      <w:r>
        <w:t xml:space="preserve"> </w:t>
      </w:r>
      <w:r>
        <w:t xml:space="preserve">sufficiently targeted to achieve the EU’s energy and climate objectives</w:t>
      </w:r>
      <w:r>
        <w:t xml:space="preserve"> </w:t>
      </w:r>
      <w:r>
        <w:t xml:space="preserve">There is a substantial gap between our cross-border electricity infrastructure needs for the</w:t>
      </w:r>
      <w:r>
        <w:t xml:space="preserve"> </w:t>
      </w:r>
      <w:r>
        <w:t xml:space="preserve">energy transition and the speed and level of infrastructure development. According to</w:t>
      </w:r>
      <w:r>
        <w:t xml:space="preserve"> </w:t>
      </w:r>
      <w:r>
        <w:t xml:space="preserve">ACER29, half of cross-border electricity infrastructure needs for 2030 (32 of 66 GW) have not</w:t>
      </w:r>
      <w:r>
        <w:t xml:space="preserve"> </w:t>
      </w:r>
      <w:r>
        <w:t xml:space="preserve">been addressed under the 2022 TYNDP. The gap is even higher for 2040: 37 GW of 90 GW</w:t>
      </w:r>
      <w:r>
        <w:t xml:space="preserve"> </w:t>
      </w:r>
      <w:r>
        <w:t xml:space="preserve">needed will not be addressed through the current project plans.</w:t>
      </w:r>
      <w:r>
        <w:br/>
      </w:r>
      <w:r>
        <w:t xml:space="preserve">The 2024 TYNDP found that the cross-border infrastructure needs have grown, amounting to 88</w:t>
      </w:r>
      <w:r>
        <w:t xml:space="preserve"> </w:t>
      </w:r>
      <w:r>
        <w:t xml:space="preserve">GW by 2030 and 108 GW by 2040, and that the 2024 TYNDP projects would still be insufficient</w:t>
      </w:r>
      <w:r>
        <w:t xml:space="preserve"> </w:t>
      </w:r>
      <w:r>
        <w:t xml:space="preserve">to fully address needs, indicating the revision of the TEN-E Regulation in 2022 did not</w:t>
      </w:r>
      <w:r>
        <w:t xml:space="preserve"> </w:t>
      </w:r>
      <w:r>
        <w:t xml:space="preserve">sufficiently ensure infrastructure needs are addressed.30 Furthermore, ACER points to a</w:t>
      </w:r>
    </w:p>
    <w:p>
      <w:pPr>
        <w:pStyle w:val="BodyText"/>
      </w:pPr>
      <w:r>
        <w:t xml:space="preserve">29 ACER (2024): Electricity infrastructure development to support a competitive and sustainable energy</w:t>
      </w:r>
      <w:r>
        <w:t xml:space="preserve"> </w:t>
      </w:r>
      <w:r>
        <w:t xml:space="preserve">System (2024 Monitoring Report)</w:t>
      </w:r>
      <w:r>
        <w:t xml:space="preserve"> </w:t>
      </w:r>
      <w:r>
        <w:t xml:space="preserve">30 ENTSO-E (2025), TYNDP 2024. Opportunities for a more efficient European power system by 2050. Infrastructure</w:t>
      </w:r>
      <w:r>
        <w:t xml:space="preserve"> </w:t>
      </w:r>
      <w:r>
        <w:t xml:space="preserve">Gaps Report.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mismatch in relation to investments included in the 2022 TYNDP, where capacity needs across</w:t>
      </w:r>
      <w:r>
        <w:t xml:space="preserve"> </w:t>
      </w:r>
      <w:r>
        <w:t xml:space="preserve">certain borders are neglected, but others surpass the identified needs.31</w:t>
      </w:r>
      <w:r>
        <w:br/>
      </w:r>
      <w:r>
        <w:t xml:space="preserve">Shortcomings in the planning framework lead to investment falling short of the identified needs.</w:t>
      </w:r>
      <w:r>
        <w:t xml:space="preserve"> </w:t>
      </w:r>
      <w:r>
        <w:t xml:space="preserve">Stakeholders (59%) in the public consultation on the Grids Package highlighted insufficient</w:t>
      </w:r>
      <w:r>
        <w:t xml:space="preserve"> </w:t>
      </w:r>
      <w:r>
        <w:t xml:space="preserve">financing as a key barrier to developing grid infrastructure at the necessary pace for the energy</w:t>
      </w:r>
      <w:r>
        <w:t xml:space="preserve"> </w:t>
      </w:r>
      <w:r>
        <w:t xml:space="preserve">(see Annex 2). In addition to insufficient cross-border capacity, planned network developments</w:t>
      </w:r>
      <w:r>
        <w:t xml:space="preserve"> </w:t>
      </w:r>
      <w:r>
        <w:t xml:space="preserve">for transmission grids (one quarter of required investments) and distribution grids (over half of</w:t>
      </w:r>
      <w:r>
        <w:t xml:space="preserve"> </w:t>
      </w:r>
      <w:r>
        <w:t xml:space="preserve">required infrastructure investments)32 at national level also risk being insufficient for the energy</w:t>
      </w:r>
      <w:r>
        <w:t xml:space="preserve"> </w:t>
      </w:r>
      <w:r>
        <w:t xml:space="preserve">transition.33 Failing to address electricity infrastructure needs could exacerbate system</w:t>
      </w:r>
      <w:r>
        <w:t xml:space="preserve"> </w:t>
      </w:r>
      <w:r>
        <w:t xml:space="preserve">congestion, both within and between Member States, limiting the capacity to integrate renewable</w:t>
      </w:r>
      <w:r>
        <w:t xml:space="preserve"> </w:t>
      </w:r>
      <w:r>
        <w:t xml:space="preserve">energy sources, industries and businesses, thus impeding system decarbonisation. The shortfall</w:t>
      </w:r>
      <w:r>
        <w:t xml:space="preserve"> </w:t>
      </w:r>
      <w:r>
        <w:t xml:space="preserve">in infrastructure development may undermine security of supply by creating bottlenecks,</w:t>
      </w:r>
      <w:r>
        <w:t xml:space="preserve"> </w:t>
      </w:r>
      <w:r>
        <w:t xml:space="preserve">potentially leading to further market fragmentation and higher energy prices.</w:t>
      </w:r>
      <w:r>
        <w:br/>
      </w:r>
      <w:r>
        <w:t xml:space="preserve">As an example, average day-ahead prices in Europe in the period of July to September 2024 at</w:t>
      </w:r>
      <w:r>
        <w:t xml:space="preserve"> </w:t>
      </w:r>
      <w:r>
        <w:t xml:space="preserve">17:00 UTC showed a price difference of EUR 265/MWh between Finland and Greece (Greece</w:t>
      </w:r>
      <w:r>
        <w:t xml:space="preserve"> </w:t>
      </w:r>
      <w:r>
        <w:t xml:space="preserve">being 6.5 times more expensive).34 Underlying reasons for price differences within the EU</w:t>
      </w:r>
      <w:r>
        <w:t xml:space="preserve"> </w:t>
      </w:r>
      <w:r>
        <w:t xml:space="preserve">include the lack of flexibility in certain regions, inefficient use of existing grid capacity and</w:t>
      </w:r>
      <w:r>
        <w:t xml:space="preserve"> </w:t>
      </w:r>
      <w:r>
        <w:t xml:space="preserve">insufficient physical interconnection. Price differentials are not only caused by insufficient cross-</w:t>
      </w:r>
      <w:r>
        <w:t xml:space="preserve"> </w:t>
      </w:r>
      <w:r>
        <w:t xml:space="preserve">border connection, but also insufficient national transmission infrastructure. Only two Member</w:t>
      </w:r>
      <w:r>
        <w:t xml:space="preserve"> </w:t>
      </w:r>
      <w:r>
        <w:t xml:space="preserve">States were constantly meeting the 70% Margin Available for Cross-Zonal Trade (MACZT) rule</w:t>
      </w:r>
      <w:r>
        <w:t xml:space="preserve"> </w:t>
      </w:r>
      <w:r>
        <w:t xml:space="preserve">in 2023.35 ACER36 pointed out that most limiting factors for cross-border capacity allocation are</w:t>
      </w:r>
      <w:r>
        <w:t xml:space="preserve"> </w:t>
      </w:r>
      <w:r>
        <w:t xml:space="preserve">related to internal bottlenecks.37</w:t>
      </w:r>
      <w:r>
        <w:br/>
      </w:r>
      <w:r>
        <w:t xml:space="preserve">In addition to insufficient transmission capacity, the existing power system is not optimally used.</w:t>
      </w:r>
      <w:r>
        <w:t xml:space="preserve"> </w:t>
      </w:r>
      <w:r>
        <w:t xml:space="preserve">Smart grid technologies are insufficiently used by TSOs and DSOs. Implementation of such</w:t>
      </w:r>
      <w:r>
        <w:t xml:space="preserve"> </w:t>
      </w:r>
      <w:r>
        <w:t xml:space="preserve">technologies is closely linked to network planning and these solutions have significant potential</w:t>
      </w:r>
      <w:r>
        <w:t xml:space="preserve"> </w:t>
      </w:r>
      <w:r>
        <w:t xml:space="preserve">of freeing available grid hosting capacity at lower cost and more rapidly than infrastructure</w:t>
      </w:r>
      <w:r>
        <w:t xml:space="preserve"> </w:t>
      </w:r>
      <w:r>
        <w:t xml:space="preserve">solutions. Hence, their non-consideration carries a risk of higher cost for end consumers.</w:t>
      </w:r>
      <w:r>
        <w:br/>
      </w:r>
      <w:r>
        <w:t xml:space="preserve">The costs of an insufficient or suboptimal energy infrastructure are substantial. The cost of</w:t>
      </w:r>
      <w:r>
        <w:t xml:space="preserve"> </w:t>
      </w:r>
      <w:r>
        <w:t xml:space="preserve">congestion already reached EUR 4.2 billion in 202338, a yearly increase of 14.5%, and costs for</w:t>
      </w:r>
    </w:p>
    <w:p>
      <w:pPr>
        <w:pStyle w:val="BodyText"/>
      </w:pPr>
      <w:r>
        <w:t xml:space="preserve">31 ACER (2024): Electricity infrastructure development (2024 Monitoring Report)</w:t>
      </w:r>
      <w:r>
        <w:t xml:space="preserve"> </w:t>
      </w:r>
      <w:r>
        <w:t xml:space="preserve">32 Artelys, LBST, Trinomics, Finesso, A. et al., Investment needs of European energy infrastructure to enable a</w:t>
      </w:r>
      <w:r>
        <w:t xml:space="preserve"> </w:t>
      </w:r>
      <w:r>
        <w:t xml:space="preserve">decarbonised economy, 2025.</w:t>
      </w:r>
      <w:r>
        <w:t xml:space="preserve"> </w:t>
      </w:r>
      <w:r>
        <w:t xml:space="preserve">33 Ember (2024): Putting the mission in transmission: Grids for Europe’s energy transition</w:t>
      </w:r>
      <w:r>
        <w:br/>
      </w:r>
      <w:r>
        <w:t xml:space="preserve">34ACER (2025): Market monitoring report, Key developments in European electricity and gas markets - 2025</w:t>
      </w:r>
      <w:r>
        <w:t xml:space="preserve"> </w:t>
      </w:r>
      <w:r>
        <w:t xml:space="preserve">35 Pursuant to Article 16 of Electricity Market Regulation (2019/943), 70% of transmission capacity after deduction</w:t>
      </w:r>
      <w:r>
        <w:t xml:space="preserve"> </w:t>
      </w:r>
      <w:r>
        <w:t xml:space="preserve">of contingencies / respecting operational security limits shall be allocated for cross-border trade. Derogations are</w:t>
      </w:r>
      <w:r>
        <w:t xml:space="preserve"> </w:t>
      </w:r>
      <w:r>
        <w:t xml:space="preserve">granted by NRAs for individual TSOs on a national level.</w:t>
      </w:r>
      <w:r>
        <w:t xml:space="preserve"> </w:t>
      </w:r>
      <w:r>
        <w:t xml:space="preserve">36 ACER (2024): Market monitoring report, Transmission capacities for cross-zonal trade of electricity and congestion</w:t>
      </w:r>
      <w:r>
        <w:t xml:space="preserve"> </w:t>
      </w:r>
      <w:r>
        <w:t xml:space="preserve">management in the EU.</w:t>
      </w:r>
      <w:r>
        <w:t xml:space="preserve"> </w:t>
      </w:r>
      <w:r>
        <w:t xml:space="preserve">37 For instance, in the period between June 2022 and December 2023, in Romania, Germany and Slovakia, internal</w:t>
      </w:r>
      <w:r>
        <w:t xml:space="preserve"> </w:t>
      </w:r>
      <w:r>
        <w:t xml:space="preserve">network elements were responsible for 99%, 82% and 77% of capacity constraints respectively. Network planning</w:t>
      </w:r>
      <w:r>
        <w:t xml:space="preserve"> </w:t>
      </w:r>
      <w:r>
        <w:t xml:space="preserve">for internal infrastructure can hence significantly impact implementation of the internal market rules.</w:t>
      </w:r>
      <w:r>
        <w:t xml:space="preserve"> </w:t>
      </w:r>
      <w:r>
        <w:t xml:space="preserve">38 ACER (2024): Market monitoring report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renewables curtailment amounted to EUR 7.2 billion in 2024 in 7 countries alone39. Increasing</w:t>
      </w:r>
      <w:r>
        <w:t xml:space="preserve"> </w:t>
      </w:r>
      <w:r>
        <w:t xml:space="preserve">queues of connection requests delay the integration of lower cost renewable energy generation,</w:t>
      </w:r>
      <w:r>
        <w:t xml:space="preserve"> </w:t>
      </w:r>
      <w:r>
        <w:t xml:space="preserve">the electrification of the transport sector (charging points) and electrification of industry. In 2024-</w:t>
      </w:r>
      <w:r>
        <w:t xml:space="preserve"> </w:t>
      </w:r>
      <w:r>
        <w:t xml:space="preserve">2025, 1,700 GW of renewable energy and hybrid projects were waiting for grid connections.40</w:t>
      </w:r>
      <w:r>
        <w:br/>
      </w:r>
      <w:r>
        <w:t xml:space="preserve">The development of the hydrogen sector, especially electrolysis, will impact the power system</w:t>
      </w:r>
      <w:r>
        <w:t xml:space="preserve"> </w:t>
      </w:r>
      <w:r>
        <w:t xml:space="preserve">both in terms of planning and operation.41 ACER’s 2024 European hydrogen market monitoring</w:t>
      </w:r>
      <w:r>
        <w:t xml:space="preserve"> </w:t>
      </w:r>
      <w:r>
        <w:t xml:space="preserve">report42 called for more accurate demand forecasting during the planning phase, along with</w:t>
      </w:r>
      <w:r>
        <w:t xml:space="preserve"> </w:t>
      </w:r>
      <w:r>
        <w:t xml:space="preserve">proper monitoring and adjustments during implementation to avoid infrastructure</w:t>
      </w:r>
      <w:r>
        <w:t xml:space="preserve"> </w:t>
      </w:r>
      <w:r>
        <w:t xml:space="preserve">oversizing and underutilisation. At the same time, industrial projects frequently lack timely</w:t>
      </w:r>
      <w:r>
        <w:t xml:space="preserve"> </w:t>
      </w:r>
      <w:r>
        <w:t xml:space="preserve">access to hydrogen infrastructures and affordable hydrogen, pointing at the importance of timely</w:t>
      </w:r>
      <w:r>
        <w:t xml:space="preserve"> </w:t>
      </w:r>
      <w:r>
        <w:t xml:space="preserve">and sufficient grid expansion combined with early and accurate communication of industrial</w:t>
      </w:r>
      <w:r>
        <w:t xml:space="preserve"> </w:t>
      </w:r>
      <w:r>
        <w:t xml:space="preserve">needs. There is a strong link between network planning at national, regional and local level,</w:t>
      </w:r>
      <w:r>
        <w:t xml:space="preserve"> </w:t>
      </w:r>
      <w:r>
        <w:t xml:space="preserve">requiring strong coordination among sectors – electricity, gases including hydrogen, but also</w:t>
      </w:r>
      <w:r>
        <w:t xml:space="preserve"> </w:t>
      </w:r>
      <w:r>
        <w:t xml:space="preserve">transport and heating and cooling sectors, where relevant. Not considering mutual interlinkages</w:t>
      </w:r>
      <w:r>
        <w:t xml:space="preserve"> </w:t>
      </w:r>
      <w:r>
        <w:t xml:space="preserve">between sectors and planning levels leads to sub-optimal planning.</w:t>
      </w:r>
      <w:r>
        <w:br/>
      </w:r>
      <w:r>
        <w:t xml:space="preserve">2.1.2. Problem 2: Lengthy implementation of infrastructure, renewable energy and</w:t>
      </w:r>
      <w:r>
        <w:t xml:space="preserve"> </w:t>
      </w:r>
      <w:r>
        <w:t xml:space="preserve">storage projects as well as recharging stations</w:t>
      </w:r>
      <w:r>
        <w:t xml:space="preserve"> </w:t>
      </w:r>
      <w:r>
        <w:t xml:space="preserve">Lengthy project implementation contributes to the gap in necessary electricity grid</w:t>
      </w:r>
      <w:r>
        <w:t xml:space="preserve"> </w:t>
      </w:r>
      <w:r>
        <w:t xml:space="preserve">developments. Delays jeopardise the connection of new industries and businesses, the</w:t>
      </w:r>
      <w:r>
        <w:t xml:space="preserve"> </w:t>
      </w:r>
      <w:r>
        <w:t xml:space="preserve">electrification of existing ones, it increases the risk and cost of new affordable energy generation</w:t>
      </w:r>
      <w:r>
        <w:t xml:space="preserve"> </w:t>
      </w:r>
      <w:r>
        <w:t xml:space="preserve">projects, in particular from renewable energy sources, and, ultimately, it impacts the energy costs</w:t>
      </w:r>
      <w:r>
        <w:t xml:space="preserve"> </w:t>
      </w:r>
      <w:r>
        <w:t xml:space="preserve">paid by consumers, including industrial decarbonisation projects.43 The implementation of</w:t>
      </w:r>
      <w:r>
        <w:t xml:space="preserve"> </w:t>
      </w:r>
      <w:r>
        <w:t xml:space="preserve">transmission and distribution infrastructure projects takes several years, during which they can</w:t>
      </w:r>
      <w:r>
        <w:t xml:space="preserve"> </w:t>
      </w:r>
      <w:r>
        <w:t xml:space="preserve">come across challenges resulting from economic, technical and administrative complexities. The</w:t>
      </w:r>
      <w:r>
        <w:t xml:space="preserve"> </w:t>
      </w:r>
      <w:r>
        <w:t xml:space="preserve">completion of electricity infrastructure projects takes 3.5-7.5 years for distribution grids and 7-</w:t>
      </w:r>
      <w:r>
        <w:t xml:space="preserve"> </w:t>
      </w:r>
      <w:r>
        <w:t xml:space="preserve">10 years for transmission grids44.</w:t>
      </w:r>
      <w:r>
        <w:t xml:space="preserve"> </w:t>
      </w:r>
      <w:r>
        <w:t xml:space="preserve">Long delays increase overall project costs due to increasing inflation, higher capital cost due</w:t>
      </w:r>
      <w:r>
        <w:t xml:space="preserve"> </w:t>
      </w:r>
      <w:r>
        <w:t xml:space="preserve">to uncertainties in projects realisation, higher prices of supplies due to global market</w:t>
      </w:r>
      <w:r>
        <w:t xml:space="preserve"> </w:t>
      </w:r>
      <w:r>
        <w:t xml:space="preserve">uncertainties, interest rate, lack of revenues if the commissioning of a project is delayed due to</w:t>
      </w:r>
      <w:r>
        <w:t xml:space="preserve"> </w:t>
      </w:r>
      <w:r>
        <w:t xml:space="preserve">slow permitting, and penalties for not meeting deadlines. Supply chain constraints are also often</w:t>
      </w:r>
      <w:r>
        <w:t xml:space="preserve"> </w:t>
      </w:r>
      <w:r>
        <w:t xml:space="preserve">mentioned as cause of delays, including in in the public consultation (Annex 2).45 Manufacturing</w:t>
      </w:r>
      <w:r>
        <w:t xml:space="preserve"> </w:t>
      </w:r>
      <w:r>
        <w:t xml:space="preserve">industry points to lack of visibility and certainty of project execution making it challenging for</w:t>
      </w:r>
      <w:r>
        <w:t xml:space="preserve"> </w:t>
      </w:r>
      <w:r>
        <w:t xml:space="preserve">offtakers to commit to producers.46 The Commission has adopted several initiatives to address</w:t>
      </w:r>
      <w:r>
        <w:t xml:space="preserve"> </w:t>
      </w:r>
      <w:r>
        <w:t xml:space="preserve">supply chain constraints and the availability of skilled workforce in recent years including the</w:t>
      </w:r>
    </w:p>
    <w:p>
      <w:pPr>
        <w:pStyle w:val="BodyText"/>
      </w:pPr>
      <w:r>
        <w:t xml:space="preserve">39 How Europe‘s grid operators are preparing for the energy transition, Ember, E3G, Beyond Fossil Fuels, Institute</w:t>
      </w:r>
      <w:r>
        <w:t xml:space="preserve"> </w:t>
      </w:r>
      <w:r>
        <w:t xml:space="preserve">for Energy Economics and Financial Analysis report, 2025. Note: these costs are broader than redispatching as</w:t>
      </w:r>
      <w:r>
        <w:t xml:space="preserve"> </w:t>
      </w:r>
      <w:r>
        <w:t xml:space="preserve">referred to by ACER and may concern also economic losses of respective power pants operators linked to curtailment.</w:t>
      </w:r>
      <w:r>
        <w:t xml:space="preserve"> </w:t>
      </w:r>
      <w:r>
        <w:t xml:space="preserve">40 Beyond Fossil Fuels, E3G, Ember and the Institute for Energy Economics and Financial Analysis, How Europe’s</w:t>
      </w:r>
      <w:r>
        <w:t xml:space="preserve"> </w:t>
      </w:r>
      <w:r>
        <w:t xml:space="preserve">grid operators are preparing for the energy transition (2025). REPORT_FINAL.pdf, pg 5</w:t>
      </w:r>
      <w:r>
        <w:t xml:space="preserve"> </w:t>
      </w:r>
      <w:r>
        <w:t xml:space="preserve">41 ENTSO-E (2025): Impact of Renewable Hydrogen in the Power System:</w:t>
      </w:r>
      <w:r>
        <w:br/>
      </w:r>
      <w:r>
        <w:t xml:space="preserve">42 ACER (2024) European hydrogen markets, 2024 (Market Monitoring Report)</w:t>
      </w:r>
      <w:r>
        <w:t xml:space="preserve"> </w:t>
      </w:r>
      <w:r>
        <w:t xml:space="preserve">43 ENTSO-E and Renewables Grids Initiative, Value of timely implementation of “better projects”, May 2019</w:t>
      </w:r>
      <w:r>
        <w:br/>
      </w:r>
      <w:r>
        <w:t xml:space="preserve">44 European Court of Auditors (2025): Review 01/2025: Making the EU electricity grid fit for net-zero emissions</w:t>
      </w:r>
      <w:r>
        <w:t xml:space="preserve"> </w:t>
      </w:r>
      <w:r>
        <w:t xml:space="preserve">45 Building the future transmission grid – Strategies to navigate supply chain challenges; IEA, February 2025</w:t>
      </w:r>
      <w:r>
        <w:br/>
      </w:r>
      <w:r>
        <w:t xml:space="preserve">46 T&amp;D Europe policy recommendations “Towards future-proof grids”, July 2024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Net-Zero Industry Act and ongoing measures of the Grids Action Plan, and the EIB has adopted</w:t>
      </w:r>
      <w:r>
        <w:t xml:space="preserve"> </w:t>
      </w:r>
      <w:r>
        <w:t xml:space="preserve">a dedicated Grids Manufacturing Package.</w:t>
      </w:r>
      <w:r>
        <w:br/>
      </w:r>
      <w:r>
        <w:t xml:space="preserve">Renewable energy and storage electricity projects, as well as recharging stations, also face</w:t>
      </w:r>
      <w:r>
        <w:t xml:space="preserve"> </w:t>
      </w:r>
      <w:r>
        <w:t xml:space="preserve">delays, which hinder their fast deployment and risk jeopardising the achievement of the RED</w:t>
      </w:r>
      <w:r>
        <w:t xml:space="preserve"> </w:t>
      </w:r>
      <w:r>
        <w:t xml:space="preserve">targets. While the pace of new installations has accelerated in the last years, it still falls short of</w:t>
      </w:r>
      <w:r>
        <w:t xml:space="preserve"> </w:t>
      </w:r>
      <w:r>
        <w:t xml:space="preserve">the level required to achieve the EU climate and energy objectives and progress is uneven across</w:t>
      </w:r>
      <w:r>
        <w:t xml:space="preserve"> </w:t>
      </w:r>
      <w:r>
        <w:t xml:space="preserve">Member States. In 2023, the EU achieved 24.5% renewables share in total final energy</w:t>
      </w:r>
      <w:r>
        <w:t xml:space="preserve"> </w:t>
      </w:r>
      <w:r>
        <w:t xml:space="preserve">consumption, ranging from 11.6% to 66.4% depending on the Member States. In 2024, new</w:t>
      </w:r>
      <w:r>
        <w:t xml:space="preserve"> </w:t>
      </w:r>
      <w:r>
        <w:t xml:space="preserve">renewable energy capacities installed in the Union reached 78 GW, still falling short from the</w:t>
      </w:r>
      <w:r>
        <w:t xml:space="preserve"> </w:t>
      </w:r>
      <w:r>
        <w:t xml:space="preserve">KPI set in the Clean Industrial Deal to install 100 GW of renewable electricity capacity annually</w:t>
      </w:r>
      <w:r>
        <w:t xml:space="preserve"> </w:t>
      </w:r>
      <w:r>
        <w:t xml:space="preserve">up to 2030. However, even if the rate of deployment of renewable energy generation was in line</w:t>
      </w:r>
      <w:r>
        <w:t xml:space="preserve"> </w:t>
      </w:r>
      <w:r>
        <w:t xml:space="preserve">with such objectives, renewable energy installations still face barriers for their effective</w:t>
      </w:r>
      <w:r>
        <w:t xml:space="preserve"> </w:t>
      </w:r>
      <w:r>
        <w:t xml:space="preserve">integration into the system and their actual consumption in the Union’s energy demand.</w:t>
      </w:r>
      <w:r>
        <w:br/>
      </w:r>
      <w:r>
        <w:t xml:space="preserve">The Emergency Regulation47, which included measures to facilitate the deployment of RES and</w:t>
      </w:r>
      <w:r>
        <w:t xml:space="preserve"> </w:t>
      </w:r>
      <w:r>
        <w:t xml:space="preserve">grid projects, initiated during the energy crisis (2022-2023), accelerated renewable energy</w:t>
      </w:r>
      <w:r>
        <w:t xml:space="preserve"> </w:t>
      </w:r>
      <w:r>
        <w:t xml:space="preserve">deployment in the EU, but progress is still insufficient. This remains the case despite the package</w:t>
      </w:r>
      <w:r>
        <w:t xml:space="preserve"> </w:t>
      </w:r>
      <w:r>
        <w:t xml:space="preserve">of measures to accelerate permitting for renewables adopted in the revised RED. Difficulties,</w:t>
      </w:r>
      <w:r>
        <w:t xml:space="preserve"> </w:t>
      </w:r>
      <w:r>
        <w:t xml:space="preserve">and delays, in reaching agreements on cost sharing for energy infrastructure projects</w:t>
      </w:r>
      <w:r>
        <w:t xml:space="preserve"> </w:t>
      </w:r>
      <w:r>
        <w:t xml:space="preserve">amongst potentially benefitting countries further postpone or halt investments.</w:t>
      </w:r>
      <w:r>
        <w:br/>
      </w:r>
      <w:r>
        <w:t xml:space="preserve">2.1.3. Problem 3: Concerns over infrastructure security</w:t>
      </w:r>
      <w:r>
        <w:t xml:space="preserve"> </w:t>
      </w:r>
      <w:r>
        <w:t xml:space="preserve">Recent incidents in the Baltic Sea, including those involving the Nord Stream 2 (September</w:t>
      </w:r>
      <w:r>
        <w:t xml:space="preserve"> </w:t>
      </w:r>
      <w:r>
        <w:t xml:space="preserve">2022), the Balticconnector pipeline (October 2023) and the Estlink 2 power cable (December</w:t>
      </w:r>
      <w:r>
        <w:t xml:space="preserve"> </w:t>
      </w:r>
      <w:r>
        <w:t xml:space="preserve">2024), highlight the risk of hostile actors targeting energy infrastructure. Likewise, cyber-</w:t>
      </w:r>
      <w:r>
        <w:t xml:space="preserve"> </w:t>
      </w:r>
      <w:r>
        <w:t xml:space="preserve">security incidents against energy infrastructure have increased over the past years. Such</w:t>
      </w:r>
      <w:r>
        <w:t xml:space="preserve"> </w:t>
      </w:r>
      <w:r>
        <w:t xml:space="preserve">targeted attacks pose substantial risks to the stability and resilience of our energy system. The</w:t>
      </w:r>
      <w:r>
        <w:t xml:space="preserve"> </w:t>
      </w:r>
      <w:r>
        <w:t xml:space="preserve">outage of the Estlink 2 interconnector between Estonia and Finland in 2024 resulted in repair</w:t>
      </w:r>
      <w:r>
        <w:t xml:space="preserve"> </w:t>
      </w:r>
      <w:r>
        <w:t xml:space="preserve">costs of EUR 30 million (and a loss in socio-economic benefits of EUR 94 million), and the</w:t>
      </w:r>
      <w:r>
        <w:t xml:space="preserve"> </w:t>
      </w:r>
      <w:r>
        <w:t xml:space="preserve">second outage in 2025 in total repair costs of EUR 50-60 million48.</w:t>
      </w:r>
      <w:r>
        <w:br/>
      </w:r>
      <w:r>
        <w:t xml:space="preserve">Beyond deliberate acts of sabotage, there is an increasing recognition of the risks stemming from</w:t>
      </w:r>
      <w:r>
        <w:t xml:space="preserve"> </w:t>
      </w:r>
      <w:r>
        <w:t xml:space="preserve">non-deliberate incidents, including natural hazards and climate-related impacts. This was noted</w:t>
      </w:r>
      <w:r>
        <w:t xml:space="preserve"> </w:t>
      </w:r>
      <w:r>
        <w:t xml:space="preserve">by stakeholders in the public consultation: 38% of respondents agreed that the EU legal</w:t>
      </w:r>
      <w:r>
        <w:t xml:space="preserve"> </w:t>
      </w:r>
      <w:r>
        <w:t xml:space="preserve">framework does not sufficiently addresses such emerging risks (Annex 2).</w:t>
      </w:r>
      <w:r>
        <w:t xml:space="preserve"> </w:t>
      </w:r>
      <w:r>
        <w:t xml:space="preserve">Whereas problems 1 and 2 lead to direct consequences in terms of renewable energy curtailment,</w:t>
      </w:r>
      <w:r>
        <w:t xml:space="preserve"> </w:t>
      </w:r>
      <w:r>
        <w:t xml:space="preserve">higher greenhouse gas emissions, higher energy system costs as well as longer grid connection</w:t>
      </w:r>
      <w:r>
        <w:t xml:space="preserve"> </w:t>
      </w:r>
      <w:r>
        <w:t xml:space="preserve">queues undermining electrification, problem 3 is linked to higher risks in terms of energy supply</w:t>
      </w:r>
      <w:r>
        <w:t xml:space="preserve"> </w:t>
      </w:r>
      <w:r>
        <w:t xml:space="preserve">disruption which, if they occur, can endanger EU independence and lead to significant costs in</w:t>
      </w:r>
      <w:r>
        <w:t xml:space="preserve"> </w:t>
      </w:r>
      <w:r>
        <w:t xml:space="preserve">terms of socio-economic welfare losses as well as political, social and economic disruptions.</w:t>
      </w:r>
    </w:p>
    <w:p>
      <w:pPr>
        <w:pStyle w:val="BodyText"/>
      </w:pPr>
      <w:r>
        <w:t xml:space="preserve">47 Council Regulation (EU) 2024/223 of 22 December 2023 amending Regulation (EU) 2022/2577 laying down a</w:t>
      </w:r>
      <w:r>
        <w:t xml:space="preserve"> </w:t>
      </w:r>
      <w:r>
        <w:t xml:space="preserve">framework to accelerate the deployment of renewable energy.</w:t>
      </w:r>
      <w:r>
        <w:br/>
      </w:r>
      <w:r>
        <w:t xml:space="preserve">48 Elering (2024): article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problem tree (Figure 1) illustrates how the drivers relate to the identified problem 1 to 3.</w:t>
      </w:r>
      <w:r>
        <w:t xml:space="preserve"> </w:t>
      </w:r>
      <w:r>
        <w:t xml:space="preserve">2.2.1. Driver 1: Infrastructure needs not identified and inconsistencies across sectors</w:t>
      </w:r>
      <w:r>
        <w:t xml:space="preserve"> </w:t>
      </w:r>
      <w:r>
        <w:t xml:space="preserve">Driver 1 relates to three root causes: weak scenarios as a basis of infrastructure planning,</w:t>
      </w:r>
      <w:r>
        <w:t xml:space="preserve"> </w:t>
      </w:r>
      <w:r>
        <w:t xml:space="preserve">inconsistencies between different sectoral and regional/national infrastructure planning</w:t>
      </w:r>
      <w:r>
        <w:t xml:space="preserve"> </w:t>
      </w:r>
      <w:r>
        <w:t xml:space="preserve">exercises, as well as lack of clarity on identified needs.</w:t>
      </w:r>
      <w:r>
        <w:br/>
      </w:r>
      <w:r>
        <w:t xml:space="preserve">Scenarios not sufficiently robust: TYNDP scenarios constitute the first step for identifying the</w:t>
      </w:r>
      <w:r>
        <w:t xml:space="preserve"> </w:t>
      </w:r>
      <w:r>
        <w:t xml:space="preserve">infrastructure needs as well as for assessing the benefits of projects. Despite the introduction of</w:t>
      </w:r>
      <w:r>
        <w:t xml:space="preserve"> </w:t>
      </w:r>
      <w:r>
        <w:t xml:space="preserve">ACER framework guidelines49 for the establishment of scenarios and the Commission approval</w:t>
      </w:r>
      <w:r>
        <w:t xml:space="preserve"> </w:t>
      </w:r>
      <w:r>
        <w:t xml:space="preserve">of final scenarios, the current TYNDP scenarios have various shortcomings. They are subject to</w:t>
      </w:r>
      <w:r>
        <w:t xml:space="preserve"> </w:t>
      </w:r>
      <w:r>
        <w:t xml:space="preserve">significant delays in each planning cycle50 and assumptions are regularly criticised by</w:t>
      </w:r>
      <w:r>
        <w:t xml:space="preserve"> </w:t>
      </w:r>
      <w:r>
        <w:t xml:space="preserve">stakeholders for being unrealistic, insufficiently transparent, not aligned with the NECPs, or even</w:t>
      </w:r>
      <w:r>
        <w:t xml:space="preserve"> </w:t>
      </w:r>
      <w:r>
        <w:t xml:space="preserve">biased given the central role of the ENTSOs in this process51. The two-year cycles do not allow</w:t>
      </w:r>
      <w:r>
        <w:t xml:space="preserve"> </w:t>
      </w:r>
      <w:r>
        <w:t xml:space="preserve">for sufficient time for effective feedback loops necessary to build robust scenarios.52 This</w:t>
      </w:r>
      <w:r>
        <w:t xml:space="preserve"> </w:t>
      </w:r>
      <w:r>
        <w:t xml:space="preserve">undermines the credibility of the infrastructure planning process and the robustness of needs</w:t>
      </w:r>
      <w:r>
        <w:t xml:space="preserve"> </w:t>
      </w:r>
      <w:r>
        <w:t xml:space="preserve">identification and selection of priority projects.53 In more than half of Member States, scenarios</w:t>
      </w:r>
      <w:r>
        <w:t xml:space="preserve"> </w:t>
      </w:r>
      <w:r>
        <w:t xml:space="preserve">used by DSOs are not available (and not coordinated), impeding proper network planning.54</w:t>
      </w:r>
      <w:r>
        <w:t xml:space="preserve"> </w:t>
      </w:r>
      <w:r>
        <w:t xml:space="preserve">Network planning cannot serve sufficiently for future connections, if it is not based on robust</w:t>
      </w:r>
      <w:r>
        <w:t xml:space="preserve"> </w:t>
      </w:r>
      <w:r>
        <w:t xml:space="preserve">scenarios of future evolution.55</w:t>
      </w:r>
      <w:r>
        <w:br/>
      </w:r>
      <w:r>
        <w:t xml:space="preserve">Inconsistencies between different levels and sector planning: The hydrogen and gas</w:t>
      </w:r>
      <w:r>
        <w:t xml:space="preserve"> </w:t>
      </w:r>
      <w:r>
        <w:t xml:space="preserve">decarbonisation package strengthened cooperation between national transmission and</w:t>
      </w:r>
      <w:r>
        <w:t xml:space="preserve"> </w:t>
      </w:r>
      <w:r>
        <w:t xml:space="preserve">distribution levels increasing consistency of related planning for electricity and gas, as well as</w:t>
      </w:r>
      <w:r>
        <w:t xml:space="preserve"> </w:t>
      </w:r>
      <w:r>
        <w:t xml:space="preserve">other relevant sectors including heating and cooling. However, this national-level alignment does</w:t>
      </w:r>
      <w:r>
        <w:t xml:space="preserve"> </w:t>
      </w:r>
      <w:r>
        <w:t xml:space="preserve">not avoid discrepancies between EU and national planning, as the scenarios used at the EU and</w:t>
      </w:r>
      <w:r>
        <w:t xml:space="preserve"> </w:t>
      </w:r>
      <w:r>
        <w:t xml:space="preserve">national levels are not necessarily consistent.56 Insufficient cross-sectoral planning on a</w:t>
      </w:r>
      <w:r>
        <w:t xml:space="preserve"> </w:t>
      </w:r>
      <w:r>
        <w:t xml:space="preserve">European level risks an inadequate assessment of infrastructure needs and the costs and</w:t>
      </w:r>
      <w:r>
        <w:t xml:space="preserve"> </w:t>
      </w:r>
      <w:r>
        <w:t xml:space="preserve">benefits of individual projects, which can entail substantial cost increases, e.g. through</w:t>
      </w:r>
      <w:r>
        <w:t xml:space="preserve"> </w:t>
      </w:r>
      <w:r>
        <w:t xml:space="preserve">inefficiently high generation and back-up capacity expansions.57 Several Member States’</w:t>
      </w:r>
      <w:r>
        <w:t xml:space="preserve"> </w:t>
      </w:r>
      <w:r>
        <w:t xml:space="preserve">scenarios for network planning seem not aligned with the EU’s 2030 targets.58 On a national</w:t>
      </w:r>
      <w:r>
        <w:t xml:space="preserve"> </w:t>
      </w:r>
      <w:r>
        <w:t xml:space="preserve">transmission level, planning is required only for a 5–10-year horizon, which may be insufficient</w:t>
      </w:r>
      <w:r>
        <w:t xml:space="preserve"> </w:t>
      </w:r>
      <w:r>
        <w:t xml:space="preserve">given the lead times for transmission projects.</w:t>
      </w:r>
    </w:p>
    <w:p>
      <w:pPr>
        <w:pStyle w:val="BodyText"/>
      </w:pPr>
      <w:r>
        <w:t xml:space="preserve">49 ACER (2023): Framework Guidelines for the joint TYNDP scenarios to be developed by ENTSO-E and ENTSOG</w:t>
      </w:r>
      <w:r>
        <w:t xml:space="preserve"> </w:t>
      </w:r>
      <w:r>
        <w:t xml:space="preserve">50 For more detailed assessment, see ACER Opinions on TYNDP, e.g. Opinion on ENTSO-E’s draft TYNDP 2024</w:t>
      </w:r>
      <w:r>
        <w:t xml:space="preserve"> </w:t>
      </w:r>
      <w:r>
        <w:t xml:space="preserve">51 ACER (2024): Opinion on the draft electricity ten-year network development plan</w:t>
      </w:r>
      <w:r>
        <w:br/>
      </w:r>
      <w:r>
        <w:t xml:space="preserve">52 Ibid.</w:t>
      </w:r>
      <w:r>
        <w:t xml:space="preserve"> </w:t>
      </w:r>
      <w:r>
        <w:t xml:space="preserve">53 Sikow-Magny, Catharina (2025): Trans-European energy networks (TEN-E) – ideas for simplification in view of</w:t>
      </w:r>
      <w:r>
        <w:t xml:space="preserve"> </w:t>
      </w:r>
      <w:r>
        <w:t xml:space="preserve">accelerating project implementation, RSC Policy Paper 2025/13</w:t>
      </w:r>
      <w:r>
        <w:t xml:space="preserve"> </w:t>
      </w:r>
      <w:r>
        <w:t xml:space="preserve">54 ACER (2025): Guidance on distribution network planning</w:t>
      </w:r>
      <w:r>
        <w:t xml:space="preserve"> </w:t>
      </w:r>
      <w:r>
        <w:t xml:space="preserve">55Commission Notice on a guidance on anticipatory investments for developing forward-looking electricity networks</w:t>
      </w:r>
      <w:r>
        <w:br/>
      </w:r>
      <w:r>
        <w:t xml:space="preserve">56 ACER Opinion No 7/2025 on the electricity national development plans</w:t>
      </w:r>
      <w:r>
        <w:t xml:space="preserve"> </w:t>
      </w:r>
      <w:r>
        <w:t xml:space="preserve">57 Agora Energiewende (2025): Integrated Infrastructure Modelling and Climate Neutrality, presentation at 11th</w:t>
      </w:r>
      <w:r>
        <w:t xml:space="preserve"> </w:t>
      </w:r>
      <w:r>
        <w:t xml:space="preserve">Energy Infrastructure Forum, 3 June 2025</w:t>
      </w:r>
      <w:r>
        <w:t xml:space="preserve"> </w:t>
      </w:r>
      <w:r>
        <w:t xml:space="preserve">58 Ember (2024): Putting the mission in transmission: Grids for Europe’s energy transition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Not all infrastructure needs are properly identified and prioritised: The current</w:t>
      </w:r>
      <w:r>
        <w:t xml:space="preserve"> </w:t>
      </w:r>
      <w:r>
        <w:t xml:space="preserve">identification of infrastructure gaps does not consistently analyse all potential infrastructure</w:t>
      </w:r>
      <w:r>
        <w:t xml:space="preserve"> </w:t>
      </w:r>
      <w:r>
        <w:t xml:space="preserve">needs at national and EU level. There are substantial differences between electricity</w:t>
      </w:r>
      <w:r>
        <w:t xml:space="preserve"> </w:t>
      </w:r>
      <w:r>
        <w:t xml:space="preserve">infrastructure needs identified for certain borders in respective planning cycles. Moreover, under</w:t>
      </w:r>
      <w:r>
        <w:t xml:space="preserve"> </w:t>
      </w:r>
      <w:r>
        <w:t xml:space="preserve">the current ‘bottom-up’ approach (Annex 6), projects submitted by national TSOs and third-party</w:t>
      </w:r>
      <w:r>
        <w:t xml:space="preserve"> </w:t>
      </w:r>
      <w:r>
        <w:t xml:space="preserve">project promoters for the EU-wide TYNDP are assessed as possible needs.59 While this approach,</w:t>
      </w:r>
      <w:r>
        <w:t xml:space="preserve"> </w:t>
      </w:r>
      <w:r>
        <w:t xml:space="preserve">by default, confirms the need for most of the proposed projects, it fails to identify the optimal</w:t>
      </w:r>
      <w:r>
        <w:t xml:space="preserve"> </w:t>
      </w:r>
      <w:r>
        <w:t xml:space="preserve">design of infrastructure. In addition, the involvement of Member States, ACER and NRAs is</w:t>
      </w:r>
      <w:r>
        <w:t xml:space="preserve"> </w:t>
      </w:r>
      <w:r>
        <w:t xml:space="preserve">limited in certain steps of the planning processes preventing validation of critical steps. The</w:t>
      </w:r>
      <w:r>
        <w:t xml:space="preserve"> </w:t>
      </w:r>
      <w:r>
        <w:t xml:space="preserve">public consultation indicated mixed views on the extent to which the TYNDP identifies all cross-</w:t>
      </w:r>
      <w:r>
        <w:t xml:space="preserve"> </w:t>
      </w:r>
      <w:r>
        <w:t xml:space="preserve">border infrastructure needs, with 34% of respondents agreeing (companies 37%, business</w:t>
      </w:r>
      <w:r>
        <w:t xml:space="preserve"> </w:t>
      </w:r>
      <w:r>
        <w:t xml:space="preserve">associations 33%, NGOs 14%, public authorities 20%).60</w:t>
      </w:r>
      <w:r>
        <w:t xml:space="preserve"> </w:t>
      </w:r>
      <w:r>
        <w:t xml:space="preserve">In the current TEN-E framework, interconnections with a third country need to demonstrate</w:t>
      </w:r>
      <w:r>
        <w:t xml:space="preserve"> </w:t>
      </w:r>
      <w:r>
        <w:t xml:space="preserve">significant benefits at Union level. The PMI selection processes have shown that this criterion</w:t>
      </w:r>
      <w:r>
        <w:t xml:space="preserve"> </w:t>
      </w:r>
      <w:r>
        <w:t xml:space="preserve">is difficult or impossible to fulfil for certain electricity interconnections, when their system</w:t>
      </w:r>
      <w:r>
        <w:t xml:space="preserve"> </w:t>
      </w:r>
      <w:r>
        <w:t xml:space="preserve">benefits go mostly to the third country. This is of particular concern for Energy Community</w:t>
      </w:r>
      <w:r>
        <w:t xml:space="preserve"> </w:t>
      </w:r>
      <w:r>
        <w:t xml:space="preserve">countries including Ukraine and Moldova, with whom interconnections impact the EU</w:t>
      </w:r>
      <w:r>
        <w:t xml:space="preserve"> </w:t>
      </w:r>
      <w:r>
        <w:t xml:space="preserve">electricity market and may improve system stability and resilience. The framework does not</w:t>
      </w:r>
      <w:r>
        <w:t xml:space="preserve"> </w:t>
      </w:r>
      <w:r>
        <w:t xml:space="preserve">account for benefits for the Energy Community of projects between EU and contracting parties.61</w:t>
      </w:r>
      <w:r>
        <w:br/>
      </w:r>
      <w:r>
        <w:t xml:space="preserve">2.2.2. Driver 2: Identified electricity infrastructure needs are not optimally</w:t>
      </w:r>
      <w:r>
        <w:t xml:space="preserve"> </w:t>
      </w:r>
      <w:r>
        <w:t xml:space="preserve">addressed</w:t>
      </w:r>
      <w:r>
        <w:t xml:space="preserve"> </w:t>
      </w:r>
      <w:r>
        <w:t xml:space="preserve">Driver 2 encompasses two root causes: identified infrastructure needs are not systematically</w:t>
      </w:r>
      <w:r>
        <w:t xml:space="preserve"> </w:t>
      </w:r>
      <w:r>
        <w:t xml:space="preserve">followed up with possible projects and non-wired solutions are not considered as priority.</w:t>
      </w:r>
      <w:r>
        <w:br/>
      </w:r>
      <w:r>
        <w:t xml:space="preserve">Not all identified infrastructure needs are addressed with possible projects, resulting in</w:t>
      </w:r>
      <w:r>
        <w:t xml:space="preserve"> </w:t>
      </w:r>
      <w:r>
        <w:t xml:space="preserve">significant gaps: The TYNDP does not have a procedure to address cross-border or national</w:t>
      </w:r>
      <w:r>
        <w:t xml:space="preserve"> </w:t>
      </w:r>
      <w:r>
        <w:t xml:space="preserve">gaps identified in ENTSO-E’s infrastructure gap report. Consequently, new projects do not</w:t>
      </w:r>
      <w:r>
        <w:t xml:space="preserve"> </w:t>
      </w:r>
      <w:r>
        <w:t xml:space="preserve">necessarily reflect what should be prioritised to fill the identified gaps. ENTSO-E identified 25</w:t>
      </w:r>
      <w:r>
        <w:t xml:space="preserve"> </w:t>
      </w:r>
      <w:r>
        <w:t xml:space="preserve">new projects in the 2024 TYNDP that aim to address a gap identified in the 2022 TYNDP.</w:t>
      </w:r>
      <w:r>
        <w:t xml:space="preserve"> </w:t>
      </w:r>
      <w:r>
        <w:t xml:space="preserve">However, there remain borders where no new project has been proposed to address identified</w:t>
      </w:r>
      <w:r>
        <w:t xml:space="preserve"> </w:t>
      </w:r>
      <w:r>
        <w:t xml:space="preserve">gaps. This was highlighted by stakeholders as part of the public consultation, where 44% of</w:t>
      </w:r>
      <w:r>
        <w:t xml:space="preserve"> </w:t>
      </w:r>
      <w:r>
        <w:t xml:space="preserve">respondents (companies 37%, business associations 43%, NGOs 86%, public authorities 50%)</w:t>
      </w:r>
      <w:r>
        <w:t xml:space="preserve"> </w:t>
      </w:r>
      <w:r>
        <w:t xml:space="preserve">indicated that the TYNDP process falls short in addressing relevant projects to close</w:t>
      </w:r>
      <w:r>
        <w:t xml:space="preserve"> </w:t>
      </w:r>
      <w:r>
        <w:t xml:space="preserve">infrastructure gaps (see Annex 2).</w:t>
      </w:r>
      <w:r>
        <w:br/>
      </w:r>
      <w:r>
        <w:t xml:space="preserve">Member States may be reluctant to support investments in new cross-border infrastructure</w:t>
      </w:r>
      <w:r>
        <w:t xml:space="preserve"> </w:t>
      </w:r>
      <w:r>
        <w:t xml:space="preserve">due to national economic and political considerations. Even if a new interconnection project</w:t>
      </w:r>
      <w:r>
        <w:t xml:space="preserve"> </w:t>
      </w:r>
      <w:r>
        <w:t xml:space="preserve">demonstrates overall welfare gains, it may contribute to higher wholesale prices in certain</w:t>
      </w:r>
      <w:r>
        <w:t xml:space="preserve"> </w:t>
      </w:r>
      <w:r>
        <w:t xml:space="preserve">Member States due to price convergence across borders. In addition, consumers need to pay for</w:t>
      </w:r>
    </w:p>
    <w:p>
      <w:pPr>
        <w:pStyle w:val="BodyText"/>
      </w:pPr>
      <w:r>
        <w:t xml:space="preserve">59 Two categories of projects: “real” projects already investigated in the previous TYNDP cycle and “concept” projects</w:t>
      </w:r>
      <w:r>
        <w:t xml:space="preserve"> </w:t>
      </w:r>
      <w:r>
        <w:t xml:space="preserve">with expected commissioning date after 2040 and with technical and economic parameters less certain.</w:t>
      </w:r>
      <w:r>
        <w:t xml:space="preserve"> </w:t>
      </w:r>
      <w:r>
        <w:t xml:space="preserve">60 22% respondents expressed neutrality and 18% were uncertain.</w:t>
      </w:r>
      <w:r>
        <w:t xml:space="preserve"> </w:t>
      </w:r>
      <w:r>
        <w:t xml:space="preserve">61 Experience from previous PCI and PMI assessment cycles proved interconnectors with Energy Community</w:t>
      </w:r>
      <w:r>
        <w:t xml:space="preserve"> </w:t>
      </w:r>
      <w:r>
        <w:t xml:space="preserve">countries may not always fulfil the Union benefits criterion. While there is a dedicated process for Projects of Energy</w:t>
      </w:r>
      <w:r>
        <w:t xml:space="preserve"> </w:t>
      </w:r>
      <w:r>
        <w:t xml:space="preserve">Community Interest (PECIs), it does not cover projects with the EU.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the investments in new cross-border infrastructure through higher network tariffs. By contrast,</w:t>
      </w:r>
      <w:r>
        <w:t xml:space="preserve"> </w:t>
      </w:r>
      <w:r>
        <w:t xml:space="preserve">the benefits in terms of generation surplus and congestions rents may only indirectly reach</w:t>
      </w:r>
      <w:r>
        <w:t xml:space="preserve"> </w:t>
      </w:r>
      <w:r>
        <w:t xml:space="preserve">consumers. Thus, there may be a misalignment between national and EU-level incentives for a</w:t>
      </w:r>
      <w:r>
        <w:t xml:space="preserve"> </w:t>
      </w:r>
      <w:r>
        <w:t xml:space="preserve">certain interconnection project which contributes to identified infrastructure needs not being</w:t>
      </w:r>
      <w:r>
        <w:t xml:space="preserve"> </w:t>
      </w:r>
      <w:r>
        <w:t xml:space="preserve">optimally addressed.</w:t>
      </w:r>
      <w:r>
        <w:t xml:space="preserve"> </w:t>
      </w:r>
      <w:r>
        <w:t xml:space="preserve">The electricity planning framework at the EU and national level fail to make full use of</w:t>
      </w:r>
      <w:r>
        <w:t xml:space="preserve"> </w:t>
      </w:r>
      <w:r>
        <w:t xml:space="preserve">non-wired solutions62 as alternatives to grid expansions. While the TEN-E Regulation requires</w:t>
      </w:r>
      <w:r>
        <w:t xml:space="preserve"> </w:t>
      </w:r>
      <w:r>
        <w:t xml:space="preserve">alternatives to grid development to be listed in the grid planning, there is no obligation to follow</w:t>
      </w:r>
      <w:r>
        <w:t xml:space="preserve"> </w:t>
      </w:r>
      <w:r>
        <w:t xml:space="preserve">up with concrete projects, hence remaining rather ineffective.63 While there is a requirement both</w:t>
      </w:r>
      <w:r>
        <w:t xml:space="preserve"> </w:t>
      </w:r>
      <w:r>
        <w:t xml:space="preserve">for transmission and distribution grid planning to include flexibility and demand response, there</w:t>
      </w:r>
      <w:r>
        <w:t xml:space="preserve"> </w:t>
      </w:r>
      <w:r>
        <w:t xml:space="preserve">is no explicit requirement to first consider non-wired alternative solutions, accompanied by a</w:t>
      </w:r>
      <w:r>
        <w:t xml:space="preserve"> </w:t>
      </w:r>
      <w:r>
        <w:t xml:space="preserve">CBA.64</w:t>
      </w:r>
      <w:r>
        <w:t xml:space="preserve"> </w:t>
      </w:r>
      <w:r>
        <w:t xml:space="preserve">For internal transmission, the TEN-E Regulation requires projects to provide at least 500 MW</w:t>
      </w:r>
      <w:r>
        <w:t xml:space="preserve"> </w:t>
      </w:r>
      <w:r>
        <w:t xml:space="preserve">impact in terms of cross-border capacity increase to prove their cross-border relevance. This</w:t>
      </w:r>
      <w:r>
        <w:t xml:space="preserve"> </w:t>
      </w:r>
      <w:r>
        <w:t xml:space="preserve">threshold introduced in 2013 does not fully reflect the state of play of the EU electricity market</w:t>
      </w:r>
      <w:r>
        <w:t xml:space="preserve"> </w:t>
      </w:r>
      <w:r>
        <w:t xml:space="preserve">where the average physically used capacity of interconnectors in Europe is 417 MW65 per border</w:t>
      </w:r>
      <w:r>
        <w:t xml:space="preserve"> </w:t>
      </w:r>
      <w:r>
        <w:t xml:space="preserve">between two countries. Therefore, the current threshold requires more than 100 % increase in</w:t>
      </w:r>
      <w:r>
        <w:t xml:space="preserve"> </w:t>
      </w:r>
      <w:r>
        <w:t xml:space="preserve">average cross-border capacities. There is hence a risk that (smaller) projects which could increase</w:t>
      </w:r>
      <w:r>
        <w:t xml:space="preserve"> </w:t>
      </w:r>
      <w:r>
        <w:t xml:space="preserve">capacities for cross-border trade are not adequately identified and supported. For smart</w:t>
      </w:r>
      <w:r>
        <w:t xml:space="preserve"> </w:t>
      </w:r>
      <w:r>
        <w:t xml:space="preserve">electricity grids, while the last TEN-E revision simplified the rules for application of new project</w:t>
      </w:r>
      <w:r>
        <w:t xml:space="preserve"> </w:t>
      </w:r>
      <w:r>
        <w:t xml:space="preserve">proposals, the number of project applications has not increased significantly.</w:t>
      </w:r>
      <w:r>
        <w:br/>
      </w:r>
      <w:r>
        <w:t xml:space="preserve">2.2.3. Driver 3: Approach to the integration of renewable and low carbon gases not</w:t>
      </w:r>
      <w:r>
        <w:t xml:space="preserve"> </w:t>
      </w:r>
      <w:r>
        <w:t xml:space="preserve">fully aligned with recent policy updates</w:t>
      </w:r>
      <w:r>
        <w:t xml:space="preserve"> </w:t>
      </w:r>
      <w:r>
        <w:t xml:space="preserve">Blending of hydrogen with natural gas risks diverting limited, costly renewable or low-carbon</w:t>
      </w:r>
      <w:r>
        <w:t xml:space="preserve"> </w:t>
      </w:r>
      <w:r>
        <w:t xml:space="preserve">hydrogen from its priority use as a feedstock for industry and air and maritime transport, which</w:t>
      </w:r>
      <w:r>
        <w:t xml:space="preserve"> </w:t>
      </w:r>
      <w:r>
        <w:t xml:space="preserve">cannot use blends. Blending poses challenges for gas quality, adaptation of equipment, and cross-</w:t>
      </w:r>
      <w:r>
        <w:t xml:space="preserve"> </w:t>
      </w:r>
      <w:r>
        <w:t xml:space="preserve">border exchanges. Due to the high hydrogen costs compared to its energy value, blending</w:t>
      </w:r>
      <w:r>
        <w:t xml:space="preserve"> </w:t>
      </w:r>
      <w:r>
        <w:t xml:space="preserve">increases costs for industry and households, and risks cross-subsidisation between users that</w:t>
      </w:r>
      <w:r>
        <w:t xml:space="preserve"> </w:t>
      </w:r>
      <w:r>
        <w:t xml:space="preserve">benefit from injection or delivery and the users bearing the system costs.</w:t>
      </w:r>
      <w:r>
        <w:t xml:space="preserve"> </w:t>
      </w:r>
      <w:r>
        <w:t xml:space="preserve">These considerations have underpinned an evolving policy landscape, which is in particular</w:t>
      </w:r>
      <w:r>
        <w:t xml:space="preserve"> </w:t>
      </w:r>
      <w:r>
        <w:t xml:space="preserve">reflected in the 2024 Gas Regulation and Directive. These legal acts consider that the production</w:t>
      </w:r>
      <w:r>
        <w:t xml:space="preserve"> </w:t>
      </w:r>
      <w:r>
        <w:t xml:space="preserve">and use of hydrogen in its pure form and its transportation in the dedicated hydrogen system</w:t>
      </w:r>
      <w:r>
        <w:t xml:space="preserve"> </w:t>
      </w:r>
      <w:r>
        <w:t xml:space="preserve">should be prioritised over the blending of hydrogen into the natural gas system which should be</w:t>
      </w:r>
      <w:r>
        <w:t xml:space="preserve"> </w:t>
      </w:r>
      <w:r>
        <w:t xml:space="preserve">a last-resort solution (Annex 6). Yet, the vast majority of projects submitted in the 2023 and 2025</w:t>
      </w:r>
      <w:r>
        <w:t xml:space="preserve"> </w:t>
      </w:r>
      <w:r>
        <w:t xml:space="preserve">PCI selection process in the smart gas grid category aimed at high levels of hydrogen blending.</w:t>
      </w:r>
      <w:r>
        <w:t xml:space="preserve"> </w:t>
      </w:r>
      <w:r>
        <w:t xml:space="preserve">Beyond issues of consistency with the latest policy developments, these projects also raised</w:t>
      </w:r>
      <w:r>
        <w:t xml:space="preserve"> </w:t>
      </w:r>
      <w:r>
        <w:t xml:space="preserve">issues of interaction with Article 31 of the TEN-E Regulation, which enshrines the principle that</w:t>
      </w:r>
    </w:p>
    <w:p>
      <w:pPr>
        <w:pStyle w:val="BodyText"/>
      </w:pPr>
      <w:r>
        <w:t xml:space="preserve">62 For example, grid enhancing technologies, digitalisation or flexibility.</w:t>
      </w:r>
      <w:r>
        <w:t xml:space="preserve"> </w:t>
      </w:r>
      <w:r>
        <w:t xml:space="preserve">63 See Annex 7 for more details on limited uptake of these solutions by TSOs. In the last two PCI/PMI selection</w:t>
      </w:r>
      <w:r>
        <w:t xml:space="preserve"> </w:t>
      </w:r>
      <w:r>
        <w:t xml:space="preserve">procedures, only one project involving a TSO was submitted to support the digitalisation of existing grids.</w:t>
      </w:r>
      <w:r>
        <w:t xml:space="preserve"> </w:t>
      </w:r>
      <w:r>
        <w:t xml:space="preserve">64 Similar to NOVA principle in Germany: German TSOs and DSOs are obliged to firstly consider grid optimisation</w:t>
      </w:r>
      <w:r>
        <w:t xml:space="preserve"> </w:t>
      </w:r>
      <w:r>
        <w:t xml:space="preserve">measures, such as use of non-wired alternative solutions, before further grid build-out. Glossar | Netzentwicklungsplan</w:t>
      </w:r>
      <w:r>
        <w:t xml:space="preserve"> </w:t>
      </w:r>
      <w:r>
        <w:t xml:space="preserve">65 Analysis of maximum physical energy flows between respective EU borders for year 2024 (ENTSO-E data).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for dedicated hydrogen assets converted from national gas assets, the transport or storage of a</w:t>
      </w:r>
      <w:r>
        <w:t xml:space="preserve"> </w:t>
      </w:r>
      <w:r>
        <w:t xml:space="preserve">predefined blend should only be allowed for a transitional period ending on 31 December 2029.</w:t>
      </w:r>
      <w:r>
        <w:t xml:space="preserve"> </w:t>
      </w:r>
      <w:r>
        <w:t xml:space="preserve">As for the integration of biomethane, it is produced locally and injected at distribution level.</w:t>
      </w:r>
      <w:r>
        <w:t xml:space="preserve"> </w:t>
      </w:r>
      <w:r>
        <w:t xml:space="preserve">Therefore, the cross-border impact of such projects is expected to be limited in most cases,</w:t>
      </w:r>
      <w:r>
        <w:t xml:space="preserve"> </w:t>
      </w:r>
      <w:r>
        <w:t xml:space="preserve">or indirect. The current legal criterion that a smart gas grid project must have significant cross-</w:t>
      </w:r>
      <w:r>
        <w:t xml:space="preserve"> </w:t>
      </w:r>
      <w:r>
        <w:t xml:space="preserve">border impact is purely formal in that it requires the involvement or close association of at least</w:t>
      </w:r>
      <w:r>
        <w:t xml:space="preserve"> </w:t>
      </w:r>
      <w:r>
        <w:t xml:space="preserve">two TSOs that ensure interoperability. This falls short of ensuring in all cases a tangible</w:t>
      </w:r>
      <w:r>
        <w:t xml:space="preserve"> </w:t>
      </w:r>
      <w:r>
        <w:t xml:space="preserve">significant cross-border impact.</w:t>
      </w:r>
      <w:r>
        <w:br/>
      </w:r>
      <w:r>
        <w:t xml:space="preserve">Finally, whilst the smart gas grid category of the TEN-E Regulation is aimed at investment in</w:t>
      </w:r>
      <w:r>
        <w:t xml:space="preserve"> </w:t>
      </w:r>
      <w:r>
        <w:t xml:space="preserve">digital equipment and digital installations to smarten the natural gas network for enabling the</w:t>
      </w:r>
      <w:r>
        <w:t xml:space="preserve"> </w:t>
      </w:r>
      <w:r>
        <w:t xml:space="preserve">integration of renewable gases, projects submitted for PCI status have included substantial</w:t>
      </w:r>
      <w:r>
        <w:t xml:space="preserve"> </w:t>
      </w:r>
      <w:r>
        <w:t xml:space="preserve">network elements going beyond what is indispensable for the functioning of such equipment and</w:t>
      </w:r>
      <w:r>
        <w:t xml:space="preserve"> </w:t>
      </w:r>
      <w:r>
        <w:t xml:space="preserve">installations. These projects pose a risk of “greenwashing” and circumvention of the</w:t>
      </w:r>
      <w:r>
        <w:t xml:space="preserve"> </w:t>
      </w:r>
      <w:r>
        <w:t xml:space="preserve">discontinuation of support to natural gas grids as decided with the TEN-E revision in 2022.</w:t>
      </w:r>
      <w:r>
        <w:t xml:space="preserve"> </w:t>
      </w:r>
      <w:r>
        <w:t xml:space="preserve">As for electrolysers, the current definition in the TEN-E Regulation — with a minimum</w:t>
      </w:r>
      <w:r>
        <w:t xml:space="preserve"> </w:t>
      </w:r>
      <w:r>
        <w:t xml:space="preserve">threshold capacity of 50 MW— makes it difficult to demonstrate any meaningful cross-</w:t>
      </w:r>
      <w:r>
        <w:t xml:space="preserve"> </w:t>
      </w:r>
      <w:r>
        <w:t xml:space="preserve">border impact. A substantial proportion of electrolysers that were PCI candidates for the Union</w:t>
      </w:r>
      <w:r>
        <w:t xml:space="preserve"> </w:t>
      </w:r>
      <w:r>
        <w:t xml:space="preserve">list were planned for direct industrial use rather than fulfilling cross-border objectives (Annex</w:t>
      </w:r>
      <w:r>
        <w:t xml:space="preserve"> </w:t>
      </w:r>
      <w:r>
        <w:t xml:space="preserve">7), contrary to TEN-E Regulation.</w:t>
      </w:r>
      <w:r>
        <w:br/>
      </w:r>
      <w:r>
        <w:t xml:space="preserve">2.2.4. Driver 4: Ineffective mechanisms for cost sharing for cross-border</w:t>
      </w:r>
      <w:r>
        <w:t xml:space="preserve"> </w:t>
      </w:r>
      <w:r>
        <w:t xml:space="preserve">infrastructure projects</w:t>
      </w:r>
      <w:r>
        <w:br/>
      </w:r>
      <w:r>
        <w:t xml:space="preserve">Driver 4 encompasses the root causes related to current practices of cost sharing and benefits</w:t>
      </w:r>
      <w:r>
        <w:t xml:space="preserve"> </w:t>
      </w:r>
      <w:r>
        <w:t xml:space="preserve">materialising increasingly outside the host countries of energy infrastructure projects.</w:t>
      </w:r>
      <w:r>
        <w:t xml:space="preserve"> </w:t>
      </w:r>
      <w:r>
        <w:t xml:space="preserve">While the current EU framework already includes instruments to facilitate investments in</w:t>
      </w:r>
      <w:r>
        <w:t xml:space="preserve"> </w:t>
      </w:r>
      <w:r>
        <w:t xml:space="preserve">such cross-border projects, it has not been used very effectively. The TEN-E Regulation</w:t>
      </w:r>
      <w:r>
        <w:t xml:space="preserve"> </w:t>
      </w:r>
      <w:r>
        <w:t xml:space="preserve">establishes a cross-border cost allocation (CBCA) framework. The CBCA tool has, however, so</w:t>
      </w:r>
      <w:r>
        <w:t xml:space="preserve"> </w:t>
      </w:r>
      <w:r>
        <w:t xml:space="preserve">far only been used for the process of applying for CEF grants.66 Therefore, the CBCA framework</w:t>
      </w:r>
      <w:r>
        <w:t xml:space="preserve"> </w:t>
      </w:r>
      <w:r>
        <w:t xml:space="preserve">has been applied to relatively few projects. In addition, the CBCA decisions have primarily</w:t>
      </w:r>
      <w:r>
        <w:t xml:space="preserve"> </w:t>
      </w:r>
      <w:r>
        <w:t xml:space="preserve">followed a territorial cost allocation principle (or a 50/50 split between hosting countries), which</w:t>
      </w:r>
      <w:r>
        <w:t xml:space="preserve"> </w:t>
      </w:r>
      <w:r>
        <w:t xml:space="preserve">does not ensure that costs are shared in proportion to benefits. Since 2014, fewer than 10% of</w:t>
      </w:r>
      <w:r>
        <w:t xml:space="preserve"> </w:t>
      </w:r>
      <w:r>
        <w:t xml:space="preserve">CBCA decisions have resulted in cost allocations involving non-hosting countries.67 Two main</w:t>
      </w:r>
      <w:r>
        <w:t xml:space="preserve"> </w:t>
      </w:r>
      <w:r>
        <w:t xml:space="preserve">causes have been identified. First, non-hosting countries are often engaged too late, being</w:t>
      </w:r>
      <w:r>
        <w:t xml:space="preserve"> </w:t>
      </w:r>
      <w:r>
        <w:t xml:space="preserve">presented with the results of the benefit distribution and the cost-sharing request without being</w:t>
      </w:r>
      <w:r>
        <w:t xml:space="preserve"> </w:t>
      </w:r>
      <w:r>
        <w:t xml:space="preserve">involved in the actual assessment. Second, there are insufficient tools and incentives for non-</w:t>
      </w:r>
      <w:r>
        <w:t xml:space="preserve"> </w:t>
      </w:r>
      <w:r>
        <w:t xml:space="preserve">hosting countries to engage in this process, creating the possibility of free riding. This was</w:t>
      </w:r>
      <w:r>
        <w:t xml:space="preserve"> </w:t>
      </w:r>
      <w:r>
        <w:t xml:space="preserve">confirmed by the public consultation, with 38% of the participants (companies 40%, business</w:t>
      </w:r>
      <w:r>
        <w:t xml:space="preserve"> </w:t>
      </w:r>
      <w:r>
        <w:t xml:space="preserve">associations 37%, NGOs 36%, public authorities 20%) agreeing that the CBCA framework is not</w:t>
      </w:r>
      <w:r>
        <w:t xml:space="preserve"> </w:t>
      </w:r>
      <w:r>
        <w:t xml:space="preserve">fit for purpose68 citing its complexity, lack of transparency, and failure to incentivise cooperation</w:t>
      </w:r>
      <w:r>
        <w:t xml:space="preserve"> </w:t>
      </w:r>
      <w:r>
        <w:t xml:space="preserve">among non-hosting countries as key issues.</w:t>
      </w:r>
    </w:p>
    <w:p>
      <w:pPr>
        <w:pStyle w:val="BodyText"/>
      </w:pPr>
      <w:r>
        <w:t xml:space="preserve">66 CBCA is a precondition for submitting applications for CEF grants for works related to regulated projects.</w:t>
      </w:r>
      <w:r>
        <w:t xml:space="preserve"> </w:t>
      </w:r>
      <w:r>
        <w:t xml:space="preserve">67 ACER (2023): Overview of Cross-Border Cost Allocation Decisions; ACER CBCA Report</w:t>
      </w:r>
      <w:r>
        <w:t xml:space="preserve"> </w:t>
      </w:r>
      <w:r>
        <w:t xml:space="preserve">6820% of respondents remained neutral and 35% expressed no opinion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As cross-border infrastructure becomes more integrated, the number of projects with</w:t>
      </w:r>
      <w:r>
        <w:t xml:space="preserve"> </w:t>
      </w:r>
      <w:r>
        <w:t xml:space="preserve">benefits occurring outside the hosting Member States is expected to increase. A growing</w:t>
      </w:r>
      <w:r>
        <w:t xml:space="preserve"> </w:t>
      </w:r>
      <w:r>
        <w:t xml:space="preserve">number of projects show that benefits will increasingly occur beyond hosting Member States, for</w:t>
      </w:r>
      <w:r>
        <w:t xml:space="preserve"> </w:t>
      </w:r>
      <w:r>
        <w:t xml:space="preserve">instance in relation to offshore cross-border or hybrid projects.69 As a result, allocating costs</w:t>
      </w:r>
      <w:r>
        <w:t xml:space="preserve"> </w:t>
      </w:r>
      <w:r>
        <w:t xml:space="preserve">solely based on the territorial principle may risk these projects being delayed or not materialising.</w:t>
      </w:r>
      <w:r>
        <w:br/>
      </w:r>
      <w:r>
        <w:t xml:space="preserve">The TEN-E Regulation provides that PCI investment costs, when under the competence of NRAs</w:t>
      </w:r>
      <w:r>
        <w:t xml:space="preserve"> </w:t>
      </w:r>
      <w:r>
        <w:t xml:space="preserve">in the Member States concerned, shall first be covered through congestion income70 or other</w:t>
      </w:r>
      <w:r>
        <w:t xml:space="preserve"> </w:t>
      </w:r>
      <w:r>
        <w:t xml:space="preserve">charges before any remaining costs are passed on to network users via network tariffs. However,</w:t>
      </w:r>
      <w:r>
        <w:t xml:space="preserve"> </w:t>
      </w:r>
      <w:r>
        <w:t xml:space="preserve">in practice, both the application of congestion income and the resulting tariff impacts are confined</w:t>
      </w:r>
      <w:r>
        <w:t xml:space="preserve"> </w:t>
      </w:r>
      <w:r>
        <w:t xml:space="preserve">to the hosting countries. This leads to a misalignment between where the costs are borne and</w:t>
      </w:r>
      <w:r>
        <w:t xml:space="preserve"> </w:t>
      </w:r>
      <w:r>
        <w:t xml:space="preserve">where the benefits of the infrastructure are realised.</w:t>
      </w:r>
      <w:r>
        <w:br/>
      </w:r>
      <w:r>
        <w:t xml:space="preserve">As for hydrogen infrastructure, there is currently no practical experience, given the early stage</w:t>
      </w:r>
      <w:r>
        <w:t xml:space="preserve"> </w:t>
      </w:r>
      <w:r>
        <w:t xml:space="preserve">of hydrogen market development. The CBCA mechanism in the hydrogen sector will only</w:t>
      </w:r>
      <w:r>
        <w:t xml:space="preserve"> </w:t>
      </w:r>
      <w:r>
        <w:t xml:space="preserve">become relevant once NRAs become competent for hydrogen infrastructure with the</w:t>
      </w:r>
      <w:r>
        <w:t xml:space="preserve"> </w:t>
      </w:r>
      <w:r>
        <w:t xml:space="preserve">implementation of the hydrogen and gas decarbonisation legislative package.</w:t>
      </w:r>
      <w:r>
        <w:t xml:space="preserve"> </w:t>
      </w:r>
      <w:r>
        <w:t xml:space="preserve">2.2.5. Driver 5: Permitting procedures for energy projects take too long</w:t>
      </w:r>
      <w:r>
        <w:t xml:space="preserve"> </w:t>
      </w:r>
      <w:r>
        <w:t xml:space="preserve">Despite the introduction of permitting acceleration provisions in the energy acquis,</w:t>
      </w:r>
      <w:r>
        <w:t xml:space="preserve"> </w:t>
      </w:r>
      <w:r>
        <w:t xml:space="preserve">important bottlenecks remain slowing down the permitting of infrastructure, storage and</w:t>
      </w:r>
      <w:r>
        <w:t xml:space="preserve"> </w:t>
      </w:r>
      <w:r>
        <w:t xml:space="preserve">renewable energy projects and recharging stations. Electricity transmission grids take around</w:t>
      </w:r>
      <w:r>
        <w:t xml:space="preserve"> </w:t>
      </w:r>
      <w:r>
        <w:t xml:space="preserve">10 years for completion, of which permitting accounts for more than half of the time needed.71</w:t>
      </w:r>
      <w:r>
        <w:t xml:space="preserve"> </w:t>
      </w:r>
      <w:r>
        <w:t xml:space="preserve">Permitting was ranked as the leading obstacle to ensuring Europe’s grid develops as needed for</w:t>
      </w:r>
      <w:r>
        <w:t xml:space="preserve"> </w:t>
      </w:r>
      <w:r>
        <w:t xml:space="preserve">the energy transition by 78% of respondents to the public consultation (Annex 2).</w:t>
      </w:r>
      <w:r>
        <w:br/>
      </w:r>
      <w:r>
        <w:t xml:space="preserve">According to ACER’s 2023 report on the progress of PCIs, the most reported cause for delayed</w:t>
      </w:r>
      <w:r>
        <w:t xml:space="preserve"> </w:t>
      </w:r>
      <w:r>
        <w:t xml:space="preserve">implementation is a delay in the permit granting procedure. In 2023, 26% of electricity PCIs</w:t>
      </w:r>
      <w:r>
        <w:t xml:space="preserve"> </w:t>
      </w:r>
      <w:r>
        <w:t xml:space="preserve">were delayed by on average 12 months against their initially planned commissioning date. This</w:t>
      </w:r>
      <w:r>
        <w:t xml:space="preserve"> </w:t>
      </w:r>
      <w:r>
        <w:t xml:space="preserve">share was fairly stable since 2020 despite some progress reported in the most recent ACER report</w:t>
      </w:r>
      <w:r>
        <w:t xml:space="preserve"> </w:t>
      </w:r>
      <w:r>
        <w:t xml:space="preserve">with permitting accounting for approximately 51% of the total implementation timeline.72 The</w:t>
      </w:r>
      <w:r>
        <w:t xml:space="preserve"> </w:t>
      </w:r>
      <w:r>
        <w:t xml:space="preserve">clarifications and added flexibility introduced in the 2022 revision of the TEN-E Regulation have</w:t>
      </w:r>
      <w:r>
        <w:t xml:space="preserve"> </w:t>
      </w:r>
      <w:r>
        <w:t xml:space="preserve">not led to substantial acceleration of procedures. However, the impact of introducing new</w:t>
      </w:r>
      <w:r>
        <w:t xml:space="preserve"> </w:t>
      </w:r>
      <w:r>
        <w:t xml:space="preserve">acceleration measures was evident from when the Regulation was first introduced in 2013,</w:t>
      </w:r>
      <w:r>
        <w:t xml:space="preserve"> </w:t>
      </w:r>
      <w:r>
        <w:t xml:space="preserve">leading to substantial acceleration of permitting procedures and ensuring the permitting of most</w:t>
      </w:r>
      <w:r>
        <w:t xml:space="preserve"> </w:t>
      </w:r>
      <w:r>
        <w:t xml:space="preserve">PCIs falls under the maximum duration of the regulation. As reported by ACER in 2020, the</w:t>
      </w:r>
      <w:r>
        <w:t xml:space="preserve"> </w:t>
      </w:r>
      <w:r>
        <w:t xml:space="preserve">average duration of permit granting for electricity transmission PCIs is about 3 years where</w:t>
      </w:r>
      <w:r>
        <w:t xml:space="preserve"> </w:t>
      </w:r>
      <w:r>
        <w:t xml:space="preserve">permitting started after the entry into force of the Regulation and 9 years where projects started</w:t>
      </w:r>
      <w:r>
        <w:t xml:space="preserve"> </w:t>
      </w:r>
      <w:r>
        <w:t xml:space="preserve">before, indicating a marked reduction.73</w:t>
      </w:r>
    </w:p>
    <w:p>
      <w:pPr>
        <w:pStyle w:val="BodyText"/>
      </w:pPr>
      <w:r>
        <w:t xml:space="preserve">69 See ENTSO-E’s results on the sea-basin cross-border cost-sharing assessment under TEN-E Article 15.</w:t>
      </w:r>
      <w:r>
        <w:t xml:space="preserve"> </w:t>
      </w:r>
      <w:r>
        <w:t xml:space="preserve">70 Congestion income is the revenue generated when electricity prices differ between two bidding zones due to limited</w:t>
      </w:r>
      <w:r>
        <w:t xml:space="preserve"> </w:t>
      </w:r>
      <w:r>
        <w:t xml:space="preserve">transmission capacity between them. It is defined by ACER as the revenue resulting from the capacity allocation in</w:t>
      </w:r>
      <w:r>
        <w:t xml:space="preserve"> </w:t>
      </w:r>
      <w:r>
        <w:t xml:space="preserve">the single day-ahead and intraday market coupling.</w:t>
      </w:r>
      <w:r>
        <w:t xml:space="preserve"> </w:t>
      </w:r>
      <w:r>
        <w:t xml:space="preserve">71 ACER (2024): Electricity infrastructure development to support a competitive and sustainable energy system, p. 18</w:t>
      </w:r>
      <w:r>
        <w:t xml:space="preserve"> </w:t>
      </w:r>
      <w:r>
        <w:t xml:space="preserve">72 ACER (2025): Monitoring of projects of common interest and of mutual interest - 2025</w:t>
      </w:r>
      <w:r>
        <w:t xml:space="preserve"> </w:t>
      </w:r>
      <w:r>
        <w:t xml:space="preserve">73 ACER, Consolidated Report on the progress of electricity and gas Projects of Common Interest (2020).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Energy infrastructure projects often cover long distances involving many sections and authorities</w:t>
      </w:r>
      <w:r>
        <w:t xml:space="preserve"> </w:t>
      </w:r>
      <w:r>
        <w:t xml:space="preserve">leading to challenges in terms of coordination among authorities and potential delays of</w:t>
      </w:r>
      <w:r>
        <w:t xml:space="preserve"> </w:t>
      </w:r>
      <w:r>
        <w:t xml:space="preserve">implementation due to delays due to delays in permitting for sections of the project. In 7 Member</w:t>
      </w:r>
      <w:r>
        <w:t xml:space="preserve"> </w:t>
      </w:r>
      <w:r>
        <w:t xml:space="preserve">States the permitting of these projects takes between 18 and 24 months, and in 11 Member States</w:t>
      </w:r>
      <w:r>
        <w:t xml:space="preserve"> </w:t>
      </w:r>
      <w:r>
        <w:t xml:space="preserve">it takes over 24 months74.. For 7 Member States the general duration of permitting procedures is</w:t>
      </w:r>
      <w:r>
        <w:t xml:space="preserve"> </w:t>
      </w:r>
      <w:r>
        <w:t xml:space="preserve">unclear and often depending on the project type.</w:t>
      </w:r>
      <w:r>
        <w:br/>
      </w:r>
      <w:r>
        <w:t xml:space="preserve">Similarly, permitting of renewable energy projects can take up to 9 years depending on the</w:t>
      </w:r>
      <w:r>
        <w:t xml:space="preserve"> </w:t>
      </w:r>
      <w:r>
        <w:t xml:space="preserve">Member State and technology.75 Storage installations can take from 1-7 years depending on the</w:t>
      </w:r>
      <w:r>
        <w:t xml:space="preserve"> </w:t>
      </w:r>
      <w:r>
        <w:t xml:space="preserve">technology.76 The permitting for construction or transformation of recharging stations along</w:t>
      </w:r>
      <w:r>
        <w:t xml:space="preserve"> </w:t>
      </w:r>
      <w:r>
        <w:t xml:space="preserve">highways and in depots can take up to 2 years in some Member States.77 In 2020-2021,</w:t>
      </w:r>
      <w:r>
        <w:t xml:space="preserve"> </w:t>
      </w:r>
      <w:r>
        <w:t xml:space="preserve">administrative and grid-related obstacles made up about 46% of identified barriers to renewable</w:t>
      </w:r>
      <w:r>
        <w:t xml:space="preserve"> </w:t>
      </w:r>
      <w:r>
        <w:t xml:space="preserve">energy deployment because of incoherent administrative systems among multiple authorities,</w:t>
      </w:r>
      <w:r>
        <w:t xml:space="preserve"> </w:t>
      </w:r>
      <w:r>
        <w:t xml:space="preserve">inadequate staffing in authorities, the duration of environmental assessments, public acceptance,</w:t>
      </w:r>
      <w:r>
        <w:t xml:space="preserve"> </w:t>
      </w:r>
      <w:r>
        <w:t xml:space="preserve">limited digitalisation and data availability, administrative and judicial challenges.78</w:t>
      </w:r>
      <w:r>
        <w:t xml:space="preserve"> </w:t>
      </w:r>
      <w:r>
        <w:t xml:space="preserve">Important measures were adopted in 2022 and 2023 to address some of these root causes. In</w:t>
      </w:r>
      <w:r>
        <w:t xml:space="preserve"> </w:t>
      </w:r>
      <w:r>
        <w:t xml:space="preserve">December 2022, an Emergency Regulation was adopted to accelerate permitting for renewable</w:t>
      </w:r>
      <w:r>
        <w:t xml:space="preserve"> </w:t>
      </w:r>
      <w:r>
        <w:t xml:space="preserve">energy and related infrastructure projects,79 which was partially prolonged in December 202380</w:t>
      </w:r>
      <w:r>
        <w:t xml:space="preserve"> </w:t>
      </w:r>
      <w:r>
        <w:t xml:space="preserve">until 30 June 2025. This Regulation introduced binding and optional measures to accelerate</w:t>
      </w:r>
      <w:r>
        <w:t xml:space="preserve"> </w:t>
      </w:r>
      <w:r>
        <w:t xml:space="preserve">permitting in a directly applicable legal instrument, including amendments to EU rules on</w:t>
      </w:r>
      <w:r>
        <w:t xml:space="preserve"> </w:t>
      </w:r>
      <w:r>
        <w:t xml:space="preserve">environmental impacts assessments, shortening of deadlines and identification of acceleration</w:t>
      </w:r>
      <w:r>
        <w:t xml:space="preserve"> </w:t>
      </w:r>
      <w:r>
        <w:t xml:space="preserve">areas. Germany has made an extensive application of the measures in this Regulation, in</w:t>
      </w:r>
      <w:r>
        <w:t xml:space="preserve"> </w:t>
      </w:r>
      <w:r>
        <w:t xml:space="preserve">particular the voluntary ones, which has resulted in a substantial acceleration of permitting. In</w:t>
      </w:r>
      <w:r>
        <w:t xml:space="preserve"> </w:t>
      </w:r>
      <w:r>
        <w:t xml:space="preserve">2024, Germany approved approximately 14-15 GW of additional installed onshore wind</w:t>
      </w:r>
      <w:r>
        <w:t xml:space="preserve"> </w:t>
      </w:r>
      <w:r>
        <w:t xml:space="preserve">capacity77, which represents an 85% increase compared to the previous year and which almost</w:t>
      </w:r>
      <w:r>
        <w:t xml:space="preserve"> </w:t>
      </w:r>
      <w:r>
        <w:t xml:space="preserve">equals the total new installed wind capacity in Europe in the same year.</w:t>
      </w:r>
      <w:r>
        <w:br/>
      </w:r>
      <w:r>
        <w:t xml:space="preserve">In 2023 the revised RED was adopted81, with several measures to simplify and streamline</w:t>
      </w:r>
      <w:r>
        <w:t xml:space="preserve"> </w:t>
      </w:r>
      <w:r>
        <w:t xml:space="preserve">permitting procedures, including simpler and shorter procedures, including targeted rules for</w:t>
      </w:r>
      <w:r>
        <w:t xml:space="preserve"> </w:t>
      </w:r>
      <w:r>
        <w:t xml:space="preserve">specific types of projects such as repowering or small-scale installations; and new measures on</w:t>
      </w:r>
      <w:r>
        <w:t xml:space="preserve"> </w:t>
      </w:r>
      <w:r>
        <w:t xml:space="preserve">spatial planning including the designation of acceleration areas where environmental impacts are</w:t>
      </w:r>
      <w:r>
        <w:t xml:space="preserve"> </w:t>
      </w:r>
      <w:r>
        <w:t xml:space="preserve">lower and therefore procedures can be faster. Despite these recent measures, in 2025, the same</w:t>
      </w:r>
      <w:r>
        <w:t xml:space="preserve"> </w:t>
      </w:r>
      <w:r>
        <w:t xml:space="preserve">permitting related bottlenecks were identified during the Implementation Dialogue on permitting</w:t>
      </w:r>
      <w:r>
        <w:t xml:space="preserve"> </w:t>
      </w:r>
      <w:r>
        <w:t xml:space="preserve">held by the Commissioner for Energy and Housing on 11 June 2025. Moreover, in a recent report</w:t>
      </w:r>
    </w:p>
    <w:p>
      <w:pPr>
        <w:pStyle w:val="BodyText"/>
      </w:pPr>
      <w:r>
        <w:t xml:space="preserve">74 Please note that the data collected does not allow to have a more granular view of permitting procedures taking</w:t>
      </w:r>
      <w:r>
        <w:t xml:space="preserve"> </w:t>
      </w:r>
      <w:r>
        <w:t xml:space="preserve">longer than 24 months, as the figure of “over 24months” encompasses all durations above 24 months which may</w:t>
      </w:r>
      <w:r>
        <w:t xml:space="preserve"> </w:t>
      </w:r>
      <w:r>
        <w:t xml:space="preserve">in certain cases amount to several additional years.</w:t>
      </w:r>
      <w:r>
        <w:t xml:space="preserve"> </w:t>
      </w:r>
      <w:r>
        <w:t xml:space="preserve">75 Final report to be found here: Technical support for RES policy development and implementation – simplification</w:t>
      </w:r>
      <w:r>
        <w:t xml:space="preserve"> </w:t>
      </w:r>
      <w:r>
        <w:t xml:space="preserve">of permission and administrative procedures for RES installations (RES Simplify) - Publications Office of the EU</w:t>
      </w:r>
      <w:r>
        <w:t xml:space="preserve"> </w:t>
      </w:r>
      <w:r>
        <w:t xml:space="preserve">76 Fraunhofer Institute for Systems and Innovation Research ISI, et al., Study on energy storage, 2023,</w:t>
      </w:r>
      <w:r>
        <w:br/>
      </w:r>
      <w:r>
        <w:t xml:space="preserve">77 Information collected by EV charging organisations, notably ChargeUp Europe, Ionity and Milence</w:t>
      </w:r>
      <w:r>
        <w:t xml:space="preserve"> </w:t>
      </w:r>
      <w:r>
        <w:t xml:space="preserve">78 Technical support for RES policy development and implementation – simplification of permission and</w:t>
      </w:r>
      <w:r>
        <w:t xml:space="preserve"> </w:t>
      </w:r>
      <w:r>
        <w:t xml:space="preserve">administrative procedures for RES installations (RES Simplify)</w:t>
      </w:r>
      <w:r>
        <w:t xml:space="preserve"> </w:t>
      </w:r>
      <w:r>
        <w:t xml:space="preserve">79 Council Regulation (EU) 2022/2577 laying down a framework to accelerate the deployment of renewable energy</w:t>
      </w:r>
      <w:r>
        <w:t xml:space="preserve"> </w:t>
      </w:r>
      <w:r>
        <w:t xml:space="preserve">80 Council Regulation (EU) 2024/223 amending Regulation (EU) 2022/2577 (RED)</w:t>
      </w:r>
      <w:r>
        <w:t xml:space="preserve"> </w:t>
      </w:r>
      <w:r>
        <w:t xml:space="preserve">81 The transposition deadline for most of the permitting provisions of the revised RED was 1 July 2024 and for some</w:t>
      </w:r>
      <w:r>
        <w:t xml:space="preserve"> </w:t>
      </w:r>
      <w:r>
        <w:t xml:space="preserve">21 May 2025.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on the state of regions and cities,82 one of the demands of regions and cities to Europe was the</w:t>
      </w:r>
      <w:r>
        <w:t xml:space="preserve"> </w:t>
      </w:r>
      <w:r>
        <w:t xml:space="preserve">acceleration of permitting for renewables and they indicated administrative delays as one of the</w:t>
      </w:r>
      <w:r>
        <w:t xml:space="preserve"> </w:t>
      </w:r>
      <w:r>
        <w:t xml:space="preserve">main obstacles to timely deployment that remains. At the same time, they asked the development</w:t>
      </w:r>
      <w:r>
        <w:t xml:space="preserve"> </w:t>
      </w:r>
      <w:r>
        <w:t xml:space="preserve">of a harmonised EU-wide digital permitting system, which they believe reduce bureaucracy and</w:t>
      </w:r>
      <w:r>
        <w:t xml:space="preserve"> </w:t>
      </w:r>
      <w:r>
        <w:t xml:space="preserve">support faster local approvals, echoing our proposal for further digitalisation and centralisation</w:t>
      </w:r>
      <w:r>
        <w:t xml:space="preserve"> </w:t>
      </w:r>
      <w:r>
        <w:t xml:space="preserve">of the permitting procedures.</w:t>
      </w:r>
      <w:r>
        <w:t xml:space="preserve"> </w:t>
      </w:r>
      <w:r>
        <w:t xml:space="preserve">Several factors contribute to this. First, the revised RED did not address (or did only partially)</w:t>
      </w:r>
      <w:r>
        <w:t xml:space="preserve"> </w:t>
      </w:r>
      <w:r>
        <w:t xml:space="preserve">all issues which delay permitting and integration of renewables, such as permitting for storage or</w:t>
      </w:r>
      <w:r>
        <w:t xml:space="preserve"> </w:t>
      </w:r>
      <w:r>
        <w:t xml:space="preserve">recharging stations, public acceptance and digitalisation of procedures. Second, the revised RED</w:t>
      </w:r>
      <w:r>
        <w:t xml:space="preserve"> </w:t>
      </w:r>
      <w:r>
        <w:t xml:space="preserve">included only some of the measures of the Emergency Regulation but lacks several important</w:t>
      </w:r>
      <w:r>
        <w:t xml:space="preserve"> </w:t>
      </w:r>
      <w:r>
        <w:t xml:space="preserve">measures included therein which have ceased to apply, such as those to expand the priority of</w:t>
      </w:r>
      <w:r>
        <w:t xml:space="preserve"> </w:t>
      </w:r>
      <w:r>
        <w:t xml:space="preserve">renewable energy projects beyond environmental aspects and to streamline compliance with</w:t>
      </w:r>
      <w:r>
        <w:t xml:space="preserve"> </w:t>
      </w:r>
      <w:r>
        <w:t xml:space="preserve">certain environmental rules. Given the positive acceleration observed in Germany as a result of</w:t>
      </w:r>
      <w:r>
        <w:t xml:space="preserve"> </w:t>
      </w:r>
      <w:r>
        <w:t xml:space="preserve">the application of the Emergency Regulation, the fact that the revised RED does not include all</w:t>
      </w:r>
      <w:r>
        <w:t xml:space="preserve"> </w:t>
      </w:r>
      <w:r>
        <w:t xml:space="preserve">the measures of the Regulation calls for additional measures to ensure the necessary acceleration</w:t>
      </w:r>
      <w:r>
        <w:t xml:space="preserve"> </w:t>
      </w:r>
      <w:r>
        <w:t xml:space="preserve">of renewable energy installations. Third, while the transposition dates for the relevant permitting</w:t>
      </w:r>
      <w:r>
        <w:t xml:space="preserve"> </w:t>
      </w:r>
      <w:r>
        <w:t xml:space="preserve">provisions of the RED were July 2024 and May 2025, the available information shows varying</w:t>
      </w:r>
      <w:r>
        <w:t xml:space="preserve"> </w:t>
      </w:r>
      <w:r>
        <w:t xml:space="preserve">results among Member States regarding implementation83 and shortcomings in the application of</w:t>
      </w:r>
      <w:r>
        <w:t xml:space="preserve"> </w:t>
      </w:r>
      <w:r>
        <w:t xml:space="preserve">rules.84 The full implementation of the existing framework is still ongoing, but the feedback</w:t>
      </w:r>
      <w:r>
        <w:t xml:space="preserve"> </w:t>
      </w:r>
      <w:r>
        <w:t xml:space="preserve">received by stakeholders shows that even in Member States where the existing framework has</w:t>
      </w:r>
      <w:r>
        <w:t xml:space="preserve"> </w:t>
      </w:r>
      <w:r>
        <w:t xml:space="preserve">been transposed and is being implemented, there are bottlenecks that hinder fast permitting and</w:t>
      </w:r>
      <w:r>
        <w:t xml:space="preserve"> </w:t>
      </w:r>
      <w:r>
        <w:t xml:space="preserve">deployment of the renewable energy projects. These are connected to a degree with the first two</w:t>
      </w:r>
      <w:r>
        <w:t xml:space="preserve"> </w:t>
      </w:r>
      <w:r>
        <w:t xml:space="preserve">reasons mentioned above. Therefore, the long permitting procedures causing a slow project</w:t>
      </w:r>
      <w:r>
        <w:t xml:space="preserve"> </w:t>
      </w:r>
      <w:r>
        <w:t xml:space="preserve">implementation can be attributed not only to the lack of complete and correct implementation of</w:t>
      </w:r>
      <w:r>
        <w:t xml:space="preserve"> </w:t>
      </w:r>
      <w:r>
        <w:t xml:space="preserve">the existing framework in Member States but also to issues that have not been addressed fully or</w:t>
      </w:r>
      <w:r>
        <w:t xml:space="preserve"> </w:t>
      </w:r>
      <w:r>
        <w:t xml:space="preserve">partially in the current legal system.</w:t>
      </w:r>
      <w:r>
        <w:br/>
      </w:r>
      <w:r>
        <w:t xml:space="preserve">Amongst the causes for lengthy permitting procedures, environmental assessments have been</w:t>
      </w:r>
      <w:r>
        <w:t xml:space="preserve"> </w:t>
      </w:r>
      <w:r>
        <w:t xml:space="preserve">identified repeatedly as the step most prone to delays.85 The Emergency Regulation and the</w:t>
      </w:r>
      <w:r>
        <w:t xml:space="preserve"> </w:t>
      </w:r>
      <w:r>
        <w:t xml:space="preserve">revised RED introduced targeted measures to ease certain obligations stemming from EU</w:t>
      </w:r>
      <w:r>
        <w:t xml:space="preserve"> </w:t>
      </w:r>
      <w:r>
        <w:t xml:space="preserve">legislation regarding environmental assessments, including through the introduction of the</w:t>
      </w:r>
      <w:r>
        <w:t xml:space="preserve"> </w:t>
      </w:r>
      <w:r>
        <w:t xml:space="preserve">presumption of overriding public interest, exemptions from environmental impact assessment</w:t>
      </w:r>
      <w:r>
        <w:t xml:space="preserve"> </w:t>
      </w:r>
      <w:r>
        <w:t xml:space="preserve">(EIA) for certain projects and by introducing deadlines for the permitting procedures including</w:t>
      </w:r>
      <w:r>
        <w:t xml:space="preserve"> </w:t>
      </w:r>
      <w:r>
        <w:t xml:space="preserve">the environmental assessments. They did not, however, fundamentally address the way such</w:t>
      </w:r>
      <w:r>
        <w:t xml:space="preserve"> </w:t>
      </w:r>
      <w:r>
        <w:t xml:space="preserve">assessments are conducted. Overall, the average duration of the EIA for projects in general (not</w:t>
      </w:r>
      <w:r>
        <w:t xml:space="preserve"> </w:t>
      </w:r>
      <w:r>
        <w:t xml:space="preserve">renewable energy-specific) is estimated to be around 20.6 months86, thus affecting the ability to</w:t>
      </w:r>
      <w:r>
        <w:t xml:space="preserve"> </w:t>
      </w:r>
      <w:r>
        <w:t xml:space="preserve">comply with the permitting deadlines in the revised RED (Annex 6).87 According to stakeholders,</w:t>
      </w:r>
      <w:r>
        <w:t xml:space="preserve"> </w:t>
      </w:r>
      <w:r>
        <w:t xml:space="preserve">the legal framework for environmental assessments leaves room for ambiguity and different</w:t>
      </w:r>
    </w:p>
    <w:p>
      <w:pPr>
        <w:pStyle w:val="BodyText"/>
      </w:pPr>
      <w:r>
        <w:t xml:space="preserve">82 European Committee of region, “The state of regions and cities EU annual report 2025” (October 2025): The State</w:t>
      </w:r>
      <w:r>
        <w:t xml:space="preserve"> </w:t>
      </w:r>
      <w:r>
        <w:t xml:space="preserve">of Regions and Cities in the European Union | European Committee of the Regions</w:t>
      </w:r>
      <w:r>
        <w:br/>
      </w:r>
      <w:r>
        <w:t xml:space="preserve">83 Solar Power Europe, EU Renewable Energy Permitting: State of Play (2025) page 15</w:t>
      </w:r>
      <w:r>
        <w:t xml:space="preserve"> </w:t>
      </w:r>
      <w:r>
        <w:t xml:space="preserve">84 https://webgate.ec.europa.eu/fpfis/wikis/spaces/respqa/overview</w:t>
      </w:r>
      <w:r>
        <w:br/>
      </w:r>
      <w:r>
        <w:t xml:space="preserve">85 Milieu, Bruggeman, V., Vona, L., Moreira, G. et al., Study on national permit granting process applicable to energy</w:t>
      </w:r>
      <w:r>
        <w:t xml:space="preserve"> </w:t>
      </w:r>
      <w:r>
        <w:t xml:space="preserve">transmission infrastructure projects with a focus on projects of common interest and projects of mutual interest (2025)</w:t>
      </w:r>
      <w:r>
        <w:br/>
      </w:r>
      <w:r>
        <w:t xml:space="preserve">86 Based on data reported by Member States until November 2023.</w:t>
      </w:r>
      <w:r>
        <w:t xml:space="preserve"> </w:t>
      </w:r>
      <w:r>
        <w:t xml:space="preserve">87 Collection of information and data on the implementation of the revised Environmental Impact Assessment (EIA)</w:t>
      </w:r>
      <w:r>
        <w:t xml:space="preserve"> </w:t>
      </w:r>
      <w:r>
        <w:t xml:space="preserve">Directive (2011/92/EU) as amended by 2014/52/EU), final report, page 25.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interpretations by Member States. This leads to iterative interactions with diverse authorities, in</w:t>
      </w:r>
      <w:r>
        <w:t xml:space="preserve"> </w:t>
      </w:r>
      <w:r>
        <w:t xml:space="preserve">some cases requiring applicants to address different administrative bodies for different parts of</w:t>
      </w:r>
      <w:r>
        <w:t xml:space="preserve"> </w:t>
      </w:r>
      <w:r>
        <w:t xml:space="preserve">the assessment and repeated demands for additional assessments. In some Member States, the</w:t>
      </w:r>
      <w:r>
        <w:t xml:space="preserve"> </w:t>
      </w:r>
      <w:r>
        <w:t xml:space="preserve">timeline for the EIA is unclear lacking precise deadlines and subject to multiple requests for</w:t>
      </w:r>
      <w:r>
        <w:t xml:space="preserve"> </w:t>
      </w:r>
      <w:r>
        <w:t xml:space="preserve">reassessments and additional assessments. In the public consultation, a majority of respondents</w:t>
      </w:r>
      <w:r>
        <w:t xml:space="preserve"> </w:t>
      </w:r>
      <w:r>
        <w:t xml:space="preserve">supported simplifying and streamlining environmental assessments (Annex 2).</w:t>
      </w:r>
      <w:r>
        <w:t xml:space="preserve"> </w:t>
      </w:r>
      <w:r>
        <w:t xml:space="preserve">Further, inefficient and ineffective public participation processes, leading to opposition in the</w:t>
      </w:r>
      <w:r>
        <w:t xml:space="preserve"> </w:t>
      </w:r>
      <w:r>
        <w:t xml:space="preserve">form of administrative and judicial challenges continue to contribute to lengthy</w:t>
      </w:r>
      <w:r>
        <w:t xml:space="preserve"> </w:t>
      </w:r>
      <w:r>
        <w:t xml:space="preserve">implementation.88 Despite the general obligation to promote public acceptance introduced in</w:t>
      </w:r>
      <w:r>
        <w:t xml:space="preserve"> </w:t>
      </w:r>
      <w:r>
        <w:t xml:space="preserve">the revised RED, lack of public acceptance remains a primary barrier to renewable energy</w:t>
      </w:r>
      <w:r>
        <w:t xml:space="preserve"> </w:t>
      </w:r>
      <w:r>
        <w:t xml:space="preserve">permitting and thus market uptake. Studies and stakeholders89 highlight the importance of</w:t>
      </w:r>
      <w:r>
        <w:t xml:space="preserve"> </w:t>
      </w:r>
      <w:r>
        <w:t xml:space="preserve">transparency, early engagement of the public, its procedural participation, and a fair distribution</w:t>
      </w:r>
      <w:r>
        <w:t xml:space="preserve"> </w:t>
      </w:r>
      <w:r>
        <w:t xml:space="preserve">of benefits as central to public acceptance.90 However, measures aiming to ensure meaningful</w:t>
      </w:r>
      <w:r>
        <w:t xml:space="preserve"> </w:t>
      </w:r>
      <w:r>
        <w:t xml:space="preserve">and early public consultation have faced problems in implementation linked to doubts over their</w:t>
      </w:r>
      <w:r>
        <w:t xml:space="preserve"> </w:t>
      </w:r>
      <w:r>
        <w:t xml:space="preserve">interpretation and the procedural phase in which the consultation is inserted.</w:t>
      </w:r>
      <w:r>
        <w:t xml:space="preserve"> </w:t>
      </w:r>
      <w:r>
        <w:t xml:space="preserve">Limited resources in national permitting authorities are regularly voiced as one of the main</w:t>
      </w:r>
      <w:r>
        <w:t xml:space="preserve"> </w:t>
      </w:r>
      <w:r>
        <w:t xml:space="preserve">factors contributing to delays in permitting procedures. Permitting authorities often do not have</w:t>
      </w:r>
      <w:r>
        <w:t xml:space="preserve"> </w:t>
      </w:r>
      <w:r>
        <w:t xml:space="preserve">enough staff to process applications and/or lack the necessary technical expertise, for instance to</w:t>
      </w:r>
      <w:r>
        <w:t xml:space="preserve"> </w:t>
      </w:r>
      <w:r>
        <w:t xml:space="preserve">handle the unclarity of environmental requirements and land use conflicts. Smart grid projects</w:t>
      </w:r>
      <w:r>
        <w:t xml:space="preserve"> </w:t>
      </w:r>
      <w:r>
        <w:t xml:space="preserve">are a common example of project types affected by such limitations. These projects are</w:t>
      </w:r>
      <w:r>
        <w:t xml:space="preserve"> </w:t>
      </w:r>
      <w:r>
        <w:t xml:space="preserve">comprised of different decentralised assets and are routinely not considered as a single project</w:t>
      </w:r>
      <w:r>
        <w:t xml:space="preserve"> </w:t>
      </w:r>
      <w:r>
        <w:t xml:space="preserve">by competent authorities. Further, permitting procedures for renewable energy projects often</w:t>
      </w:r>
      <w:r>
        <w:t xml:space="preserve"> </w:t>
      </w:r>
      <w:r>
        <w:t xml:space="preserve">require multiple permits awarded by different authorities (either in parallel or subsequently) and</w:t>
      </w:r>
      <w:r>
        <w:t xml:space="preserve"> </w:t>
      </w:r>
      <w:r>
        <w:t xml:space="preserve">the lack of coordination mechanisms is an important bottleneck slowing down procedures.</w:t>
      </w:r>
      <w:r>
        <w:t xml:space="preserve"> </w:t>
      </w:r>
      <w:r>
        <w:t xml:space="preserve">Digital resources to process applications are underused by authorities.</w:t>
      </w:r>
      <w:r>
        <w:br/>
      </w:r>
      <w:r>
        <w:t xml:space="preserve">Moreover, the permitting rules for electricity storage under the revised RED have a narrow</w:t>
      </w:r>
      <w:r>
        <w:t xml:space="preserve"> </w:t>
      </w:r>
      <w:r>
        <w:t xml:space="preserve">scope only covering co-located storage and not storage in general or so called “hybrid projects”</w:t>
      </w:r>
      <w:r>
        <w:t xml:space="preserve"> </w:t>
      </w:r>
      <w:r>
        <w:t xml:space="preserve">despite its increasingly important role for system flexibility. Similarly, a lack of clarity on</w:t>
      </w:r>
      <w:r>
        <w:t xml:space="preserve"> </w:t>
      </w:r>
      <w:r>
        <w:t xml:space="preserve">permitting for recharging stations for electromobility is creating undue complexities and delays</w:t>
      </w:r>
      <w:r>
        <w:t xml:space="preserve"> </w:t>
      </w:r>
      <w:r>
        <w:t xml:space="preserve">(Annex 4). While the Alternative Fuels Infrastructure Regulation (AFIR) regulates recharging</w:t>
      </w:r>
      <w:r>
        <w:t xml:space="preserve"> </w:t>
      </w:r>
      <w:r>
        <w:t xml:space="preserve">stations, it does not include permitting procedures.91 This hinders the fast deployment of</w:t>
      </w:r>
      <w:r>
        <w:t xml:space="preserve"> </w:t>
      </w:r>
      <w:r>
        <w:t xml:space="preserve">recharging stations and in turn the uptake of electric vehicles, which can serve as important</w:t>
      </w:r>
      <w:r>
        <w:t xml:space="preserve"> </w:t>
      </w:r>
      <w:r>
        <w:t xml:space="preserve">source flexibility in particular as smart and bidirectional charging grows.</w:t>
      </w:r>
      <w:r>
        <w:t xml:space="preserve"> </w:t>
      </w:r>
      <w:r>
        <w:t xml:space="preserve">Overall, the permitting regime of energy projects is a frontrunner in terms of accelerated</w:t>
      </w:r>
      <w:r>
        <w:t xml:space="preserve"> </w:t>
      </w:r>
      <w:r>
        <w:t xml:space="preserve">procedures.. However, this advanced starting point implies that many of the measures planned or</w:t>
      </w:r>
    </w:p>
    <w:p>
      <w:pPr>
        <w:pStyle w:val="BodyText"/>
      </w:pPr>
      <w:r>
        <w:t xml:space="preserve">88 Milieu, Bruggeman, V., Vona, L., Moreira, G. et al., Study on national permit granting process applicable to</w:t>
      </w:r>
      <w:r>
        <w:t xml:space="preserve"> </w:t>
      </w:r>
      <w:r>
        <w:t xml:space="preserve">energy transmission infrastructure projects with a focus on projects of common interest and projects of mutual</w:t>
      </w:r>
      <w:r>
        <w:t xml:space="preserve"> </w:t>
      </w:r>
      <w:r>
        <w:t xml:space="preserve">interest (2025)</w:t>
      </w:r>
      <w:r>
        <w:t xml:space="preserve"> </w:t>
      </w:r>
      <w:r>
        <w:t xml:space="preserve">89 Ibid.</w:t>
      </w:r>
      <w:r>
        <w:t xml:space="preserve"> </w:t>
      </w:r>
      <w:r>
        <w:t xml:space="preserve">90 CAN Europe (2025); Fast &amp; Fair Renewables &amp; Grid (2025); Eurelectric (2025)</w:t>
      </w:r>
      <w:r>
        <w:br/>
      </w:r>
      <w:r>
        <w:t xml:space="preserve">91 The EPBD includes provisions simplifying permitting procedures for recharging points in buildings.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recently adopted in other sectors92 are already in place in the energy sector. The current</w:t>
      </w:r>
      <w:r>
        <w:t xml:space="preserve"> </w:t>
      </w:r>
      <w:r>
        <w:t xml:space="preserve">permitting framework has not addressed all necessary bottlenecks to remove permitting from</w:t>
      </w:r>
      <w:r>
        <w:t xml:space="preserve"> </w:t>
      </w:r>
      <w:r>
        <w:t xml:space="preserve">being a key barrier to the timely deployment of the projects necessary to reach the EU energy</w:t>
      </w:r>
      <w:r>
        <w:t xml:space="preserve"> </w:t>
      </w:r>
      <w:r>
        <w:t xml:space="preserve">and climate targets.</w:t>
      </w:r>
      <w:r>
        <w:br/>
      </w:r>
      <w:r>
        <w:t xml:space="preserve">2.2.6. Driver 6: Rising malicious physical and cyber-attacks on interconnectors,</w:t>
      </w:r>
      <w:r>
        <w:t xml:space="preserve"> </w:t>
      </w:r>
      <w:r>
        <w:t xml:space="preserve">along with digitalisation heightening vulnerability</w:t>
      </w:r>
      <w:r>
        <w:t xml:space="preserve"> </w:t>
      </w:r>
      <w:r>
        <w:t xml:space="preserve">The frequency and sophistication of hostile acts undermining the security of the EU have</w:t>
      </w:r>
      <w:r>
        <w:t xml:space="preserve"> </w:t>
      </w:r>
      <w:r>
        <w:t xml:space="preserve">increased. Hybrid campaigns93 targeting the EU have intensified, featuring acts of sabotage</w:t>
      </w:r>
      <w:r>
        <w:t xml:space="preserve"> </w:t>
      </w:r>
      <w:r>
        <w:t xml:space="preserve">targeting critical infrastructure, including in the energy sector.</w:t>
      </w:r>
      <w:r>
        <w:br/>
      </w:r>
      <w:r>
        <w:t xml:space="preserve">Increasing system digitalisation of the energy system, combined with the evolving</w:t>
      </w:r>
      <w:r>
        <w:t xml:space="preserve"> </w:t>
      </w:r>
      <w:r>
        <w:t xml:space="preserve">geopolitical context, creates substantial risks for interconnectors to be exposed to</w:t>
      </w:r>
      <w:r>
        <w:t xml:space="preserve"> </w:t>
      </w:r>
      <w:r>
        <w:t xml:space="preserve">cyberattacks and cybersecurity incidents. According to Eurelectric, cyberattacks in the power</w:t>
      </w:r>
      <w:r>
        <w:t xml:space="preserve"> </w:t>
      </w:r>
      <w:r>
        <w:t xml:space="preserve">sector doubled between 2020 and 2022, with 48 successful attacks targeting Europe’s energy</w:t>
      </w:r>
      <w:r>
        <w:t xml:space="preserve"> </w:t>
      </w:r>
      <w:r>
        <w:t xml:space="preserve">infrastructure in 2022 alone.94 Such acts of sabotage, which may form part of broader hybrid</w:t>
      </w:r>
      <w:r>
        <w:t xml:space="preserve"> </w:t>
      </w:r>
      <w:r>
        <w:t xml:space="preserve">campaigns, represent a significant risk to the operational security resilience of the EU’s energy</w:t>
      </w:r>
      <w:r>
        <w:t xml:space="preserve"> </w:t>
      </w:r>
      <w:r>
        <w:t xml:space="preserve">infrastructure and the energy security of Member States, and may directly affect access to</w:t>
      </w:r>
      <w:r>
        <w:t xml:space="preserve"> </w:t>
      </w:r>
      <w:r>
        <w:t xml:space="preserve">heating, electricity, and essential services. A substantial share of existing cross-border energy</w:t>
      </w:r>
      <w:r>
        <w:t xml:space="preserve"> </w:t>
      </w:r>
      <w:r>
        <w:t xml:space="preserve">infrastructure needs to be upgraded to strengthen its resilience against such potential failures.</w:t>
      </w:r>
      <w:r>
        <w:br/>
      </w:r>
      <w:r>
        <w:t xml:space="preserve">While the EU horizontal framework on protection of critical infrastructure and cybersecurity95 is</w:t>
      </w:r>
      <w:r>
        <w:t xml:space="preserve"> </w:t>
      </w:r>
      <w:r>
        <w:t xml:space="preserve">comprehensive, it has yet to be meaningfully integrated into the TEN-E framework.</w:t>
      </w:r>
      <w:r>
        <w:t xml:space="preserve"> </w:t>
      </w:r>
      <w:r>
        <w:t xml:space="preserve">Implementation of the related rules and requirements are currently not monitored in the context</w:t>
      </w:r>
      <w:r>
        <w:t xml:space="preserve"> </w:t>
      </w:r>
      <w:r>
        <w:t xml:space="preserve">of the PCI/PMI framework and the TEN-E lacks the tools to operationalise its implementation</w:t>
      </w:r>
      <w:r>
        <w:t xml:space="preserve"> </w:t>
      </w:r>
      <w:r>
        <w:t xml:space="preserve">in the EU cross-border energy infrastructure policy, especially for existing infrastructure.96</w:t>
      </w:r>
    </w:p>
    <w:p>
      <w:pPr>
        <w:pStyle w:val="BodyText"/>
      </w:pPr>
      <w:r>
        <w:t xml:space="preserve">92 Past legislation with a permitting dimension: Renewable Energy Directive; TEN-E Regulation; Hydrogen and</w:t>
      </w:r>
      <w:r>
        <w:t xml:space="preserve"> </w:t>
      </w:r>
      <w:r>
        <w:t xml:space="preserve">decarbonised Gas Directive; Net Zero Industry Act; Critical Raw Materials Act; Gigabit Infrastructure Act.</w:t>
      </w:r>
      <w:r>
        <w:t xml:space="preserve"> </w:t>
      </w:r>
      <w:r>
        <w:t xml:space="preserve">Planned proposals with a permitting dimension: Industrial Accelerator Act, part of the Clean Industrial Deal; Cloud</w:t>
      </w:r>
      <w:r>
        <w:t xml:space="preserve"> </w:t>
      </w:r>
      <w:r>
        <w:t xml:space="preserve">and AI development Act, part of the ‘AI Continent’ initiative, Environmental Omnibus following the Communication</w:t>
      </w:r>
      <w:r>
        <w:t xml:space="preserve"> </w:t>
      </w:r>
      <w:r>
        <w:t xml:space="preserve">“Competitiveness Compass for the EU”; Strategy for Housing Construction, part of the Affordable Housing Plan</w:t>
      </w:r>
      <w:r>
        <w:t xml:space="preserve"> </w:t>
      </w:r>
      <w:r>
        <w:t xml:space="preserve">93 Hybrid campaigns are designed in a way that makes detecting and defending against them difficult. They are devised</w:t>
      </w:r>
      <w:r>
        <w:t xml:space="preserve"> </w:t>
      </w:r>
      <w:r>
        <w:t xml:space="preserve">to remain below the threshold which could constitute or be perceived as an act of war. Countering hybrid threats is</w:t>
      </w:r>
      <w:r>
        <w:t xml:space="preserve"> </w:t>
      </w:r>
      <w:r>
        <w:t xml:space="preserve">therefore a complex and constantly evolving challenge that the European Union, its member states and its partners</w:t>
      </w:r>
      <w:r>
        <w:t xml:space="preserve"> </w:t>
      </w:r>
      <w:r>
        <w:t xml:space="preserve">are facing. Source: Hybrid threats - Consilium</w:t>
      </w:r>
      <w:r>
        <w:t xml:space="preserve"> </w:t>
      </w:r>
      <w:r>
        <w:t xml:space="preserve">94 https://www.eurelectric.org/in-detail/cybersecurity-in-the-power-sector/</w:t>
      </w:r>
      <w:r>
        <w:br/>
      </w:r>
      <w:r>
        <w:t xml:space="preserve">95 The EU Critical Entities Resilience (CER) Directive 2022/2557 provides a framework for strengthening the</w:t>
      </w:r>
      <w:r>
        <w:t xml:space="preserve"> </w:t>
      </w:r>
      <w:r>
        <w:t xml:space="preserve">resilience of critical entities operating critical infrastructure against all hazards. The NIS 2 Directive (EU) 2022/2555)</w:t>
      </w:r>
      <w:r>
        <w:t xml:space="preserve"> </w:t>
      </w:r>
      <w:r>
        <w:t xml:space="preserve">establishes a unified legal framework to uphold cybersecurity in 18 critical sectors across the EU. It also calls on</w:t>
      </w:r>
      <w:r>
        <w:t xml:space="preserve"> </w:t>
      </w:r>
      <w:r>
        <w:t xml:space="preserve">Member States to define national cybersecurity strategies and collaborate with the EU for cross-border reaction and</w:t>
      </w:r>
      <w:r>
        <w:t xml:space="preserve"> </w:t>
      </w:r>
      <w:r>
        <w:t xml:space="preserve">enforcement. The Network Code on sector-specific rules for cybersecurity aspects of cross-border electricity flows.</w:t>
      </w:r>
      <w:r>
        <w:t xml:space="preserve"> </w:t>
      </w:r>
      <w:r>
        <w:t xml:space="preserve">96 The Commission has proposed additional tools as part of the upcoming MFF under which financing of critical</w:t>
      </w:r>
      <w:r>
        <w:t xml:space="preserve"> </w:t>
      </w:r>
      <w:r>
        <w:t xml:space="preserve">infrastructure protection would in the future be eligible, notably as part of the Union Civil Protection Mechanism, the</w:t>
      </w:r>
      <w:r>
        <w:t xml:space="preserve"> </w:t>
      </w:r>
      <w:r>
        <w:t xml:space="preserve">Competitiveness Fund and National and Regional Partnership Plans.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2.2.7. Driver 7: Increased exposure to foreign influence over cross-border energy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In recent years, there has been increasing interest from third country actors to invest in EU energy</w:t>
      </w:r>
      <w:r>
        <w:t xml:space="preserve"> </w:t>
      </w:r>
      <w:r>
        <w:t xml:space="preserve">infrastructure, notably interconnectors. While foreign investment can bring benefits such as</w:t>
      </w:r>
      <w:r>
        <w:t xml:space="preserve"> </w:t>
      </w:r>
      <w:r>
        <w:t xml:space="preserve">increased financing options for capital-intensive projects, it can also increase the EU’s</w:t>
      </w:r>
      <w:r>
        <w:t xml:space="preserve"> </w:t>
      </w:r>
      <w:r>
        <w:t xml:space="preserve">exposure to energy security related risks such as disruptions or reduced reliability of cross-</w:t>
      </w:r>
      <w:r>
        <w:t xml:space="preserve"> </w:t>
      </w:r>
      <w:r>
        <w:t xml:space="preserve">border flows, in particular when such foreign investments originate from third countries with</w:t>
      </w:r>
      <w:r>
        <w:t xml:space="preserve"> </w:t>
      </w:r>
      <w:r>
        <w:t xml:space="preserve">diverging geopolitical interests from the EU.</w:t>
      </w:r>
      <w:r>
        <w:t xml:space="preserve"> </w:t>
      </w:r>
      <w:r>
        <w:t xml:space="preserve">Foreign ownership or control over interconnectors can influence key decisions regarding</w:t>
      </w:r>
      <w:r>
        <w:t xml:space="preserve"> </w:t>
      </w:r>
      <w:r>
        <w:t xml:space="preserve">infrastructure operation, maintenance and future expansion. This can be used to exert political or</w:t>
      </w:r>
      <w:r>
        <w:t xml:space="preserve"> </w:t>
      </w:r>
      <w:r>
        <w:t xml:space="preserve">economic pressure, potentially compromising Member States’ autonomy in managing their</w:t>
      </w:r>
      <w:r>
        <w:t xml:space="preserve"> </w:t>
      </w:r>
      <w:r>
        <w:t xml:space="preserve">security of supply. For instance, operational decisions could be manipulated to create artificial</w:t>
      </w:r>
      <w:r>
        <w:t xml:space="preserve"> </w:t>
      </w:r>
      <w:r>
        <w:t xml:space="preserve">bottlenecks, prioritise certain energy flows, or delay necessary maintenance or upgrades.</w:t>
      </w:r>
      <w:r>
        <w:br/>
      </w:r>
      <w:r>
        <w:t xml:space="preserve">Regulated interconnectors are typically owned and operated by TSOs, who must be certified under</w:t>
      </w:r>
      <w:r>
        <w:t xml:space="preserve"> </w:t>
      </w:r>
      <w:r>
        <w:t xml:space="preserve">the Electricity Regulation. If a TSO controlled by third-country interests requests certification, the</w:t>
      </w:r>
      <w:r>
        <w:t xml:space="preserve"> </w:t>
      </w:r>
      <w:r>
        <w:t xml:space="preserve">NRA must notify the European Commission. While most regulated interconnector promoters are</w:t>
      </w:r>
      <w:r>
        <w:t xml:space="preserve"> </w:t>
      </w:r>
      <w:r>
        <w:t xml:space="preserve">TSOs, certification only occurs at the stage of entry into operation. Therefore, TSOs may not be</w:t>
      </w:r>
      <w:r>
        <w:t xml:space="preserve"> </w:t>
      </w:r>
      <w:r>
        <w:t xml:space="preserve">certified during the PCI/PMI application stage, and hence no assessment is possible. As a result,</w:t>
      </w:r>
      <w:r>
        <w:t xml:space="preserve"> </w:t>
      </w:r>
      <w:r>
        <w:t xml:space="preserve">there is limited transparency regarding the ultimate beneficial owners of candidate PCI/PMI</w:t>
      </w:r>
      <w:r>
        <w:t xml:space="preserve"> </w:t>
      </w:r>
      <w:r>
        <w:t xml:space="preserve">projects. Under the Foreign Direct Investment Screening Regulation,97 the Commission can give</w:t>
      </w:r>
      <w:r>
        <w:t xml:space="preserve"> </w:t>
      </w:r>
      <w:r>
        <w:t xml:space="preserve">an opinion to the Member State where a foreign investment is planned or completed for PCIs/PMIs</w:t>
      </w:r>
      <w:r>
        <w:t xml:space="preserve"> </w:t>
      </w:r>
      <w:r>
        <w:t xml:space="preserve">if it believes the investment might affect these projects for reasons of security or public order.</w:t>
      </w:r>
      <w:r>
        <w:t xml:space="preserve"> </w:t>
      </w:r>
      <w:r>
        <w:t xml:space="preserve">However, such information is not necessarily shared in the context of the TEN-E framework and</w:t>
      </w:r>
      <w:r>
        <w:t xml:space="preserve"> </w:t>
      </w:r>
      <w:r>
        <w:t xml:space="preserve">cannot be taken into consideration in the PCI/PMI selection, which prevents this process from</w:t>
      </w:r>
      <w:r>
        <w:t xml:space="preserve"> </w:t>
      </w:r>
      <w:r>
        <w:t xml:space="preserve">fully addressing potential security risks. Limitations in the current framework in this respect were</w:t>
      </w:r>
      <w:r>
        <w:t xml:space="preserve"> </w:t>
      </w:r>
      <w:r>
        <w:t xml:space="preserve">to some extent also evident in the public consultation, in which only 14% of respondents indicated</w:t>
      </w:r>
      <w:r>
        <w:t xml:space="preserve"> </w:t>
      </w:r>
      <w:r>
        <w:t xml:space="preserve">that the framework addresses the exclusion of non-trusted actors from participating in critical</w:t>
      </w:r>
      <w:r>
        <w:t xml:space="preserve"> </w:t>
      </w:r>
      <w:r>
        <w:t xml:space="preserve">infrastructure projects, and 45% being uncertain.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The problems and drivers are likely to become even more important in the short and mid-term.</w:t>
      </w:r>
      <w:r>
        <w:br/>
      </w:r>
      <w:r>
        <w:t xml:space="preserve">Problem 1: Under the current framework the gaps in cross-border and related internal energy</w:t>
      </w:r>
      <w:r>
        <w:t xml:space="preserve"> </w:t>
      </w:r>
      <w:r>
        <w:t xml:space="preserve">infrastructure will persist or further aggravate given the non-identification of infrastructure needs</w:t>
      </w:r>
      <w:r>
        <w:t xml:space="preserve"> </w:t>
      </w:r>
      <w:r>
        <w:t xml:space="preserve">and/or projects to address them. The further electrification of the energy system combined with</w:t>
      </w:r>
      <w:r>
        <w:t xml:space="preserve"> </w:t>
      </w:r>
      <w:r>
        <w:t xml:space="preserve">an increased share of renewable energy generation carries a substantial risk to further increase</w:t>
      </w:r>
      <w:r>
        <w:t xml:space="preserve"> </w:t>
      </w:r>
      <w:r>
        <w:t xml:space="preserve">grid connection queues, renewable energy curtailment and overall system costs.</w:t>
      </w:r>
      <w:r>
        <w:t xml:space="preserve"> </w:t>
      </w:r>
      <w:r>
        <w:t xml:space="preserve">Problem 2: Adopted and planned initiatives such as the revised RED and the Hydrogen and Gas</w:t>
      </w:r>
      <w:r>
        <w:t xml:space="preserve"> </w:t>
      </w:r>
      <w:r>
        <w:t xml:space="preserve">Package have tackled long permitting procedures for certain key projects. However,</w:t>
      </w:r>
    </w:p>
    <w:p>
      <w:pPr>
        <w:pStyle w:val="BodyText"/>
      </w:pPr>
      <w:r>
        <w:t xml:space="preserve">97 Regulation (EU) 2019/452 of 19 March 2019 establishing a framework for the screening of foreign direct</w:t>
      </w:r>
      <w:r>
        <w:t xml:space="preserve"> </w:t>
      </w:r>
      <w:r>
        <w:t xml:space="preserve">investments into the Union. The Commission has proposed to revise this Regulation inter alia to ensure all Member</w:t>
      </w:r>
      <w:r>
        <w:t xml:space="preserve"> </w:t>
      </w:r>
      <w:r>
        <w:t xml:space="preserve">States have a screening mechanism in place, see COM(2024)23 final.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inefficiencies under the current permitting system98 are expected to persist for PCIs and PMIs.</w:t>
      </w:r>
      <w:r>
        <w:t xml:space="preserve"> </w:t>
      </w:r>
      <w:r>
        <w:t xml:space="preserve">Only a minority of Member States have made use of integrated or coordinated schemes leading</w:t>
      </w:r>
      <w:r>
        <w:t xml:space="preserve"> </w:t>
      </w:r>
      <w:r>
        <w:t xml:space="preserve">to coordination delays and misalignment of permitting schedules and public consultations.</w:t>
      </w:r>
      <w:r>
        <w:t xml:space="preserve"> </w:t>
      </w:r>
      <w:r>
        <w:t xml:space="preserve">Specifically for the permitting of renewable energy projects, the expected acceleration in their</w:t>
      </w:r>
      <w:r>
        <w:t xml:space="preserve"> </w:t>
      </w:r>
      <w:r>
        <w:t xml:space="preserve">deployment, in line with the objectives of the revised RED, is already increasing the pressure on</w:t>
      </w:r>
      <w:r>
        <w:t xml:space="preserve"> </w:t>
      </w:r>
      <w:r>
        <w:t xml:space="preserve">permitting authorities and is expected to increase the number of requests that such authorities</w:t>
      </w:r>
      <w:r>
        <w:t xml:space="preserve"> </w:t>
      </w:r>
      <w:r>
        <w:t xml:space="preserve">will have to process. The permitting obstacles are expected to persist despite new rules still being</w:t>
      </w:r>
      <w:r>
        <w:t xml:space="preserve"> </w:t>
      </w:r>
      <w:r>
        <w:t xml:space="preserve">transposed. Moreover, full implementation of the existing measures risks not addressing all the</w:t>
      </w:r>
      <w:r>
        <w:t xml:space="preserve"> </w:t>
      </w:r>
      <w:r>
        <w:t xml:space="preserve">issues, particularly given the ambitious key performance indicators set in the Clean Industrial</w:t>
      </w:r>
      <w:r>
        <w:t xml:space="preserve"> </w:t>
      </w:r>
      <w:r>
        <w:t xml:space="preserve">Deal of installing 100 GW of renewable energy yearly and reach an economy electrification rate</w:t>
      </w:r>
      <w:r>
        <w:t xml:space="preserve"> </w:t>
      </w:r>
      <w:r>
        <w:t xml:space="preserve">of 32% until 2030. In addition, electricity infrastructure projects (other than PCIs and PMIs),</w:t>
      </w:r>
      <w:r>
        <w:t xml:space="preserve"> </w:t>
      </w:r>
      <w:r>
        <w:t xml:space="preserve">storage (other than co-located storage), including pumped hydropower storage, and recharging</w:t>
      </w:r>
      <w:r>
        <w:t xml:space="preserve"> </w:t>
      </w:r>
      <w:r>
        <w:t xml:space="preserve">stations, continue to be subject to different national or even local permitting provisions. Finally,</w:t>
      </w:r>
      <w:r>
        <w:t xml:space="preserve"> </w:t>
      </w:r>
      <w:r>
        <w:t xml:space="preserve">under the current framework, investments will happen in a sub-optimal, uncoordinated manner</w:t>
      </w:r>
      <w:r>
        <w:t xml:space="preserve"> </w:t>
      </w:r>
      <w:r>
        <w:t xml:space="preserve">at a higher cost, reinforced by the absence of effective cost sharing tools.</w:t>
      </w:r>
      <w:r>
        <w:br/>
      </w:r>
      <w:r>
        <w:t xml:space="preserve">Problem 3: it is expected that the threats to physical and cybersecurity would rather increase</w:t>
      </w:r>
      <w:r>
        <w:t xml:space="preserve"> </w:t>
      </w:r>
      <w:r>
        <w:t xml:space="preserve">without sufficient protection against possible incidents. The problem and possible consequences</w:t>
      </w:r>
      <w:r>
        <w:t xml:space="preserve"> </w:t>
      </w:r>
      <w:r>
        <w:t xml:space="preserve">is reinforced by possible exposure to certain foreign investors.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Article 170 of the Treaty on the Functioning of the European Union (TFEU) stipulates that the</w:t>
      </w:r>
      <w:r>
        <w:t xml:space="preserve"> </w:t>
      </w:r>
      <w:r>
        <w:t xml:space="preserve">‘Union shall contribute to the establishment and development of trans-European networks’,</w:t>
      </w:r>
      <w:r>
        <w:t xml:space="preserve"> </w:t>
      </w:r>
      <w:r>
        <w:t xml:space="preserve">including in the area of energy infrastructure. In addition, the ‘Union shall aim at promoting the</w:t>
      </w:r>
      <w:r>
        <w:t xml:space="preserve"> </w:t>
      </w:r>
      <w:r>
        <w:t xml:space="preserve">interconnection […] of national networks’. The TEN-E Regulation is based on Article 172</w:t>
      </w:r>
      <w:r>
        <w:t xml:space="preserve"> </w:t>
      </w:r>
      <w:r>
        <w:t xml:space="preserve">TFEU, which provides for the legal basis to adopt guidelines covering the objectives, priorities</w:t>
      </w:r>
      <w:r>
        <w:t xml:space="preserve"> </w:t>
      </w:r>
      <w:r>
        <w:t xml:space="preserve">and broad lines of measures envisaged in the sphere of trans-European networks as set out in</w:t>
      </w:r>
      <w:r>
        <w:t xml:space="preserve"> </w:t>
      </w:r>
      <w:r>
        <w:t xml:space="preserve">Article 171. The guidelines are to identify PCIs that are necessary for making the TEN-E fit for</w:t>
      </w:r>
      <w:r>
        <w:t xml:space="preserve"> </w:t>
      </w:r>
      <w:r>
        <w:t xml:space="preserve">purpose and set the conditions under which the EU may financially support the PCIs.</w:t>
      </w:r>
      <w:r>
        <w:t xml:space="preserve"> </w:t>
      </w:r>
      <w:r>
        <w:t xml:space="preserve">Article 194 of the TFEU stipulates that the Union shall aim to promote the development of new</w:t>
      </w:r>
      <w:r>
        <w:t xml:space="preserve"> </w:t>
      </w:r>
      <w:r>
        <w:t xml:space="preserve">and renewable forms of energy and in accordance with Article 192 of the Treaty on the</w:t>
      </w:r>
      <w:r>
        <w:t xml:space="preserve"> </w:t>
      </w:r>
      <w:r>
        <w:t xml:space="preserve">Functioning of the European Union (ex. Article 175 TEC), to decide on actions in accordance</w:t>
      </w:r>
      <w:r>
        <w:t xml:space="preserve"> </w:t>
      </w:r>
      <w:r>
        <w:t xml:space="preserve">with the Union policy on the environment. The revised RED is based on Articles 194 and 192 of</w:t>
      </w:r>
      <w:r>
        <w:t xml:space="preserve"> </w:t>
      </w:r>
      <w:r>
        <w:t xml:space="preserve">the TFEU, which constitutes the legal basis to establish measures to achieve the objectives of</w:t>
      </w:r>
      <w:r>
        <w:t xml:space="preserve"> </w:t>
      </w:r>
      <w:r>
        <w:t xml:space="preserve">climate neutrality and decarbonisation of the economy via clean energy technologies. The</w:t>
      </w:r>
      <w:r>
        <w:t xml:space="preserve"> </w:t>
      </w:r>
      <w:r>
        <w:t xml:space="preserve">proposed measures relate to the fields mentioned above aiming to develop trans-European</w:t>
      </w:r>
      <w:r>
        <w:t xml:space="preserve"> </w:t>
      </w:r>
      <w:r>
        <w:t xml:space="preserve">networks and promoting the faster deployment and integration of renewable energy (Annex 9).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Energy transmission infrastructure and, increasingly, electricity distribution grids have a trans-</w:t>
      </w:r>
      <w:r>
        <w:t xml:space="preserve"> </w:t>
      </w:r>
      <w:r>
        <w:t xml:space="preserve">European or at least cross-border nature or impact. The TEN-E Regulation has contributed to</w:t>
      </w:r>
    </w:p>
    <w:p>
      <w:pPr>
        <w:pStyle w:val="BodyText"/>
      </w:pPr>
      <w:r>
        <w:t xml:space="preserve">98 Milieu Law and Policy Consultancy, Study on national permit granting process applicable to energy transmission</w:t>
      </w:r>
      <w:r>
        <w:t xml:space="preserve"> </w:t>
      </w:r>
      <w:r>
        <w:t xml:space="preserve">infrastructure projects with a focus on projects of common interest and projects of mutual interest (2025)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achieving results regarding the EU energy market integration, competition and security of supply.</w:t>
      </w:r>
      <w:r>
        <w:t xml:space="preserve"> </w:t>
      </w:r>
      <w:r>
        <w:t xml:space="preserve">A framework for regional cooperation across Member States is necessary to develop cross-border</w:t>
      </w:r>
      <w:r>
        <w:t xml:space="preserve"> </w:t>
      </w:r>
      <w:r>
        <w:t xml:space="preserve">energy infrastructure. National regulation and planning are not sufficient as individual national</w:t>
      </w:r>
      <w:r>
        <w:t xml:space="preserve"> </w:t>
      </w:r>
      <w:r>
        <w:t xml:space="preserve">administrations do not have the power to deal with cross-border infrastructure planning. The</w:t>
      </w:r>
      <w:r>
        <w:t xml:space="preserve"> </w:t>
      </w:r>
      <w:r>
        <w:t xml:space="preserve">internal network elements significantly influence the possibilities of cross-border infrastructure</w:t>
      </w:r>
      <w:r>
        <w:t xml:space="preserve"> </w:t>
      </w:r>
      <w:r>
        <w:t xml:space="preserve">development, which in turn affects cross-border trade. More closely coordinating national and</w:t>
      </w:r>
      <w:r>
        <w:t xml:space="preserve"> </w:t>
      </w:r>
      <w:r>
        <w:t xml:space="preserve">European planning is necessary due to the character of the EU’s meshed network and to build a</w:t>
      </w:r>
      <w:r>
        <w:t xml:space="preserve"> </w:t>
      </w:r>
      <w:r>
        <w:t xml:space="preserve">more efficient energy system. Further, as regards electricity transmission and distribution</w:t>
      </w:r>
      <w:r>
        <w:t xml:space="preserve"> </w:t>
      </w:r>
      <w:r>
        <w:t xml:space="preserve">infrastructure, despite the recognised need to accelerate their development to integrate</w:t>
      </w:r>
      <w:r>
        <w:t xml:space="preserve"> </w:t>
      </w:r>
      <w:r>
        <w:t xml:space="preserve">renewables into the system99, there is currently no permitting acceleration provisions at the EU</w:t>
      </w:r>
      <w:r>
        <w:t xml:space="preserve"> </w:t>
      </w:r>
      <w:r>
        <w:t xml:space="preserve">level that mirror those available to gases infrastructure in the Gas Directive.</w:t>
      </w:r>
      <w:r>
        <w:br/>
      </w:r>
      <w:r>
        <w:t xml:space="preserve">Reaching the EU energy objectives without additional action on the RES deployment at EU level</w:t>
      </w:r>
      <w:r>
        <w:t xml:space="preserve"> </w:t>
      </w:r>
      <w:r>
        <w:t xml:space="preserve">would not be cost efficient. An EU approach is needed to provide the right incentives to Member</w:t>
      </w:r>
      <w:r>
        <w:t xml:space="preserve"> </w:t>
      </w:r>
      <w:r>
        <w:t xml:space="preserve">States to accelerate, in a coordinated way, the energy transition towards a more energy-efficient</w:t>
      </w:r>
      <w:r>
        <w:t xml:space="preserve"> </w:t>
      </w:r>
      <w:r>
        <w:t xml:space="preserve">energy system largely based on renewables. The revised RED already includes provisions on</w:t>
      </w:r>
      <w:r>
        <w:t xml:space="preserve"> </w:t>
      </w:r>
      <w:r>
        <w:t xml:space="preserve">permitting for renewables, co-located storage and related grids. EU action is needed to further</w:t>
      </w:r>
      <w:r>
        <w:t xml:space="preserve"> </w:t>
      </w:r>
      <w:r>
        <w:t xml:space="preserve">improve that regulatory framework in a coordinated way, bringing faster permitting procedures</w:t>
      </w:r>
      <w:r>
        <w:t xml:space="preserve"> </w:t>
      </w:r>
      <w:r>
        <w:t xml:space="preserve">for renewables, storage and recharging stations, ensuring alignment among Member States and</w:t>
      </w:r>
      <w:r>
        <w:t xml:space="preserve"> </w:t>
      </w:r>
      <w:r>
        <w:t xml:space="preserve">the good functioning of the Energy Union.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TEN-E Regulation has provided additional value compared to what could have been</w:t>
      </w:r>
      <w:r>
        <w:t xml:space="preserve"> </w:t>
      </w:r>
      <w:r>
        <w:t xml:space="preserve">achieved at national or regional level alone. More than 100 projects were completed thanks to</w:t>
      </w:r>
      <w:r>
        <w:t xml:space="preserve"> </w:t>
      </w:r>
      <w:r>
        <w:t xml:space="preserve">the PCI status between 2013-2025. The accelerated electrification, decarbonisation and</w:t>
      </w:r>
      <w:r>
        <w:t xml:space="preserve"> </w:t>
      </w:r>
      <w:r>
        <w:t xml:space="preserve">digitalisation of industry and deployment of renewable energy projects call for the reinforcement</w:t>
      </w:r>
      <w:r>
        <w:t xml:space="preserve"> </w:t>
      </w:r>
      <w:r>
        <w:t xml:space="preserve">of the energy infrastructure at an unprecedented pace, that cannot be met by national measures</w:t>
      </w:r>
      <w:r>
        <w:t xml:space="preserve"> </w:t>
      </w:r>
      <w:r>
        <w:t xml:space="preserve">alone. More effective cross-border planning will improve the integration of clean energy sources</w:t>
      </w:r>
      <w:r>
        <w:t xml:space="preserve"> </w:t>
      </w:r>
      <w:r>
        <w:t xml:space="preserve">as well as meeting electricity market needs, which would help the EU reach its energy and climate</w:t>
      </w:r>
      <w:r>
        <w:t xml:space="preserve"> </w:t>
      </w:r>
      <w:r>
        <w:t xml:space="preserve">targets. A more integrated market encourages the development and uptake of innovative</w:t>
      </w:r>
      <w:r>
        <w:t xml:space="preserve"> </w:t>
      </w:r>
      <w:r>
        <w:t xml:space="preserve">technologies for transmission and distribution of energy and contributes to system flexibility and</w:t>
      </w:r>
      <w:r>
        <w:t xml:space="preserve"> </w:t>
      </w:r>
      <w:r>
        <w:t xml:space="preserve">security of supply. This can result in a more efficient network and improve cross-border trade for</w:t>
      </w:r>
      <w:r>
        <w:t xml:space="preserve"> </w:t>
      </w:r>
      <w:r>
        <w:t xml:space="preserve">a more cost-efficient and secure energy system.</w:t>
      </w:r>
      <w:r>
        <w:t xml:space="preserve"> </w:t>
      </w:r>
      <w:r>
        <w:t xml:space="preserve">EU action on renewable energy under the revised RED brings added value because it is more</w:t>
      </w:r>
      <w:r>
        <w:t xml:space="preserve"> </w:t>
      </w:r>
      <w:r>
        <w:t xml:space="preserve">efficient and effective than individual Member States’ actions, avoiding a fragmented approach</w:t>
      </w:r>
      <w:r>
        <w:t xml:space="preserve"> </w:t>
      </w:r>
      <w:r>
        <w:t xml:space="preserve">by addressing the transition of the European energy system in a coordinated way. It ensures net</w:t>
      </w:r>
      <w:r>
        <w:t xml:space="preserve"> </w:t>
      </w:r>
      <w:r>
        <w:t xml:space="preserve">reduction of greenhouse gas emissions and pollution, protects biodiversity, harnesses the benefits</w:t>
      </w:r>
      <w:r>
        <w:t xml:space="preserve"> </w:t>
      </w:r>
      <w:r>
        <w:t xml:space="preserve">of the internal market, fully exploits the advantages of economies of scale and technological</w:t>
      </w:r>
      <w:r>
        <w:t xml:space="preserve"> </w:t>
      </w:r>
      <w:r>
        <w:t xml:space="preserve">cooperation in Europe, and it gives investors certainty in an EU-wide regulatory framework. By</w:t>
      </w:r>
      <w:r>
        <w:t xml:space="preserve"> </w:t>
      </w:r>
      <w:r>
        <w:t xml:space="preserve">acting at EU-level in combination with action at Member State level, several barriers to public</w:t>
      </w:r>
      <w:r>
        <w:t xml:space="preserve"> </w:t>
      </w:r>
      <w:r>
        <w:t xml:space="preserve">and private investments can be tackled supplementing and reinforcing national and local action.</w:t>
      </w:r>
    </w:p>
    <w:p>
      <w:pPr>
        <w:pStyle w:val="BodyText"/>
      </w:pPr>
      <w:r>
        <w:t xml:space="preserve">99 Communication from the Commission (2023): Grids, the missing link - An EU Action Plan for Grids</w:t>
      </w:r>
    </w:p>
    <w:p>
      <w:pPr>
        <w:pStyle w:val="BodyText"/>
      </w:pPr>
      <w:r>
        <w:t xml:space="preserve">21</w:t>
      </w:r>
    </w:p>
    <w:p>
      <w:pPr>
        <w:pStyle w:val="Compact"/>
        <w:numPr>
          <w:ilvl w:val="0"/>
          <w:numId w:val="1002"/>
        </w:numPr>
      </w:pPr>
      <w:r>
        <w:t xml:space="preserve">OBJECTIVES: WHAT IS TO BE ACHIEVED?</w:t>
      </w:r>
      <w:r>
        <w:t xml:space="preserve"> </w:t>
      </w:r>
      <w:r>
        <w:t xml:space="preserve">The objective of the initiative builds on the general objective of the current TEN-E Regulation</w:t>
      </w:r>
      <w:r>
        <w:t xml:space="preserve"> </w:t>
      </w:r>
      <w:r>
        <w:t xml:space="preserve">(Annex 7) but develops it further by including the related topic of the development of renewable</w:t>
      </w:r>
      <w:r>
        <w:t xml:space="preserve"> </w:t>
      </w:r>
      <w:r>
        <w:t xml:space="preserve">energy, storage and recharging stations. By a stronger focus on ensuring efficient and effective</w:t>
      </w:r>
      <w:r>
        <w:t xml:space="preserve"> </w:t>
      </w:r>
      <w:r>
        <w:t xml:space="preserve">infrastructure planning, extending the timeframe beyond 2030 as well as security of cross-border</w:t>
      </w:r>
      <w:r>
        <w:t xml:space="preserve"> </w:t>
      </w:r>
      <w:r>
        <w:t xml:space="preserve">energy infrastructure, the revised general objective reflects the new political context.</w:t>
      </w:r>
      <w:r>
        <w:br/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is the timely and efficient development and interoperability of resilient</w:t>
      </w:r>
      <w:r>
        <w:t xml:space="preserve"> </w:t>
      </w:r>
      <w:r>
        <w:t xml:space="preserve">energy infrastructure, renewable energy and flexibility, including storage and recharging stations,</w:t>
      </w:r>
      <w:r>
        <w:t xml:space="preserve"> </w:t>
      </w:r>
      <w:r>
        <w:t xml:space="preserve">across the EU. This will enable the EU to deliver on its energy and climate objectives, including</w:t>
      </w:r>
      <w:r>
        <w:t xml:space="preserve"> </w:t>
      </w:r>
      <w:r>
        <w:t xml:space="preserve">ensuring energy affordability through better interconnectivity, leading to price convergence,</w:t>
      </w:r>
      <w:r>
        <w:t xml:space="preserve"> </w:t>
      </w:r>
      <w:r>
        <w:t xml:space="preserve">reduced wholesale electricity prices and lower volatility of electricity prices, as well as to</w:t>
      </w:r>
      <w:r>
        <w:t xml:space="preserve"> </w:t>
      </w:r>
      <w:r>
        <w:t xml:space="preserve">accelerated connection of generation and demand.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general objective can be disaggregated into four specific objectives, which are to be pursued</w:t>
      </w:r>
      <w:r>
        <w:t xml:space="preserve"> </w:t>
      </w:r>
      <w:r>
        <w:t xml:space="preserve">by the policy options are to address the problems and underpinning drivers identified in Section</w:t>
      </w:r>
      <w:r>
        <w:t xml:space="preserve"> </w:t>
      </w:r>
      <w:r>
        <w:t xml:space="preserve">2, namely to:</w:t>
      </w:r>
      <w:r>
        <w:t xml:space="preserve"> </w:t>
      </w:r>
      <w:r>
        <w:t xml:space="preserve">• Ensure that projects included in network development plans and selected as PCI/PMIs</w:t>
      </w:r>
      <w:r>
        <w:t xml:space="preserve"> </w:t>
      </w:r>
      <w:r>
        <w:t xml:space="preserve">address appropriately and effectively identified infrastructure needs ensuring timely and</w:t>
      </w:r>
      <w:r>
        <w:t xml:space="preserve"> </w:t>
      </w:r>
      <w:r>
        <w:t xml:space="preserve">efficient development of energy infrastructure. The aim is to ensure clear matchmaking</w:t>
      </w:r>
      <w:r>
        <w:t xml:space="preserve"> </w:t>
      </w:r>
      <w:r>
        <w:t xml:space="preserve">of projects included in network development plans with the identified needs. Selected</w:t>
      </w:r>
      <w:r>
        <w:t xml:space="preserve"> </w:t>
      </w:r>
      <w:r>
        <w:t xml:space="preserve">PCI/PMIs projects should be assessed and validated based on clearly defined criteria,</w:t>
      </w:r>
      <w:r>
        <w:t xml:space="preserve"> </w:t>
      </w:r>
      <w:r>
        <w:t xml:space="preserve">demonstrating that they effectively address infrastructure needs identified. This should</w:t>
      </w:r>
      <w:r>
        <w:t xml:space="preserve"> </w:t>
      </w:r>
      <w:r>
        <w:t xml:space="preserve">lead to a reduction in the gap between planned infrastructure projects in the TYNDP and</w:t>
      </w:r>
      <w:r>
        <w:t xml:space="preserve"> </w:t>
      </w:r>
      <w:r>
        <w:t xml:space="preserve">the identified cross-border infrastructure needs over time.</w:t>
      </w:r>
      <w:r>
        <w:t xml:space="preserve"> </w:t>
      </w:r>
      <w:r>
        <w:t xml:space="preserve">• Facilitate the use of cost-sharing tools for faster deployment of cross-border infrastructure</w:t>
      </w:r>
      <w:r>
        <w:t xml:space="preserve"> </w:t>
      </w:r>
      <w:r>
        <w:t xml:space="preserve">projects, leading to an increased use of cost-sharing tools and a reduction in project</w:t>
      </w:r>
      <w:r>
        <w:t xml:space="preserve"> </w:t>
      </w:r>
      <w:r>
        <w:t xml:space="preserve">deployment time.</w:t>
      </w:r>
      <w:r>
        <w:t xml:space="preserve"> </w:t>
      </w:r>
      <w:r>
        <w:t xml:space="preserve">• Shorten and simplify permitting procedures for energy infrastructure, renewable energy</w:t>
      </w:r>
      <w:r>
        <w:t xml:space="preserve"> </w:t>
      </w:r>
      <w:r>
        <w:t xml:space="preserve">and storage projects, as well as recharging stations, leading to shorter time to obtain</w:t>
      </w:r>
      <w:r>
        <w:t xml:space="preserve"> </w:t>
      </w:r>
      <w:r>
        <w:t xml:space="preserve">necessary permits, making it feasible to meet the existing deadlines, and simplified permit</w:t>
      </w:r>
      <w:r>
        <w:t xml:space="preserve"> </w:t>
      </w:r>
      <w:r>
        <w:t xml:space="preserve">requirements.</w:t>
      </w:r>
      <w:r>
        <w:t xml:space="preserve"> </w:t>
      </w:r>
      <w:r>
        <w:t xml:space="preserve">• Enhance physical and cyber security and resilience of cross-border energy infrastructure</w:t>
      </w:r>
      <w:r>
        <w:t xml:space="preserve"> </w:t>
      </w:r>
      <w:r>
        <w:t xml:space="preserve">(PCIs/PMIs) by increasing the number of protection and resilience equipment and</w:t>
      </w:r>
      <w:r>
        <w:t xml:space="preserve"> </w:t>
      </w:r>
      <w:r>
        <w:t xml:space="preserve">installations on critical network elements.</w:t>
      </w:r>
      <w:r>
        <w:t xml:space="preserve"> </w:t>
      </w:r>
      <w:r>
        <w:t xml:space="preserve">Figure 2 illustrates how the problem drivers relate to the objectives of the initiative. The last</w:t>
      </w:r>
      <w:r>
        <w:t xml:space="preserve"> </w:t>
      </w:r>
      <w:r>
        <w:t xml:space="preserve">column indicates how the policy options (Section 5) relate to the problem drivers and objectives.</w:t>
      </w:r>
    </w:p>
    <w:p>
      <w:pPr>
        <w:pStyle w:val="FirstParagraph"/>
      </w:pPr>
      <w:r>
        <w:t xml:space="preserve">22</w:t>
      </w:r>
    </w:p>
    <w:p>
      <w:pPr>
        <w:pStyle w:val="BodyText"/>
      </w:pPr>
      <w:r>
        <w:t xml:space="preserve">Figure 2: Problem drivers, specific objectives, and general objectives</w:t>
      </w:r>
    </w:p>
    <w:p>
      <w:pPr>
        <w:pStyle w:val="Compact"/>
        <w:numPr>
          <w:ilvl w:val="0"/>
          <w:numId w:val="1003"/>
        </w:numPr>
      </w:pP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Under the baseline scenario, the TEN-E Regulation, the Electricity Directive, Electricity</w:t>
      </w:r>
      <w:r>
        <w:t xml:space="preserve"> </w:t>
      </w:r>
      <w:r>
        <w:t xml:space="preserve">Regulation, the Hydrogen and Gas Package are assumed to continue to apply as currently in force</w:t>
      </w:r>
      <w:r>
        <w:t xml:space="preserve"> </w:t>
      </w:r>
      <w:r>
        <w:t xml:space="preserve">(Annex 6). The proposal for an EU climate target 2040 and the possible revision of RED, the</w:t>
      </w:r>
      <w:r>
        <w:t xml:space="preserve"> </w:t>
      </w:r>
      <w:r>
        <w:t xml:space="preserve">Energy Efficiency Directive as well as energy security framework should also be taken into</w:t>
      </w:r>
      <w:r>
        <w:t xml:space="preserve"> </w:t>
      </w:r>
      <w:r>
        <w:t xml:space="preserve">account.</w:t>
      </w:r>
      <w:r>
        <w:t xml:space="preserve"> </w:t>
      </w:r>
      <w:r>
        <w:t xml:space="preserve">Regarding network planning and needs identification, the frequency of the TYNDP process</w:t>
      </w:r>
      <w:r>
        <w:t xml:space="preserve"> </w:t>
      </w:r>
      <w:r>
        <w:t xml:space="preserve">(every two years) remains unchanged and the existing challenges in terms of delays in the process</w:t>
      </w:r>
      <w:r>
        <w:t xml:space="preserve"> </w:t>
      </w:r>
      <w:r>
        <w:t xml:space="preserve">(scenarios, needs and project assessment) will likely continue to negatively affect the PCI and</w:t>
      </w:r>
      <w:r>
        <w:t xml:space="preserve"> </w:t>
      </w:r>
      <w:r>
        <w:t xml:space="preserve">PMI selection process due to required input not being available on time. The infrastructure needs</w:t>
      </w:r>
      <w:r>
        <w:t xml:space="preserve"> </w:t>
      </w:r>
      <w:r>
        <w:t xml:space="preserve">identification process remains primarily a bottom-up analysis. The granularity of the needs</w:t>
      </w:r>
      <w:r>
        <w:t xml:space="preserve"> </w:t>
      </w:r>
      <w:r>
        <w:t xml:space="preserve">assessment remains the same. Uncertainties about completeness and robustness of the needs</w:t>
      </w:r>
      <w:r>
        <w:t xml:space="preserve"> </w:t>
      </w:r>
      <w:r>
        <w:t xml:space="preserve">identified continue to be unaddressed. Acceptance and credibility of the results of the TYNDP</w:t>
      </w:r>
      <w:r>
        <w:t xml:space="preserve"> </w:t>
      </w:r>
      <w:r>
        <w:t xml:space="preserve">and the needs assessment likely remains weak due to limited involvement of Member States</w:t>
      </w:r>
      <w:r>
        <w:t xml:space="preserve"> </w:t>
      </w:r>
      <w:r>
        <w:t xml:space="preserve">or NRAs. While cross-border energy infrastructure will continue to develop under the current</w:t>
      </w:r>
      <w:r>
        <w:t xml:space="preserve"> </w:t>
      </w:r>
      <w:r>
        <w:t xml:space="preserve">framework, it is expected to occur in a non-optimal manner due to the issues identified in section</w:t>
      </w:r>
      <w:r>
        <w:t xml:space="preserve"> </w:t>
      </w:r>
      <w:r>
        <w:t xml:space="preserve">2, therefore also failing to address growing grid congestion and renewable energy curtailment</w:t>
      </w:r>
      <w:r>
        <w:t xml:space="preserve"> </w:t>
      </w:r>
      <w:r>
        <w:t xml:space="preserve">which could become as high as 310 TWh by 2040 in the BAU scenario.</w:t>
      </w:r>
      <w:r>
        <w:br/>
      </w:r>
      <w:r>
        <w:t xml:space="preserve">With regard to cross-sectoral planning, once the gas package is transposed and implemented, it</w:t>
      </w:r>
      <w:r>
        <w:t xml:space="preserve"> </w:t>
      </w:r>
      <w:r>
        <w:t xml:space="preserve">will provide for stronger cross-sectoral coordination. However, the implementation might be</w:t>
      </w:r>
      <w:r>
        <w:t xml:space="preserve"> </w:t>
      </w:r>
      <w:r>
        <w:t xml:space="preserve">challenging, also due to missing mirroring requirements on the electricity side and technical</w:t>
      </w:r>
      <w:r>
        <w:t xml:space="preserve"> </w:t>
      </w:r>
      <w:r>
        <w:t xml:space="preserve">constraints under the two-year TYNDP cycles. These requirements demand national-level</w:t>
      </w:r>
      <w:r>
        <w:t xml:space="preserve"> </w:t>
      </w:r>
      <w:r>
        <w:t xml:space="preserve">coordination between TSOs and DSOs on scenario development across the electricity,</w:t>
      </w:r>
      <w:r>
        <w:t xml:space="preserve"> </w:t>
      </w:r>
      <w:r>
        <w:t xml:space="preserve">hydrogen, and gas sectors as well as alignment with the NECPs and, where applicable,</w:t>
      </w:r>
      <w:r>
        <w:t xml:space="preserve"> </w:t>
      </w:r>
      <w:r>
        <w:t xml:space="preserve">consideration of local heating and cooling plans, and alternative fuel infrastructure needs.</w:t>
      </w:r>
    </w:p>
    <w:p>
      <w:pPr>
        <w:pStyle w:val="FirstParagraph"/>
      </w:pPr>
      <w:r>
        <w:t xml:space="preserve">23</w:t>
      </w:r>
    </w:p>
    <w:p>
      <w:pPr>
        <w:pStyle w:val="BodyText"/>
      </w:pPr>
      <w:r>
        <w:t xml:space="preserve">On cost sharing, the current TEN-E framework to facilitate cost-sharing agreements for cross-</w:t>
      </w:r>
      <w:r>
        <w:t xml:space="preserve"> </w:t>
      </w:r>
      <w:r>
        <w:t xml:space="preserve">border infrastructure projects continues to apply. For PCIs/PMIs that have reached sufficient</w:t>
      </w:r>
      <w:r>
        <w:t xml:space="preserve"> </w:t>
      </w:r>
      <w:r>
        <w:t xml:space="preserve">maturity to start the construction within 36 months, project promoters can submit an investment</w:t>
      </w:r>
      <w:r>
        <w:t xml:space="preserve"> </w:t>
      </w:r>
      <w:r>
        <w:t xml:space="preserve">request, including cross-border cost allocation. Experience shows that the framework is unlikely</w:t>
      </w:r>
      <w:r>
        <w:t xml:space="preserve"> </w:t>
      </w:r>
      <w:r>
        <w:t xml:space="preserve">to lead to cost-sharing agreements between hosting and non-hosting beneficiary countries.</w:t>
      </w:r>
      <w:r>
        <w:br/>
      </w:r>
      <w:r>
        <w:t xml:space="preserve">On permitting, for energy infrastructure assets, the dedicated permitting requirements and</w:t>
      </w:r>
      <w:r>
        <w:t xml:space="preserve"> </w:t>
      </w:r>
      <w:r>
        <w:t xml:space="preserve">acceleration provisions for PCIs and PMIs (TEN-E Regulation), and grid assets necessary to</w:t>
      </w:r>
      <w:r>
        <w:t xml:space="preserve"> </w:t>
      </w:r>
      <w:r>
        <w:t xml:space="preserve">integrate renewables (revised RED), will continue to apply. Permitting for hydrogen</w:t>
      </w:r>
      <w:r>
        <w:t xml:space="preserve"> </w:t>
      </w:r>
      <w:r>
        <w:t xml:space="preserve">infrastructure will start to be regulated with the transposition of the Gas Directive (deadline</w:t>
      </w:r>
      <w:r>
        <w:t xml:space="preserve"> </w:t>
      </w:r>
      <w:r>
        <w:t xml:space="preserve">2026). For the permitting of renewable energy and co-located storage installations, the baseline</w:t>
      </w:r>
      <w:r>
        <w:t xml:space="preserve"> </w:t>
      </w:r>
      <w:r>
        <w:t xml:space="preserve">is the revised RED while there is no permitting framework for non-co-located storage and</w:t>
      </w:r>
      <w:r>
        <w:t xml:space="preserve"> </w:t>
      </w:r>
      <w:r>
        <w:t xml:space="preserve">recharging stations. Implementation of these measures would be supported by the Commission</w:t>
      </w:r>
      <w:r>
        <w:t xml:space="preserve"> </w:t>
      </w:r>
      <w:r>
        <w:t xml:space="preserve">through ongoing transposition checks and continuous engagement with Member States. While</w:t>
      </w:r>
      <w:r>
        <w:t xml:space="preserve"> </w:t>
      </w:r>
      <w:r>
        <w:t xml:space="preserve">for renewable energy projects, co-located storage and their related infrastructure, the full</w:t>
      </w:r>
      <w:r>
        <w:t xml:space="preserve"> </w:t>
      </w:r>
      <w:r>
        <w:t xml:space="preserve">transposition and implementation of the permitting framework under the amended RED is</w:t>
      </w:r>
      <w:r>
        <w:t xml:space="preserve"> </w:t>
      </w:r>
      <w:r>
        <w:t xml:space="preserve">expected to bring some positive results, as explained in the problem section, this change will not</w:t>
      </w:r>
      <w:r>
        <w:t xml:space="preserve"> </w:t>
      </w:r>
      <w:r>
        <w:t xml:space="preserve">be enough to meet our 2030 goals. The remaining issues in parts of the permitting procedures not</w:t>
      </w:r>
      <w:r>
        <w:t xml:space="preserve"> </w:t>
      </w:r>
      <w:r>
        <w:t xml:space="preserve">touched upon before keep hindering the proper implementation of the permitting framework.</w:t>
      </w:r>
      <w:r>
        <w:t xml:space="preserve"> </w:t>
      </w:r>
      <w:r>
        <w:t xml:space="preserve">This is in combination with an aligned permitting framework for grids, stand-alone storage and</w:t>
      </w:r>
      <w:r>
        <w:t xml:space="preserve"> </w:t>
      </w:r>
      <w:r>
        <w:t xml:space="preserve">recharging stations, necessary for the integration of renewable energy, are a clear indication on</w:t>
      </w:r>
      <w:r>
        <w:t xml:space="preserve"> </w:t>
      </w:r>
      <w:r>
        <w:t xml:space="preserve">the difficulty to be phased to reach our 2030 targets and KPIs only with the baseline scenario.</w:t>
      </w:r>
      <w:r>
        <w:t xml:space="preserve"> </w:t>
      </w:r>
      <w:r>
        <w:t xml:space="preserve">As for the security of cross-border energy infrastructure, the EU horizontal framework on</w:t>
      </w:r>
      <w:r>
        <w:t xml:space="preserve"> </w:t>
      </w:r>
      <w:r>
        <w:t xml:space="preserve">protection of critical infrastructure and cybersecurity applies, notably the CER Directive and the</w:t>
      </w:r>
      <w:r>
        <w:t xml:space="preserve"> </w:t>
      </w:r>
      <w:r>
        <w:t xml:space="preserve">NIS 2 Directive as well as the Network Code on cybersecurity. The TEN-E Regulation does not</w:t>
      </w:r>
      <w:r>
        <w:t xml:space="preserve"> </w:t>
      </w:r>
      <w:r>
        <w:t xml:space="preserve">include provisions for addressing resilience against possible physical malicious acts and</w:t>
      </w:r>
      <w:r>
        <w:t xml:space="preserve"> </w:t>
      </w:r>
      <w:r>
        <w:t xml:space="preserve">cybersecurity disruptions to cross-border energy infrastructure.</w:t>
      </w:r>
      <w:r>
        <w:br/>
      </w:r>
      <w:r>
        <w:t xml:space="preserve">With regard to electricity distribution grid planning, the baseline option assumes that</w:t>
      </w:r>
      <w:r>
        <w:t xml:space="preserve"> </w:t>
      </w:r>
      <w:r>
        <w:t xml:space="preserve">provisions in the draft electricity network code on demand side response, as submitted by ACER</w:t>
      </w:r>
      <w:r>
        <w:t xml:space="preserve"> </w:t>
      </w:r>
      <w:r>
        <w:t xml:space="preserve">in March 2025, will be kept in the final text of the network code, to be adopted in 2026.100 For</w:t>
      </w:r>
      <w:r>
        <w:t xml:space="preserve"> </w:t>
      </w:r>
      <w:r>
        <w:t xml:space="preserve">grid connections, the baseline assumes relevant provisions of the Electricity Directive on grid</w:t>
      </w:r>
      <w:r>
        <w:t xml:space="preserve"> </w:t>
      </w:r>
      <w:r>
        <w:t xml:space="preserve">hosting capacities transparency and flexible connection agreements are fully implemented. The</w:t>
      </w:r>
      <w:r>
        <w:t xml:space="preserve"> </w:t>
      </w:r>
      <w:r>
        <w:t xml:space="preserve">Commission will support Member States and all relevant stakeholders in the implementation of</w:t>
      </w:r>
      <w:r>
        <w:t xml:space="preserve"> </w:t>
      </w:r>
      <w:r>
        <w:t xml:space="preserve">existing legal provisions. This concerns exchange and sharing of best practices on grid planning,</w:t>
      </w:r>
      <w:r>
        <w:t xml:space="preserve"> </w:t>
      </w:r>
      <w:r>
        <w:t xml:space="preserve">coordination among DSOs and TSOs, as well as smart and digital technologies. As these</w:t>
      </w:r>
      <w:r>
        <w:t xml:space="preserve"> </w:t>
      </w:r>
      <w:r>
        <w:t xml:space="preserve">initiatives would be proposed and implemented regardless of the present package (Guidance on</w:t>
      </w:r>
      <w:r>
        <w:t xml:space="preserve"> </w:t>
      </w:r>
      <w:r>
        <w:t xml:space="preserve">grid connections would be presented as committed in the Automotive Action Plan, as well as the</w:t>
      </w:r>
      <w:r>
        <w:t xml:space="preserve"> </w:t>
      </w:r>
      <w:r>
        <w:t xml:space="preserve">strengthened options on DSO grid planning under network code), they form a part of the baseline</w:t>
      </w:r>
      <w:r>
        <w:t xml:space="preserve"> </w:t>
      </w:r>
      <w:r>
        <w:t xml:space="preserve">against which policy options are assessed. Lastly, to support new smart electricity grid PCI</w:t>
      </w:r>
      <w:r>
        <w:t xml:space="preserve"> </w:t>
      </w:r>
      <w:r>
        <w:t xml:space="preserve">candidates to be proposed, the Commission will engage in further communication and awareness</w:t>
      </w:r>
      <w:r>
        <w:t xml:space="preserve"> </w:t>
      </w:r>
      <w:r>
        <w:t xml:space="preserve">efforts, inter alia with Member States, including for the integration of electrified industry,</w:t>
      </w:r>
    </w:p>
    <w:p>
      <w:pPr>
        <w:pStyle w:val="BodyText"/>
      </w:pPr>
      <w:r>
        <w:t xml:space="preserve">100 The draft electricity network code contains provisions on coordination between electricity TSO-DSO and DSOs,</w:t>
      </w:r>
      <w:r>
        <w:t xml:space="preserve"> </w:t>
      </w:r>
      <w:r>
        <w:t xml:space="preserve">methodology for planning and scenarios, link to flexibility needs assessment, use of local services as alternatives to</w:t>
      </w:r>
      <w:r>
        <w:t xml:space="preserve"> </w:t>
      </w:r>
      <w:r>
        <w:t xml:space="preserve">grid development, monitoring of DNDPs and more transparency related to public consultation of electricity DNDPs.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electromobility charging infrastructure, electrified heating and cooling and data centres, as long</w:t>
      </w:r>
      <w:r>
        <w:t xml:space="preserve"> </w:t>
      </w:r>
      <w:r>
        <w:t xml:space="preserve">as a cross-border impact of the project can be demonstrated.</w:t>
      </w:r>
      <w:r>
        <w:t xml:space="preserve"> </w:t>
      </w:r>
      <w:r>
        <w:t xml:space="preserve">Regarding delays caused by supply chains related constraints, the baseline assumes</w:t>
      </w:r>
      <w:r>
        <w:t xml:space="preserve"> </w:t>
      </w:r>
      <w:r>
        <w:t xml:space="preserve">implementation of the existing legal framework and non-legislative actions: the Grids Action</w:t>
      </w:r>
      <w:r>
        <w:t xml:space="preserve"> </w:t>
      </w:r>
      <w:r>
        <w:t xml:space="preserve">Plan, the Net-Zero Industry Act101, the EIB Grids Manufacturing Package, and the Union of</w:t>
      </w:r>
      <w:r>
        <w:t xml:space="preserve"> </w:t>
      </w:r>
      <w:r>
        <w:t xml:space="preserve">Skills.102</w:t>
      </w:r>
      <w:r>
        <w:br/>
      </w:r>
      <w:r>
        <w:t xml:space="preserve">5.2.</w:t>
      </w:r>
      <w:r>
        <w:t xml:space="preserve"> </w:t>
      </w:r>
      <w:r>
        <w:t xml:space="preserve">Description of the policy measures and options</w:t>
      </w:r>
      <w:r>
        <w:t xml:space="preserve"> </w:t>
      </w:r>
      <w:r>
        <w:t xml:space="preserve">Based on the consultation and desk research undertaken for this Impact Assessment, the</w:t>
      </w:r>
      <w:r>
        <w:t xml:space="preserve"> </w:t>
      </w:r>
      <w:r>
        <w:t xml:space="preserve">Commission identified individual policy measures having the potential to address the problem</w:t>
      </w:r>
      <w:r>
        <w:t xml:space="preserve"> </w:t>
      </w:r>
      <w:r>
        <w:t xml:space="preserve">drivers identified in the problem definition (Section 2) and achieve the specific objectives (SO)</w:t>
      </w:r>
      <w:r>
        <w:t xml:space="preserve"> </w:t>
      </w:r>
      <w:r>
        <w:t xml:space="preserve">(Section 4.2). The policy measures were grouped into policy packages (Section 5.2.2).</w:t>
      </w:r>
      <w:r>
        <w:t xml:space="preserve"> </w:t>
      </w:r>
      <w:r>
        <w:t xml:space="preserve">The following process was applied for establishing the policy packages: (i) identifying the policy</w:t>
      </w:r>
      <w:r>
        <w:t xml:space="preserve"> </w:t>
      </w:r>
      <w:r>
        <w:t xml:space="preserve">measures which can be discarded based on a first preliminary assessment; (ii) identifying a list</w:t>
      </w:r>
      <w:r>
        <w:t xml:space="preserve"> </w:t>
      </w:r>
      <w:r>
        <w:t xml:space="preserve">of retained policy measures addressing the problems and respective problem drivers; (iii)</w:t>
      </w:r>
      <w:r>
        <w:t xml:space="preserve"> </w:t>
      </w:r>
      <w:r>
        <w:t xml:space="preserve">combining retained measures into policy packages constituting viable policy alternatives for</w:t>
      </w:r>
      <w:r>
        <w:t xml:space="preserve"> </w:t>
      </w:r>
      <w:r>
        <w:t xml:space="preserve">achieving all the objectives of the initiative.</w:t>
      </w:r>
      <w:r>
        <w:t xml:space="preserve"> </w:t>
      </w:r>
      <w:r>
        <w:t xml:space="preserve">5.2.1. Description of the policy measures</w:t>
      </w:r>
      <w:r>
        <w:br/>
      </w:r>
      <w:r>
        <w:t xml:space="preserve">This section provides a summary of the identified policy measures to address the problem drivers</w:t>
      </w:r>
      <w:r>
        <w:t xml:space="preserve"> </w:t>
      </w:r>
      <w:r>
        <w:t xml:space="preserve">and specific objectives. For further details see Annex 9.</w:t>
      </w:r>
      <w:r>
        <w:t xml:space="preserve"> </w:t>
      </w:r>
      <w:r>
        <w:t xml:space="preserve">A. Infrastructure planning and project implementation</w:t>
      </w:r>
      <w:r>
        <w:br/>
      </w:r>
      <w:r>
        <w:t xml:space="preserve">Four policy measures were identified to respond to problem 1 (drivers 1-3) and SO1.</w:t>
      </w:r>
      <w:r>
        <w:br/>
      </w:r>
      <w:r>
        <w:t xml:space="preserve">A.1 Strengthening the existing framework</w:t>
      </w:r>
      <w:r>
        <w:t xml:space="preserve"> </w:t>
      </w:r>
      <w:r>
        <w:t xml:space="preserve">Measure A.1 proposes limited changes to strengthen the existing infrastructure planning</w:t>
      </w:r>
      <w:r>
        <w:t xml:space="preserve"> </w:t>
      </w:r>
      <w:r>
        <w:t xml:space="preserve">framework. It maintains most of the current responsibilities of the main stakeholders but better</w:t>
      </w:r>
      <w:r>
        <w:t xml:space="preserve"> </w:t>
      </w:r>
      <w:r>
        <w:t xml:space="preserve">defines and strengthens certain existing requirements to ensure a leaner and more robust planning</w:t>
      </w:r>
      <w:r>
        <w:t xml:space="preserve"> </w:t>
      </w:r>
      <w:r>
        <w:t xml:space="preserve">process. To simplify and streamline the PCI/PMI selection process, there would be a shift from</w:t>
      </w:r>
      <w:r>
        <w:t xml:space="preserve"> </w:t>
      </w:r>
      <w:r>
        <w:t xml:space="preserve">the ex post opinions by the Commission and ACER as well as approvals on the draft scenarios</w:t>
      </w:r>
      <w:r>
        <w:t xml:space="preserve"> </w:t>
      </w:r>
      <w:r>
        <w:t xml:space="preserve">and draft infrastructure gaps identification report developed by the ENTSOs towards ex ante</w:t>
      </w:r>
      <w:r>
        <w:t xml:space="preserve"> </w:t>
      </w:r>
      <w:r>
        <w:t xml:space="preserve">steering through strengthened ACER’s and NRAs’ roles in the verification of the TYNDP inputs</w:t>
      </w:r>
      <w:r>
        <w:t xml:space="preserve"> </w:t>
      </w:r>
      <w:r>
        <w:t xml:space="preserve">to the PCI/PMI process and in monitoring the implementation. Moreover, scenario-building</w:t>
      </w:r>
      <w:r>
        <w:t xml:space="preserve"> </w:t>
      </w:r>
      <w:r>
        <w:t xml:space="preserve">should consider national developments as regards the development of industrial hubs for</w:t>
      </w:r>
      <w:r>
        <w:t xml:space="preserve"> </w:t>
      </w:r>
      <w:r>
        <w:t xml:space="preserve">electrification, deployment of data centres, electromobility charging infrastructure, heating and</w:t>
      </w:r>
      <w:r>
        <w:t xml:space="preserve"> </w:t>
      </w:r>
      <w:r>
        <w:t xml:space="preserve">cooling plans and the revised NECPs. It would also include a simplified application and evaluation</w:t>
      </w:r>
      <w:r>
        <w:t xml:space="preserve"> </w:t>
      </w:r>
      <w:r>
        <w:t xml:space="preserve">process for mature PCIs and PMIs. In addition, the planning would be expanded to better consider</w:t>
      </w:r>
    </w:p>
    <w:p>
      <w:pPr>
        <w:pStyle w:val="BodyText"/>
      </w:pPr>
      <w:r>
        <w:t xml:space="preserve">101 Regulation (EU) 2024/1735 on establishing a framework of measures for strengthening Europe’s net-zero</w:t>
      </w:r>
      <w:r>
        <w:t xml:space="preserve"> </w:t>
      </w:r>
      <w:r>
        <w:t xml:space="preserve">technology manufacturing ecosystem and amending Regulation (EU) 2018/1724</w:t>
      </w:r>
      <w:r>
        <w:br/>
      </w:r>
      <w:r>
        <w:t xml:space="preserve">102 Union of skills - European Commission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non-wired solutions and internal grid reinforcements to ensure infrastructure needs are</w:t>
      </w:r>
      <w:r>
        <w:t xml:space="preserve"> </w:t>
      </w:r>
      <w:r>
        <w:t xml:space="preserve">optimally addressed.</w:t>
      </w:r>
      <w:r>
        <w:t xml:space="preserve"> </w:t>
      </w:r>
      <w:r>
        <w:t xml:space="preserve">A.2 Increased EU level steering and coordination</w:t>
      </w:r>
      <w:r>
        <w:br/>
      </w:r>
      <w:r>
        <w:t xml:space="preserve">Building on measure A.1, measure A.2. would entail moving from a bottom-up towards a top-</w:t>
      </w:r>
      <w:r>
        <w:t xml:space="preserve"> </w:t>
      </w:r>
      <w:r>
        <w:t xml:space="preserve">down cross-border infrastructure planning approach ensuring greater transparency, scrutiny</w:t>
      </w:r>
      <w:r>
        <w:t xml:space="preserve"> </w:t>
      </w:r>
      <w:r>
        <w:t xml:space="preserve">and coherence of inputs used in network planning both at EU and national levels. It involves</w:t>
      </w:r>
      <w:r>
        <w:t xml:space="preserve"> </w:t>
      </w:r>
      <w:r>
        <w:t xml:space="preserve">the Commission, ACER and NRAs earlier in the planning process and simplifies applications for</w:t>
      </w:r>
      <w:r>
        <w:t xml:space="preserve"> </w:t>
      </w:r>
      <w:r>
        <w:t xml:space="preserve">mature PCIs/PMIs. The Commission would be responsible for the development of a</w:t>
      </w:r>
      <w:r>
        <w:t xml:space="preserve"> </w:t>
      </w:r>
      <w:r>
        <w:t xml:space="preserve">comprehensive central scenario at least every 4 years (instead of 2 years), with the possibility</w:t>
      </w:r>
      <w:r>
        <w:t xml:space="preserve"> </w:t>
      </w:r>
      <w:r>
        <w:t xml:space="preserve">to conduct interim reviews in case of very significant changes, as a basis for a strengthened,</w:t>
      </w:r>
      <w:r>
        <w:t xml:space="preserve"> </w:t>
      </w:r>
      <w:r>
        <w:t xml:space="preserve">streamlined, more predictable and simplified infrastructure needs identification conducted</w:t>
      </w:r>
      <w:r>
        <w:t xml:space="preserve"> </w:t>
      </w:r>
      <w:r>
        <w:t xml:space="preserve">by the ENTSOs and ENNOH based on framework guidance developed by ACER in line with</w:t>
      </w:r>
      <w:r>
        <w:t xml:space="preserve"> </w:t>
      </w:r>
      <w:r>
        <w:t xml:space="preserve">the principles defined in the TEN-E Regulation. Project collection and assessment for the TYNDP</w:t>
      </w:r>
      <w:r>
        <w:t xml:space="preserve"> </w:t>
      </w:r>
      <w:r>
        <w:t xml:space="preserve">and the PCI/PMI selection process would continue to be conducted every 2 years. The central</w:t>
      </w:r>
      <w:r>
        <w:t xml:space="preserve"> </w:t>
      </w:r>
      <w:r>
        <w:t xml:space="preserve">scenario would allow for better comparability of projects and their costs and benefits. It would be</w:t>
      </w:r>
      <w:r>
        <w:t xml:space="preserve"> </w:t>
      </w:r>
      <w:r>
        <w:t xml:space="preserve">less driven by (national) TSOs, represented by ENTSOs, but rather by the Commission and the</w:t>
      </w:r>
      <w:r>
        <w:t xml:space="preserve"> </w:t>
      </w:r>
      <w:r>
        <w:t xml:space="preserve">Agency with close involvement of all Member States ensuring network planning captures EU</w:t>
      </w:r>
      <w:r>
        <w:t xml:space="preserve"> </w:t>
      </w:r>
      <w:r>
        <w:t xml:space="preserve">policy targets as well as Member States’ perspectives and ensures alignment. There would be a</w:t>
      </w:r>
      <w:r>
        <w:t xml:space="preserve"> </w:t>
      </w:r>
      <w:r>
        <w:t xml:space="preserve">closer link between the EU central scenario and national scenarios used in network planning,</w:t>
      </w:r>
      <w:r>
        <w:t xml:space="preserve"> </w:t>
      </w:r>
      <w:r>
        <w:t xml:space="preserve">improving coordination between the EU and national levels of infrastructure development.</w:t>
      </w:r>
      <w:r>
        <w:t xml:space="preserve"> </w:t>
      </w:r>
      <w:r>
        <w:t xml:space="preserve">A new gap filling mechanism would be introduced to ensure that all needs are addressed by</w:t>
      </w:r>
      <w:r>
        <w:t xml:space="preserve"> </w:t>
      </w:r>
      <w:r>
        <w:t xml:space="preserve">requiring the submission of project proposals by TSOs when the identified infrastructure needs</w:t>
      </w:r>
      <w:r>
        <w:t xml:space="preserve"> </w:t>
      </w:r>
      <w:r>
        <w:t xml:space="preserve">are not being adequately matched by the project proposals submitted in the standard process for</w:t>
      </w:r>
      <w:r>
        <w:t xml:space="preserve"> </w:t>
      </w:r>
      <w:r>
        <w:t xml:space="preserve">project collection for the Union-wide TYNDP. This should ensure that infrastructure needs are</w:t>
      </w:r>
      <w:r>
        <w:t xml:space="preserve"> </w:t>
      </w:r>
      <w:r>
        <w:t xml:space="preserve">more optimally addressed reducing the gap over time. First, relevant TSOs would be required to</w:t>
      </w:r>
      <w:r>
        <w:t xml:space="preserve"> </w:t>
      </w:r>
      <w:r>
        <w:t xml:space="preserve">propose possible solutions under the scrutiny of NRAs and Member States. Second, in case no</w:t>
      </w:r>
      <w:r>
        <w:t xml:space="preserve"> </w:t>
      </w:r>
      <w:r>
        <w:t xml:space="preserve">projects are proposed, the Commission, in cooperation with hosting Member States, may launch</w:t>
      </w:r>
      <w:r>
        <w:t xml:space="preserve"> </w:t>
      </w:r>
      <w:r>
        <w:t xml:space="preserve">a call for project proposals. For the electricity sector this option would introduce requirements to</w:t>
      </w:r>
      <w:r>
        <w:t xml:space="preserve"> </w:t>
      </w:r>
      <w:r>
        <w:t xml:space="preserve">better link national and European planning. This measure would also prolong the period of</w:t>
      </w:r>
      <w:r>
        <w:t xml:space="preserve"> </w:t>
      </w:r>
      <w:r>
        <w:t xml:space="preserve">network planning on a national transmission grid level for electricity from existing minima of at</w:t>
      </w:r>
      <w:r>
        <w:t xml:space="preserve"> </w:t>
      </w:r>
      <w:r>
        <w:t xml:space="preserve">least 5-10 to at least 15 years. Measure A.2 would also require to fully consider non-wired</w:t>
      </w:r>
      <w:r>
        <w:t xml:space="preserve"> </w:t>
      </w:r>
      <w:r>
        <w:t xml:space="preserve">alternative solutions as a priority when addressing the identified needs.</w:t>
      </w:r>
      <w:r>
        <w:t xml:space="preserve"> </w:t>
      </w:r>
      <w:r>
        <w:t xml:space="preserve">A.3 Fully centralised approach</w:t>
      </w:r>
      <w:r>
        <w:t xml:space="preserve"> </w:t>
      </w:r>
      <w:r>
        <w:t xml:space="preserve">Measure A.3 entails a full shift from the current bottom-up planning and needs identification</w:t>
      </w:r>
      <w:r>
        <w:t xml:space="preserve"> </w:t>
      </w:r>
      <w:r>
        <w:t xml:space="preserve">approach to a full top-down coordination and project selection at the European level. The</w:t>
      </w:r>
      <w:r>
        <w:t xml:space="preserve"> </w:t>
      </w:r>
      <w:r>
        <w:t xml:space="preserve">main activities of the scenario development, needs assessment and projects assessment under the</w:t>
      </w:r>
      <w:r>
        <w:t xml:space="preserve"> </w:t>
      </w:r>
      <w:r>
        <w:t xml:space="preserve">TYNDP for cross-border infrastructure would be done by an entity at EU level (e.g. an EU</w:t>
      </w:r>
      <w:r>
        <w:t xml:space="preserve"> </w:t>
      </w:r>
      <w:r>
        <w:t xml:space="preserve">energy agency) responsible of the entire planning process complementing national planning</w:t>
      </w:r>
      <w:r>
        <w:t xml:space="preserve"> </w:t>
      </w:r>
      <w:r>
        <w:t xml:space="preserve">processes. Relevant national actors, such as system operators and regulators would still be</w:t>
      </w:r>
      <w:r>
        <w:t xml:space="preserve"> </w:t>
      </w:r>
      <w:r>
        <w:t xml:space="preserve">involved, providing relevant information on local and national grid characteristics. The gap</w:t>
      </w:r>
      <w:r>
        <w:t xml:space="preserve"> </w:t>
      </w:r>
      <w:r>
        <w:t xml:space="preserve">filling mechanism (see measure A.2) would also be steered by this entity. However, Member</w:t>
      </w:r>
      <w:r>
        <w:t xml:space="preserve"> </w:t>
      </w:r>
      <w:r>
        <w:t xml:space="preserve">States would retain their right to veto any PCI/PMI candidate projects to be located in their</w:t>
      </w:r>
      <w:r>
        <w:t xml:space="preserve"> </w:t>
      </w:r>
      <w:r>
        <w:t xml:space="preserve">territory in line with the TFEU, and would therefore have to approve projects in their territory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No existing entity would seem equipped with the necessary expertise, and this would therefore</w:t>
      </w:r>
      <w:r>
        <w:t xml:space="preserve"> </w:t>
      </w:r>
      <w:r>
        <w:t xml:space="preserve">require the transformation of an existing one or the creation of a new entity. A transitional period</w:t>
      </w:r>
      <w:r>
        <w:t xml:space="preserve"> </w:t>
      </w:r>
      <w:r>
        <w:t xml:space="preserve">would therefore be needed.</w:t>
      </w:r>
      <w:r>
        <w:br/>
      </w:r>
      <w:r>
        <w:t xml:space="preserve">A.4 Alignment of scope (smart gas grids/blending, electrolysers, projects of mutual interest)</w:t>
      </w:r>
      <w:r>
        <w:br/>
      </w:r>
      <w:r>
        <w:t xml:space="preserve">Measure A.4 involves strengthened requirements to ensure that electrolysers recognised under</w:t>
      </w:r>
      <w:r>
        <w:t xml:space="preserve"> </w:t>
      </w:r>
      <w:r>
        <w:t xml:space="preserve">the TEN-E have significant cross-border relevance. This is achieved by increasing the</w:t>
      </w:r>
      <w:r>
        <w:t xml:space="preserve"> </w:t>
      </w:r>
      <w:r>
        <w:t xml:space="preserve">installed capacity threshold of electrolysers projects eligible for PCI status from the current</w:t>
      </w:r>
      <w:r>
        <w:t xml:space="preserve"> </w:t>
      </w:r>
      <w:r>
        <w:t xml:space="preserve">50MW to 500MW. The changes cater for a better alignment of this category with the objectives</w:t>
      </w:r>
      <w:r>
        <w:t xml:space="preserve"> </w:t>
      </w:r>
      <w:r>
        <w:t xml:space="preserve">of the TEN-E. To promote infrastructure dedicated to the exclusive use of hydrogen this measure</w:t>
      </w:r>
      <w:r>
        <w:t xml:space="preserve"> </w:t>
      </w:r>
      <w:r>
        <w:t xml:space="preserve">also removes any incentives for projects for blending hydrogen with natural gas, including</w:t>
      </w:r>
      <w:r>
        <w:t xml:space="preserve"> </w:t>
      </w:r>
      <w:r>
        <w:t xml:space="preserve">by removing the smart gas grid category from the scope of the TEN-E Regulation, removing the</w:t>
      </w:r>
      <w:r>
        <w:t xml:space="preserve"> </w:t>
      </w:r>
      <w:r>
        <w:t xml:space="preserve">possibility of blending and amending definitions of ‘dedicated hydrogen assets’ and</w:t>
      </w:r>
      <w:r>
        <w:t xml:space="preserve"> </w:t>
      </w:r>
      <w:r>
        <w:t xml:space="preserve">‘repurposing’ to ensure these exclusively target pure hydrogen. Finally, candidate projects for</w:t>
      </w:r>
      <w:r>
        <w:t xml:space="preserve"> </w:t>
      </w:r>
      <w:r>
        <w:t xml:space="preserve">PMI status with the Energy Community contracting parties would not need to demonstrate net</w:t>
      </w:r>
      <w:r>
        <w:t xml:space="preserve"> </w:t>
      </w:r>
      <w:r>
        <w:t xml:space="preserve">benefits to the Union as long as all other criteria are fulfilled.</w:t>
      </w:r>
      <w:r>
        <w:br/>
      </w:r>
      <w:r>
        <w:t xml:space="preserve">A.5 Broadening scope of PCI categories (modernisation and digitalisation)</w:t>
      </w:r>
      <w:r>
        <w:br/>
      </w:r>
      <w:r>
        <w:t xml:space="preserve">Measure A.5 introduces a change to electricity grids PCI category to more prominently include</w:t>
      </w:r>
      <w:r>
        <w:t xml:space="preserve"> </w:t>
      </w:r>
      <w:r>
        <w:t xml:space="preserve">non-wired solutions and better acknowledge the role of internal lines contributing to cross-</w:t>
      </w:r>
      <w:r>
        <w:t xml:space="preserve"> </w:t>
      </w:r>
      <w:r>
        <w:t xml:space="preserve">border electricity trade (and flows), to enable optimal grid development.</w:t>
      </w:r>
      <w:r>
        <w:br/>
      </w:r>
      <w:r>
        <w:t xml:space="preserve">B. Cost and benefit sharing</w:t>
      </w:r>
      <w:r>
        <w:br/>
      </w:r>
      <w:r>
        <w:t xml:space="preserve">Four policy measures were identified to respond to problem 2 (driver 4) and SO2.</w:t>
      </w:r>
      <w:r>
        <w:t xml:space="preserve"> </w:t>
      </w:r>
      <w:r>
        <w:t xml:space="preserve">B.1 Enhancing transparency and strengthening EU principles for cross-border energy</w:t>
      </w:r>
      <w:r>
        <w:t xml:space="preserve"> </w:t>
      </w:r>
      <w:r>
        <w:t xml:space="preserve">infrastructure costs and benefits sharing</w:t>
      </w:r>
      <w:r>
        <w:t xml:space="preserve"> </w:t>
      </w:r>
      <w:r>
        <w:t xml:space="preserve">Measure B.1. involves enhancing early transparency in the assessment of project benefits and</w:t>
      </w:r>
      <w:r>
        <w:t xml:space="preserve"> </w:t>
      </w:r>
      <w:r>
        <w:t xml:space="preserve">costs to encourage the involvement of non-hosting countries. It also aims to establish a</w:t>
      </w:r>
      <w:r>
        <w:t xml:space="preserve"> </w:t>
      </w:r>
      <w:r>
        <w:t xml:space="preserve">streamlined CBCA process and a more harmonised EU cost-sharing framework. It would</w:t>
      </w:r>
      <w:r>
        <w:t xml:space="preserve"> </w:t>
      </w:r>
      <w:r>
        <w:t xml:space="preserve">require ENTSO-E and ENNOH to publish cost-benefit analysis results showing how the benefits</w:t>
      </w:r>
      <w:r>
        <w:t xml:space="preserve"> </w:t>
      </w:r>
      <w:r>
        <w:t xml:space="preserve">of TYNDP projects are distributed across countries, including non-hosting countries who</w:t>
      </w:r>
      <w:r>
        <w:t xml:space="preserve"> </w:t>
      </w:r>
      <w:r>
        <w:t xml:space="preserve">substantially benefit from such projects. ACER would be mandated to update its</w:t>
      </w:r>
      <w:r>
        <w:t xml:space="preserve"> </w:t>
      </w:r>
      <w:r>
        <w:t xml:space="preserve">recommendation on the treatment of investment requests for PCIs and PMIs (or CBCA</w:t>
      </w:r>
      <w:r>
        <w:t xml:space="preserve"> </w:t>
      </w:r>
      <w:r>
        <w:t xml:space="preserve">recommendation) based on CBCA principles outlined in the TEN-E Regulation.</w:t>
      </w:r>
      <w:r>
        <w:t xml:space="preserve"> </w:t>
      </w:r>
      <w:r>
        <w:t xml:space="preserve">B.2 Use of congestion income for financing of cross-border electricity infrastructure as an</w:t>
      </w:r>
      <w:r>
        <w:t xml:space="preserve"> </w:t>
      </w:r>
      <w:r>
        <w:t xml:space="preserve">incentive to cost-sharing</w:t>
      </w:r>
      <w:r>
        <w:t xml:space="preserve"> </w:t>
      </w:r>
      <w:r>
        <w:t xml:space="preserve">Under measure B.2, congestion income is used to create an additional tool for unlocking cost-</w:t>
      </w:r>
      <w:r>
        <w:t xml:space="preserve"> </w:t>
      </w:r>
      <w:r>
        <w:t xml:space="preserve">sharing discussions with the aim to increase the use of cost-sharing tools. The Commission would</w:t>
      </w:r>
      <w:r>
        <w:t xml:space="preserve"> </w:t>
      </w:r>
      <w:r>
        <w:t xml:space="preserve">be empowered to provide detailed rules on the use of congestion income for financing cross-</w:t>
      </w:r>
      <w:r>
        <w:t xml:space="preserve"> </w:t>
      </w:r>
      <w:r>
        <w:t xml:space="preserve">border electricity infrastructure under the Electricity Regulation. TSOs would be required to</w:t>
      </w:r>
      <w:r>
        <w:t xml:space="preserve"> </w:t>
      </w:r>
      <w:r>
        <w:t xml:space="preserve">allocate a share of the congestion income to PCIs addressing the biggest bottlenecks in the</w:t>
      </w:r>
      <w:r>
        <w:t xml:space="preserve"> </w:t>
      </w:r>
      <w:r>
        <w:t xml:space="preserve">European or regional energy systems. This should facilitate reaching agreements on cross-border</w:t>
      </w:r>
      <w:r>
        <w:t xml:space="preserve"> </w:t>
      </w:r>
      <w:r>
        <w:t xml:space="preserve">cost allocation, particularly for projects that generate substantial benefits for Member States other</w:t>
      </w:r>
      <w:r>
        <w:t xml:space="preserve"> </w:t>
      </w:r>
      <w:r>
        <w:t xml:space="preserve">than the host country.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B.3 Enabling framework for voluntary bundling of projects</w:t>
      </w:r>
      <w:r>
        <w:br/>
      </w:r>
      <w:r>
        <w:t xml:space="preserve">Measure B.3. seeks to incentivise increased financial contributions from Member States towards</w:t>
      </w:r>
      <w:r>
        <w:t xml:space="preserve"> </w:t>
      </w:r>
      <w:r>
        <w:t xml:space="preserve">cross-border energy infrastructure projects that generate benefits beyond their host countries by</w:t>
      </w:r>
      <w:r>
        <w:t xml:space="preserve"> </w:t>
      </w:r>
      <w:r>
        <w:t xml:space="preserve">establishing an EU-level framework for the identification and voluntary bundling of cross-</w:t>
      </w:r>
      <w:r>
        <w:t xml:space="preserve"> </w:t>
      </w:r>
      <w:r>
        <w:t xml:space="preserve">border projects to enable and encourage discussions amongst relevant Member States (and third</w:t>
      </w:r>
      <w:r>
        <w:t xml:space="preserve"> </w:t>
      </w:r>
      <w:r>
        <w:t xml:space="preserve">countries). These projects would be grouped together to enable cost-sharing discussions amongst</w:t>
      </w:r>
      <w:r>
        <w:t xml:space="preserve"> </w:t>
      </w:r>
      <w:r>
        <w:t xml:space="preserve">relevant Member States or third countries and facilitate joint PCI applications and access to CEF.</w:t>
      </w:r>
      <w:r>
        <w:t xml:space="preserve"> </w:t>
      </w:r>
      <w:r>
        <w:t xml:space="preserve">While the voluntary bundling of projects is already possible in principle, certain legislative</w:t>
      </w:r>
      <w:r>
        <w:t xml:space="preserve"> </w:t>
      </w:r>
      <w:r>
        <w:t xml:space="preserve">changes are required to allow for project bundles to fully benefit from the cross-border cost</w:t>
      </w:r>
      <w:r>
        <w:t xml:space="preserve"> </w:t>
      </w:r>
      <w:r>
        <w:t xml:space="preserve">allocation provisions under the TEN-E framework. For instance, a new definition of project</w:t>
      </w:r>
      <w:r>
        <w:t xml:space="preserve"> </w:t>
      </w:r>
      <w:r>
        <w:t xml:space="preserve">bundles would be introduced that would allow for specific references in the cross-border cost-</w:t>
      </w:r>
      <w:r>
        <w:t xml:space="preserve"> </w:t>
      </w:r>
      <w:r>
        <w:t xml:space="preserve">allocation framework currently designed for project-specific PCIs/PMIs.</w:t>
      </w:r>
      <w:r>
        <w:t xml:space="preserve"> </w:t>
      </w:r>
      <w:r>
        <w:t xml:space="preserve">B.4 Mandatory offshore regional planning and cost-sharing</w:t>
      </w:r>
      <w:r>
        <w:t xml:space="preserve"> </w:t>
      </w:r>
      <w:r>
        <w:t xml:space="preserve">Measure B.4 introduces a mandatory regional planning for offshore cross-border</w:t>
      </w:r>
      <w:r>
        <w:t xml:space="preserve"> </w:t>
      </w:r>
      <w:r>
        <w:t xml:space="preserve">infrastructure projects within sea-basins where hybrid or cross-border radials are already</w:t>
      </w:r>
      <w:r>
        <w:t xml:space="preserve"> </w:t>
      </w:r>
      <w:r>
        <w:t xml:space="preserve">planned, building on existing processes in view of possible application in other areas.</w:t>
      </w:r>
      <w:r>
        <w:t xml:space="preserve"> </w:t>
      </w:r>
      <w:r>
        <w:t xml:space="preserve">C. Permitting</w:t>
      </w:r>
      <w:r>
        <w:br/>
      </w:r>
      <w:r>
        <w:t xml:space="preserve">Three policy measures were identified to respond to problem 2 (driver 5) and achieve SO3.</w:t>
      </w:r>
      <w:r>
        <w:t xml:space="preserve"> </w:t>
      </w:r>
      <w:r>
        <w:t xml:space="preserve">C.1 Supporting the implementation of existing legislation and issuing guidance</w:t>
      </w:r>
      <w:r>
        <w:br/>
      </w:r>
      <w:r>
        <w:t xml:space="preserve">Measure C.1 entails reinforcing policy efforts to implement the current permitting</w:t>
      </w:r>
      <w:r>
        <w:t xml:space="preserve"> </w:t>
      </w:r>
      <w:r>
        <w:t xml:space="preserve">acceleration framework and adopting new non-legislative measures. It does not, however,</w:t>
      </w:r>
      <w:r>
        <w:t xml:space="preserve"> </w:t>
      </w:r>
      <w:r>
        <w:t xml:space="preserve">introduce new legislative measures. The Commission would also support Member States to</w:t>
      </w:r>
      <w:r>
        <w:t xml:space="preserve"> </w:t>
      </w:r>
      <w:r>
        <w:t xml:space="preserve">implement best practices. The Commission would issue or update guidance on the</w:t>
      </w:r>
      <w:r>
        <w:t xml:space="preserve"> </w:t>
      </w:r>
      <w:r>
        <w:t xml:space="preserve">implementation of certain aspects of the environmental assessment framework for permitting</w:t>
      </w:r>
      <w:r>
        <w:t xml:space="preserve"> </w:t>
      </w:r>
      <w:r>
        <w:t xml:space="preserve">procedures, support implementation via dialogue with Member States in dedicated fora such as</w:t>
      </w:r>
      <w:r>
        <w:t xml:space="preserve"> </w:t>
      </w:r>
      <w:r>
        <w:t xml:space="preserve">CA-RES and may establish additional technical fora to address implementing barriers.</w:t>
      </w:r>
      <w:r>
        <w:br/>
      </w:r>
      <w:r>
        <w:t xml:space="preserve">C.2 Targeted legislative changes to accelerate permitting</w:t>
      </w:r>
      <w:r>
        <w:br/>
      </w:r>
      <w:r>
        <w:t xml:space="preserve">Measure C.2 involves legislative amendments to further accelerate and simplify permitting</w:t>
      </w:r>
      <w:r>
        <w:t xml:space="preserve"> </w:t>
      </w:r>
      <w:r>
        <w:t xml:space="preserve">procedures for cross-border, national transmission and local distribution grids as well as</w:t>
      </w:r>
      <w:r>
        <w:t xml:space="preserve"> </w:t>
      </w:r>
      <w:r>
        <w:t xml:space="preserve">renewable energy and storage projects and recharging stations. These amendments could include:</w:t>
      </w:r>
      <w:r>
        <w:t xml:space="preserve"> </w:t>
      </w:r>
      <w:r>
        <w:t xml:space="preserve">(1) establishing an EU level framework for the accelerated permitting of electricity distribution,</w:t>
      </w:r>
      <w:r>
        <w:t xml:space="preserve"> </w:t>
      </w:r>
      <w:r>
        <w:t xml:space="preserve">transmission and storage projects and recharging stations including alignment with and further</w:t>
      </w:r>
      <w:r>
        <w:t xml:space="preserve"> </w:t>
      </w:r>
      <w:r>
        <w:t xml:space="preserve">strengthening of the EU level permitting provisions applicable to hydrogen infrastructure; (2)</w:t>
      </w:r>
      <w:r>
        <w:t xml:space="preserve"> </w:t>
      </w:r>
      <w:r>
        <w:t xml:space="preserve">strengthening the permitting acceleration provisions of the TEN-E Regulation; (3) introducing</w:t>
      </w:r>
      <w:r>
        <w:t xml:space="preserve"> </w:t>
      </w:r>
      <w:r>
        <w:t xml:space="preserve">changes in the revised RED with regards to the permitting framework, introducing a fast</w:t>
      </w:r>
      <w:r>
        <w:t xml:space="preserve"> </w:t>
      </w:r>
      <w:r>
        <w:t xml:space="preserve">permitting framework for non co-located storage assets, and recharging stations, making</w:t>
      </w:r>
      <w:r>
        <w:t xml:space="preserve"> </w:t>
      </w:r>
      <w:r>
        <w:t xml:space="preserve">permanent measures from the Emergency regulation and addressing any remaining shortcomings</w:t>
      </w:r>
      <w:r>
        <w:t xml:space="preserve"> </w:t>
      </w:r>
      <w:r>
        <w:t xml:space="preserve">(that have not been addressed before or that have addressed only partially) that hinder permitting</w:t>
      </w:r>
      <w:r>
        <w:t xml:space="preserve"> </w:t>
      </w:r>
      <w:r>
        <w:t xml:space="preserve">and compliance with the existing framework; (4) simplifying and streamlining environmental</w:t>
      </w:r>
      <w:r>
        <w:t xml:space="preserve"> </w:t>
      </w:r>
      <w:r>
        <w:t xml:space="preserve">assessments applicable to energy assets; exempting certain projects due to their characteristics</w:t>
      </w:r>
      <w:r>
        <w:t xml:space="preserve"> </w:t>
      </w:r>
      <w:r>
        <w:t xml:space="preserve">from certain assessments or elements thereof.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The permitting measures that are assessed as part of the Grids Package can be summarised as</w:t>
      </w:r>
      <w:r>
        <w:t xml:space="preserve"> </w:t>
      </w:r>
      <w:r>
        <w:t xml:space="preserve">follows building on the description in Annex 9:</w:t>
      </w:r>
      <w:r>
        <w:t xml:space="preserve"> </w:t>
      </w:r>
      <w:r>
        <w:t xml:space="preserve">• Presumptions of overriding public interest for all PCIs/PMIs and temporarily for all</w:t>
      </w:r>
      <w:r>
        <w:t xml:space="preserve"> </w:t>
      </w:r>
      <w:r>
        <w:t xml:space="preserve">transmission and distribution system infrastructure. Expanded scope of the presumption</w:t>
      </w:r>
      <w:r>
        <w:t xml:space="preserve"> </w:t>
      </w:r>
      <w:r>
        <w:t xml:space="preserve">under the revised RED and deletion of the possibility of exemptions.</w:t>
      </w:r>
      <w:r>
        <w:t xml:space="preserve"> </w:t>
      </w:r>
      <w:r>
        <w:t xml:space="preserve">• One-stop-shop/single point of contact for electricity system infrastructure and</w:t>
      </w:r>
      <w:r>
        <w:t xml:space="preserve"> </w:t>
      </w:r>
      <w:r>
        <w:t xml:space="preserve">digitalisation and centralisation of procedures and data gathering.</w:t>
      </w:r>
      <w:r>
        <w:t xml:space="preserve"> </w:t>
      </w:r>
      <w:r>
        <w:t xml:space="preserve">• Time limits: introducing (for electricity infrastructure, non co-located storage and</w:t>
      </w:r>
      <w:r>
        <w:t xml:space="preserve"> </w:t>
      </w:r>
      <w:r>
        <w:t xml:space="preserve">recharging stations).</w:t>
      </w:r>
      <w:r>
        <w:t xml:space="preserve"> </w:t>
      </w:r>
      <w:r>
        <w:t xml:space="preserve">• Expand tacit approvals and introduce exemptions from environmental assessments</w:t>
      </w:r>
      <w:r>
        <w:t xml:space="preserve"> </w:t>
      </w:r>
      <w:r>
        <w:t xml:space="preserve">(EIA, assessments under the Water Framework and Marine Strategy Directive).</w:t>
      </w:r>
      <w:r>
        <w:br/>
      </w:r>
      <w:r>
        <w:t xml:space="preserve">• Make permanent measures of the Emergency Regulation for alternative tests and</w:t>
      </w:r>
      <w:r>
        <w:t xml:space="preserve"> </w:t>
      </w:r>
      <w:r>
        <w:t xml:space="preserve">compensation measures.</w:t>
      </w:r>
      <w:r>
        <w:t xml:space="preserve"> </w:t>
      </w:r>
      <w:r>
        <w:t xml:space="preserve">• Introduce measures with regards to public participation and acceptance and strengthen</w:t>
      </w:r>
      <w:r>
        <w:t xml:space="preserve"> </w:t>
      </w:r>
      <w:r>
        <w:t xml:space="preserve">cross-border procedures under the TEN-E regulation applicable to all PCIs.</w:t>
      </w:r>
      <w:r>
        <w:t xml:space="preserve"> </w:t>
      </w:r>
      <w:r>
        <w:t xml:space="preserve">• Introduce obligation of adequate administrative resources in the TEN-E Regulation,</w:t>
      </w:r>
      <w:r>
        <w:t xml:space="preserve"> </w:t>
      </w:r>
      <w:r>
        <w:t xml:space="preserve">Electricity Directive and Gases Directive.</w:t>
      </w:r>
      <w:r>
        <w:t xml:space="preserve"> </w:t>
      </w:r>
      <w:r>
        <w:t xml:space="preserve">The proposed measures build on the acceleration measures introduced in previous sectorial</w:t>
      </w:r>
      <w:r>
        <w:t xml:space="preserve"> </w:t>
      </w:r>
      <w:r>
        <w:t xml:space="preserve">initiatives to facilitate that these deadlines can be met, procedures simplified, and the lead time</w:t>
      </w:r>
      <w:r>
        <w:t xml:space="preserve"> </w:t>
      </w:r>
      <w:r>
        <w:t xml:space="preserve">for permits is shortened. These elements would also ensure a better implementation of the EU</w:t>
      </w:r>
      <w:r>
        <w:t xml:space="preserve"> </w:t>
      </w:r>
      <w:r>
        <w:t xml:space="preserve">rules for permitting at national level and by the different administrative entities involved, thus</w:t>
      </w:r>
      <w:r>
        <w:t xml:space="preserve"> </w:t>
      </w:r>
      <w:r>
        <w:t xml:space="preserve">promoting the effectiveness of the different permitting frameworks.</w:t>
      </w:r>
      <w:r>
        <w:t xml:space="preserve"> </w:t>
      </w:r>
      <w:r>
        <w:t xml:space="preserve">Court proceedings are not under the scope of the permitting rules for renewable generation and</w:t>
      </w:r>
      <w:r>
        <w:t xml:space="preserve"> </w:t>
      </w:r>
      <w:r>
        <w:t xml:space="preserve">grid infrastructure, for storage and charging stations projects, so no direct measures are proposed,</w:t>
      </w:r>
      <w:r>
        <w:t xml:space="preserve"> </w:t>
      </w:r>
      <w:r>
        <w:t xml:space="preserve">but the measures on public participation aim at decreasing litigation and therefore delays by court</w:t>
      </w:r>
      <w:r>
        <w:t xml:space="preserve"> </w:t>
      </w:r>
      <w:r>
        <w:t xml:space="preserve">proceedings. Furthermore, the Commission will deal with long and complex court proceedings</w:t>
      </w:r>
      <w:r>
        <w:t xml:space="preserve"> </w:t>
      </w:r>
      <w:r>
        <w:t xml:space="preserve">via non-legislative actions, including discussions in the context of the Permitting Expert Group.</w:t>
      </w:r>
      <w:r>
        <w:t xml:space="preserve"> </w:t>
      </w:r>
      <w:r>
        <w:t xml:space="preserve">C.3 Centralised EU-wide permitting coordination regime for certain large-scale energy</w:t>
      </w:r>
      <w:r>
        <w:t xml:space="preserve"> </w:t>
      </w:r>
      <w:r>
        <w:t xml:space="preserve">infrastructure projects</w:t>
      </w:r>
      <w:r>
        <w:t xml:space="preserve"> </w:t>
      </w:r>
      <w:r>
        <w:t xml:space="preserve">Measure C.3 would introduce a centralised EU (“28th”) regime for the permitting of very large</w:t>
      </w:r>
      <w:r>
        <w:t xml:space="preserve"> </w:t>
      </w:r>
      <w:r>
        <w:t xml:space="preserve">energy projects such as interconnectors and large-scale renewable energy projects with cross-</w:t>
      </w:r>
      <w:r>
        <w:t xml:space="preserve"> </w:t>
      </w:r>
      <w:r>
        <w:t xml:space="preserve">border characteristics.103 This would shift responsibility of coordinating permitting processes</w:t>
      </w:r>
      <w:r>
        <w:t xml:space="preserve"> </w:t>
      </w:r>
      <w:r>
        <w:t xml:space="preserve">from Member States’ one-stop shops to the EU through a permanent European coordination</w:t>
      </w:r>
      <w:r>
        <w:t xml:space="preserve"> </w:t>
      </w:r>
      <w:r>
        <w:t xml:space="preserve">authority. National permitting authorities would retain a critical role in the permit granting</w:t>
      </w:r>
      <w:r>
        <w:t xml:space="preserve"> </w:t>
      </w:r>
      <w:r>
        <w:t xml:space="preserve">procedure as projects have an impact on land use, property and the environment within their</w:t>
      </w:r>
      <w:r>
        <w:t xml:space="preserve"> </w:t>
      </w:r>
      <w:r>
        <w:t xml:space="preserve">territory. The centralised EU coordination entity would liaise with national and local authorities</w:t>
      </w:r>
    </w:p>
    <w:p>
      <w:pPr>
        <w:pStyle w:val="BodyText"/>
      </w:pPr>
      <w:r>
        <w:t xml:space="preserve">103 M. Draghi, “The future of European competitiveness – Part A | A competitiveness strategy for Europe”, p. 50-51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to verify that the necessary approvals are granted on time, without having direct impact on the</w:t>
      </w:r>
      <w:r>
        <w:t xml:space="preserve"> </w:t>
      </w:r>
      <w:r>
        <w:t xml:space="preserve">national procedures. A transitional period would likely be needed to set up and operationalise a</w:t>
      </w:r>
      <w:r>
        <w:t xml:space="preserve"> </w:t>
      </w:r>
      <w:r>
        <w:t xml:space="preserve">new EU-level entity or expand the scope of an existing one.</w:t>
      </w:r>
      <w:r>
        <w:t xml:space="preserve"> </w:t>
      </w:r>
      <w:r>
        <w:t xml:space="preserve">D. Security</w:t>
      </w:r>
      <w:r>
        <w:t xml:space="preserve"> </w:t>
      </w:r>
      <w:r>
        <w:t xml:space="preserve">Three policy measures were identified to address problem 3 (drivers 6 and 7) and achieve SO4.</w:t>
      </w:r>
      <w:r>
        <w:br/>
      </w:r>
      <w:r>
        <w:t xml:space="preserve">D.1 Including physical and cyber-risk resilience considerations in the monitoring of PCIs</w:t>
      </w:r>
      <w:r>
        <w:t xml:space="preserve"> </w:t>
      </w:r>
      <w:r>
        <w:t xml:space="preserve">and PMIs</w:t>
      </w:r>
      <w:r>
        <w:t xml:space="preserve"> </w:t>
      </w:r>
      <w:r>
        <w:t xml:space="preserve">Measure D.1 would require project promoters to include a risk assessment as part of their</w:t>
      </w:r>
      <w:r>
        <w:t xml:space="preserve"> </w:t>
      </w:r>
      <w:r>
        <w:t xml:space="preserve">implementation plan and, where needed, provide details on the envisaged physical and</w:t>
      </w:r>
      <w:r>
        <w:t xml:space="preserve"> </w:t>
      </w:r>
      <w:r>
        <w:t xml:space="preserve">cybersecurity mitigation measures in their annual reports with the aim to enhance physical and</w:t>
      </w:r>
      <w:r>
        <w:t xml:space="preserve"> </w:t>
      </w:r>
      <w:r>
        <w:t xml:space="preserve">cyber security and resilience of cross-border energy infrastructure (PCIs/PMIs).</w:t>
      </w:r>
      <w:r>
        <w:t xml:space="preserve"> </w:t>
      </w:r>
      <w:r>
        <w:t xml:space="preserve">D.2 Additional transparency requirements regarding the ultimate beneficial owners of</w:t>
      </w:r>
      <w:r>
        <w:t xml:space="preserve"> </w:t>
      </w:r>
      <w:r>
        <w:t xml:space="preserve">candidate PCIs/PMIs</w:t>
      </w:r>
      <w:r>
        <w:t xml:space="preserve"> </w:t>
      </w:r>
      <w:r>
        <w:t xml:space="preserve">Measure D.2 introduces transparency requirements regarding the ultimate beneficial owners</w:t>
      </w:r>
      <w:r>
        <w:t xml:space="preserve"> </w:t>
      </w:r>
      <w:r>
        <w:t xml:space="preserve">of all candidate PCI/PMI projects and their internal shareholder structure to address increased</w:t>
      </w:r>
      <w:r>
        <w:t xml:space="preserve"> </w:t>
      </w:r>
      <w:r>
        <w:t xml:space="preserve">exposure to foreign investments. Project promoters would be required to share information about</w:t>
      </w:r>
      <w:r>
        <w:t xml:space="preserve"> </w:t>
      </w:r>
      <w:r>
        <w:t xml:space="preserve">their ultimate beneficial owners during the TYNDP application process to be taken into account</w:t>
      </w:r>
      <w:r>
        <w:t xml:space="preserve"> </w:t>
      </w:r>
      <w:r>
        <w:t xml:space="preserve">in the assessment of candidate PCI and PMIs.</w:t>
      </w:r>
      <w:r>
        <w:br/>
      </w:r>
      <w:r>
        <w:t xml:space="preserve">D.3 Including security and resilience-related equipment for the upgrade of existing</w:t>
      </w:r>
      <w:r>
        <w:t xml:space="preserve"> </w:t>
      </w:r>
      <w:r>
        <w:t xml:space="preserve">electricity cross-border infrastructure under TEN-E scope</w:t>
      </w:r>
      <w:r>
        <w:t xml:space="preserve"> </w:t>
      </w:r>
      <w:r>
        <w:t xml:space="preserve">Measure D.3 introduces the possibility to include PCIs related to security upgrades of existing</w:t>
      </w:r>
      <w:r>
        <w:t xml:space="preserve"> </w:t>
      </w:r>
      <w:r>
        <w:t xml:space="preserve">electricity infrastructure under the TEN-E framework.</w:t>
      </w:r>
      <w:r>
        <w:t xml:space="preserve"> </w:t>
      </w:r>
      <w:r>
        <w:t xml:space="preserve">5.2.2. Description of the policy options</w:t>
      </w:r>
      <w:r>
        <w:br/>
      </w:r>
      <w:r>
        <w:t xml:space="preserve">The measures described in Section 5.2.1 have been grouped in 3 policy options. Table 1 provides</w:t>
      </w:r>
      <w:r>
        <w:t xml:space="preserve"> </w:t>
      </w:r>
      <w:r>
        <w:t xml:space="preserve">an overview of the policy measures and their links with specific objectives and policy options.</w:t>
      </w:r>
      <w:r>
        <w:t xml:space="preserve"> </w:t>
      </w:r>
      <w:r>
        <w:t xml:space="preserve">The design of policy options follows a logic of varying degrees of EU-level intervention and</w:t>
      </w:r>
      <w:r>
        <w:t xml:space="preserve"> </w:t>
      </w:r>
      <w:r>
        <w:t xml:space="preserve">coordination in achieving the general and specific objectives.</w:t>
      </w:r>
      <w:r>
        <w:br/>
      </w:r>
      <w:r>
        <w:t xml:space="preserve">The design of the policy options takes into account the compatibility of the respective policy</w:t>
      </w:r>
      <w:r>
        <w:t xml:space="preserve"> </w:t>
      </w:r>
      <w:r>
        <w:t xml:space="preserve">measures and their governance implications. Alternative groupings of the policy measures have</w:t>
      </w:r>
      <w:r>
        <w:t xml:space="preserve"> </w:t>
      </w:r>
      <w:r>
        <w:t xml:space="preserve">been considered but were not pursued due to lack of internal coherence or non-compatibility.</w:t>
      </w:r>
      <w:r>
        <w:t xml:space="preserve"> </w:t>
      </w:r>
      <w:r>
        <w:t xml:space="preserve">Further, several policy measures were included across the policy options as they do not</w:t>
      </w:r>
      <w:r>
        <w:t xml:space="preserve"> </w:t>
      </w:r>
      <w:r>
        <w:t xml:space="preserve">compromise the internal coherence of the options.</w:t>
      </w:r>
      <w:r>
        <w:br/>
      </w:r>
      <w:r>
        <w:t xml:space="preserve">Table 1: Specific objectives, policy options and policy measures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A) Infrastructure planning and project implementation</w:t>
      </w:r>
    </w:p>
    <w:p>
      <w:pPr>
        <w:pStyle w:val="BodyText"/>
      </w:pPr>
      <w:r>
        <w:t xml:space="preserve">SO1: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projects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network plans address</w:t>
      </w:r>
      <w:r>
        <w:t xml:space="preserve"> </w:t>
      </w:r>
      <w:r>
        <w:t xml:space="preserve">A.1</w:t>
      </w:r>
      <w:r>
        <w:t xml:space="preserve"> </w:t>
      </w:r>
      <w:r>
        <w:t xml:space="preserve">Strengthening the existing framework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A.2</w:t>
      </w:r>
      <w:r>
        <w:t xml:space="preserve"> </w:t>
      </w:r>
      <w:r>
        <w:t xml:space="preserve">Increased EU level steering / coordination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A.3</w:t>
      </w:r>
      <w:r>
        <w:t xml:space="preserve"> </w:t>
      </w:r>
      <w:r>
        <w:t xml:space="preserve">Fully centralised approach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appropriately identified</w:t>
      </w:r>
      <w:r>
        <w:t xml:space="preserve"> </w:t>
      </w:r>
      <w:r>
        <w:t xml:space="preserve">needs</w:t>
      </w:r>
      <w:r>
        <w:t xml:space="preserve"> </w:t>
      </w:r>
      <w:r>
        <w:t xml:space="preserve">A.4</w:t>
      </w:r>
      <w:r>
        <w:t xml:space="preserve"> </w:t>
      </w:r>
      <w:r>
        <w:t xml:space="preserve">Alignment of scope (smart gas grids/</w:t>
      </w:r>
      <w:r>
        <w:t xml:space="preserve"> </w:t>
      </w:r>
      <w:r>
        <w:t xml:space="preserve">blending, electrolysers, PMIs)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A.5</w:t>
      </w:r>
      <w:r>
        <w:t xml:space="preserve"> </w:t>
      </w:r>
      <w:r>
        <w:t xml:space="preserve">Broadening scope of PCI categories</w:t>
      </w:r>
      <w:r>
        <w:t xml:space="preserve"> </w:t>
      </w:r>
      <w:r>
        <w:t xml:space="preserve">(modernisation and digitalisation)104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B) Cost and benefit sharing</w:t>
      </w:r>
    </w:p>
    <w:p>
      <w:pPr>
        <w:pStyle w:val="BodyText"/>
      </w:pPr>
      <w:r>
        <w:t xml:space="preserve">SO2: Facilitate the use of</w:t>
      </w:r>
      <w:r>
        <w:t xml:space="preserve"> </w:t>
      </w:r>
      <w:r>
        <w:t xml:space="preserve">cost-sharing tools for</w:t>
      </w:r>
      <w:r>
        <w:t xml:space="preserve"> </w:t>
      </w:r>
      <w:r>
        <w:t xml:space="preserve">faster deployment cross-</w:t>
      </w:r>
      <w:r>
        <w:t xml:space="preserve"> </w:t>
      </w:r>
      <w:r>
        <w:t xml:space="preserve">border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projects</w:t>
      </w:r>
      <w:r>
        <w:t xml:space="preserve"> </w:t>
      </w:r>
      <w:r>
        <w:t xml:space="preserve">B.1</w:t>
      </w:r>
      <w:r>
        <w:t xml:space="preserve"> </w:t>
      </w:r>
      <w:r>
        <w:t xml:space="preserve">Enhancing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</w:t>
      </w:r>
      <w:r>
        <w:t xml:space="preserve"> </w:t>
      </w:r>
      <w:r>
        <w:t xml:space="preserve">strengthening EU principles for cross-</w:t>
      </w:r>
      <w:r>
        <w:t xml:space="preserve"> </w:t>
      </w:r>
      <w:r>
        <w:t xml:space="preserve">border energy infrastructure costs and</w:t>
      </w:r>
      <w:r>
        <w:t xml:space="preserve"> </w:t>
      </w:r>
      <w:r>
        <w:t xml:space="preserve">benefits sharing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B.2</w:t>
      </w:r>
      <w:r>
        <w:t xml:space="preserve"> </w:t>
      </w:r>
      <w:r>
        <w:t xml:space="preserve">Use of congestion income for financing of</w:t>
      </w:r>
      <w:r>
        <w:t xml:space="preserve"> </w:t>
      </w:r>
      <w:r>
        <w:t xml:space="preserve">cross-border electricity infrastructure as</w:t>
      </w:r>
      <w:r>
        <w:t xml:space="preserve"> </w:t>
      </w:r>
      <w:r>
        <w:t xml:space="preserve">an incentive to cost-sharing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B.3</w:t>
      </w:r>
      <w:r>
        <w:br/>
      </w:r>
      <w:r>
        <w:t xml:space="preserve">Enabling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voluntary</w:t>
      </w:r>
      <w:r>
        <w:t xml:space="preserve"> </w:t>
      </w:r>
      <w:r>
        <w:t xml:space="preserve">bundling of projects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B.4</w:t>
      </w:r>
      <w:r>
        <w:t xml:space="preserve"> </w:t>
      </w:r>
      <w:r>
        <w:t xml:space="preserve">Mandatory offshore regional planning and</w:t>
      </w:r>
      <w:r>
        <w:t xml:space="preserve"> </w:t>
      </w:r>
      <w:r>
        <w:t xml:space="preserve">cost-sharing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C) Permitting</w:t>
      </w:r>
    </w:p>
    <w:p>
      <w:pPr>
        <w:pStyle w:val="BodyText"/>
      </w:pPr>
      <w:r>
        <w:t xml:space="preserve">SO3:</w:t>
      </w:r>
      <w:r>
        <w:t xml:space="preserve"> </w:t>
      </w:r>
      <w:r>
        <w:t xml:space="preserve">Shorten</w:t>
      </w:r>
      <w:r>
        <w:t xml:space="preserve"> </w:t>
      </w:r>
      <w:r>
        <w:t xml:space="preserve">and</w:t>
      </w:r>
      <w:r>
        <w:t xml:space="preserve"> </w:t>
      </w:r>
      <w:r>
        <w:t xml:space="preserve">simplify</w:t>
      </w:r>
      <w:r>
        <w:t xml:space="preserve"> </w:t>
      </w:r>
      <w:r>
        <w:t xml:space="preserve">permitting</w:t>
      </w:r>
      <w:r>
        <w:t xml:space="preserve"> </w:t>
      </w:r>
      <w:r>
        <w:t xml:space="preserve">procedures for energy</w:t>
      </w:r>
      <w:r>
        <w:t xml:space="preserve"> </w:t>
      </w:r>
      <w:r>
        <w:t xml:space="preserve">infrastructure, renewable</w:t>
      </w:r>
      <w:r>
        <w:t xml:space="preserve"> </w:t>
      </w:r>
      <w:r>
        <w:t xml:space="preserve">energy</w:t>
      </w:r>
      <w:r>
        <w:t xml:space="preserve"> </w:t>
      </w:r>
      <w:r>
        <w:t xml:space="preserve">and</w:t>
      </w:r>
      <w:r>
        <w:t xml:space="preserve"> </w:t>
      </w:r>
      <w:r>
        <w:t xml:space="preserve">storage</w:t>
      </w:r>
      <w:r>
        <w:t xml:space="preserve"> </w:t>
      </w:r>
      <w:r>
        <w:t xml:space="preserve">projects,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recharging stations</w:t>
      </w:r>
      <w:r>
        <w:t xml:space="preserve"> </w:t>
      </w:r>
      <w:r>
        <w:t xml:space="preserve">C.1</w:t>
      </w:r>
      <w:r>
        <w:t xml:space="preserve"> </w:t>
      </w:r>
      <w:r>
        <w:t xml:space="preserve">Supporting the implementation of existing</w:t>
      </w:r>
      <w:r>
        <w:t xml:space="preserve"> </w:t>
      </w:r>
      <w:r>
        <w:t xml:space="preserve">legislation and issuing guidance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C.2</w:t>
      </w:r>
      <w:r>
        <w:t xml:space="preserve"> </w:t>
      </w:r>
      <w:r>
        <w:t xml:space="preserve">Targeted legislative changes to accelerate</w:t>
      </w:r>
      <w:r>
        <w:t xml:space="preserve"> </w:t>
      </w:r>
      <w:r>
        <w:t xml:space="preserve">permitting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C.3</w:t>
      </w:r>
      <w:r>
        <w:t xml:space="preserve"> </w:t>
      </w:r>
      <w:r>
        <w:t xml:space="preserve">Centralised</w:t>
      </w:r>
      <w:r>
        <w:t xml:space="preserve"> </w:t>
      </w:r>
      <w:r>
        <w:t xml:space="preserve">EU-wide</w:t>
      </w:r>
      <w:r>
        <w:t xml:space="preserve"> </w:t>
      </w:r>
      <w:r>
        <w:t xml:space="preserve">permitting</w:t>
      </w:r>
      <w:r>
        <w:t xml:space="preserve"> </w:t>
      </w:r>
      <w:r>
        <w:t xml:space="preserve">coordination regime for certain large-</w:t>
      </w:r>
      <w:r>
        <w:t xml:space="preserve"> </w:t>
      </w:r>
      <w:r>
        <w:t xml:space="preserve">scale energy infrastructure projects (“28th</w:t>
      </w:r>
      <w:r>
        <w:t xml:space="preserve"> </w:t>
      </w:r>
      <w:r>
        <w:t xml:space="preserve">Regime”)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D) Security</w:t>
      </w:r>
    </w:p>
    <w:p>
      <w:pPr>
        <w:pStyle w:val="BodyText"/>
      </w:pPr>
      <w:r>
        <w:t xml:space="preserve">SO4: Enhance physical</w:t>
      </w:r>
      <w:r>
        <w:t xml:space="preserve"> </w:t>
      </w:r>
      <w:r>
        <w:t xml:space="preserve">and cyber security and</w:t>
      </w:r>
      <w:r>
        <w:t xml:space="preserve"> </w:t>
      </w:r>
      <w:r>
        <w:t xml:space="preserve">resilience of cross-border</w:t>
      </w:r>
      <w:r>
        <w:t xml:space="preserve"> </w:t>
      </w:r>
      <w:r>
        <w:t xml:space="preserve">energy infrastructure</w:t>
      </w:r>
      <w:r>
        <w:t xml:space="preserve"> </w:t>
      </w:r>
      <w:r>
        <w:t xml:space="preserve">D.1</w:t>
      </w:r>
      <w:r>
        <w:t xml:space="preserve"> </w:t>
      </w:r>
      <w:r>
        <w:t xml:space="preserve">Including</w:t>
      </w:r>
      <w:r>
        <w:t xml:space="preserve"> </w:t>
      </w:r>
      <w:r>
        <w:t xml:space="preserve">physical</w:t>
      </w:r>
      <w:r>
        <w:t xml:space="preserve"> </w:t>
      </w:r>
      <w:r>
        <w:t xml:space="preserve">and</w:t>
      </w:r>
      <w:r>
        <w:t xml:space="preserve"> </w:t>
      </w:r>
      <w:r>
        <w:t xml:space="preserve">cyber-risk</w:t>
      </w:r>
      <w:r>
        <w:t xml:space="preserve"> </w:t>
      </w:r>
      <w:r>
        <w:t xml:space="preserve">resilience</w:t>
      </w:r>
      <w:r>
        <w:t xml:space="preserve"> </w:t>
      </w:r>
      <w:r>
        <w:t xml:space="preserve">considerations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monitoring of PCIs and PMIs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D.2</w:t>
      </w:r>
      <w:r>
        <w:t xml:space="preserve"> </w:t>
      </w:r>
      <w:r>
        <w:t xml:space="preserve">Additional transparency requirements</w:t>
      </w:r>
      <w:r>
        <w:t xml:space="preserve"> </w:t>
      </w:r>
      <w:r>
        <w:t xml:space="preserve">regarding the ultimate beneficial owners</w:t>
      </w:r>
      <w:r>
        <w:t xml:space="preserve"> </w:t>
      </w:r>
      <w:r>
        <w:t xml:space="preserve">of candidate PCIs/PMIs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D.3</w:t>
      </w:r>
      <w:r>
        <w:t xml:space="preserve"> </w:t>
      </w:r>
      <w:r>
        <w:t xml:space="preserve">Including security and resilience-related</w:t>
      </w:r>
      <w:r>
        <w:t xml:space="preserve"> </w:t>
      </w:r>
      <w:r>
        <w:t xml:space="preserve">equipment for the upgrade of existing</w:t>
      </w:r>
      <w:r>
        <w:t xml:space="preserve"> </w:t>
      </w:r>
      <w:r>
        <w:t xml:space="preserve">electricity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under TEN-E scope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Policy option 1 entails an enhanced bottom-up approach. It introduces only a limited number</w:t>
      </w:r>
      <w:r>
        <w:t xml:space="preserve"> </w:t>
      </w:r>
      <w:r>
        <w:t xml:space="preserve">of changes to the current EU legislative and policy framework in comparison to the business as</w:t>
      </w:r>
      <w:r>
        <w:t xml:space="preserve"> </w:t>
      </w:r>
      <w:r>
        <w:t xml:space="preserve">usual (“BAU”) and involves minimal additional EU-level intervention.</w:t>
      </w:r>
      <w:r>
        <w:t xml:space="preserve"> </w:t>
      </w:r>
      <w:r>
        <w:t xml:space="preserve">Policy option 2 entails moving from a bottom-up more towards a top-down approach with</w:t>
      </w:r>
      <w:r>
        <w:t xml:space="preserve"> </w:t>
      </w:r>
      <w:r>
        <w:t xml:space="preserve">stronger steer from the EU level and enhanced coordination with the current actors at Member</w:t>
      </w:r>
      <w:r>
        <w:t xml:space="preserve"> </w:t>
      </w:r>
      <w:r>
        <w:t xml:space="preserve">State level. It introduces more significant changes to the current EU legislative and policy</w:t>
      </w:r>
      <w:r>
        <w:t xml:space="preserve"> </w:t>
      </w:r>
      <w:r>
        <w:t xml:space="preserve">framework as compared to PO1, with additional EU-level coordination and reallocation of certain</w:t>
      </w:r>
      <w:r>
        <w:t xml:space="preserve"> </w:t>
      </w:r>
      <w:r>
        <w:t xml:space="preserve">responsibilities among relevant stakeholders.</w:t>
      </w:r>
    </w:p>
    <w:p>
      <w:pPr>
        <w:pStyle w:val="BodyText"/>
      </w:pPr>
      <w:r>
        <w:t xml:space="preserve">104 On the broadened scope to better reflect security/resilience within the PCI scope see policy measure D.3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Policy option 3 entails a full top-down approach for cross-border infrastructure. It includes</w:t>
      </w:r>
      <w:r>
        <w:t xml:space="preserve"> </w:t>
      </w:r>
      <w:r>
        <w:t xml:space="preserve">substantial structural and institutional changes to the status quo and a higher degree of</w:t>
      </w:r>
      <w:r>
        <w:t xml:space="preserve"> </w:t>
      </w:r>
      <w:r>
        <w:t xml:space="preserve">centralising and streamlining at EU level, including through entrusting infrastructure planning</w:t>
      </w:r>
      <w:r>
        <w:t xml:space="preserve"> </w:t>
      </w:r>
      <w:r>
        <w:t xml:space="preserve">and coordination of permitting for cross-border infrastructure projects to EU bodies. It also</w:t>
      </w:r>
      <w:r>
        <w:t xml:space="preserve"> </w:t>
      </w:r>
      <w:r>
        <w:t xml:space="preserve">includes a mandatory offshore regional planning and cost-sharing framework.</w:t>
      </w:r>
      <w:r>
        <w:br/>
      </w:r>
      <w:r>
        <w:t xml:space="preserve">Stakeholder views:</w:t>
      </w:r>
      <w:r>
        <w:t xml:space="preserve"> </w:t>
      </w:r>
      <w:r>
        <w:t xml:space="preserve">On infrastructure planning (Measures A), a majority (54%; companies 49%, business</w:t>
      </w:r>
      <w:r>
        <w:t xml:space="preserve"> </w:t>
      </w:r>
      <w:r>
        <w:t xml:space="preserve">associations 63%, NGOs 71%, public authorities 40%) indicated that the current governance</w:t>
      </w:r>
      <w:r>
        <w:t xml:space="preserve"> </w:t>
      </w:r>
      <w:r>
        <w:t xml:space="preserve">framework of the TYNDPs, including stakeholder roles, should be revised to enhance its</w:t>
      </w:r>
      <w:r>
        <w:t xml:space="preserve"> </w:t>
      </w:r>
      <w:r>
        <w:t xml:space="preserve">effectiveness. About half (44%; companies 37%, business associations 43%, NGOs 86%, public</w:t>
      </w:r>
      <w:r>
        <w:t xml:space="preserve"> </w:t>
      </w:r>
      <w:r>
        <w:t xml:space="preserve">authorities 50%) believed the TYNDP falls short in addressing identified infrastructure gaps and</w:t>
      </w:r>
      <w:r>
        <w:t xml:space="preserve"> </w:t>
      </w:r>
      <w:r>
        <w:t xml:space="preserve">a majority (60%; companies 53%, business associations 70%, NGOs 100%, public authorities</w:t>
      </w:r>
      <w:r>
        <w:t xml:space="preserve"> </w:t>
      </w:r>
      <w:r>
        <w:t xml:space="preserve">50%) agreed that national projects should more clearly support EU-wide priorities (in line with</w:t>
      </w:r>
      <w:r>
        <w:t xml:space="preserve"> </w:t>
      </w:r>
      <w:r>
        <w:t xml:space="preserve">PO2 and PO3). A majority of respondents (61%; companies 56%, business associations 61%,</w:t>
      </w:r>
      <w:r>
        <w:t xml:space="preserve"> </w:t>
      </w:r>
      <w:r>
        <w:t xml:space="preserve">NGOs 93%, public authorities 60%) also agreed that there is a need for stronger alignment</w:t>
      </w:r>
      <w:r>
        <w:t xml:space="preserve"> </w:t>
      </w:r>
      <w:r>
        <w:t xml:space="preserve">between national transmission development plans as proposed under PO2. A majority of</w:t>
      </w:r>
      <w:r>
        <w:t xml:space="preserve"> </w:t>
      </w:r>
      <w:r>
        <w:t xml:space="preserve">respondents were positive to the inclusion of internal reinforcements (72%; companies 66%,</w:t>
      </w:r>
      <w:r>
        <w:t xml:space="preserve"> </w:t>
      </w:r>
      <w:r>
        <w:t xml:space="preserve">business associations 78%, NGOs 93%, public authorities 70%) and non-wired solutions (54%;</w:t>
      </w:r>
      <w:r>
        <w:t xml:space="preserve"> </w:t>
      </w:r>
      <w:r>
        <w:t xml:space="preserve">companies 49%, business associations 63%, NGOs 71%, public authorities 40%) in infrastructure</w:t>
      </w:r>
      <w:r>
        <w:t xml:space="preserve"> </w:t>
      </w:r>
      <w:r>
        <w:t xml:space="preserve">needs identification (all POs). Moreover, a majority of respondents (59%; companies 63%,</w:t>
      </w:r>
      <w:r>
        <w:t xml:space="preserve"> </w:t>
      </w:r>
      <w:r>
        <w:t xml:space="preserve">business associations 57%, NGOs 36%, public authorities 50%) were positive to streamlining the</w:t>
      </w:r>
      <w:r>
        <w:t xml:space="preserve"> </w:t>
      </w:r>
      <w:r>
        <w:t xml:space="preserve">PCI/PMI application process by amending requirements for projects with PCI-PMI status to</w:t>
      </w:r>
      <w:r>
        <w:t xml:space="preserve"> </w:t>
      </w:r>
      <w:r>
        <w:t xml:space="preserve">reapply during each process (provided certain conditions are met). On the frequency of the</w:t>
      </w:r>
      <w:r>
        <w:t xml:space="preserve"> </w:t>
      </w:r>
      <w:r>
        <w:t xml:space="preserve">processes, most stakeholders (85%) found the current two-year cycle appropriate in line with PO1</w:t>
      </w:r>
      <w:r>
        <w:t xml:space="preserve"> </w:t>
      </w:r>
      <w:r>
        <w:t xml:space="preserve">as reflected in the possible updates in PO2 and PO3.</w:t>
      </w:r>
      <w:r>
        <w:br/>
      </w:r>
      <w:r>
        <w:t xml:space="preserve">When asked whether the TYNDP should have a more top-down approach to infrastructure</w:t>
      </w:r>
      <w:r>
        <w:t xml:space="preserve"> </w:t>
      </w:r>
      <w:r>
        <w:t xml:space="preserve">planning more in line with PO2 and PO3, 41% of respondents (companies 41%, business</w:t>
      </w:r>
      <w:r>
        <w:t xml:space="preserve"> </w:t>
      </w:r>
      <w:r>
        <w:t xml:space="preserve">associations 43%, NGOs 14%, public authorities 40%) disagreed whereas 36% agreed indicating</w:t>
      </w:r>
      <w:r>
        <w:t xml:space="preserve"> </w:t>
      </w:r>
      <w:r>
        <w:t xml:space="preserve">mixed views. Note that there is wide variance in responses within the company category. While a</w:t>
      </w:r>
      <w:r>
        <w:t xml:space="preserve"> </w:t>
      </w:r>
      <w:r>
        <w:t xml:space="preserve">strong majority (70%) of TSOs disagreed with the statement, only 19% of project promotors, 29%</w:t>
      </w:r>
      <w:r>
        <w:t xml:space="preserve"> </w:t>
      </w:r>
      <w:r>
        <w:t xml:space="preserve">of energy suppliers, 38% of energy offtakers, and 46% of DSOs disagreed. Similarly, 41% of</w:t>
      </w:r>
      <w:r>
        <w:t xml:space="preserve"> </w:t>
      </w:r>
      <w:r>
        <w:t xml:space="preserve">respondents (companies 42%, business associations 46%, NGOs 7%, public authorities 30%)</w:t>
      </w:r>
      <w:r>
        <w:t xml:space="preserve"> </w:t>
      </w:r>
      <w:r>
        <w:t xml:space="preserve">expressed disagreement with the TYNDP having a more top-down European approach to better</w:t>
      </w:r>
      <w:r>
        <w:t xml:space="preserve"> </w:t>
      </w:r>
      <w:r>
        <w:t xml:space="preserve">link identified needs and priority projects of common European interest (agreement 36%,</w:t>
      </w:r>
      <w:r>
        <w:t xml:space="preserve"> </w:t>
      </w:r>
      <w:r>
        <w:t xml:space="preserve">neutrality 12%, uncertainty 12%). Again, a strong majority (70%) of TSOs and DSOs (62%)</w:t>
      </w:r>
      <w:r>
        <w:t xml:space="preserve"> </w:t>
      </w:r>
      <w:r>
        <w:t xml:space="preserve">disagreed with the statement, while only 19% of project promotors, 24% of energy suppliers, and</w:t>
      </w:r>
      <w:r>
        <w:t xml:space="preserve"> </w:t>
      </w:r>
      <w:r>
        <w:t xml:space="preserve">38% of energy offtakers disagreed.</w:t>
      </w:r>
    </w:p>
    <w:p>
      <w:pPr>
        <w:pStyle w:val="BodyText"/>
      </w:pPr>
      <w:r>
        <w:t xml:space="preserve">As regards the cost-sharing (Measures B), 38%105 (companies 40%, business associations 37%,</w:t>
      </w:r>
      <w:r>
        <w:t xml:space="preserve"> </w:t>
      </w:r>
      <w:r>
        <w:t xml:space="preserve">NGOs 36%, public authorities 20%) of respondents stated that the current framework is not fit</w:t>
      </w:r>
      <w:r>
        <w:t xml:space="preserve"> </w:t>
      </w:r>
      <w:r>
        <w:t xml:space="preserve">for purpose. Further, 37%106 (companies 30%, business associations 39%, NGOs 43%, public</w:t>
      </w:r>
      <w:r>
        <w:t xml:space="preserve"> </w:t>
      </w:r>
      <w:r>
        <w:t xml:space="preserve">authorities 30%) of respondents thought that an investment request within the CBCA framework</w:t>
      </w:r>
    </w:p>
    <w:p>
      <w:pPr>
        <w:pStyle w:val="BodyText"/>
      </w:pPr>
      <w:r>
        <w:t xml:space="preserve">105 20% of respondents were neutral and 35% expressed no opinion (see Annex 2).</w:t>
      </w:r>
      <w:r>
        <w:t xml:space="preserve"> </w:t>
      </w:r>
      <w:r>
        <w:t xml:space="preserve">106 25% of respondents were neutral and 32% uncertain (see Annex 2).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could also cover several projects (‘bundling’) and 36%107 (companies 31%, business associations</w:t>
      </w:r>
      <w:r>
        <w:t xml:space="preserve"> </w:t>
      </w:r>
      <w:r>
        <w:t xml:space="preserve">35%, NGOs 57%, public authorities 30%) favoured that it would develop further to facilitate the</w:t>
      </w:r>
      <w:r>
        <w:t xml:space="preserve"> </w:t>
      </w:r>
      <w:r>
        <w:t xml:space="preserve">sharing of investment costs, in line with PO2 and PO3.</w:t>
      </w:r>
      <w:r>
        <w:br/>
      </w:r>
      <w:r>
        <w:t xml:space="preserve">Concerning permitting (Measures C), the OPC indicated a vast majority of stakeholders across</w:t>
      </w:r>
      <w:r>
        <w:t xml:space="preserve"> </w:t>
      </w:r>
      <w:r>
        <w:t xml:space="preserve">respondent categories support the digitalisation of permitting procedures, shortening of legal</w:t>
      </w:r>
      <w:r>
        <w:t xml:space="preserve"> </w:t>
      </w:r>
      <w:r>
        <w:t xml:space="preserve">deadlines for permitting of networks, and establishment of such deadlines where missing –</w:t>
      </w:r>
      <w:r>
        <w:t xml:space="preserve"> </w:t>
      </w:r>
      <w:r>
        <w:t xml:space="preserve">suggesting support for further action than PO1. Views were more mixed on the simplification</w:t>
      </w:r>
      <w:r>
        <w:t xml:space="preserve"> </w:t>
      </w:r>
      <w:r>
        <w:t xml:space="preserve">and streamlining of environmental assessment with a majority of companies (92%), business</w:t>
      </w:r>
      <w:r>
        <w:t xml:space="preserve"> </w:t>
      </w:r>
      <w:r>
        <w:t xml:space="preserve">associations (83%) and public authorities (70%) expressing support, and about a third (29%) of</w:t>
      </w:r>
      <w:r>
        <w:t xml:space="preserve"> </w:t>
      </w:r>
      <w:r>
        <w:t xml:space="preserve">NGOs.</w:t>
      </w:r>
      <w:r>
        <w:t xml:space="preserve"> </w:t>
      </w:r>
      <w:r>
        <w:t xml:space="preserve">On security (Measures D), over a third of stakeholders agreed that the EU legal framework does</w:t>
      </w:r>
      <w:r>
        <w:t xml:space="preserve"> </w:t>
      </w:r>
      <w:r>
        <w:t xml:space="preserve">not sufficiently address emerging security risks (38%; companies 37%, business associations</w:t>
      </w:r>
      <w:r>
        <w:t xml:space="preserve"> </w:t>
      </w:r>
      <w:r>
        <w:t xml:space="preserve">44%, NGOs 36%, public authorities 40%)108 and that additional security criteria for PCIs and</w:t>
      </w:r>
      <w:r>
        <w:t xml:space="preserve"> </w:t>
      </w:r>
      <w:r>
        <w:t xml:space="preserve">PMIs are needed to enhance protection against physical and cyber risks (36% companies 33%,</w:t>
      </w:r>
      <w:r>
        <w:t xml:space="preserve"> </w:t>
      </w:r>
      <w:r>
        <w:t xml:space="preserve">business associations 31%, NGOs 29%, public authorities 60%).109 Furthermore, only 14%</w:t>
      </w:r>
      <w:r>
        <w:t xml:space="preserve"> </w:t>
      </w:r>
      <w:r>
        <w:t xml:space="preserve">indicated that the framework addresses the exclusion of non-trusted actors from participating in</w:t>
      </w:r>
      <w:r>
        <w:t xml:space="preserve"> </w:t>
      </w:r>
      <w:r>
        <w:t xml:space="preserve">critical infrastructure projects, indicating support for further measures in line with PO2 and</w:t>
      </w:r>
      <w:r>
        <w:t xml:space="preserve"> </w:t>
      </w:r>
      <w:r>
        <w:t xml:space="preserve">PO3.110</w:t>
      </w:r>
      <w:r>
        <w:br/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As mentioned in the previous section, alternative groupings of the policy measures on A)</w:t>
      </w:r>
      <w:r>
        <w:t xml:space="preserve"> </w:t>
      </w:r>
      <w:r>
        <w:t xml:space="preserve">infrastructure planning and project implementation, B) cost and benefit sharing, C) permitting,</w:t>
      </w:r>
      <w:r>
        <w:t xml:space="preserve"> </w:t>
      </w:r>
      <w:r>
        <w:t xml:space="preserve">and D) security were considered but discarded due to a lack of internal coherence or non-</w:t>
      </w:r>
      <w:r>
        <w:t xml:space="preserve"> </w:t>
      </w:r>
      <w:r>
        <w:t xml:space="preserve">compatibility of the measures.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presents the main expected economic, social and environmental impacts of each</w:t>
      </w:r>
      <w:r>
        <w:t xml:space="preserve"> </w:t>
      </w:r>
      <w:r>
        <w:t xml:space="preserve">policy option111. To the extent possible, the impacts are quantified based on available assessments</w:t>
      </w:r>
      <w:r>
        <w:t xml:space="preserve"> </w:t>
      </w:r>
      <w:r>
        <w:t xml:space="preserve">or modelling by the JRC. Considering that all policy options entail changes to governance</w:t>
      </w:r>
      <w:r>
        <w:t xml:space="preserve"> </w:t>
      </w:r>
      <w:r>
        <w:t xml:space="preserve">structures, the impacts of the proposed measures will be linked to the outcomes of their</w:t>
      </w:r>
      <w:r>
        <w:t xml:space="preserve"> </w:t>
      </w:r>
      <w:r>
        <w:t xml:space="preserve">implementation in the longer term. Where modelling was not possible due to the lack of tools or</w:t>
      </w:r>
      <w:r>
        <w:t xml:space="preserve"> </w:t>
      </w:r>
      <w:r>
        <w:t xml:space="preserve">data, qualitative assessment is used building on available studies and input from stakeholders.</w:t>
      </w:r>
      <w:r>
        <w:t xml:space="preserve"> </w:t>
      </w:r>
      <w:r>
        <w:t xml:space="preserve">Additional data are provided in Annex 4.</w:t>
      </w:r>
    </w:p>
    <w:p>
      <w:pPr>
        <w:pStyle w:val="BodyText"/>
      </w:pPr>
      <w:r>
        <w:t xml:space="preserve">107 18% of respondents were neutral and 31% uncertain (see Annex 2).</w:t>
      </w:r>
      <w:r>
        <w:t xml:space="preserve"> </w:t>
      </w:r>
      <w:r>
        <w:t xml:space="preserve">108 18% of respondents were neutral and 32% uncertain (see Annex 2).</w:t>
      </w:r>
      <w:r>
        <w:t xml:space="preserve"> </w:t>
      </w:r>
      <w:r>
        <w:t xml:space="preserve">109 14% of respondents were neutral and 27% uncertain (see Annex 2).</w:t>
      </w:r>
      <w:r>
        <w:t xml:space="preserve"> </w:t>
      </w:r>
      <w:r>
        <w:t xml:space="preserve">110 ,Almost a majority (45%; companies 41%, business associations 48%, NGOs 86%, public authorities 40%) being</w:t>
      </w:r>
      <w:r>
        <w:t xml:space="preserve"> </w:t>
      </w:r>
      <w:r>
        <w:t xml:space="preserve">uncertain.</w:t>
      </w:r>
      <w:r>
        <w:t xml:space="preserve"> </w:t>
      </w:r>
      <w:r>
        <w:t xml:space="preserve">111</w:t>
      </w:r>
      <w:r>
        <w:br/>
      </w:r>
      <w:r>
        <w:t xml:space="preserve">The analysis in this section is based on an on-going support study, the analysis of stakeholders’ feedback as well as</w:t>
      </w:r>
      <w:r>
        <w:t xml:space="preserve"> </w:t>
      </w:r>
      <w:r>
        <w:t xml:space="preserve">JRC modelling as further explained in Annex 4.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6.1.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Economic impacts are assessed against their impact on the EU energy system, competitiveness</w:t>
      </w:r>
      <w:r>
        <w:t xml:space="preserve"> </w:t>
      </w:r>
      <w:r>
        <w:t xml:space="preserve">and digitalisation as well as in relation to the administrative and adjustment costs.</w:t>
      </w:r>
    </w:p>
    <w:p>
      <w:pPr>
        <w:pStyle w:val="BodyText"/>
      </w:pPr>
      <w:r>
        <w:t xml:space="preserve">6.1.1. Energy system benefits</w:t>
      </w:r>
      <w:r>
        <w:t xml:space="preserve"> </w:t>
      </w:r>
      <w:r>
        <w:t xml:space="preserve">The economic impacts of the proposed policy options in terms of reduced energy system costs</w:t>
      </w:r>
      <w:r>
        <w:t xml:space="preserve"> </w:t>
      </w:r>
      <w:r>
        <w:t xml:space="preserve">can be quantified for the electricity system, whereas this is not possible to a reasonable degree of</w:t>
      </w:r>
      <w:r>
        <w:t xml:space="preserve"> </w:t>
      </w:r>
      <w:r>
        <w:t xml:space="preserve">certainty for the hydrogen sector given the early stage of hydrogen infrastructure development.</w:t>
      </w:r>
      <w:r>
        <w:t xml:space="preserve"> </w:t>
      </w:r>
      <w:r>
        <w:t xml:space="preserve">The assessment builds mainly on ENTSO-E data, complemented by JRC modelling (Annex 4).</w:t>
      </w:r>
      <w:r>
        <w:t xml:space="preserve"> </w:t>
      </w:r>
      <w:r>
        <w:t xml:space="preserve">The expected impacts of the BAU scenario are estimated under assumption of timely</w:t>
      </w:r>
      <w:r>
        <w:t xml:space="preserve"> </w:t>
      </w:r>
      <w:r>
        <w:t xml:space="preserve">implementation of the TYNDP projects portfolio and need to be adjusted considering expected</w:t>
      </w:r>
      <w:r>
        <w:t xml:space="preserve"> </w:t>
      </w:r>
      <w:r>
        <w:t xml:space="preserve">delays and challenges to project deployment under the BAU. The implementation of 2024</w:t>
      </w:r>
      <w:r>
        <w:t xml:space="preserve"> </w:t>
      </w:r>
      <w:r>
        <w:t xml:space="preserve">TYNDP project portfolio by 2040 (211 projects) would lead to the increase of EU GDP by</w:t>
      </w:r>
      <w:r>
        <w:t xml:space="preserve"> </w:t>
      </w:r>
      <w:r>
        <w:t xml:space="preserve">EUR 247 billion by 2040.112 The BAU is based on the scenario compliant with the Union energy</w:t>
      </w:r>
      <w:r>
        <w:t xml:space="preserve"> </w:t>
      </w:r>
      <w:r>
        <w:t xml:space="preserve">and climate targets and takes into account to the extent possible future developments of demand</w:t>
      </w:r>
      <w:r>
        <w:t xml:space="preserve"> </w:t>
      </w:r>
      <w:r>
        <w:t xml:space="preserve">and supply indicated in the national energy and climate targets.</w:t>
      </w:r>
      <w:r>
        <w:t xml:space="preserve"> </w:t>
      </w:r>
      <w:r>
        <w:t xml:space="preserve">The benefits of the proposed policy options are assessed by looking at their potential to achieve</w:t>
      </w:r>
      <w:r>
        <w:t xml:space="preserve"> </w:t>
      </w:r>
      <w:r>
        <w:t xml:space="preserve">the optimal grid where all needs for energy transmission capacity113 are addressed leading to a</w:t>
      </w:r>
      <w:r>
        <w:t xml:space="preserve"> </w:t>
      </w:r>
      <w:r>
        <w:t xml:space="preserve">cost-effective energy system compliant with the Union energy and climate targets. As it is</w:t>
      </w:r>
      <w:r>
        <w:t xml:space="preserve"> </w:t>
      </w:r>
      <w:r>
        <w:t xml:space="preserve">difficult to assess which investments would materialise, it is assumed that they would lead to</w:t>
      </w:r>
      <w:r>
        <w:t xml:space="preserve"> </w:t>
      </w:r>
      <w:r>
        <w:t xml:space="preserve">partial implementation of the optimal grid and hence achieve partial benefits associated with it.</w:t>
      </w:r>
      <w:r>
        <w:t xml:space="preserve"> </w:t>
      </w:r>
      <w:r>
        <w:t xml:space="preserve">Partial implementation of the optimal grid would mean lower costs of investments but at the same</w:t>
      </w:r>
      <w:r>
        <w:t xml:space="preserve"> </w:t>
      </w:r>
      <w:r>
        <w:t xml:space="preserve">time higher overall energy system costs (due to redispatch or renewables curtailment) offsetting</w:t>
      </w:r>
      <w:r>
        <w:t xml:space="preserve"> </w:t>
      </w:r>
      <w:r>
        <w:t xml:space="preserve">the savings from lower investment costs. It is thus not possible to associate economic costs of</w:t>
      </w:r>
      <w:r>
        <w:t xml:space="preserve"> </w:t>
      </w:r>
      <w:r>
        <w:t xml:space="preserve">specific options in a meaningful way. Consequently, the benefits and investment costs of each</w:t>
      </w:r>
      <w:r>
        <w:t xml:space="preserve"> </w:t>
      </w:r>
      <w:r>
        <w:t xml:space="preserve">option are assumed to be up to the levels associated with deployment of the optimal grid, without</w:t>
      </w:r>
      <w:r>
        <w:t xml:space="preserve"> </w:t>
      </w:r>
      <w:r>
        <w:t xml:space="preserve">specific levels associated to the options.</w:t>
      </w:r>
      <w:r>
        <w:t xml:space="preserve"> </w:t>
      </w:r>
      <w:r>
        <w:t xml:space="preserve">PO2 and PO3 would increase benefits –to a similar degree– by ensuring that identified projects</w:t>
      </w:r>
      <w:r>
        <w:t xml:space="preserve"> </w:t>
      </w:r>
      <w:r>
        <w:t xml:space="preserve">better match and fully cover the identified needs (SO1), leading to an optimal and resilient grid.</w:t>
      </w:r>
      <w:r>
        <w:t xml:space="preserve"> </w:t>
      </w:r>
      <w:r>
        <w:t xml:space="preserve">PO1 would achieve these benefits only to a limited extent, as it lacks a gap filling mechanism to</w:t>
      </w:r>
      <w:r>
        <w:t xml:space="preserve"> </w:t>
      </w:r>
      <w:r>
        <w:t xml:space="preserve">match project planning and development to identified infrastructure needs.</w:t>
      </w:r>
      <w:r>
        <w:t xml:space="preserve"> </w:t>
      </w:r>
      <w:r>
        <w:t xml:space="preserve">For 2030, the optimal grid (see Annex 4) could lead to additional EUR 8 bn/year reduction in</w:t>
      </w:r>
      <w:r>
        <w:t xml:space="preserve"> </w:t>
      </w:r>
      <w:r>
        <w:t xml:space="preserve">electricity system costs, which compared with the required additional investment of EUR 5</w:t>
      </w:r>
      <w:r>
        <w:t xml:space="preserve"> </w:t>
      </w:r>
      <w:r>
        <w:t xml:space="preserve">bn/year would lead to EUR 3 bn/year savings for the EU economy. However, the impact of the</w:t>
      </w:r>
      <w:r>
        <w:t xml:space="preserve"> </w:t>
      </w:r>
      <w:r>
        <w:t xml:space="preserve">proposed measures might be limited until 2030 in view of their expected entry into force. For</w:t>
      </w:r>
      <w:r>
        <w:t xml:space="preserve"> </w:t>
      </w:r>
      <w:r>
        <w:t xml:space="preserve">2040, investments of EUR 6 bn/year into the optimal grid would lead to EUR 14 bn/year</w:t>
      </w:r>
      <w:r>
        <w:t xml:space="preserve"> </w:t>
      </w:r>
      <w:r>
        <w:t xml:space="preserve">reduction in system costs, that is EUR 8 bn/year net saving (only part of these savings could be</w:t>
      </w:r>
      <w:r>
        <w:t xml:space="preserve"> </w:t>
      </w:r>
      <w:r>
        <w:t xml:space="preserve">achieved by the already planned projects under the BAU scenario, corresponding to 78 GW new</w:t>
      </w:r>
      <w:r>
        <w:t xml:space="preserve"> </w:t>
      </w:r>
      <w:r>
        <w:t xml:space="preserve">capacity to be added by 2040).. PO2 and PO3, which include a gap filling mechanism, would</w:t>
      </w:r>
      <w:r>
        <w:t xml:space="preserve"> </w:t>
      </w:r>
      <w:r>
        <w:t xml:space="preserve">help bridge the gap of 30 GW not covered by any projects, corresponding to EUR 1.8 bn/year</w:t>
      </w:r>
    </w:p>
    <w:p>
      <w:pPr>
        <w:pStyle w:val="BodyText"/>
      </w:pPr>
      <w:r>
        <w:t xml:space="preserve">112 ENTSO-E (2025), TYNDP 2024. Figures for the National Trends + 2030 and 2040 scenarios</w:t>
      </w:r>
      <w:r>
        <w:t xml:space="preserve"> </w:t>
      </w:r>
      <w:r>
        <w:t xml:space="preserve">113 ENTSO-E (2025), TYNDP 2024. Opportunities for a more efficient European power system by 2050.</w:t>
      </w:r>
      <w:r>
        <w:br/>
      </w:r>
      <w:r>
        <w:t xml:space="preserve">Infrastructure Gaps Report.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in additional net savings.114 The actual savings would most likely be higher because the proposed</w:t>
      </w:r>
      <w:r>
        <w:t xml:space="preserve"> </w:t>
      </w:r>
      <w:r>
        <w:t xml:space="preserve">options would also reduce delays and difficulties in implementing planned projects.</w:t>
      </w:r>
      <w:r>
        <w:t xml:space="preserve"> </w:t>
      </w:r>
      <w:r>
        <w:t xml:space="preserve">Net savings achieved via PO2 and PO3 would benefit consumers, electricity producers and</w:t>
      </w:r>
      <w:r>
        <w:t xml:space="preserve"> </w:t>
      </w:r>
      <w:r>
        <w:t xml:space="preserve">system operators, but the distribution of benefits is not possible to estimate. While higher</w:t>
      </w:r>
      <w:r>
        <w:t xml:space="preserve"> </w:t>
      </w:r>
      <w:r>
        <w:t xml:space="preserve">electricity grid investments could lead to higher network tariffs for all consumers, the overall</w:t>
      </w:r>
      <w:r>
        <w:t xml:space="preserve"> </w:t>
      </w:r>
      <w:r>
        <w:t xml:space="preserve">lower energy system costs would also be transferred to consumers via lower wholesale electricity</w:t>
      </w:r>
      <w:r>
        <w:t xml:space="preserve"> </w:t>
      </w:r>
      <w:r>
        <w:t xml:space="preserve">prices. These impacts depend on the number of electricity consumers and the level of electricity</w:t>
      </w:r>
      <w:r>
        <w:t xml:space="preserve"> </w:t>
      </w:r>
      <w:r>
        <w:t xml:space="preserve">consumption (see Section 6.2 on social impacts). The geographical distribution of impacts will</w:t>
      </w:r>
      <w:r>
        <w:t xml:space="preserve"> </w:t>
      </w:r>
      <w:r>
        <w:t xml:space="preserve">depend on the actual projects.</w:t>
      </w:r>
      <w:r>
        <w:t xml:space="preserve"> </w:t>
      </w:r>
      <w:r>
        <w:t xml:space="preserve">PO2 and PO3 would have a similar, substantial impact on wholesale electricity prices.</w:t>
      </w:r>
      <w:r>
        <w:t xml:space="preserve"> </w:t>
      </w:r>
      <w:r>
        <w:t xml:space="preserve">Better interconnectivity leads to price convergence and, overall, more stable and lower prices,</w:t>
      </w:r>
      <w:r>
        <w:t xml:space="preserve"> </w:t>
      </w:r>
      <w:r>
        <w:t xml:space="preserve">with some countries facing an increase and others a decrease of prices, ranging from EUR</w:t>
      </w:r>
      <w:r>
        <w:t xml:space="preserve"> </w:t>
      </w:r>
      <w:r>
        <w:t xml:space="preserve">+10/MWh to EUR -10/MWh.115 Still, the increase of prices should not be considered as a welfare</w:t>
      </w:r>
      <w:r>
        <w:t xml:space="preserve"> </w:t>
      </w:r>
      <w:r>
        <w:t xml:space="preserve">loss since generation surplus and congestion rents related to the new interconnectors should also</w:t>
      </w:r>
      <w:r>
        <w:t xml:space="preserve"> </w:t>
      </w:r>
      <w:r>
        <w:t xml:space="preserve">be taken into account. This is reflected in the overall reduction in energy system costs.</w:t>
      </w:r>
      <w:r>
        <w:t xml:space="preserve"> </w:t>
      </w:r>
      <w:r>
        <w:t xml:space="preserve">Addressing infrastructure needs would lead to a reduction of wholesale electricity prices in</w:t>
      </w:r>
      <w:r>
        <w:t xml:space="preserve"> </w:t>
      </w:r>
      <w:r>
        <w:t xml:space="preserve">several Member States, including the Eastern part of Europe where the problem of high and</w:t>
      </w:r>
      <w:r>
        <w:t xml:space="preserve"> </w:t>
      </w:r>
      <w:r>
        <w:t xml:space="preserve">volatile electricity prices is most prominent.</w:t>
      </w:r>
      <w:r>
        <w:br/>
      </w:r>
      <w:r>
        <w:t xml:space="preserve">PO2 and PO3 also bring positive economic impact for RES deployment and integration.</w:t>
      </w:r>
      <w:r>
        <w:t xml:space="preserve"> </w:t>
      </w:r>
      <w:r>
        <w:t xml:space="preserve">Better planning and faster permitting of electricity grids may help avoid approximately EUR</w:t>
      </w:r>
      <w:r>
        <w:t xml:space="preserve"> </w:t>
      </w:r>
      <w:r>
        <w:t xml:space="preserve">37 billion in annual redispatching costs in 2040, if the grid is expanded accordingly (see Annex</w:t>
      </w:r>
      <w:r>
        <w:t xml:space="preserve"> </w:t>
      </w:r>
      <w:r>
        <w:t xml:space="preserve">4 for more details).116</w:t>
      </w:r>
      <w:r>
        <w:br/>
      </w:r>
      <w:r>
        <w:t xml:space="preserve">Deployment of grid enhancing technologies, which would be prioritised in all policy options</w:t>
      </w:r>
      <w:r>
        <w:t xml:space="preserve"> </w:t>
      </w:r>
      <w:r>
        <w:t xml:space="preserve">when identifying possible projects, could expand network capacity by 20-40% by 2040 and</w:t>
      </w:r>
      <w:r>
        <w:t xml:space="preserve"> </w:t>
      </w:r>
      <w:r>
        <w:t xml:space="preserve">save up to 35% in conventional grid expansion costs.117 The deployment of dynamic line</w:t>
      </w:r>
      <w:r>
        <w:t xml:space="preserve"> </w:t>
      </w:r>
      <w:r>
        <w:t xml:space="preserve">rating, one of the well-established grid enhancing technologies, on most congested network</w:t>
      </w:r>
      <w:r>
        <w:t xml:space="preserve"> </w:t>
      </w:r>
      <w:r>
        <w:t xml:space="preserve">elements could bring net benefits of EUR 2.67 billion118 over a period of 20 years through</w:t>
      </w:r>
      <w:r>
        <w:t xml:space="preserve"> </w:t>
      </w:r>
      <w:r>
        <w:t xml:space="preserve">additional 27 GW of available transmission capacity.119 PO2 and PO3 are expected to create</w:t>
      </w:r>
      <w:r>
        <w:t xml:space="preserve"> </w:t>
      </w:r>
      <w:r>
        <w:t xml:space="preserve">higher benefits from grid enhancing technologies due to broadened scope.</w:t>
      </w:r>
      <w:r>
        <w:t xml:space="preserve"> </w:t>
      </w:r>
      <w:r>
        <w:t xml:space="preserve">PO2 and PO3 bring greater possibility to account for anticipatory investments, but also long</w:t>
      </w:r>
      <w:r>
        <w:t xml:space="preserve"> </w:t>
      </w:r>
      <w:r>
        <w:t xml:space="preserve">grid development lead times (up to 10 years as mentioned earlier) as they would prolong</w:t>
      </w:r>
      <w:r>
        <w:t xml:space="preserve"> </w:t>
      </w:r>
      <w:r>
        <w:t xml:space="preserve">national grid planning horizons to at least 15 years. Underinvesting in grid infrastructure may</w:t>
      </w:r>
      <w:r>
        <w:t xml:space="preserve"> </w:t>
      </w:r>
      <w:r>
        <w:t xml:space="preserve">become costlier to society in the medium term than making anticipatory investments under</w:t>
      </w:r>
      <w:r>
        <w:t xml:space="preserve"> </w:t>
      </w:r>
      <w:r>
        <w:t xml:space="preserve">controlled scrutiny and risk management processes.120 While estimates are not available for the</w:t>
      </w:r>
      <w:r>
        <w:t xml:space="preserve"> </w:t>
      </w:r>
      <w:r>
        <w:t xml:space="preserve">whole EU, examples indicate the potential benefits. In Austria, anticipatory grid investments of</w:t>
      </w:r>
    </w:p>
    <w:p>
      <w:pPr>
        <w:pStyle w:val="BodyText"/>
      </w:pPr>
      <w:r>
        <w:t xml:space="preserve">114 Calculations based on ENTSO-E (2025), TYNDP 2024.</w:t>
      </w:r>
      <w:r>
        <w:br/>
      </w:r>
      <w:r>
        <w:t xml:space="preserve">115 Excluding the possible non-mature interconnectors through the Mediterranean and long HVDC connections</w:t>
      </w:r>
      <w:r>
        <w:t xml:space="preserve"> </w:t>
      </w:r>
      <w:r>
        <w:t xml:space="preserve">spanning multiple countries which are included in the TYNDP2024.</w:t>
      </w:r>
      <w:r>
        <w:t xml:space="preserve"> </w:t>
      </w:r>
      <w:r>
        <w:t xml:space="preserve">116 European Commission, Joint Research Centre, Thomassen, G., Fuhrmanek, A., Cadenovic, R., Pozo Camara, D.</w:t>
      </w:r>
      <w:r>
        <w:t xml:space="preserve"> </w:t>
      </w:r>
      <w:r>
        <w:t xml:space="preserve">and Vitiello, Redispatch and Congestion Management (2024)</w:t>
      </w:r>
      <w:r>
        <w:br/>
      </w:r>
      <w:r>
        <w:t xml:space="preserve">117 See for instance CurrENT study: Prospects for innovative power grid technologies, 2024, PowerPoint Presentation</w:t>
      </w:r>
      <w:r>
        <w:t xml:space="preserve"> </w:t>
      </w:r>
      <w:r>
        <w:t xml:space="preserve">118 Commission analysis of benefits of DLR deployment on 143 most congested CNECs (critical network elements</w:t>
      </w:r>
      <w:r>
        <w:t xml:space="preserve"> </w:t>
      </w:r>
      <w:r>
        <w:t xml:space="preserve">used for capacity calculation in CORE region) based on ACER data (see Annex IV for details)</w:t>
      </w:r>
      <w:r>
        <w:br/>
      </w:r>
      <w:r>
        <w:t xml:space="preserve">119 Total benefits per 20 years: 2,819,948,354 EUR, total costs: 146,783,715 EUR.</w:t>
      </w:r>
      <w:r>
        <w:t xml:space="preserve"> </w:t>
      </w:r>
      <w:r>
        <w:t xml:space="preserve">120 Commission Notice on a guidance on anticipatory investments for developing forward-looking electricity networks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EUR 133 million could prevent costs of EUR 1.5 billion in 2040.121 Furthermore, the Scottish</w:t>
      </w:r>
      <w:r>
        <w:t xml:space="preserve"> </w:t>
      </w:r>
      <w:r>
        <w:t xml:space="preserve">TSO, for instance, estimates that customers would save up to GBP 750 million over the two and</w:t>
      </w:r>
      <w:r>
        <w:t xml:space="preserve"> </w:t>
      </w:r>
      <w:r>
        <w:t xml:space="preserve">a half years if an equivalent grid capacity at a cost of around GBP 25 million per year was built.122</w:t>
      </w:r>
      <w:r>
        <w:t xml:space="preserve"> </w:t>
      </w:r>
      <w:r>
        <w:t xml:space="preserve">To accommodate the growing demand for renewable and low carbon hydrogen—while ensuring</w:t>
      </w:r>
      <w:r>
        <w:t xml:space="preserve"> </w:t>
      </w:r>
      <w:r>
        <w:t xml:space="preserve">the competitiveness of key European industries—a substantial expansion of hydrogen</w:t>
      </w:r>
      <w:r>
        <w:t xml:space="preserve"> </w:t>
      </w:r>
      <w:r>
        <w:t xml:space="preserve">infrastructure is required. In its 2024 Hydrogen Monitoring Report, ACER highlights the need</w:t>
      </w:r>
      <w:r>
        <w:t xml:space="preserve"> </w:t>
      </w:r>
      <w:r>
        <w:t xml:space="preserve">for integrated planning to accurately assess infrastructure needs, prevent overinvestment, and</w:t>
      </w:r>
      <w:r>
        <w:t xml:space="preserve"> </w:t>
      </w:r>
      <w:r>
        <w:t xml:space="preserve">mitigate cost recovery risks. The BAU scenario and PO1 risk fragmented, inefficient</w:t>
      </w:r>
      <w:r>
        <w:t xml:space="preserve"> </w:t>
      </w:r>
      <w:r>
        <w:t xml:space="preserve">development, leading to higher economic costs. In contrast, PO2 and PO3 promote enhanced</w:t>
      </w:r>
      <w:r>
        <w:t xml:space="preserve"> </w:t>
      </w:r>
      <w:r>
        <w:t xml:space="preserve">cross-sectoral planning, better adapting infrastructure to evolving supply and demand, thereby</w:t>
      </w:r>
      <w:r>
        <w:t xml:space="preserve"> </w:t>
      </w:r>
      <w:r>
        <w:t xml:space="preserve">ensuring more cost-effective outcomes. While the quantification of potential benefits comes with</w:t>
      </w:r>
      <w:r>
        <w:t xml:space="preserve"> </w:t>
      </w:r>
      <w:r>
        <w:t xml:space="preserve">a high level of uncertainty, positive impacts of cross-sectoral planning could bring synergies</w:t>
      </w:r>
      <w:r>
        <w:t xml:space="preserve"> </w:t>
      </w:r>
      <w:r>
        <w:t xml:space="preserve">across energy vectors and efficiency gains across the energy system.123 Integrated planning of all</w:t>
      </w:r>
      <w:r>
        <w:t xml:space="preserve"> </w:t>
      </w:r>
      <w:r>
        <w:t xml:space="preserve">sectors in Europe could bring as much as EUR 561 billion savings between 2030-2050124, with</w:t>
      </w:r>
      <w:r>
        <w:t xml:space="preserve"> </w:t>
      </w:r>
      <w:r>
        <w:t xml:space="preserve">significant reduction of investment needs. Up to EUR 200 billion in savings from avoided</w:t>
      </w:r>
      <w:r>
        <w:t xml:space="preserve"> </w:t>
      </w:r>
      <w:r>
        <w:t xml:space="preserve">back-up capacities could be achieved.125</w:t>
      </w:r>
      <w:r>
        <w:t xml:space="preserve"> </w:t>
      </w:r>
      <w:r>
        <w:t xml:space="preserve">Changes in the assessment rules for PMI candidates with Energy Community Contracting</w:t>
      </w:r>
      <w:r>
        <w:t xml:space="preserve"> </w:t>
      </w:r>
      <w:r>
        <w:t xml:space="preserve">Parties should bring positive benefits from market coupling and security perspectives. Better</w:t>
      </w:r>
      <w:r>
        <w:t xml:space="preserve"> </w:t>
      </w:r>
      <w:r>
        <w:t xml:space="preserve">interconnected networks in the synchronous European area can improve integration of renewable</w:t>
      </w:r>
      <w:r>
        <w:t xml:space="preserve"> </w:t>
      </w:r>
      <w:r>
        <w:t xml:space="preserve">energy sources and loads, decreasing the risk of supply disruptions and related socio-economic</w:t>
      </w:r>
      <w:r>
        <w:t xml:space="preserve"> </w:t>
      </w:r>
      <w:r>
        <w:t xml:space="preserve">costs, including in countries of high geopolitical importance in our neighbourhood, notably</w:t>
      </w:r>
      <w:r>
        <w:t xml:space="preserve"> </w:t>
      </w:r>
      <w:r>
        <w:t xml:space="preserve">Ukraine and Moldova.</w:t>
      </w:r>
      <w:r>
        <w:t xml:space="preserve"> </w:t>
      </w:r>
      <w:r>
        <w:t xml:space="preserve">Establishing the cross-border nature of electrolysers had proven challenging based on the</w:t>
      </w:r>
      <w:r>
        <w:t xml:space="preserve"> </w:t>
      </w:r>
      <w:r>
        <w:t xml:space="preserve">50MW capacity threshold stipulated in the TEN-E Regulation in force. Electrolysers that applied</w:t>
      </w:r>
      <w:r>
        <w:t xml:space="preserve"> </w:t>
      </w:r>
      <w:r>
        <w:t xml:space="preserve">for PCI status of 50MW capacity were very often not connected to a (planned) hydrogen network,</w:t>
      </w:r>
      <w:r>
        <w:t xml:space="preserve"> </w:t>
      </w:r>
      <w:r>
        <w:t xml:space="preserve">but rather supplied on-site or local consumption – usually industry. While it appears that</w:t>
      </w:r>
      <w:r>
        <w:t xml:space="preserve"> </w:t>
      </w:r>
      <w:r>
        <w:t xml:space="preserve">electrolysers as large as 500MW may also serve on-site demand (as evidenced by the applications</w:t>
      </w:r>
      <w:r>
        <w:t xml:space="preserve"> </w:t>
      </w:r>
      <w:r>
        <w:t xml:space="preserve">and complementary analyses of the European Commission in the PCI/PMI selection process),</w:t>
      </w:r>
      <w:r>
        <w:t xml:space="preserve"> </w:t>
      </w:r>
      <w:r>
        <w:t xml:space="preserve">the likelihood of large-scale electrolysers realizing economies of scale that could feed a hydrogen</w:t>
      </w:r>
      <w:r>
        <w:t xml:space="preserve"> </w:t>
      </w:r>
      <w:r>
        <w:t xml:space="preserve">transmission system and be part of an integrated hydrogen network planning is higher with larger</w:t>
      </w:r>
      <w:r>
        <w:t xml:space="preserve"> </w:t>
      </w:r>
      <w:r>
        <w:t xml:space="preserve">capacities than the relatively modest 50MW size. By focussing TEN-E recognition on large-size</w:t>
      </w:r>
      <w:r>
        <w:t xml:space="preserve"> </w:t>
      </w:r>
      <w:r>
        <w:t xml:space="preserve">electrolysers with cross-border relevance, project promoters can expect to be able to more</w:t>
      </w:r>
      <w:r>
        <w:t xml:space="preserve"> </w:t>
      </w:r>
      <w:r>
        <w:t xml:space="preserve">efficiently distribute fixed costs, realise operational efficiencies and capitalise on their bargaining</w:t>
      </w:r>
      <w:r>
        <w:t xml:space="preserve"> </w:t>
      </w:r>
      <w:r>
        <w:t xml:space="preserve">power especially vis à vis technology suppliers in the early stages of market development.</w:t>
      </w:r>
      <w:r>
        <w:br/>
      </w:r>
      <w:r>
        <w:t xml:space="preserve">Furthermore, removing incentives for the blending of hydrogen with natural gas, as foreseen in</w:t>
      </w:r>
      <w:r>
        <w:t xml:space="preserve"> </w:t>
      </w:r>
      <w:r>
        <w:t xml:space="preserve">all policy options, would lower system costs since it would ensure a more efficient use of</w:t>
      </w:r>
      <w:r>
        <w:t xml:space="preserve"> </w:t>
      </w:r>
      <w:r>
        <w:t xml:space="preserve">hydrogen while preventing barriers to the internal market. In the impact assessment</w:t>
      </w:r>
      <w:r>
        <w:t xml:space="preserve"> </w:t>
      </w:r>
      <w:r>
        <w:t xml:space="preserve">accompanying the hydrogen and gas decarbonisation package, the Commission estimated that</w:t>
      </w:r>
    </w:p>
    <w:p>
      <w:pPr>
        <w:pStyle w:val="BodyText"/>
      </w:pPr>
      <w:r>
        <w:t xml:space="preserve">121 The economic value of electricity distribution grids on the path towards climate neutrality in Austria (translated)</w:t>
      </w:r>
      <w:r>
        <w:t xml:space="preserve"> </w:t>
      </w:r>
      <w:r>
        <w:t xml:space="preserve">122 https://www.ssen-transmission.co.uk/news/news–views/2022/11/the-real-cost-of-having-insufficient-grid/</w:t>
      </w:r>
      <w:r>
        <w:t xml:space="preserve"> </w:t>
      </w:r>
      <w:r>
        <w:t xml:space="preserve">123 Bundesministerium für Klimaschutz, Umwelt, Energie, Mobilität, Innovation und Technologie (BMK) (2024)</w:t>
      </w:r>
      <w:r>
        <w:t xml:space="preserve"> </w:t>
      </w:r>
      <w:r>
        <w:t xml:space="preserve">Integrierter österreichischer Netzinfrastrukturplan</w:t>
      </w:r>
      <w:r>
        <w:br/>
      </w:r>
      <w:r>
        <w:t xml:space="preserve">124 Based on preliminary findings on Agora Energiewende Integrated Infrastructure planning PyPSA-Eur model, as</w:t>
      </w:r>
      <w:r>
        <w:t xml:space="preserve"> </w:t>
      </w:r>
      <w:r>
        <w:t xml:space="preserve">presented in 2025 Copenhagen forum</w:t>
      </w:r>
      <w:r>
        <w:t xml:space="preserve"> </w:t>
      </w:r>
      <w:r>
        <w:t xml:space="preserve">125 Ibid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while a 5% allowed hydrogen blending cap at cross-border points would lead to lower emissions</w:t>
      </w:r>
      <w:r>
        <w:t xml:space="preserve"> </w:t>
      </w:r>
      <w:r>
        <w:t xml:space="preserve">(8 Mt CO2/year of avoided emissions), with an adaptation cost of EUR 3.6 bn/year, a 10% or a</w:t>
      </w:r>
      <w:r>
        <w:t xml:space="preserve"> </w:t>
      </w:r>
      <w:r>
        <w:t xml:space="preserve">20% cap would increase the adaptation costs drastically (EUR 5.4 bn/year for 10% or EUR 12.5</w:t>
      </w:r>
      <w:r>
        <w:t xml:space="preserve"> </w:t>
      </w:r>
      <w:r>
        <w:t xml:space="preserve">bn/year for 20%). Importantly, whilst blending of hydrogen in the natural gas network at a</w:t>
      </w:r>
      <w:r>
        <w:t xml:space="preserve"> </w:t>
      </w:r>
      <w:r>
        <w:t xml:space="preserve">limited percentage may enable decentralised renewable hydrogen production in a transitional</w:t>
      </w:r>
      <w:r>
        <w:t xml:space="preserve"> </w:t>
      </w:r>
      <w:r>
        <w:t xml:space="preserve">phase at the level of local networks, the TEN-E Regulation aims at the promotion of investments</w:t>
      </w:r>
      <w:r>
        <w:t xml:space="preserve"> </w:t>
      </w:r>
      <w:r>
        <w:t xml:space="preserve">that have a significant cross-border impact and is therefore neither a suitable nor efficient tool to</w:t>
      </w:r>
      <w:r>
        <w:t xml:space="preserve"> </w:t>
      </w:r>
      <w:r>
        <w:t xml:space="preserve">promote such local networks. The same applies to the integration of biomethane.</w:t>
      </w:r>
      <w:r>
        <w:br/>
      </w:r>
      <w:r>
        <w:t xml:space="preserve">As for cost and benefit sharing (SO2), the BAU scenario would involve substantial welfare</w:t>
      </w:r>
      <w:r>
        <w:t xml:space="preserve"> </w:t>
      </w:r>
      <w:r>
        <w:t xml:space="preserve">losses caused by delayed implementation or non-materialisation of projects due to complex or</w:t>
      </w:r>
      <w:r>
        <w:t xml:space="preserve"> </w:t>
      </w:r>
      <w:r>
        <w:t xml:space="preserve">deadlocked discussions on cost sharing. While a quantitative assessment of direct economic</w:t>
      </w:r>
      <w:r>
        <w:t xml:space="preserve"> </w:t>
      </w:r>
      <w:r>
        <w:t xml:space="preserve">impacts is challenging given that the allocation of benefits per project is not currently disclosed</w:t>
      </w:r>
      <w:r>
        <w:t xml:space="preserve"> </w:t>
      </w:r>
      <w:r>
        <w:t xml:space="preserve">within the TYNDP or the PCI/PMI lists, assessments carried out for offshore developments in</w:t>
      </w:r>
      <w:r>
        <w:t xml:space="preserve"> </w:t>
      </w:r>
      <w:r>
        <w:t xml:space="preserve">the EU’s sea-basins provide an indication on the potential impacts both for offshore and onshore.</w:t>
      </w:r>
      <w:r>
        <w:br/>
      </w:r>
      <w:r>
        <w:t xml:space="preserve">According to ENTSO-E’s126 cost-benefit sharing assessment of the EU’s sea-basins offshore</w:t>
      </w:r>
      <w:r>
        <w:t xml:space="preserve"> </w:t>
      </w:r>
      <w:r>
        <w:t xml:space="preserve">network development plans (ONDPs)127, the benefits of future hybrid offshore projects are</w:t>
      </w:r>
      <w:r>
        <w:t xml:space="preserve"> </w:t>
      </w:r>
      <w:r>
        <w:t xml:space="preserve">expected to extend beyond the hosting countries. ENTSO-E estimated that the potential</w:t>
      </w:r>
      <w:r>
        <w:t xml:space="preserve"> </w:t>
      </w:r>
      <w:r>
        <w:t xml:space="preserve">installed capacity of such projects, with benefits beyond host countries (not yet existing or</w:t>
      </w:r>
      <w:r>
        <w:t xml:space="preserve"> </w:t>
      </w:r>
      <w:r>
        <w:t xml:space="preserve">planned), amounts to 25 GW by 2040 and 44 GW by 2050.128 These assets are expected to</w:t>
      </w:r>
      <w:r>
        <w:t xml:space="preserve"> </w:t>
      </w:r>
      <w:r>
        <w:t xml:space="preserve">incur investment costs of approximately EUR 23 billion, while generating almost EUR 70 billion</w:t>
      </w:r>
      <w:r>
        <w:t xml:space="preserve"> </w:t>
      </w:r>
      <w:r>
        <w:t xml:space="preserve">in socio-economic welfare over their economic lifetime.129 It can be assumed that all of these</w:t>
      </w:r>
      <w:r>
        <w:t xml:space="preserve"> </w:t>
      </w:r>
      <w:r>
        <w:t xml:space="preserve">projects are unlikely to materialise or only with significant delays in the absence of more effective</w:t>
      </w:r>
      <w:r>
        <w:t xml:space="preserve"> </w:t>
      </w:r>
      <w:r>
        <w:t xml:space="preserve">cost-sharing tools. The resulting economic impacts under a BAU scenario in terms of the loss of</w:t>
      </w:r>
      <w:r>
        <w:t xml:space="preserve"> </w:t>
      </w:r>
      <w:r>
        <w:t xml:space="preserve">net socio-economic welfare (SEW) over their lifetime would be at least EUR 20 billion for 2040</w:t>
      </w:r>
      <w:r>
        <w:t xml:space="preserve"> </w:t>
      </w:r>
      <w:r>
        <w:t xml:space="preserve">and an additional EUR 10 billion for 2050 assuming that 30-50% of the projects would be delayed</w:t>
      </w:r>
      <w:r>
        <w:t xml:space="preserve"> </w:t>
      </w:r>
      <w:r>
        <w:t xml:space="preserve">or not realised (see Table 2).</w:t>
      </w:r>
    </w:p>
    <w:p>
      <w:pPr>
        <w:pStyle w:val="BodyText"/>
      </w:pPr>
      <w:r>
        <w:t xml:space="preserve">126 ENTSO-E, Sea Basin Cost Benefit and Cost Sharing: final results, 4 July 2025.</w:t>
      </w:r>
      <w:r>
        <w:br/>
      </w:r>
      <w:r>
        <w:t xml:space="preserve">127 TEN-E requires EU Member States to agree on non-binding targets for offshore renewable energy they plan to</w:t>
      </w:r>
      <w:r>
        <w:t xml:space="preserve"> </w:t>
      </w:r>
      <w:r>
        <w:t xml:space="preserve">deploy within each sea basin by 2050. These serve as the foundation for Offshore Network Development Plans</w:t>
      </w:r>
      <w:r>
        <w:t xml:space="preserve"> </w:t>
      </w:r>
      <w:r>
        <w:t xml:space="preserve">(ONDPs), which outline the infrastructure needed to achieve Member States goals. ENTSO-E, based on a</w:t>
      </w:r>
      <w:r>
        <w:t xml:space="preserve"> </w:t>
      </w:r>
      <w:r>
        <w:t xml:space="preserve">Commission Guidance published in June 2023, shall carry out cross-border cost-benefit assessments of those ONDPs</w:t>
      </w:r>
      <w:r>
        <w:t xml:space="preserve"> </w:t>
      </w:r>
      <w:r>
        <w:t xml:space="preserve">to inform Member States and support upcoming planning and cost-sharing discussions at regional level. The first</w:t>
      </w:r>
      <w:r>
        <w:t xml:space="preserve"> </w:t>
      </w:r>
      <w:r>
        <w:t xml:space="preserve">assessment final results were presented to the TEN-E offshore grids corridors members on 4 July 2025.</w:t>
      </w:r>
      <w:r>
        <w:br/>
      </w:r>
      <w:r>
        <w:t xml:space="preserve">128 This includes 21.5 GW in the North Sea, 3 GW in the Baltic Sea and 700 MW in the Atlantic Ocean by 2040. For</w:t>
      </w:r>
      <w:r>
        <w:t xml:space="preserve"> </w:t>
      </w:r>
      <w:r>
        <w:t xml:space="preserve">2050, it would concern 8.5 GW in the North Sea, 10.6 GW in the Baltic Sea and 700 MW in the Atlantic Ocean.</w:t>
      </w:r>
      <w:r>
        <w:t xml:space="preserve"> </w:t>
      </w:r>
      <w:r>
        <w:t xml:space="preserve">129 Socio-economic welfare consists of consumer surplus, producer surplus, congestion income and cross-sectoral</w:t>
      </w:r>
      <w:r>
        <w:t xml:space="preserve"> </w:t>
      </w:r>
      <w:r>
        <w:t xml:space="preserve">rent. Importing countries would tend to see their consumer surplus increase and their producer surplus would decrease,</w:t>
      </w:r>
      <w:r>
        <w:t xml:space="preserve"> </w:t>
      </w:r>
      <w:r>
        <w:t xml:space="preserve">and vice versa for exporting countries; from the prices changes between market zones and across the electricity and</w:t>
      </w:r>
      <w:r>
        <w:t xml:space="preserve"> </w:t>
      </w:r>
      <w:r>
        <w:t xml:space="preserve">the hydrogen system, congestion rents and cross sectoral rents might go up or down.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Table 2: Loss of socio-economic welfare of non-realised hybrid offshore projects</w:t>
      </w:r>
      <w:r>
        <w:br/>
      </w:r>
      <w:r>
        <w:t xml:space="preserve">Year</w:t>
      </w:r>
      <w:r>
        <w:t xml:space="preserve"> </w:t>
      </w:r>
      <w:r>
        <w:t xml:space="preserve">Offshore</w:t>
      </w:r>
      <w:r>
        <w:t xml:space="preserve"> </w:t>
      </w:r>
      <w:r>
        <w:t xml:space="preserve">hybrid</w:t>
      </w:r>
      <w:r>
        <w:t xml:space="preserve"> </w:t>
      </w:r>
      <w:r>
        <w:t xml:space="preserve">capacity</w:t>
      </w:r>
      <w:r>
        <w:t xml:space="preserve"> </w:t>
      </w:r>
      <w:r>
        <w:t xml:space="preserve">needed (GW)</w:t>
      </w:r>
      <w:r>
        <w:br/>
      </w:r>
      <w:r>
        <w:t xml:space="preserve">Investment</w:t>
      </w:r>
      <w:r>
        <w:t xml:space="preserve"> </w:t>
      </w:r>
      <w:r>
        <w:t xml:space="preserve">costs</w:t>
      </w:r>
      <w:r>
        <w:t xml:space="preserve"> </w:t>
      </w:r>
      <w:r>
        <w:t xml:space="preserve">(bn</w:t>
      </w:r>
      <w:r>
        <w:t xml:space="preserve"> </w:t>
      </w:r>
      <w:r>
        <w:t xml:space="preserve">EUR)</w:t>
      </w:r>
      <w:r>
        <w:t xml:space="preserve"> </w:t>
      </w:r>
      <w:r>
        <w:t xml:space="preserve">Assumed</w:t>
      </w:r>
      <w:r>
        <w:t xml:space="preserve"> </w:t>
      </w:r>
      <w:r>
        <w:t xml:space="preserve">%</w:t>
      </w:r>
      <w:r>
        <w:t xml:space="preserve"> </w:t>
      </w:r>
      <w:r>
        <w:t xml:space="preserve">not realised or</w:t>
      </w:r>
      <w:r>
        <w:t xml:space="preserve"> </w:t>
      </w:r>
      <w:r>
        <w:t xml:space="preserve">delayed</w:t>
      </w:r>
      <w:r>
        <w:br/>
      </w:r>
      <w:r>
        <w:t xml:space="preserve">Capacity</w:t>
      </w:r>
      <w:r>
        <w:t xml:space="preserve"> </w:t>
      </w:r>
      <w:r>
        <w:t xml:space="preserve">delayed or not</w:t>
      </w:r>
      <w:r>
        <w:t xml:space="preserve"> </w:t>
      </w:r>
      <w:r>
        <w:t xml:space="preserve">realised (GW)</w:t>
      </w:r>
      <w:r>
        <w:t xml:space="preserve"> </w:t>
      </w:r>
      <w:r>
        <w:t xml:space="preserve">Cumulative loss of SEW if</w:t>
      </w:r>
      <w:r>
        <w:t xml:space="preserve"> </w:t>
      </w:r>
      <w:r>
        <w:t xml:space="preserve">projects are not realised</w:t>
      </w:r>
      <w:r>
        <w:t xml:space="preserve"> </w:t>
      </w:r>
      <w:r>
        <w:t xml:space="preserve">(bn EUR)</w:t>
      </w:r>
      <w:r>
        <w:t xml:space="preserve"> </w:t>
      </w:r>
      <w:r>
        <w:t xml:space="preserve">2040</w:t>
      </w:r>
      <w:r>
        <w:t xml:space="preserve"> </w:t>
      </w:r>
      <w:r>
        <w:t xml:space="preserve">25</w:t>
      </w:r>
      <w:r>
        <w:t xml:space="preserve"> </w:t>
      </w:r>
      <w:r>
        <w:t xml:space="preserve">23</w:t>
      </w:r>
      <w:r>
        <w:t xml:space="preserve"> </w:t>
      </w:r>
      <w:r>
        <w:t xml:space="preserve">30-50%</w:t>
      </w:r>
      <w:r>
        <w:t xml:space="preserve"> </w:t>
      </w:r>
      <w:r>
        <w:t xml:space="preserve">7.5 -12.5</w:t>
      </w:r>
      <w:r>
        <w:t xml:space="preserve"> </w:t>
      </w:r>
      <w:r>
        <w:t xml:space="preserve">20.85- 34.75</w:t>
      </w:r>
      <w:r>
        <w:t xml:space="preserve"> </w:t>
      </w:r>
      <w:r>
        <w:t xml:space="preserve">2050</w:t>
      </w:r>
      <w:r>
        <w:t xml:space="preserve"> </w:t>
      </w:r>
      <w:r>
        <w:t xml:space="preserve">44</w:t>
      </w:r>
      <w:r>
        <w:t xml:space="preserve"> </w:t>
      </w:r>
      <w:r>
        <w:t xml:space="preserve">19</w:t>
      </w:r>
      <w:r>
        <w:t xml:space="preserve"> </w:t>
      </w:r>
      <w:r>
        <w:t xml:space="preserve">30-50%</w:t>
      </w:r>
      <w:r>
        <w:t xml:space="preserve"> </w:t>
      </w:r>
      <w:r>
        <w:t xml:space="preserve">13.2 - 22</w:t>
      </w:r>
      <w:r>
        <w:t xml:space="preserve"> </w:t>
      </w:r>
      <w:r>
        <w:t xml:space="preserve">10.05- 16.75</w:t>
      </w:r>
      <w:r>
        <w:br/>
      </w:r>
      <w:r>
        <w:t xml:space="preserve">Source: Own calculations based on ENTSO-E assessment</w:t>
      </w:r>
      <w:r>
        <w:br/>
      </w:r>
      <w:r>
        <w:t xml:space="preserve">The measures foreseen in PO1, PO2 and PO3 to facilitate more effective cost-sharing are</w:t>
      </w:r>
      <w:r>
        <w:t xml:space="preserve"> </w:t>
      </w:r>
      <w:r>
        <w:t xml:space="preserve">expected to help realise these potential socio-economic benefits but to different degrees.</w:t>
      </w:r>
      <w:r>
        <w:t xml:space="preserve"> </w:t>
      </w:r>
      <w:r>
        <w:t xml:space="preserve">Enhanced transparency and updated recommendations on the preparation of CBCAs will support</w:t>
      </w:r>
      <w:r>
        <w:t xml:space="preserve"> </w:t>
      </w:r>
      <w:r>
        <w:t xml:space="preserve">cost-sharing agreements. The impact of PO2 and PO3 is expected to be higher as a result of an</w:t>
      </w:r>
      <w:r>
        <w:t xml:space="preserve"> </w:t>
      </w:r>
      <w:r>
        <w:t xml:space="preserve">enabling framework that allows TSOs and Member States to voluntarily bundle projects. This</w:t>
      </w:r>
      <w:r>
        <w:t xml:space="preserve"> </w:t>
      </w:r>
      <w:r>
        <w:t xml:space="preserve">would further facilitate cost sharing as demonstrated in past examples.130 The framework would</w:t>
      </w:r>
      <w:r>
        <w:t xml:space="preserve"> </w:t>
      </w:r>
      <w:r>
        <w:t xml:space="preserve">provide visibility on possible incentives, such as the PCI status and related CEF funding and</w:t>
      </w:r>
      <w:r>
        <w:t xml:space="preserve"> </w:t>
      </w:r>
      <w:r>
        <w:t xml:space="preserve">could enable the establishment and implementation of a first project bundle in the North Sea and</w:t>
      </w:r>
      <w:r>
        <w:t xml:space="preserve"> </w:t>
      </w:r>
      <w:r>
        <w:t xml:space="preserve">provide inspiration for other offshore and onshore regions. PO3 could lead to higher impacts</w:t>
      </w:r>
      <w:r>
        <w:t xml:space="preserve"> </w:t>
      </w:r>
      <w:r>
        <w:t xml:space="preserve">given it is mandatory although this might weaken a trust-based approach and would be limited</w:t>
      </w:r>
      <w:r>
        <w:t xml:space="preserve"> </w:t>
      </w:r>
      <w:r>
        <w:t xml:space="preserve">to offshore, where projects are already planned, hence likely lead to similar impacts as PO2.</w:t>
      </w:r>
      <w:r>
        <w:t xml:space="preserve"> </w:t>
      </w:r>
      <w:r>
        <w:t xml:space="preserve">Under all policy options congestion income is considered as source for financing of cross-</w:t>
      </w:r>
      <w:r>
        <w:t xml:space="preserve"> </w:t>
      </w:r>
      <w:r>
        <w:t xml:space="preserve">border electricity infrastructure, acting as an incentive to cost-sharing. The account balance for</w:t>
      </w:r>
      <w:r>
        <w:t xml:space="preserve"> </w:t>
      </w:r>
      <w:r>
        <w:t xml:space="preserve">congestion income not used in the previous years and placed in a separate account line amounted</w:t>
      </w:r>
      <w:r>
        <w:t xml:space="preserve"> </w:t>
      </w:r>
      <w:r>
        <w:t xml:space="preserve">to more than EUR 9 billion.131 This would increase to more than EUR 11.4 billion in 2025 (see</w:t>
      </w:r>
      <w:r>
        <w:t xml:space="preserve"> </w:t>
      </w:r>
      <w:r>
        <w:t xml:space="preserve">Annex 4 for more details). This data indicates that a substantial portion of congestion income</w:t>
      </w:r>
      <w:r>
        <w:t xml:space="preserve"> </w:t>
      </w:r>
      <w:r>
        <w:t xml:space="preserve">remains available and could be utilised to facilitate cost-sharing agreements providing an</w:t>
      </w:r>
      <w:r>
        <w:t xml:space="preserve"> </w:t>
      </w:r>
      <w:r>
        <w:t xml:space="preserve">additional incentive to hosting Member States. This would be possible without reducing</w:t>
      </w:r>
      <w:r>
        <w:t xml:space="preserve"> </w:t>
      </w:r>
      <w:r>
        <w:t xml:space="preserve">current spending on other priorities, hence would not create additional costs. Socialising a share</w:t>
      </w:r>
      <w:r>
        <w:t xml:space="preserve"> </w:t>
      </w:r>
      <w:r>
        <w:t xml:space="preserve">of the congestion income to finance new cross-border electricity infrastructure projects could</w:t>
      </w:r>
      <w:r>
        <w:t xml:space="preserve"> </w:t>
      </w:r>
      <w:r>
        <w:t xml:space="preserve">reduce the need to increase network tariffs to finance these investments in the hosting countries.</w:t>
      </w:r>
      <w:r>
        <w:br/>
      </w:r>
      <w:r>
        <w:t xml:space="preserve">As for permitting (SO3), under the BAU scenario, permitting procedures face significant delays</w:t>
      </w:r>
      <w:r>
        <w:t xml:space="preserve"> </w:t>
      </w:r>
      <w:r>
        <w:t xml:space="preserve">(Section 2.2.5). Delays in permitting of energy infrastructure represent an impact on total</w:t>
      </w:r>
      <w:r>
        <w:t xml:space="preserve"> </w:t>
      </w:r>
      <w:r>
        <w:t xml:space="preserve">generation cost of at least EUR 450 million/year.132 The example of the “Garenfeld substation”</w:t>
      </w:r>
      <w:r>
        <w:t xml:space="preserve"> </w:t>
      </w:r>
      <w:r>
        <w:t xml:space="preserve">project (Germany) shows a delay of 2 years may cost over EUR 150 million in redispatch costs,</w:t>
      </w:r>
      <w:r>
        <w:t xml:space="preserve"> </w:t>
      </w:r>
      <w:r>
        <w:t xml:space="preserve">which would otherwise have resulted in a EUR 70 million reduction to consumer bills.133</w:t>
      </w:r>
    </w:p>
    <w:p>
      <w:pPr>
        <w:pStyle w:val="BodyText"/>
      </w:pPr>
      <w:r>
        <w:t xml:space="preserve">130 E.g. 2004 TSO Nordel Infrastructure Package with the bundling of five prioritised Nordic grid reinforcements: 1.</w:t>
      </w:r>
      <w:r>
        <w:t xml:space="preserve"> </w:t>
      </w:r>
      <w:r>
        <w:t xml:space="preserve">Fennoskan II (Decided) 2. Great Belt (Decided) 3. Nea - Järpströmmen (Decided) 4. South Link (Decided) 5.</w:t>
      </w:r>
      <w:r>
        <w:t xml:space="preserve"> </w:t>
      </w:r>
      <w:r>
        <w:t xml:space="preserve">Skagerrak IV (Letter of Intent, concessions applied), see Annex 9 for further details.</w:t>
      </w:r>
      <w:r>
        <w:br/>
      </w:r>
      <w:r>
        <w:t xml:space="preserve">131 TSOs’ proposal for Use of Congestion Income Methodology in accordance with Article 19(4) of Regulation (EU)</w:t>
      </w:r>
      <w:r>
        <w:t xml:space="preserve"> </w:t>
      </w:r>
      <w:r>
        <w:t xml:space="preserve">2019/943 of the European Parliament and of the Council of 5 June 2019 on the internal market for electricity</w:t>
      </w:r>
      <w:r>
        <w:t xml:space="preserve"> </w:t>
      </w:r>
      <w:r>
        <w:t xml:space="preserve">132 European Commission, Joint Research Centre, Finck, J. R., Miletic, M., Terça, G. The interconnection needs of</w:t>
      </w:r>
      <w:r>
        <w:t xml:space="preserve"> </w:t>
      </w:r>
      <w:r>
        <w:t xml:space="preserve">the European electricity system: Investigations for 2030 and 2040 using METIS, European Commission, Petten, 2025,</w:t>
      </w:r>
      <w:r>
        <w:t xml:space="preserve"> </w:t>
      </w:r>
      <w:r>
        <w:t xml:space="preserve">JRC143965</w:t>
      </w:r>
      <w:r>
        <w:t xml:space="preserve"> </w:t>
      </w:r>
      <w:r>
        <w:t xml:space="preserve">133 ENTSO-E and Renewable Grids Initiative, Value of timely implementation of “better projects (2019)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PO1 would contribute little to accelerating permitting procedure and addressing high and volatile</w:t>
      </w:r>
      <w:r>
        <w:t xml:space="preserve"> </w:t>
      </w:r>
      <w:r>
        <w:t xml:space="preserve">energy prices, as impacts will be limited to the results achieved under the existing framework.</w:t>
      </w:r>
      <w:r>
        <w:t xml:space="preserve"> </w:t>
      </w:r>
      <w:r>
        <w:t xml:space="preserve">Through creating a clear framework with concrete shorter deadlines and simpler procedures</w:t>
      </w:r>
      <w:r>
        <w:t xml:space="preserve"> </w:t>
      </w:r>
      <w:r>
        <w:t xml:space="preserve">for the development of RES projects, grids, storage and recharging stations, PO2, and to a lesser</w:t>
      </w:r>
      <w:r>
        <w:t xml:space="preserve"> </w:t>
      </w:r>
      <w:r>
        <w:t xml:space="preserve">extent PO3134, would lead to shorter lead time for projects and thus bring positive economic</w:t>
      </w:r>
      <w:r>
        <w:t xml:space="preserve"> </w:t>
      </w:r>
      <w:r>
        <w:t xml:space="preserve">benefits. This is supported by the experience with the implementation of binding and optional</w:t>
      </w:r>
      <w:r>
        <w:t xml:space="preserve"> </w:t>
      </w:r>
      <w:r>
        <w:t xml:space="preserve">measures to accelerate permitting as introduced by the Emergency Regulation. Germany has made</w:t>
      </w:r>
      <w:r>
        <w:t xml:space="preserve"> </w:t>
      </w:r>
      <w:r>
        <w:t xml:space="preserve">extensive use of the measures in this Regulation resulting in a substantial acceleration of</w:t>
      </w:r>
      <w:r>
        <w:t xml:space="preserve"> </w:t>
      </w:r>
      <w:r>
        <w:t xml:space="preserve">permitting. In 2024, Germany approved approximately 14-15 GW of additional installed onshore</w:t>
      </w:r>
      <w:r>
        <w:t xml:space="preserve"> </w:t>
      </w:r>
      <w:r>
        <w:t xml:space="preserve">wind capacity135, which represents an 85% increase compared to the previous year. Faster</w:t>
      </w:r>
      <w:r>
        <w:t xml:space="preserve"> </w:t>
      </w:r>
      <w:r>
        <w:t xml:space="preserve">permitting for recharging stations would provide more planning certainty, reduce costs and hence</w:t>
      </w:r>
      <w:r>
        <w:t xml:space="preserve"> </w:t>
      </w:r>
      <w:r>
        <w:t xml:space="preserve">improve the business case for charging operators and accelerate the roll out of charging</w:t>
      </w:r>
      <w:r>
        <w:t xml:space="preserve"> </w:t>
      </w:r>
      <w:r>
        <w:t xml:space="preserve">infrastructure. By 2040, during peak times, electric vehicles utilising bidirectional charging could</w:t>
      </w:r>
      <w:r>
        <w:t xml:space="preserve"> </w:t>
      </w:r>
      <w:r>
        <w:t xml:space="preserve">supply up to 15–20% of electricity demand, serving as a large virtual power plant136 and provide</w:t>
      </w:r>
      <w:r>
        <w:t xml:space="preserve"> </w:t>
      </w:r>
      <w:r>
        <w:t xml:space="preserve">system flexibility.</w:t>
      </w:r>
      <w:r>
        <w:br/>
      </w:r>
      <w:r>
        <w:t xml:space="preserve">Addressing the delays in project implementation is expected to generate benefits in terms of</w:t>
      </w:r>
      <w:r>
        <w:t xml:space="preserve"> </w:t>
      </w:r>
      <w:r>
        <w:t xml:space="preserve">overall reduced wholesale electricity prices and increase total welfare. Comparing the initial</w:t>
      </w:r>
      <w:r>
        <w:t xml:space="preserve"> </w:t>
      </w:r>
      <w:r>
        <w:t xml:space="preserve">planned commissioning dates for on-going cross-border infrastructure projects against the latest</w:t>
      </w:r>
      <w:r>
        <w:t xml:space="preserve"> </w:t>
      </w:r>
      <w:r>
        <w:t xml:space="preserve">information from the project promoters shows an average delay of 4 years, equivalent to a welfare</w:t>
      </w:r>
      <w:r>
        <w:t xml:space="preserve"> </w:t>
      </w:r>
      <w:r>
        <w:t xml:space="preserve">loss of EUR 6.5 billion until 2030; delays in permitting alone amount to a welfare loss of at least</w:t>
      </w:r>
      <w:r>
        <w:t xml:space="preserve"> </w:t>
      </w:r>
      <w:r>
        <w:t xml:space="preserve">EUR 515 million per year, when compared to a “no delays” scenario.137</w:t>
      </w:r>
      <w:r>
        <w:br/>
      </w:r>
      <w:r>
        <w:t xml:space="preserve">While the time required to implement the proposed options may not substantially change the</w:t>
      </w:r>
      <w:r>
        <w:t xml:space="preserve"> </w:t>
      </w:r>
      <w:r>
        <w:t xml:space="preserve">situation for 2030, they are expected to support timely project implementation for 2040 and hence</w:t>
      </w:r>
      <w:r>
        <w:t xml:space="preserve"> </w:t>
      </w:r>
      <w:r>
        <w:t xml:space="preserve">prevent welfare losses of an even higher magnitude given the higher number of projects expected</w:t>
      </w:r>
      <w:r>
        <w:t xml:space="preserve"> </w:t>
      </w:r>
      <w:r>
        <w:t xml:space="preserve">to be implemented. In addition to stricter permitting deadlines, PO2 and PO3 would introduce</w:t>
      </w:r>
      <w:r>
        <w:t xml:space="preserve"> </w:t>
      </w:r>
      <w:r>
        <w:t xml:space="preserve">stricter requirements for project assessment which should reduce delays for projects (also linked</w:t>
      </w:r>
      <w:r>
        <w:t xml:space="preserve"> </w:t>
      </w:r>
      <w:r>
        <w:t xml:space="preserve">to delays of other interlinked projects). By introducing an EU-wide approach, PO3 will further</w:t>
      </w:r>
      <w:r>
        <w:t xml:space="preserve"> </w:t>
      </w:r>
      <w:r>
        <w:t xml:space="preserve">enhance coordination in the permitting of projects with a cross-border dimension and very large-</w:t>
      </w:r>
      <w:r>
        <w:t xml:space="preserve"> </w:t>
      </w:r>
      <w:r>
        <w:t xml:space="preserve">scale renewable energy projects in the EU.</w:t>
      </w:r>
      <w:r>
        <w:br/>
      </w:r>
      <w:r>
        <w:t xml:space="preserve">As for security (SO4), the policy options would have varying economic impacts. The additional</w:t>
      </w:r>
      <w:r>
        <w:t xml:space="preserve"> </w:t>
      </w:r>
      <w:r>
        <w:t xml:space="preserve">risk assessments in relation to physical and cybersecurity measures, included in all POs, together</w:t>
      </w:r>
      <w:r>
        <w:t xml:space="preserve"> </w:t>
      </w:r>
      <w:r>
        <w:t xml:space="preserve">with better inclusion of security and resilience-related equipment under PO2 and PO3, would</w:t>
      </w:r>
      <w:r>
        <w:t xml:space="preserve"> </w:t>
      </w:r>
      <w:r>
        <w:t xml:space="preserve">lead to benefits in terms of avoided costs of incidents, such as outages and emergency repairs.</w:t>
      </w:r>
      <w:r>
        <w:t xml:space="preserve"> </w:t>
      </w:r>
      <w:r>
        <w:t xml:space="preserve">For instance, the outage of the Estlink 2 interconnector between Estonia and Finland in 2024</w:t>
      </w:r>
      <w:r>
        <w:t xml:space="preserve"> </w:t>
      </w:r>
      <w:r>
        <w:t xml:space="preserve">resulted in repair costs of EUR 30 million compared to a loss in socio-economic benefits of EUR</w:t>
      </w:r>
      <w:r>
        <w:t xml:space="preserve"> </w:t>
      </w:r>
      <w:r>
        <w:t xml:space="preserve">94 million. The second outage in 2025 resulted in total repair costs of EUR 50-60 million.</w:t>
      </w:r>
      <w:r>
        <w:br/>
      </w:r>
      <w:r>
        <w:t xml:space="preserve">Including security and resilience-related equipment for the upgrade of existing electricity cross-</w:t>
      </w:r>
      <w:r>
        <w:t xml:space="preserve"> </w:t>
      </w:r>
      <w:r>
        <w:t xml:space="preserve">border infrastructure under TEN-E scope as foreseen under PO2 and PO3, would allow for the</w:t>
      </w:r>
    </w:p>
    <w:p>
      <w:pPr>
        <w:pStyle w:val="BodyText"/>
      </w:pPr>
      <w:r>
        <w:t xml:space="preserve">134 The reduction in lead times are expected to be delayed for PO3 due to the time needed to create a new EU-level</w:t>
      </w:r>
      <w:r>
        <w:t xml:space="preserve"> </w:t>
      </w:r>
      <w:r>
        <w:t xml:space="preserve">entity and make it operational.</w:t>
      </w:r>
      <w:r>
        <w:br/>
      </w:r>
      <w:r>
        <w:t xml:space="preserve">135 Status of onshore wind energy expansion in Germany (translated)</w:t>
      </w:r>
      <w:r>
        <w:br/>
      </w:r>
      <w:r>
        <w:t xml:space="preserve">136 Fraunhofer study for T&amp;E, Batteries on wheels: the untapped potential of EVs, October 2024</w:t>
      </w:r>
      <w:r>
        <w:t xml:space="preserve"> </w:t>
      </w:r>
      <w:r>
        <w:t xml:space="preserve">137 European Commission Joint Research Centre, Finck, J. R., Miletic, M., Terça, G. The infrastructure needs of the</w:t>
      </w:r>
      <w:r>
        <w:t xml:space="preserve"> </w:t>
      </w:r>
      <w:r>
        <w:t xml:space="preserve">European electricity system: Investigations for 2030 and 2040 using METIS, European Commission, Petten, 2025,</w:t>
      </w:r>
      <w:r>
        <w:t xml:space="preserve"> </w:t>
      </w:r>
      <w:r>
        <w:t xml:space="preserve">JRC143965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possible financing of part of this equipment via the CEF. This would reduce costs for project</w:t>
      </w:r>
      <w:r>
        <w:t xml:space="preserve"> </w:t>
      </w:r>
      <w:r>
        <w:t xml:space="preserve">promoters and could have a positive impact on consumer bills.</w:t>
      </w:r>
      <w:r>
        <w:t xml:space="preserve"> </w:t>
      </w:r>
      <w:r>
        <w:t xml:space="preserve">6.1.2. Competitiveness</w:t>
      </w:r>
      <w:r>
        <w:t xml:space="preserve"> </w:t>
      </w:r>
      <w:r>
        <w:t xml:space="preserve">Impacts on competitiveness are closely linked to economic but also social impacts. An optimal</w:t>
      </w:r>
      <w:r>
        <w:t xml:space="preserve"> </w:t>
      </w:r>
      <w:r>
        <w:t xml:space="preserve">energy infrastructure would result in lower energy system costs (Section 6.1.1). In this regard,</w:t>
      </w:r>
      <w:r>
        <w:t xml:space="preserve"> </w:t>
      </w:r>
      <w:r>
        <w:t xml:space="preserve">all policy options bring positive impacts in terms of avoided cost and hence avoided network</w:t>
      </w:r>
      <w:r>
        <w:t xml:space="preserve"> </w:t>
      </w:r>
      <w:r>
        <w:t xml:space="preserve">tariff increases with the highest impact expected under PO2 and PO3. It is however not possible</w:t>
      </w:r>
      <w:r>
        <w:t xml:space="preserve"> </w:t>
      </w:r>
      <w:r>
        <w:t xml:space="preserve">to further credibly quantify the impact of the measures on competitiveness beyond reduced</w:t>
      </w:r>
      <w:r>
        <w:t xml:space="preserve"> </w:t>
      </w:r>
      <w:r>
        <w:t xml:space="preserve">energy system costs and expected effects on wholesale electricity prices.</w:t>
      </w:r>
    </w:p>
    <w:p>
      <w:pPr>
        <w:pStyle w:val="BodyText"/>
      </w:pPr>
      <w:r>
        <w:t xml:space="preserve">Regarding the impact on manufacturing capacities, given that most of the supply chain for</w:t>
      </w:r>
      <w:r>
        <w:t xml:space="preserve"> </w:t>
      </w:r>
      <w:r>
        <w:t xml:space="preserve">high-voltage technologies is coming from EU suppliers138, further increase in grid investments</w:t>
      </w:r>
      <w:r>
        <w:t xml:space="preserve"> </w:t>
      </w:r>
      <w:r>
        <w:t xml:space="preserve">is expected to benefit primarily EU companies. The completion of the 2024 TYNDP project</w:t>
      </w:r>
      <w:r>
        <w:t xml:space="preserve"> </w:t>
      </w:r>
      <w:r>
        <w:t xml:space="preserve">portfolio by 2040 (211 projects) with a total CAPEX of 288 bn EUR in the EU would lead to</w:t>
      </w:r>
      <w:r>
        <w:t xml:space="preserve"> </w:t>
      </w:r>
      <w:r>
        <w:t xml:space="preserve">EUR 603 billion mobilised in production and create 4.1 million jobs in the EU.139</w:t>
      </w:r>
    </w:p>
    <w:p>
      <w:pPr>
        <w:pStyle w:val="BodyText"/>
      </w:pPr>
      <w:r>
        <w:t xml:space="preserve">In general, if Europe can significantly shorten planning and permitting procedures, besides</w:t>
      </w:r>
      <w:r>
        <w:t xml:space="preserve"> </w:t>
      </w:r>
      <w:r>
        <w:t xml:space="preserve">achieving direct economic benefits, its competitive position vis-à-vis direct competitors could</w:t>
      </w:r>
      <w:r>
        <w:t xml:space="preserve"> </w:t>
      </w:r>
      <w:r>
        <w:t xml:space="preserve">also be improved, by through e.g. cost-efficient electrification of industry. This concerns for</w:t>
      </w:r>
      <w:r>
        <w:t xml:space="preserve"> </w:t>
      </w:r>
      <w:r>
        <w:t xml:space="preserve">instance connection of data centres or gigafactories, for which grid connection is one of important</w:t>
      </w:r>
      <w:r>
        <w:t xml:space="preserve"> </w:t>
      </w:r>
      <w:r>
        <w:t xml:space="preserve">considerations based on which they decide on their placement.140</w:t>
      </w:r>
    </w:p>
    <w:p>
      <w:pPr>
        <w:pStyle w:val="BodyText"/>
      </w:pPr>
      <w:r>
        <w:t xml:space="preserve">6.1.3. Digitalisation</w:t>
      </w:r>
      <w:r>
        <w:t xml:space="preserve"> </w:t>
      </w:r>
      <w:r>
        <w:t xml:space="preserve">All three policy options show positive impact on digitalisation through stronger emphasis on the</w:t>
      </w:r>
      <w:r>
        <w:t xml:space="preserve"> </w:t>
      </w:r>
      <w:r>
        <w:t xml:space="preserve">use of non-wired alternative solutions in grid planning, including in project assessment and filling</w:t>
      </w:r>
      <w:r>
        <w:t xml:space="preserve"> </w:t>
      </w:r>
      <w:r>
        <w:t xml:space="preserve">the identified infrastructure needs. PO2 and PO3 have higher impact due to better reflection</w:t>
      </w:r>
      <w:r>
        <w:t xml:space="preserve"> </w:t>
      </w:r>
      <w:r>
        <w:t xml:space="preserve">of non-wired alternative solutions in scope of the electricity PCI category. All non-wired</w:t>
      </w:r>
      <w:r>
        <w:t xml:space="preserve"> </w:t>
      </w:r>
      <w:r>
        <w:t xml:space="preserve">solutions must in practice be encompassed by digital solutions.141 By this priority treatment of</w:t>
      </w:r>
      <w:r>
        <w:t xml:space="preserve"> </w:t>
      </w:r>
      <w:r>
        <w:t xml:space="preserve">non-wired alternative solutions, all three policy options also positively contribute to</w:t>
      </w:r>
      <w:r>
        <w:t xml:space="preserve"> </w:t>
      </w:r>
      <w:r>
        <w:t xml:space="preserve">innovation, by providing clear investment signals for such technologies.</w:t>
      </w:r>
      <w:r>
        <w:br/>
      </w:r>
      <w:r>
        <w:t xml:space="preserve">In terms of permitting, PO2 and PO3 would require Member States to digitalise their</w:t>
      </w:r>
      <w:r>
        <w:t xml:space="preserve"> </w:t>
      </w:r>
      <w:r>
        <w:t xml:space="preserve">permitting procedures. To do so, permitting authorities would have to integrate digital tools,</w:t>
      </w:r>
      <w:r>
        <w:t xml:space="preserve"> </w:t>
      </w:r>
      <w:r>
        <w:t xml:space="preserve">create and continuously update platforms with relevant data and to upskill their staff to handle</w:t>
      </w:r>
      <w:r>
        <w:t xml:space="preserve"> </w:t>
      </w:r>
      <w:r>
        <w:t xml:space="preserve">the new digital elements. The impact of using such platforms and tools was seen in Portugal and</w:t>
      </w:r>
      <w:r>
        <w:t xml:space="preserve"> </w:t>
      </w:r>
      <w:r>
        <w:t xml:space="preserve">Denmark, where environmental and heritage sensitivity maps that simplify the planning and</w:t>
      </w:r>
      <w:r>
        <w:t xml:space="preserve"> </w:t>
      </w:r>
      <w:r>
        <w:t xml:space="preserve">approval of energy infrastructure facilitated the identification of potential impacts.142</w:t>
      </w:r>
    </w:p>
    <w:p>
      <w:pPr>
        <w:pStyle w:val="BodyText"/>
      </w:pPr>
      <w:r>
        <w:t xml:space="preserve">138 See Communication from the Commission providing updated information to determine the shares of the European</w:t>
      </w:r>
      <w:r>
        <w:t xml:space="preserve"> </w:t>
      </w:r>
      <w:r>
        <w:t xml:space="preserve">Union supply of final products and their main specific components</w:t>
      </w:r>
      <w:r>
        <w:t xml:space="preserve"> </w:t>
      </w:r>
      <w:r>
        <w:t xml:space="preserve">139 ENTSO-E (2025), TYNDP 2024</w:t>
      </w:r>
      <w:r>
        <w:t xml:space="preserve"> </w:t>
      </w:r>
      <w:r>
        <w:t xml:space="preserve">140 Ember (2025): Grids for data centres</w:t>
      </w:r>
      <w:r>
        <w:t xml:space="preserve"> </w:t>
      </w:r>
      <w:r>
        <w:t xml:space="preserve">141 For instance, for dynamic line rating, this would mean installing physical sensors in the grid, but also a digital</w:t>
      </w:r>
      <w:r>
        <w:t xml:space="preserve"> </w:t>
      </w:r>
      <w:r>
        <w:t xml:space="preserve">smart system which automatically evaluates the data and assesses impact on available capacities).</w:t>
      </w:r>
      <w:r>
        <w:t xml:space="preserve"> </w:t>
      </w:r>
      <w:r>
        <w:t xml:space="preserve">142 PT: national energy and geology laboratory repository centralising georeferenced information in the energy and</w:t>
      </w:r>
      <w:r>
        <w:t xml:space="preserve"> </w:t>
      </w:r>
      <w:r>
        <w:t xml:space="preserve">geology areas: Laboratório Nacional de Energia e Geologia, GEOPORTAL</w:t>
      </w:r>
      <w:r>
        <w:br/>
      </w:r>
      <w:r>
        <w:t xml:space="preserve">DK: Danish Environmental Portal owned by the national government, regions, and municipalities: ARTER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6.1.4. Administrative and adjustment costs</w:t>
      </w:r>
      <w:r>
        <w:t xml:space="preserve"> </w:t>
      </w:r>
      <w:r>
        <w:t xml:space="preserve">PO1 would entail minimal additional administrative and adjustment costs, as limited changes are</w:t>
      </w:r>
      <w:r>
        <w:t xml:space="preserve"> </w:t>
      </w:r>
      <w:r>
        <w:t xml:space="preserve">made to the existing framework. As regards infrastructure planning, for PO1 the administrative</w:t>
      </w:r>
      <w:r>
        <w:t xml:space="preserve"> </w:t>
      </w:r>
      <w:r>
        <w:t xml:space="preserve">and adjustment costs are very limited for ACER and the Commission and include one-off costs</w:t>
      </w:r>
      <w:r>
        <w:t xml:space="preserve"> </w:t>
      </w:r>
      <w:r>
        <w:t xml:space="preserve">(to develop framework methodologies) and recurrent costs (verification/monitoring). The one-</w:t>
      </w:r>
      <w:r>
        <w:t xml:space="preserve"> </w:t>
      </w:r>
      <w:r>
        <w:t xml:space="preserve">off costs are comparable to the current situation and the recurrent costs would likely be offset by</w:t>
      </w:r>
      <w:r>
        <w:t xml:space="preserve"> </w:t>
      </w:r>
      <w:r>
        <w:t xml:space="preserve">savings gained through streamlined procedures (e.g. removal of Commission and ACER</w:t>
      </w:r>
      <w:r>
        <w:t xml:space="preserve"> </w:t>
      </w:r>
      <w:r>
        <w:t xml:space="preserve">Opinions which take 3-4 months each). Integrated scenario modelling across sectors is already</w:t>
      </w:r>
      <w:r>
        <w:t xml:space="preserve"> </w:t>
      </w:r>
      <w:r>
        <w:t xml:space="preserve">required under the TEN-E, hence targeted improvements via earlier inclusion of ACER and</w:t>
      </w:r>
      <w:r>
        <w:t xml:space="preserve"> </w:t>
      </w:r>
      <w:r>
        <w:t xml:space="preserve">Commission in the process should not entail significant adjustment costs.</w:t>
      </w:r>
    </w:p>
    <w:p>
      <w:pPr>
        <w:pStyle w:val="BodyText"/>
      </w:pPr>
      <w:r>
        <w:t xml:space="preserve">PO1 would also reduce administrative costs for the Commission, NRAs, ACER and Member</w:t>
      </w:r>
      <w:r>
        <w:t xml:space="preserve"> </w:t>
      </w:r>
      <w:r>
        <w:t xml:space="preserve">States by streamlining the hydrogen-related categories under the TEN-E and thereby reducing the</w:t>
      </w:r>
      <w:r>
        <w:t xml:space="preserve"> </w:t>
      </w:r>
      <w:r>
        <w:t xml:space="preserve">number of project applications.</w:t>
      </w:r>
      <w:r>
        <w:br/>
      </w:r>
      <w:r>
        <w:t xml:space="preserve">As for cost sharing, the requirement for ENTSO-E and ENNOH to publish benefits of TYNDP</w:t>
      </w:r>
      <w:r>
        <w:t xml:space="preserve"> </w:t>
      </w:r>
      <w:r>
        <w:t xml:space="preserve">projects, would involve minimal effort, as this information already exists and would simply be</w:t>
      </w:r>
      <w:r>
        <w:t xml:space="preserve"> </w:t>
      </w:r>
      <w:r>
        <w:t xml:space="preserve">made public. Preliminary, non-binding cost-sharing discussions for mature projects may</w:t>
      </w:r>
      <w:r>
        <w:t xml:space="preserve"> </w:t>
      </w:r>
      <w:r>
        <w:t xml:space="preserve">anticipate part of the workload for concerned stakeholders but would not increase the overall</w:t>
      </w:r>
      <w:r>
        <w:t xml:space="preserve"> </w:t>
      </w:r>
      <w:r>
        <w:t xml:space="preserve">burden and could facilitate more effective coordination later on. ACER would face one-off</w:t>
      </w:r>
      <w:r>
        <w:t xml:space="preserve"> </w:t>
      </w:r>
      <w:r>
        <w:t xml:space="preserve">implementation costs to update its CBCA recommendation (estimated to 1 FTE) and develop a</w:t>
      </w:r>
      <w:r>
        <w:t xml:space="preserve"> </w:t>
      </w:r>
      <w:r>
        <w:t xml:space="preserve">template, and recurrent costs to establish a repository. EU-level CBCA principles would help</w:t>
      </w:r>
      <w:r>
        <w:t xml:space="preserve"> </w:t>
      </w:r>
      <w:r>
        <w:t xml:space="preserve">streamline and harmonise the cost-sharing process, without creating additional burden compared</w:t>
      </w:r>
      <w:r>
        <w:t xml:space="preserve"> </w:t>
      </w:r>
      <w:r>
        <w:t xml:space="preserve">to the BAU scenario. The use of congestion income to finance cross-border infrastructure will</w:t>
      </w:r>
      <w:r>
        <w:t xml:space="preserve"> </w:t>
      </w:r>
      <w:r>
        <w:t xml:space="preserve">introduce new administrative responsibilities, including coordination with other TSOs and</w:t>
      </w:r>
      <w:r>
        <w:t xml:space="preserve"> </w:t>
      </w:r>
      <w:r>
        <w:t xml:space="preserve">relevant NRAs. However, adjustment costs are expected to be very limited since TSOs and NRAs</w:t>
      </w:r>
      <w:r>
        <w:t xml:space="preserve"> </w:t>
      </w:r>
      <w:r>
        <w:t xml:space="preserve">already deal with congestion income and manage the relevant accounts.</w:t>
      </w:r>
    </w:p>
    <w:p>
      <w:pPr>
        <w:pStyle w:val="BodyText"/>
      </w:pPr>
      <w:r>
        <w:t xml:space="preserve">As for permitting, PO1 would not create new legal requirements, hence no additional adjustment</w:t>
      </w:r>
      <w:r>
        <w:t xml:space="preserve"> </w:t>
      </w:r>
      <w:r>
        <w:t xml:space="preserve">or compliance costs are expected for national authorities. The Commission would support Member</w:t>
      </w:r>
      <w:r>
        <w:t xml:space="preserve"> </w:t>
      </w:r>
      <w:r>
        <w:t xml:space="preserve">States to reduce administrative costs by identifying technical assistance and funding opportunities</w:t>
      </w:r>
      <w:r>
        <w:t xml:space="preserve"> </w:t>
      </w:r>
      <w:r>
        <w:t xml:space="preserve">to support investments in tools, reforms of procedures and trainings needed to increase the capacity</w:t>
      </w:r>
      <w:r>
        <w:t xml:space="preserve"> </w:t>
      </w:r>
      <w:r>
        <w:t xml:space="preserve">of authorities. Moreover, by establishing guidance on the implementation of environmental</w:t>
      </w:r>
      <w:r>
        <w:t xml:space="preserve"> </w:t>
      </w:r>
      <w:r>
        <w:t xml:space="preserve">legislation in connection to permitting procedures, procedural ambiguities would be minimised,</w:t>
      </w:r>
      <w:r>
        <w:t xml:space="preserve"> </w:t>
      </w:r>
      <w:r>
        <w:t xml:space="preserve">reducing authorities’ administrative costs.</w:t>
      </w:r>
      <w:r>
        <w:br/>
      </w:r>
      <w:r>
        <w:t xml:space="preserve">Concerning security related measures, PO1 may incur additional compliance costs. Project</w:t>
      </w:r>
      <w:r>
        <w:t xml:space="preserve"> </w:t>
      </w:r>
      <w:r>
        <w:t xml:space="preserve">promoters who are currently considered as critical entities under the CER Directive, such as TSOs,</w:t>
      </w:r>
      <w:r>
        <w:t xml:space="preserve"> </w:t>
      </w:r>
      <w:r>
        <w:t xml:space="preserve">would experience minimal added burden compared to the status quo. For those not currently</w:t>
      </w:r>
      <w:r>
        <w:t xml:space="preserve"> </w:t>
      </w:r>
      <w:r>
        <w:t xml:space="preserve">subject to obligations under the CER Directive or the EU cyber-security framework, additional</w:t>
      </w:r>
      <w:r>
        <w:t xml:space="preserve"> </w:t>
      </w:r>
      <w:r>
        <w:t xml:space="preserve">costs may include specialised expertise to identify, evaluate and mitigate risks related to physical</w:t>
      </w:r>
      <w:r>
        <w:t xml:space="preserve"> </w:t>
      </w:r>
      <w:r>
        <w:t xml:space="preserve">security and cybersecurity. Taking the example of the first PCI/PMI list, this would concern</w:t>
      </w:r>
      <w:r>
        <w:t xml:space="preserve"> </w:t>
      </w:r>
      <w:r>
        <w:t xml:space="preserve">around 8% of project promoters.</w:t>
      </w:r>
      <w:r>
        <w:br/>
      </w:r>
      <w:r>
        <w:t xml:space="preserve">PO2 would entail some administrative and adjustment costs, as it involves a more comprehensive</w:t>
      </w:r>
      <w:r>
        <w:t xml:space="preserve"> </w:t>
      </w:r>
      <w:r>
        <w:t xml:space="preserve">revision of the legislative and policy framework. As regards infrastructure planning, PO2</w:t>
      </w:r>
      <w:r>
        <w:t xml:space="preserve"> </w:t>
      </w:r>
      <w:r>
        <w:t xml:space="preserve">would mainly entail additional administrative costs for the Commission being responsible for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the central scenario development and changes related to the scope of the PCI and PMI process.</w:t>
      </w:r>
      <w:r>
        <w:t xml:space="preserve"> </w:t>
      </w:r>
      <w:r>
        <w:t xml:space="preserve">The former would require additional resources in terms of personnel (18 FTEs) with possible</w:t>
      </w:r>
      <w:r>
        <w:t xml:space="preserve"> </w:t>
      </w:r>
      <w:r>
        <w:t xml:space="preserve">additional costs for external support. At the same time, administrative savings would occur for</w:t>
      </w:r>
      <w:r>
        <w:t xml:space="preserve"> </w:t>
      </w:r>
      <w:r>
        <w:t xml:space="preserve">ENTSO-E and ENNOH as they would no longer be responsible for the scenario development.</w:t>
      </w:r>
      <w:r>
        <w:t xml:space="preserve"> </w:t>
      </w:r>
      <w:r>
        <w:t xml:space="preserve">Additional administrative costs could be expected for national authorities, TSOs and ACER to</w:t>
      </w:r>
      <w:r>
        <w:t xml:space="preserve"> </w:t>
      </w:r>
      <w:r>
        <w:t xml:space="preserve">ensure data collection and verification for the scenario development as well as for the</w:t>
      </w:r>
      <w:r>
        <w:t xml:space="preserve"> </w:t>
      </w:r>
      <w:r>
        <w:t xml:space="preserve">verification, approval, and follow-up of identified needs. However, they already conduct such</w:t>
      </w:r>
      <w:r>
        <w:t xml:space="preserve"> </w:t>
      </w:r>
      <w:r>
        <w:t xml:space="preserve">tasks under BAU and the reduction of the frequency of TYNDP processes from every 2 years to</w:t>
      </w:r>
      <w:r>
        <w:t xml:space="preserve"> </w:t>
      </w:r>
      <w:r>
        <w:t xml:space="preserve">every 4 years as well as optimisation of the planning process would reduce costs compared to</w:t>
      </w:r>
      <w:r>
        <w:t xml:space="preserve"> </w:t>
      </w:r>
      <w:r>
        <w:t xml:space="preserve">BAU and PO1. The cost impact on ACER can be considered a slight increase.</w:t>
      </w:r>
    </w:p>
    <w:p>
      <w:pPr>
        <w:pStyle w:val="BodyText"/>
      </w:pPr>
      <w:r>
        <w:t xml:space="preserve">Regarding infrastructure categories and scope of PCIs/PMIs (all POs), broadening the scope for</w:t>
      </w:r>
      <w:r>
        <w:t xml:space="preserve"> </w:t>
      </w:r>
      <w:r>
        <w:t xml:space="preserve">digital technologies and security upgrades for existing energy infrastructure and lowering the 500</w:t>
      </w:r>
      <w:r>
        <w:t xml:space="preserve"> </w:t>
      </w:r>
      <w:r>
        <w:t xml:space="preserve">MW cross-border impact threshold for internal electricity lines should attract more candidate</w:t>
      </w:r>
      <w:r>
        <w:t xml:space="preserve"> </w:t>
      </w:r>
      <w:r>
        <w:t xml:space="preserve">projects, hence leading to higher administrative costs for assessing and monitoring the projects.</w:t>
      </w:r>
      <w:r>
        <w:t xml:space="preserve"> </w:t>
      </w:r>
      <w:r>
        <w:t xml:space="preserve">The decrease in number of electrolysers and smart gas grids projects may be offset by increase of</w:t>
      </w:r>
      <w:r>
        <w:t xml:space="preserve"> </w:t>
      </w:r>
      <w:r>
        <w:t xml:space="preserve">projects under the electricity grids category143, not leading to additional administrative costs.</w:t>
      </w:r>
      <w:r>
        <w:br/>
      </w:r>
      <w:r>
        <w:t xml:space="preserve">As regards cost sharing, PO2 requires additional resources and administrative responsibilities</w:t>
      </w:r>
      <w:r>
        <w:t xml:space="preserve"> </w:t>
      </w:r>
      <w:r>
        <w:t xml:space="preserve">from stakeholders, especially if TSOs will carry out an extra regional planning exercise. This</w:t>
      </w:r>
      <w:r>
        <w:t xml:space="preserve"> </w:t>
      </w:r>
      <w:r>
        <w:t xml:space="preserve">process would build on existing tools, supported by a specific framework in the TEN-E</w:t>
      </w:r>
      <w:r>
        <w:t xml:space="preserve"> </w:t>
      </w:r>
      <w:r>
        <w:t xml:space="preserve">Regulation and facilitated by the Commission. Member States and the Commission would also</w:t>
      </w:r>
      <w:r>
        <w:t xml:space="preserve"> </w:t>
      </w:r>
      <w:r>
        <w:t xml:space="preserve">need to allocate extra resources to support this process, as well as NRAs who would have to</w:t>
      </w:r>
      <w:r>
        <w:t xml:space="preserve"> </w:t>
      </w:r>
      <w:r>
        <w:t xml:space="preserve">conduct assessments and take decisions. NRAs will be required to get involved in the regulation</w:t>
      </w:r>
      <w:r>
        <w:t xml:space="preserve"> </w:t>
      </w:r>
      <w:r>
        <w:t xml:space="preserve">of projects not situated in their territory and to cooperate with other NRAs and TSOs from several</w:t>
      </w:r>
      <w:r>
        <w:t xml:space="preserve"> </w:t>
      </w:r>
      <w:r>
        <w:t xml:space="preserve">different Member States. As for ACER, the cluster approach should not create additional costs.</w:t>
      </w:r>
    </w:p>
    <w:p>
      <w:pPr>
        <w:pStyle w:val="BodyText"/>
      </w:pPr>
      <w:r>
        <w:t xml:space="preserve">On permitting, PO2 would introduce new measures requiring implementation by national and</w:t>
      </w:r>
      <w:r>
        <w:t xml:space="preserve"> </w:t>
      </w:r>
      <w:r>
        <w:t xml:space="preserve">local authorities, specifically regarding: equipping permitting authorities with all necessary staff,</w:t>
      </w:r>
      <w:r>
        <w:t xml:space="preserve"> </w:t>
      </w:r>
      <w:r>
        <w:t xml:space="preserve">skills and tools to handle the growing number of permitting requests, the accelerated permitting</w:t>
      </w:r>
      <w:r>
        <w:t xml:space="preserve"> </w:t>
      </w:r>
      <w:r>
        <w:t xml:space="preserve">timelines and simplification of permitting procedures for certain projects and repowering, the</w:t>
      </w:r>
      <w:r>
        <w:t xml:space="preserve"> </w:t>
      </w:r>
      <w:r>
        <w:t xml:space="preserve">creation of digital platforms and tools for the permitting process and for the design of benefit-</w:t>
      </w:r>
      <w:r>
        <w:t xml:space="preserve"> </w:t>
      </w:r>
      <w:r>
        <w:t xml:space="preserve">sharing schemes for public participation in renewable energy projects and new procedures as</w:t>
      </w:r>
      <w:r>
        <w:t xml:space="preserve"> </w:t>
      </w:r>
      <w:r>
        <w:t xml:space="preserve">single points of contacts for electricity transmission and distribution infrastructure in general and</w:t>
      </w:r>
      <w:r>
        <w:t xml:space="preserve"> </w:t>
      </w:r>
      <w:r>
        <w:t xml:space="preserve">storage and recharging stations, not covered by the revised RED. However, this short-term cost</w:t>
      </w:r>
      <w:r>
        <w:t xml:space="preserve"> </w:t>
      </w:r>
      <w:r>
        <w:t xml:space="preserve">effect would translate into savings from a streamlined, simpler and quicker procedures over mid-</w:t>
      </w:r>
      <w:r>
        <w:t xml:space="preserve"> </w:t>
      </w:r>
      <w:r>
        <w:t xml:space="preserve">and long-term.</w:t>
      </w:r>
      <w:r>
        <w:t xml:space="preserve"> </w:t>
      </w:r>
      <w:r>
        <w:t xml:space="preserve">Security-related measures under PO2 and PO3 are not expected to impose additional costs on</w:t>
      </w:r>
      <w:r>
        <w:t xml:space="preserve"> </w:t>
      </w:r>
      <w:r>
        <w:t xml:space="preserve">project promoters, as the required information regarding ultimate beneficial owners is generally</w:t>
      </w:r>
      <w:r>
        <w:t xml:space="preserve"> </w:t>
      </w:r>
      <w:r>
        <w:t xml:space="preserve">already accessible and will be handled confidentially, thereby minimising risks related to</w:t>
      </w:r>
      <w:r>
        <w:t xml:space="preserve"> </w:t>
      </w:r>
      <w:r>
        <w:t xml:space="preserve">competition or commercial sensitivity.</w:t>
      </w:r>
    </w:p>
    <w:p>
      <w:pPr>
        <w:pStyle w:val="BodyText"/>
      </w:pPr>
      <w:r>
        <w:t xml:space="preserve">143 Data allowing to quantify the expected increase in projects is not available. National network development plans</w:t>
      </w:r>
      <w:r>
        <w:t xml:space="preserve"> </w:t>
      </w:r>
      <w:r>
        <w:t xml:space="preserve">do not quantify cross-border impacts of all internal infrastructure. Hence, it is difficult to assess which of existing</w:t>
      </w:r>
      <w:r>
        <w:t xml:space="preserve"> </w:t>
      </w:r>
      <w:r>
        <w:t xml:space="preserve">internal projects could apply for a PCI status.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The most substantial administrative costs are expected for PO3 and making an EU entity (new</w:t>
      </w:r>
      <w:r>
        <w:t xml:space="preserve"> </w:t>
      </w:r>
      <w:r>
        <w:t xml:space="preserve">or existing) responsible for infrastructure planning and permitting. To estimate the administrative</w:t>
      </w:r>
      <w:r>
        <w:t xml:space="preserve"> </w:t>
      </w:r>
      <w:r>
        <w:t xml:space="preserve">costs of such an EU entity to cover all tasks in relation to infrastructure planning (PO3), the</w:t>
      </w:r>
      <w:r>
        <w:t xml:space="preserve"> </w:t>
      </w:r>
      <w:r>
        <w:t xml:space="preserve">current budget of ENTSO-E and ACER can serve as examples (see Annex 4). For the entity,</w:t>
      </w:r>
      <w:r>
        <w:t xml:space="preserve"> </w:t>
      </w:r>
      <w:r>
        <w:t xml:space="preserve">staffing of 50 employees with an annual budget of around EUR 10 to 15 million might be required</w:t>
      </w:r>
      <w:r>
        <w:t xml:space="preserve"> </w:t>
      </w:r>
      <w:r>
        <w:t xml:space="preserve">to carry out all tasks, also considering cost for IT infrastructure. While there might be some</w:t>
      </w:r>
      <w:r>
        <w:t xml:space="preserve"> </w:t>
      </w:r>
      <w:r>
        <w:t xml:space="preserve">offsets due to staff transfers, a substantial part would be in addition to the budget required to</w:t>
      </w:r>
      <w:r>
        <w:t xml:space="preserve"> </w:t>
      </w:r>
      <w:r>
        <w:t xml:space="preserve">operate the already existing entities. Since the entity would be independent from TSOs/project</w:t>
      </w:r>
      <w:r>
        <w:t xml:space="preserve"> </w:t>
      </w:r>
      <w:r>
        <w:t xml:space="preserve">promoters, the budget would have to be financed from other sources than membership fees.</w:t>
      </w:r>
      <w:r>
        <w:t xml:space="preserve"> </w:t>
      </w:r>
      <w:r>
        <w:t xml:space="preserve">Whereas some posts of the current entities might be transferred to the new entity, all horizontal</w:t>
      </w:r>
      <w:r>
        <w:t xml:space="preserve"> </w:t>
      </w:r>
      <w:r>
        <w:t xml:space="preserve">functions would have to be established in case of a new entity. However, due to a competence</w:t>
      </w:r>
      <w:r>
        <w:t xml:space="preserve"> </w:t>
      </w:r>
      <w:r>
        <w:t xml:space="preserve">transfer to a new entity, some administrative savings in ENTSOs could be expected.</w:t>
      </w:r>
    </w:p>
    <w:p>
      <w:pPr>
        <w:pStyle w:val="BodyText"/>
      </w:pPr>
      <w:r>
        <w:t xml:space="preserve">For cost and benefit sharing, the administrative costs are also highest for PO3 on the side of the</w:t>
      </w:r>
      <w:r>
        <w:t xml:space="preserve"> </w:t>
      </w:r>
      <w:r>
        <w:t xml:space="preserve">Commission, Member States, NRAs and system operators, where regional planning and cost-</w:t>
      </w:r>
      <w:r>
        <w:t xml:space="preserve"> </w:t>
      </w:r>
      <w:r>
        <w:t xml:space="preserve">sharing are mandatory for some offshore sea basins where hybrid or cross-border radials are</w:t>
      </w:r>
      <w:r>
        <w:t xml:space="preserve"> </w:t>
      </w:r>
      <w:r>
        <w:t xml:space="preserve">planned. In the short term, this is expected to mainly affect North Sea Member States.</w:t>
      </w:r>
      <w:r>
        <w:t xml:space="preserve"> </w:t>
      </w:r>
      <w:r>
        <w:t xml:space="preserve">Nevertheless, North Sea TSOs, under the OTC, and Member States, under NSEC, have already</w:t>
      </w:r>
      <w:r>
        <w:t xml:space="preserve"> </w:t>
      </w:r>
      <w:r>
        <w:t xml:space="preserve">initiated this process saving some of the necessary resources in the region.</w:t>
      </w:r>
      <w:r>
        <w:br/>
      </w:r>
      <w:r>
        <w:t xml:space="preserve">On permitting, PO3 would require, in addition to the costs of PO2, the setting up of a</w:t>
      </w:r>
      <w:r>
        <w:t xml:space="preserve"> </w:t>
      </w:r>
      <w:r>
        <w:t xml:space="preserve">coordination entity at the European level. Such a body would be expected to coordinate</w:t>
      </w:r>
      <w:r>
        <w:t xml:space="preserve"> </w:t>
      </w:r>
      <w:r>
        <w:t xml:space="preserve">permitting procedures for at least 250 projects with a cross-border dimension.144 To do so, it will</w:t>
      </w:r>
      <w:r>
        <w:t xml:space="preserve"> </w:t>
      </w:r>
      <w:r>
        <w:t xml:space="preserve">have to liaise with national and local authorities for authorisation. Taking a conservative</w:t>
      </w:r>
      <w:r>
        <w:t xml:space="preserve"> </w:t>
      </w:r>
      <w:r>
        <w:t xml:space="preserve">assumption in terms of staffing, this authority would require 50 FTEs and an annual budget of</w:t>
      </w:r>
      <w:r>
        <w:t xml:space="preserve"> </w:t>
      </w:r>
      <w:r>
        <w:t xml:space="preserve">around EUR 10 million per year. This administrative cost does not save resources in local</w:t>
      </w:r>
      <w:r>
        <w:t xml:space="preserve"> </w:t>
      </w:r>
      <w:r>
        <w:t xml:space="preserve">administration who would still have to perform the national/local level assessment and</w:t>
      </w:r>
      <w:r>
        <w:t xml:space="preserve"> </w:t>
      </w:r>
      <w:r>
        <w:t xml:space="preserve">implement the decisions on the ground and not preclude the need for reinforcement of the</w:t>
      </w:r>
      <w:r>
        <w:t xml:space="preserve"> </w:t>
      </w:r>
      <w:r>
        <w:t xml:space="preserve">national permitting authorities with additional staff and tools, given that for sovereignty reasons</w:t>
      </w:r>
      <w:r>
        <w:t xml:space="preserve"> </w:t>
      </w:r>
      <w:r>
        <w:t xml:space="preserve">these are still necessary and responsible for the final decisions concerning the projects in</w:t>
      </w:r>
      <w:r>
        <w:t xml:space="preserve"> </w:t>
      </w:r>
      <w:r>
        <w:t xml:space="preserve">question.145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Grid infrastructure is primarily financed through network tariffs. Therefore, grid investments are</w:t>
      </w:r>
      <w:r>
        <w:t xml:space="preserve"> </w:t>
      </w:r>
      <w:r>
        <w:t xml:space="preserve">reflected in the overall level of network tariffs unless compensatory measures are implemented.</w:t>
      </w:r>
      <w:r>
        <w:t xml:space="preserve"> </w:t>
      </w:r>
      <w:r>
        <w:t xml:space="preserve">Impacts of new grid costs on individual customers will depend on projections for the future</w:t>
      </w:r>
      <w:r>
        <w:t xml:space="preserve"> </w:t>
      </w:r>
      <w:r>
        <w:t xml:space="preserve">energy demand since redistribution of total costs over a larger customer base will reduce network</w:t>
      </w:r>
      <w:r>
        <w:t xml:space="preserve"> </w:t>
      </w:r>
      <w:r>
        <w:t xml:space="preserve">tariffs per unit. This effect is illustrated in Figure 3.146 On the left-hand side, standard recovery</w:t>
      </w:r>
      <w:r>
        <w:t xml:space="preserve"> </w:t>
      </w:r>
      <w:r>
        <w:t xml:space="preserve">is linked to the situation where assumptions on future grid usage (i.e. volume of loads connected)</w:t>
      </w:r>
      <w:r>
        <w:t xml:space="preserve"> </w:t>
      </w:r>
      <w:r>
        <w:t xml:space="preserve">materialise, in alignment with optimised network planning. On the right-hand side, weak demand</w:t>
      </w:r>
      <w:r>
        <w:t xml:space="preserve"> </w:t>
      </w:r>
      <w:r>
        <w:t xml:space="preserve">means the expected demand (as assumed in the network planning before the investment was</w:t>
      </w:r>
    </w:p>
    <w:p>
      <w:pPr>
        <w:pStyle w:val="BodyText"/>
      </w:pPr>
      <w:r>
        <w:t xml:space="preserve">144 Assuming 220 PCIs and PMIs per Union list and additional cross-border renewable and storage projects.</w:t>
      </w:r>
      <w:r>
        <w:t xml:space="preserve"> </w:t>
      </w:r>
      <w:r>
        <w:t xml:space="preserve">145 Under the national law of most Member States (e.g. CZ, MT), different authorisations at the local level will be</w:t>
      </w:r>
      <w:r>
        <w:t xml:space="preserve"> </w:t>
      </w:r>
      <w:r>
        <w:t xml:space="preserve">required despite any coordination at the European level such as: approval of impact on cultural heritage areas, military</w:t>
      </w:r>
      <w:r>
        <w:t xml:space="preserve"> </w:t>
      </w:r>
      <w:r>
        <w:t xml:space="preserve">areas and other urban planning areas; authorisation from the authority responsible for geological and environmental</w:t>
      </w:r>
      <w:r>
        <w:t xml:space="preserve"> </w:t>
      </w:r>
      <w:r>
        <w:t xml:space="preserve">assessments; road and air traffic permits; safety permits; decision on land rights; and construction permits.</w:t>
      </w:r>
      <w:r>
        <w:t xml:space="preserve"> </w:t>
      </w:r>
      <w:r>
        <w:t xml:space="preserve">146 Bruegel Heussaff, C., Zachmann, G. (2025): Upgrading Europe’s electricity grid is about more than just money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made) does not materialise, offtake from electricity grid is lower, and hence fixed CAPEX cost</w:t>
      </w:r>
      <w:r>
        <w:t xml:space="preserve"> </w:t>
      </w:r>
      <w:r>
        <w:t xml:space="preserve">must be spread across a smaller consumer base. A part of the tariff increases could be mitigated</w:t>
      </w:r>
      <w:r>
        <w:t xml:space="preserve"> </w:t>
      </w:r>
      <w:r>
        <w:t xml:space="preserve">by public support such as EU grants and financial instruments or state budget interventions.</w:t>
      </w:r>
    </w:p>
    <w:p>
      <w:pPr>
        <w:pStyle w:val="BodyText"/>
      </w:pPr>
      <w:r>
        <w:t xml:space="preserve">Figure 3: Average grid tariffs for different consumer base</w:t>
      </w:r>
    </w:p>
    <w:p>
      <w:pPr>
        <w:pStyle w:val="BodyText"/>
      </w:pPr>
      <w:r>
        <w:t xml:space="preserve">Source: Heussaff/Zachmann (2025)</w:t>
      </w:r>
    </w:p>
    <w:p>
      <w:pPr>
        <w:pStyle w:val="BodyText"/>
      </w:pPr>
      <w:r>
        <w:t xml:space="preserve">This indicates that PO2 and PO3 will limit costs on consumers compared to PO1 and BAU, as</w:t>
      </w:r>
      <w:r>
        <w:t xml:space="preserve"> </w:t>
      </w:r>
      <w:r>
        <w:t xml:space="preserve">infrastructure planning under both options is based on the assumption of more precise estimates</w:t>
      </w:r>
      <w:r>
        <w:t xml:space="preserve"> </w:t>
      </w:r>
      <w:r>
        <w:t xml:space="preserve">of future development of demand and supply linked to agreed policies, hence limiting the</w:t>
      </w:r>
      <w:r>
        <w:t xml:space="preserve"> </w:t>
      </w:r>
      <w:r>
        <w:t xml:space="preserve">possibility of future stranded assets and limited use of grid infrastructure. To the extent that PO2</w:t>
      </w:r>
      <w:r>
        <w:t xml:space="preserve"> </w:t>
      </w:r>
      <w:r>
        <w:t xml:space="preserve">and PO3 will enable further electrification, they will also contribute to an expansion of electricity</w:t>
      </w:r>
      <w:r>
        <w:t xml:space="preserve"> </w:t>
      </w:r>
      <w:r>
        <w:t xml:space="preserve">consumption allowing to spread grid investment costs over a higher number of kWh.</w:t>
      </w:r>
    </w:p>
    <w:p>
      <w:pPr>
        <w:pStyle w:val="BodyText"/>
      </w:pPr>
      <w:r>
        <w:t xml:space="preserve">Regarding cost and benefit sharing, PO1, PO2 and PO3 would have distributional impacts</w:t>
      </w:r>
      <w:r>
        <w:t xml:space="preserve"> </w:t>
      </w:r>
      <w:r>
        <w:t xml:space="preserve">which are however not possible to quantify for each option. Consumers in Member States with</w:t>
      </w:r>
      <w:r>
        <w:t xml:space="preserve"> </w:t>
      </w:r>
      <w:r>
        <w:t xml:space="preserve">significant consumption needs from electricity imports, are likely to contribute more in terms of</w:t>
      </w:r>
      <w:r>
        <w:t xml:space="preserve"> </w:t>
      </w:r>
      <w:r>
        <w:t xml:space="preserve">network tariffs under all policy options, since these Member States would be the main</w:t>
      </w:r>
      <w:r>
        <w:t xml:space="preserve"> </w:t>
      </w:r>
      <w:r>
        <w:t xml:space="preserve">beneficiaries of such cross-border infrastructure projects. At the same time, they are likely to</w:t>
      </w:r>
      <w:r>
        <w:t xml:space="preserve"> </w:t>
      </w:r>
      <w:r>
        <w:t xml:space="preserve">benefit from higher socio-economic welfare in terms of lower wholesale electricity prices. The</w:t>
      </w:r>
      <w:r>
        <w:t xml:space="preserve"> </w:t>
      </w:r>
      <w:r>
        <w:t xml:space="preserve">exact distributional effects would have to be established for each project or bundle of projects as</w:t>
      </w:r>
      <w:r>
        <w:t xml:space="preserve"> </w:t>
      </w:r>
      <w:r>
        <w:t xml:space="preserve">part of the cost-sharing agreements due to differences in generation and consumption mixes.</w:t>
      </w:r>
      <w:r>
        <w:br/>
      </w:r>
      <w:r>
        <w:t xml:space="preserve">Regarding permitting, PO1 is not expected to have a substantial social impact, as it will not</w:t>
      </w:r>
      <w:r>
        <w:t xml:space="preserve"> </w:t>
      </w:r>
      <w:r>
        <w:t xml:space="preserve">introduce any change of approach to public engagement. Assets covered under the revised RED,</w:t>
      </w:r>
      <w:r>
        <w:t xml:space="preserve"> </w:t>
      </w:r>
      <w:r>
        <w:t xml:space="preserve">the Gas Directive and the TEN-E Regulation, will experience a perpetuation of the public</w:t>
      </w:r>
      <w:r>
        <w:t xml:space="preserve"> </w:t>
      </w:r>
      <w:r>
        <w:t xml:space="preserve">participation framework leading to no change regarding unease and public opposition towards</w:t>
      </w:r>
      <w:r>
        <w:t xml:space="preserve"> </w:t>
      </w:r>
      <w:r>
        <w:t xml:space="preserve">them. These would be only mitigated by way of ongoing initiatives such as the Pact for</w:t>
      </w:r>
      <w:r>
        <w:t xml:space="preserve"> </w:t>
      </w:r>
      <w:r>
        <w:t xml:space="preserve">Stakeholder Engagement. Further, for electricity transmission and distribution grids, storage</w:t>
      </w:r>
      <w:r>
        <w:t xml:space="preserve"> </w:t>
      </w:r>
      <w:r>
        <w:t xml:space="preserve">assets, and recharging stations in general, impacts are neutral as these assets will not be covered.</w:t>
      </w:r>
      <w:r>
        <w:br/>
      </w:r>
      <w:r>
        <w:t xml:space="preserve">PO2 and PO3 entail additional measures strengthening early and effective public engagement</w:t>
      </w:r>
      <w:r>
        <w:t xml:space="preserve"> </w:t>
      </w:r>
      <w:r>
        <w:t xml:space="preserve">and fostering public support for renewable energy projects. The measures expressly include</w:t>
      </w:r>
      <w:r>
        <w:t xml:space="preserve"> </w:t>
      </w:r>
      <w:r>
        <w:t xml:space="preserve">provisions aiming at increasing public participation and therefore social acceptance of</w:t>
      </w:r>
      <w:r>
        <w:t xml:space="preserve"> </w:t>
      </w:r>
      <w:r>
        <w:t xml:space="preserve">renewables projects. By revising the current measures on public acceptance of renewable energy</w:t>
      </w:r>
      <w:r>
        <w:t xml:space="preserve"> </w:t>
      </w:r>
      <w:r>
        <w:t xml:space="preserve">projects, the Commission will be able to assess the opportunity to propose the adoption of</w:t>
      </w:r>
      <w:r>
        <w:t xml:space="preserve"> </w:t>
      </w:r>
      <w:r>
        <w:t xml:space="preserve">measures by the Member Staes that could benefit consumers directly or indirectly, e.g. benefit-</w:t>
      </w:r>
      <w:r>
        <w:t xml:space="preserve"> </w:t>
      </w:r>
      <w:r>
        <w:t xml:space="preserve">sharing schemes and job creation. Indirect financial participation may include measures to</w:t>
      </w:r>
      <w:r>
        <w:t xml:space="preserve"> </w:t>
      </w:r>
      <w:r>
        <w:t xml:space="preserve">promote contracts and job creation for local communities, including training programmes;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community benefit funds; financial compensations to local communities in proximity of the</w:t>
      </w:r>
      <w:r>
        <w:t xml:space="preserve"> </w:t>
      </w:r>
      <w:r>
        <w:t xml:space="preserve">project; construction and maintenance of public infrastructure in proximity of the project etc.</w:t>
      </w:r>
      <w:r>
        <w:t xml:space="preserve"> </w:t>
      </w:r>
      <w:r>
        <w:t xml:space="preserve">However, the long-term economic benefits can be limited, as maintenance and operational roles</w:t>
      </w:r>
      <w:r>
        <w:t xml:space="preserve"> </w:t>
      </w:r>
      <w:r>
        <w:t xml:space="preserve">are frequently outsourced to external companies rather than creating jobs for residents. For</w:t>
      </w:r>
      <w:r>
        <w:t xml:space="preserve"> </w:t>
      </w:r>
      <w:r>
        <w:t xml:space="preserve">example, benefit-sharing mechanisms in Australia and South Africa encourage domestic</w:t>
      </w:r>
      <w:r>
        <w:t xml:space="preserve"> </w:t>
      </w:r>
      <w:r>
        <w:t xml:space="preserve">production of components and contractually obligated companies to rely on local workers and</w:t>
      </w:r>
      <w:r>
        <w:t xml:space="preserve"> </w:t>
      </w:r>
      <w:r>
        <w:t xml:space="preserve">permanent local employees. This has supported local creation of construction and operation jobs</w:t>
      </w:r>
      <w:r>
        <w:t xml:space="preserve"> </w:t>
      </w:r>
      <w:r>
        <w:t xml:space="preserve">and fostered the development of skills.147 This will support the EU’s position as a leading job</w:t>
      </w:r>
      <w:r>
        <w:t xml:space="preserve"> </w:t>
      </w:r>
      <w:r>
        <w:t xml:space="preserve">market in the field of renewable energy where it already counts with 1.8 million jobs.148 The</w:t>
      </w:r>
      <w:r>
        <w:t xml:space="preserve"> </w:t>
      </w:r>
      <w:r>
        <w:t xml:space="preserve">impacts will be the same under PO2 and PO3 as regards benefit-sharing schemes and prospects</w:t>
      </w:r>
      <w:r>
        <w:t xml:space="preserve"> </w:t>
      </w:r>
      <w:r>
        <w:t xml:space="preserve">for local job creation, since PO3 includes alle PO2 measures.</w:t>
      </w:r>
      <w:r>
        <w:br/>
      </w:r>
      <w:r>
        <w:t xml:space="preserve">However, the 28th permitting regime included in PO3 risks significantly deteriorating public</w:t>
      </w:r>
      <w:r>
        <w:t xml:space="preserve"> </w:t>
      </w:r>
      <w:r>
        <w:t xml:space="preserve">acceptance of cross-border projects as they could be perceived as directly imposed by the EU on</w:t>
      </w:r>
      <w:r>
        <w:t xml:space="preserve"> </w:t>
      </w:r>
      <w:r>
        <w:t xml:space="preserve">local communities. Projects subject to this regime, therefore, may risk delays due to court claims</w:t>
      </w:r>
      <w:r>
        <w:t xml:space="preserve"> </w:t>
      </w:r>
      <w:r>
        <w:t xml:space="preserve">linked with public opposition to EU-level decisions.</w:t>
      </w:r>
      <w:r>
        <w:br/>
      </w:r>
      <w:r>
        <w:t xml:space="preserve">The social impacts of the security measures relate to avoiding increases in energy prices caused</w:t>
      </w:r>
      <w:r>
        <w:t xml:space="preserve"> </w:t>
      </w:r>
      <w:r>
        <w:t xml:space="preserve">by supply disruptions and related repair costs. The additional measures under PO2 and PO3</w:t>
      </w:r>
      <w:r>
        <w:t xml:space="preserve"> </w:t>
      </w:r>
      <w:r>
        <w:t xml:space="preserve">further reduce risks of possible supply disruptions. Given the lack of available data on the</w:t>
      </w:r>
      <w:r>
        <w:t xml:space="preserve"> </w:t>
      </w:r>
      <w:r>
        <w:t xml:space="preserve">probability of supply disruptions linked to security incidents, the social impact of the policy</w:t>
      </w:r>
      <w:r>
        <w:t xml:space="preserve"> </w:t>
      </w:r>
      <w:r>
        <w:t xml:space="preserve">options cannot be quantified. However, these avoided costs are expected to be substantially</w:t>
      </w:r>
      <w:r>
        <w:t xml:space="preserve"> </w:t>
      </w:r>
      <w:r>
        <w:t xml:space="preserve">higher than the additional costs incurred by each policy options (Section 6.1.1.) that would be</w:t>
      </w:r>
      <w:r>
        <w:t xml:space="preserve"> </w:t>
      </w:r>
      <w:r>
        <w:t xml:space="preserve">passed through to consumers through network tariffs unless covered by other funding.</w:t>
      </w:r>
    </w:p>
    <w:p>
      <w:pPr>
        <w:pStyle w:val="BodyText"/>
      </w:pPr>
      <w:r>
        <w:t xml:space="preserve">6.3.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GHG emission reductions would bring positive environmental impacts. In line with the climate</w:t>
      </w:r>
      <w:r>
        <w:t xml:space="preserve"> </w:t>
      </w:r>
      <w:r>
        <w:t xml:space="preserve">law, a huge increase of installed RES capacity is required by 2040 to meet the EU’s CO2 emission</w:t>
      </w:r>
      <w:r>
        <w:t xml:space="preserve"> </w:t>
      </w:r>
      <w:r>
        <w:t xml:space="preserve">targets. A recent JRC study149 shows the correlation between grid development and amount of</w:t>
      </w:r>
      <w:r>
        <w:t xml:space="preserve"> </w:t>
      </w:r>
      <w:r>
        <w:t xml:space="preserve">curtailed energy, where substantial amounts of renewable generation are curtailed due to grid</w:t>
      </w:r>
      <w:r>
        <w:t xml:space="preserve"> </w:t>
      </w:r>
      <w:r>
        <w:t xml:space="preserve">bottlenecks. While some levels of RES curtailment are projected to occur under all future</w:t>
      </w:r>
      <w:r>
        <w:t xml:space="preserve"> </w:t>
      </w:r>
      <w:r>
        <w:t xml:space="preserve">scenarios, ambitious grid expansion would reduce grid related RES curtailment by 40 TWh in</w:t>
      </w:r>
      <w:r>
        <w:t xml:space="preserve"> </w:t>
      </w:r>
      <w:r>
        <w:t xml:space="preserve">2030 and 110 TWh in 2040 compared to a BAU scenario.</w:t>
      </w:r>
    </w:p>
    <w:p>
      <w:pPr>
        <w:pStyle w:val="BodyText"/>
      </w:pPr>
      <w:r>
        <w:t xml:space="preserve">The positive impact of grid expansion on RES integration is also confirmed in the ENTSO-E</w:t>
      </w:r>
      <w:r>
        <w:t xml:space="preserve"> </w:t>
      </w:r>
      <w:r>
        <w:t xml:space="preserve">analysis: the optimal grid would decrease curtailed renewable energy by 143 TWh in 2040 in the</w:t>
      </w:r>
      <w:r>
        <w:t xml:space="preserve"> </w:t>
      </w:r>
      <w:r>
        <w:t xml:space="preserve">EU. The additional 108 GW cross-border capacities needed by 2040 in line with the 2024</w:t>
      </w:r>
      <w:r>
        <w:t xml:space="preserve"> </w:t>
      </w:r>
      <w:r>
        <w:t xml:space="preserve">TYNDP would also allow to substitute 65 TWh of electricity produced by gas by RES generation,</w:t>
      </w:r>
      <w:r>
        <w:t xml:space="preserve"> </w:t>
      </w:r>
      <w:r>
        <w:t xml:space="preserve">by allowing a better integration of non-CO2 emitting generation, leading to a significant reduction</w:t>
      </w:r>
      <w:r>
        <w:t xml:space="preserve"> </w:t>
      </w:r>
      <w:r>
        <w:t xml:space="preserve">of European CO2 emissions estimated at 27 million tonnes of CO2 emissions avoided in 2040.150</w:t>
      </w:r>
    </w:p>
    <w:p>
      <w:pPr>
        <w:pStyle w:val="BodyText"/>
      </w:pPr>
      <w:r>
        <w:t xml:space="preserve">147 Ibid</w:t>
      </w:r>
      <w:r>
        <w:t xml:space="preserve"> </w:t>
      </w:r>
      <w:r>
        <w:t xml:space="preserve">148 IRENA and ILO (2024), Renewable energy and jobs: Annual review 2024</w:t>
      </w:r>
      <w:r>
        <w:t xml:space="preserve"> </w:t>
      </w:r>
      <w:r>
        <w:t xml:space="preserve">149 European Commission JRC (2024): Redispatch and Congestion Management</w:t>
      </w:r>
      <w:r>
        <w:t xml:space="preserve"> </w:t>
      </w:r>
      <w:r>
        <w:t xml:space="preserve">150 ENTSO-E TYNDP 2024 Infrastructure gaps report.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Positive environmental impacts are also illustrated by a recent IEA study151, although with</w:t>
      </w:r>
      <w:r>
        <w:t xml:space="preserve"> </w:t>
      </w:r>
      <w:r>
        <w:t xml:space="preserve">limitations as it covers a broader region than only the EU. The IEA came to the conclusions that</w:t>
      </w:r>
      <w:r>
        <w:t xml:space="preserve"> </w:t>
      </w:r>
      <w:r>
        <w:t xml:space="preserve">cumulative CO2 emissions from the power sector from 2023 to 2050 would be 58 gigatonnes</w:t>
      </w:r>
      <w:r>
        <w:t xml:space="preserve"> </w:t>
      </w:r>
      <w:r>
        <w:t xml:space="preserve">higher in the Grid Delay Case than in a scenario aligned with national climate targets. This is</w:t>
      </w:r>
      <w:r>
        <w:t xml:space="preserve"> </w:t>
      </w:r>
      <w:r>
        <w:t xml:space="preserve">equivalent to the total global power sector CO2 emissions from 2018-2022. Specifically for</w:t>
      </w:r>
      <w:r>
        <w:t xml:space="preserve"> </w:t>
      </w:r>
      <w:r>
        <w:t xml:space="preserve">advanced economies, including the EU, the Grid Delay Case results in significantly higher</w:t>
      </w:r>
      <w:r>
        <w:t xml:space="preserve"> </w:t>
      </w:r>
      <w:r>
        <w:t xml:space="preserve">natural gas use beyond 2030, limiting emission reductions in the power sector.</w:t>
      </w:r>
    </w:p>
    <w:p>
      <w:pPr>
        <w:pStyle w:val="BodyText"/>
      </w:pPr>
      <w:r>
        <w:t xml:space="preserve">These positive environmental impacts can be mostly expected from measures included in PO2</w:t>
      </w:r>
      <w:r>
        <w:t xml:space="preserve"> </w:t>
      </w:r>
      <w:r>
        <w:t xml:space="preserve">and PO3. By supporting fossil fuels phase-out, PO2 and PO3 would also lead to a reduction of</w:t>
      </w:r>
      <w:r>
        <w:t xml:space="preserve"> </w:t>
      </w:r>
      <w:r>
        <w:t xml:space="preserve">non-CO2 emissions. While the cumulative impact is difficult to assess, all TYNDP candidate</w:t>
      </w:r>
      <w:r>
        <w:t xml:space="preserve"> </w:t>
      </w:r>
      <w:r>
        <w:t xml:space="preserve">projects lead to a reduction of non-CO2 emissions regardless of the scenario used (see Table 3).</w:t>
      </w:r>
    </w:p>
    <w:p>
      <w:pPr>
        <w:pStyle w:val="BodyText"/>
      </w:pPr>
      <w:r>
        <w:t xml:space="preserve">Table 3: Average reduction of non-CO2 emissions for TYNDP 2024 transmission projects in 2040</w:t>
      </w:r>
    </w:p>
    <w:p>
      <w:pPr>
        <w:pStyle w:val="BodyText"/>
      </w:pPr>
      <w:r>
        <w:t xml:space="preserve">ΔNOx</w:t>
      </w:r>
      <w:r>
        <w:t xml:space="preserve"> </w:t>
      </w:r>
      <w:r>
        <w:t xml:space="preserve">ΔNH3</w:t>
      </w:r>
      <w:r>
        <w:t xml:space="preserve"> </w:t>
      </w:r>
      <w:r>
        <w:t xml:space="preserve">ΔSO2</w:t>
      </w:r>
      <w:r>
        <w:t xml:space="preserve"> </w:t>
      </w:r>
      <w:r>
        <w:t xml:space="preserve">ΔPM5</w:t>
      </w:r>
      <w:r>
        <w:t xml:space="preserve"> </w:t>
      </w:r>
      <w:r>
        <w:t xml:space="preserve">ΔPM10</w:t>
      </w:r>
      <w:r>
        <w:t xml:space="preserve"> </w:t>
      </w:r>
      <w:r>
        <w:t xml:space="preserve">ΔNMVOC</w:t>
      </w:r>
      <w:r>
        <w:t xml:space="preserve"> </w:t>
      </w:r>
      <w:r>
        <w:t xml:space="preserve">Scenario</w:t>
      </w:r>
      <w:r>
        <w:t xml:space="preserve"> </w:t>
      </w:r>
      <w:r>
        <w:t xml:space="preserve">tonnes / year</w:t>
      </w:r>
      <w:r>
        <w:t xml:space="preserve"> </w:t>
      </w:r>
      <w:r>
        <w:t xml:space="preserve">tonnes / year</w:t>
      </w:r>
      <w:r>
        <w:t xml:space="preserve"> </w:t>
      </w:r>
      <w:r>
        <w:t xml:space="preserve">tonnes / year</w:t>
      </w:r>
      <w:r>
        <w:t xml:space="preserve"> </w:t>
      </w:r>
      <w:r>
        <w:t xml:space="preserve">tonnes / year</w:t>
      </w:r>
      <w:r>
        <w:t xml:space="preserve"> </w:t>
      </w:r>
      <w:r>
        <w:t xml:space="preserve">tonnes / year</w:t>
      </w:r>
      <w:r>
        <w:t xml:space="preserve"> </w:t>
      </w:r>
      <w:r>
        <w:t xml:space="preserve">tonnes / year</w:t>
      </w:r>
      <w:r>
        <w:t xml:space="preserve"> </w:t>
      </w:r>
      <w:r>
        <w:t xml:space="preserve">National</w:t>
      </w:r>
      <w:r>
        <w:t xml:space="preserve"> </w:t>
      </w:r>
      <w:r>
        <w:t xml:space="preserve">Trends+</w:t>
      </w:r>
      <w:r>
        <w:t xml:space="preserve"> </w:t>
      </w:r>
      <w:r>
        <w:t xml:space="preserve">-149.0</w:t>
      </w:r>
      <w:r>
        <w:t xml:space="preserve"> </w:t>
      </w:r>
      <w:r>
        <w:t xml:space="preserve">-27.7</w:t>
      </w:r>
      <w:r>
        <w:t xml:space="preserve"> </w:t>
      </w:r>
      <w:r>
        <w:t xml:space="preserve">-51.9</w:t>
      </w:r>
      <w:r>
        <w:t xml:space="preserve"> </w:t>
      </w:r>
      <w:r>
        <w:t xml:space="preserve">-3.8</w:t>
      </w:r>
      <w:r>
        <w:t xml:space="preserve"> </w:t>
      </w:r>
      <w:r>
        <w:t xml:space="preserve">-4.6</w:t>
      </w:r>
      <w:r>
        <w:t xml:space="preserve"> </w:t>
      </w:r>
      <w:r>
        <w:t xml:space="preserve">-9.8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-156.1</w:t>
      </w:r>
      <w:r>
        <w:t xml:space="preserve"> </w:t>
      </w:r>
      <w:r>
        <w:t xml:space="preserve">-24.9</w:t>
      </w:r>
      <w:r>
        <w:t xml:space="preserve"> </w:t>
      </w:r>
      <w:r>
        <w:t xml:space="preserve">-77.9</w:t>
      </w:r>
      <w:r>
        <w:t xml:space="preserve"> </w:t>
      </w:r>
      <w:r>
        <w:t xml:space="preserve">-3.7</w:t>
      </w:r>
      <w:r>
        <w:t xml:space="preserve"> </w:t>
      </w:r>
      <w:r>
        <w:t xml:space="preserve">-5.9</w:t>
      </w:r>
      <w:r>
        <w:t xml:space="preserve"> </w:t>
      </w:r>
      <w:r>
        <w:t xml:space="preserve">-9.1</w:t>
      </w:r>
      <w:r>
        <w:t xml:space="preserve"> </w:t>
      </w:r>
      <w:r>
        <w:t xml:space="preserve">Source: ENTSO-E</w:t>
      </w:r>
    </w:p>
    <w:p>
      <w:pPr>
        <w:pStyle w:val="BodyText"/>
      </w:pPr>
      <w:r>
        <w:t xml:space="preserve">As regards cost and benefit sharing, taking the previous example of offshore projects in the EU’s</w:t>
      </w:r>
      <w:r>
        <w:t xml:space="preserve"> </w:t>
      </w:r>
      <w:r>
        <w:t xml:space="preserve">sea-basin, the implementation of offshore hybrid projects needs which are likely to generate</w:t>
      </w:r>
      <w:r>
        <w:t xml:space="preserve"> </w:t>
      </w:r>
      <w:r>
        <w:t xml:space="preserve">benefits beyond their host countries (25 GW by 2040 and 44 GW by 2050) would result in the</w:t>
      </w:r>
      <w:r>
        <w:t xml:space="preserve"> </w:t>
      </w:r>
      <w:r>
        <w:t xml:space="preserve">following environmental benefits: around 40 TWh of additional RES capacity by 2040 and</w:t>
      </w:r>
      <w:r>
        <w:t xml:space="preserve"> </w:t>
      </w:r>
      <w:r>
        <w:t xml:space="preserve">between 80 and 90 TWh by 2050 resulting in a reduction of more than 4 million tonnes of CO2</w:t>
      </w:r>
      <w:r>
        <w:t xml:space="preserve"> </w:t>
      </w:r>
      <w:r>
        <w:t xml:space="preserve">emissions by 2040 and an additional reduction of at least 1.2 million tonnes by 2050. If, as for</w:t>
      </w:r>
      <w:r>
        <w:t xml:space="preserve"> </w:t>
      </w:r>
      <w:r>
        <w:t xml:space="preserve">economic impacts, 30-50% of the projects were delayed or were not to materialise, the resulting</w:t>
      </w:r>
      <w:r>
        <w:t xml:space="preserve"> </w:t>
      </w:r>
      <w:r>
        <w:t xml:space="preserve">environmental impacts would be as follows:</w:t>
      </w:r>
      <w:r>
        <w:br/>
      </w:r>
      <w:r>
        <w:t xml:space="preserve">Table 4: Possible non-materialised environmental benefits</w:t>
      </w:r>
      <w:r>
        <w:t xml:space="preserve"> </w:t>
      </w:r>
      <w:r>
        <w:t xml:space="preserve">Year</w:t>
      </w:r>
      <w:r>
        <w:t xml:space="preserve"> </w:t>
      </w:r>
      <w:r>
        <w:t xml:space="preserve">Offshore</w:t>
      </w:r>
      <w:r>
        <w:t xml:space="preserve"> </w:t>
      </w:r>
      <w:r>
        <w:t xml:space="preserve">hybrid</w:t>
      </w:r>
      <w:r>
        <w:t xml:space="preserve"> </w:t>
      </w:r>
      <w:r>
        <w:t xml:space="preserve">capacity</w:t>
      </w:r>
      <w:r>
        <w:t xml:space="preserve"> </w:t>
      </w:r>
      <w:r>
        <w:t xml:space="preserve">needed</w:t>
      </w:r>
      <w:r>
        <w:t xml:space="preserve"> </w:t>
      </w:r>
      <w:r>
        <w:t xml:space="preserve">(GW)</w:t>
      </w:r>
      <w:r>
        <w:br/>
      </w:r>
      <w:r>
        <w:t xml:space="preserve">RES</w:t>
      </w:r>
      <w:r>
        <w:t xml:space="preserve"> </w:t>
      </w:r>
      <w:r>
        <w:t xml:space="preserve">integration</w:t>
      </w:r>
      <w:r>
        <w:t xml:space="preserve"> </w:t>
      </w:r>
      <w:r>
        <w:t xml:space="preserve">capacity</w:t>
      </w:r>
      <w:r>
        <w:br/>
      </w:r>
      <w:r>
        <w:t xml:space="preserve">CO2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(ktonnes of</w:t>
      </w:r>
      <w:r>
        <w:t xml:space="preserve"> </w:t>
      </w:r>
      <w:r>
        <w:t xml:space="preserve">CO2)</w:t>
      </w:r>
      <w:r>
        <w:br/>
      </w:r>
      <w:r>
        <w:t xml:space="preserve">Assumed</w:t>
      </w:r>
      <w:r>
        <w:t xml:space="preserve"> </w:t>
      </w:r>
      <w:r>
        <w:t xml:space="preserve">%</w:t>
      </w:r>
      <w:r>
        <w:t xml:space="preserve"> </w:t>
      </w:r>
      <w:r>
        <w:t xml:space="preserve">not realized or</w:t>
      </w:r>
      <w:r>
        <w:t xml:space="preserve"> </w:t>
      </w:r>
      <w:r>
        <w:t xml:space="preserve">delayed</w:t>
      </w:r>
      <w:r>
        <w:t xml:space="preserve"> </w:t>
      </w:r>
      <w:r>
        <w:t xml:space="preserve">CO2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not</w:t>
      </w:r>
      <w:r>
        <w:t xml:space="preserve"> </w:t>
      </w:r>
      <w:r>
        <w:t xml:space="preserve">realized</w:t>
      </w:r>
      <w:r>
        <w:t xml:space="preserve"> </w:t>
      </w:r>
      <w:r>
        <w:t xml:space="preserve">or</w:t>
      </w:r>
      <w:r>
        <w:t xml:space="preserve"> </w:t>
      </w:r>
      <w:r>
        <w:t xml:space="preserve">delayed (ktonnes</w:t>
      </w:r>
      <w:r>
        <w:t xml:space="preserve"> </w:t>
      </w:r>
      <w:r>
        <w:t xml:space="preserve">of CO2)</w:t>
      </w:r>
      <w:r>
        <w:t xml:space="preserve"> </w:t>
      </w:r>
      <w:r>
        <w:t xml:space="preserve">2040</w:t>
      </w:r>
      <w:r>
        <w:t xml:space="preserve"> </w:t>
      </w:r>
      <w:r>
        <w:t xml:space="preserve">25</w:t>
      </w:r>
      <w:r>
        <w:t xml:space="preserve"> </w:t>
      </w:r>
      <w:r>
        <w:t xml:space="preserve">40</w:t>
      </w:r>
      <w:r>
        <w:t xml:space="preserve"> </w:t>
      </w:r>
      <w:r>
        <w:t xml:space="preserve">4,000</w:t>
      </w:r>
      <w:r>
        <w:br/>
      </w:r>
      <w:r>
        <w:t xml:space="preserve">30-50%</w:t>
      </w:r>
      <w:r>
        <w:t xml:space="preserve"> </w:t>
      </w:r>
      <w:r>
        <w:t xml:space="preserve">1,200 – 2,000</w:t>
      </w:r>
      <w:r>
        <w:t xml:space="preserve"> </w:t>
      </w:r>
      <w:r>
        <w:t xml:space="preserve">2050</w:t>
      </w:r>
      <w:r>
        <w:t xml:space="preserve"> </w:t>
      </w:r>
      <w:r>
        <w:t xml:space="preserve">44</w:t>
      </w:r>
      <w:r>
        <w:t xml:space="preserve"> </w:t>
      </w:r>
      <w:r>
        <w:t xml:space="preserve">80-90</w:t>
      </w:r>
      <w:r>
        <w:t xml:space="preserve"> </w:t>
      </w:r>
      <w:r>
        <w:t xml:space="preserve">1,200</w:t>
      </w:r>
      <w:r>
        <w:br/>
      </w:r>
      <w:r>
        <w:t xml:space="preserve">30-50%</w:t>
      </w:r>
      <w:r>
        <w:t xml:space="preserve"> </w:t>
      </w:r>
      <w:r>
        <w:t xml:space="preserve">360 - 600</w:t>
      </w:r>
    </w:p>
    <w:p>
      <w:pPr>
        <w:pStyle w:val="BodyText"/>
      </w:pPr>
      <w:r>
        <w:t xml:space="preserve">As established above, ensuring the development of energy infrastructures, especially electricity</w:t>
      </w:r>
      <w:r>
        <w:t xml:space="preserve"> </w:t>
      </w:r>
      <w:r>
        <w:t xml:space="preserve">grids, is essential to increase the share of renewable energy generation integrated in the energy</w:t>
      </w:r>
      <w:r>
        <w:t xml:space="preserve"> </w:t>
      </w:r>
      <w:r>
        <w:t xml:space="preserve">mix, preventing environmental losses due to curtailment. RES integration will allow to curb the</w:t>
      </w:r>
      <w:r>
        <w:t xml:space="preserve"> </w:t>
      </w:r>
      <w:r>
        <w:t xml:space="preserve">use of fossil fuels reducing GHG emissions and thus addressing two major drivers of biodiversity</w:t>
      </w:r>
      <w:r>
        <w:t xml:space="preserve"> </w:t>
      </w:r>
      <w:r>
        <w:t xml:space="preserve">loss: climate change and air pollution. The Commission “EU Climate Action Progress Report</w:t>
      </w:r>
      <w:r>
        <w:t xml:space="preserve"> </w:t>
      </w:r>
      <w:r>
        <w:t xml:space="preserve">2024” mentions that in 2023 alone, there was an 8.3% GHG emissions drop, clearly linked to a</w:t>
      </w:r>
    </w:p>
    <w:p>
      <w:pPr>
        <w:pStyle w:val="BodyText"/>
      </w:pPr>
      <w:r>
        <w:t xml:space="preserve">151 IEA report on Electricity Grids and Secure Energy Transitions, November 2023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strong transition to renewable energy sources, particularly wind and solar, which now supply</w:t>
      </w:r>
      <w:r>
        <w:t xml:space="preserve"> </w:t>
      </w:r>
      <w:r>
        <w:t xml:space="preserve">nearly 45% of EU electricity. 152 Further, according to the IEA, in different model scenarios,</w:t>
      </w:r>
      <w:r>
        <w:t xml:space="preserve"> </w:t>
      </w:r>
      <w:r>
        <w:t xml:space="preserve">renewables sources account for three-quarters of the CO2 emissions reductions by 2050.153</w:t>
      </w:r>
      <w:r>
        <w:t xml:space="preserve"> </w:t>
      </w:r>
      <w:r>
        <w:t xml:space="preserve">Therefore, accelerating permitting procedures for energy infrastructure, storage assets, renewable</w:t>
      </w:r>
      <w:r>
        <w:t xml:space="preserve"> </w:t>
      </w:r>
      <w:r>
        <w:t xml:space="preserve">assets and recharging stations, must be treated as a priority as it will lead to a quicker, and thus</w:t>
      </w:r>
      <w:r>
        <w:t xml:space="preserve"> </w:t>
      </w:r>
      <w:r>
        <w:t xml:space="preserve">larger, reduction of CO2 emissions by ensuring these key assets are in place as soon as possible.</w:t>
      </w:r>
    </w:p>
    <w:p>
      <w:pPr>
        <w:pStyle w:val="BodyText"/>
      </w:pPr>
      <w:r>
        <w:t xml:space="preserve">As regards permitting, PO1 would not produce additional negative impacts on the environment,</w:t>
      </w:r>
      <w:r>
        <w:t xml:space="preserve"> </w:t>
      </w:r>
      <w:r>
        <w:t xml:space="preserve">since it just assists in the implementation of the existing framework, which includes rules related</w:t>
      </w:r>
      <w:r>
        <w:t xml:space="preserve"> </w:t>
      </w:r>
      <w:r>
        <w:t xml:space="preserve">to streamlined environmental assessments under the revised RED. However, as this option does</w:t>
      </w:r>
      <w:r>
        <w:t xml:space="preserve"> </w:t>
      </w:r>
      <w:r>
        <w:t xml:space="preserve">not provide a framework for energy networks, storage and recharging stations in general (only</w:t>
      </w:r>
      <w:r>
        <w:t xml:space="preserve"> </w:t>
      </w:r>
      <w:r>
        <w:t xml:space="preserve">for PCIs/PMIs) the benefits of accelerated RES integration are limited. PO2 and PO3 include</w:t>
      </w:r>
      <w:r>
        <w:t xml:space="preserve"> </w:t>
      </w:r>
      <w:r>
        <w:t xml:space="preserve">measures that aim at faster permits and therefore faster and widespread deployment, which</w:t>
      </w:r>
      <w:r>
        <w:t xml:space="preserve"> </w:t>
      </w:r>
      <w:r>
        <w:t xml:space="preserve">relates to more space being used and therefore have an effect on the environment, but they are</w:t>
      </w:r>
      <w:r>
        <w:t xml:space="preserve"> </w:t>
      </w:r>
      <w:r>
        <w:t xml:space="preserve">designed not to decrease the level of environmental protection. Specifically, the proposed</w:t>
      </w:r>
      <w:r>
        <w:t xml:space="preserve"> </w:t>
      </w:r>
      <w:r>
        <w:t xml:space="preserve">measures on digitalisation and centralisation of data required for environmental assessments</w:t>
      </w:r>
      <w:r>
        <w:t xml:space="preserve"> </w:t>
      </w:r>
      <w:r>
        <w:t xml:space="preserve">would improve and speed up administrative processes, freeing administrative capacity in</w:t>
      </w:r>
      <w:r>
        <w:t xml:space="preserve"> </w:t>
      </w:r>
      <w:r>
        <w:t xml:space="preserve">concerned authorities. This, combined with digitalising and centralising environmental data,</w:t>
      </w:r>
      <w:r>
        <w:t xml:space="preserve"> </w:t>
      </w:r>
      <w:r>
        <w:t xml:space="preserve">would enable a more efficient and effective deployment of mitigation and compensation</w:t>
      </w:r>
      <w:r>
        <w:t xml:space="preserve"> </w:t>
      </w:r>
      <w:r>
        <w:t xml:space="preserve">measures as well as facilitate public access to data on all projects, including those not benefiting</w:t>
      </w:r>
      <w:r>
        <w:t xml:space="preserve"> </w:t>
      </w:r>
      <w:r>
        <w:t xml:space="preserve">from the exemptions proposed.</w:t>
      </w:r>
      <w:r>
        <w:br/>
      </w:r>
      <w:r>
        <w:t xml:space="preserve">Relevant impacts154 on the natural and man-made environment, go beyond GHG and non-CO2</w:t>
      </w:r>
      <w:r>
        <w:t xml:space="preserve"> </w:t>
      </w:r>
      <w:r>
        <w:t xml:space="preserve">emissions. These impacts are strongly dependent on the technology used and the assets’ location</w:t>
      </w:r>
      <w:r>
        <w:t xml:space="preserve"> </w:t>
      </w:r>
      <w:r>
        <w:t xml:space="preserve">and the environmental status of the surrounding fauna and flora. Therefore, a general</w:t>
      </w:r>
      <w:r>
        <w:t xml:space="preserve"> </w:t>
      </w:r>
      <w:r>
        <w:t xml:space="preserve">quantification of impacts, or generalisation of impacts per project type, is not possible. These</w:t>
      </w:r>
      <w:r>
        <w:t xml:space="preserve"> </w:t>
      </w:r>
      <w:r>
        <w:t xml:space="preserve">impacts are however addressed in the design of the proposed measures through introducing</w:t>
      </w:r>
      <w:r>
        <w:t xml:space="preserve"> </w:t>
      </w:r>
      <w:r>
        <w:t xml:space="preserve">safeguards. In what concerns potential environmental impacts caused, specifically by granting a</w:t>
      </w:r>
      <w:r>
        <w:t xml:space="preserve"> </w:t>
      </w:r>
      <w:r>
        <w:t xml:space="preserve">presumption of overriding public interest for grids projects, this is rebuttable and on the</w:t>
      </w:r>
      <w:r>
        <w:t xml:space="preserve"> </w:t>
      </w:r>
      <w:r>
        <w:t xml:space="preserve">concerned parties to prove that the negative impacts of the project outweighs the benefits it</w:t>
      </w:r>
      <w:r>
        <w:t xml:space="preserve"> </w:t>
      </w:r>
      <w:r>
        <w:t xml:space="preserve">brings, including towards the needed development of the renewable or infrastructure project. At</w:t>
      </w:r>
      <w:r>
        <w:t xml:space="preserve"> </w:t>
      </w:r>
      <w:r>
        <w:t xml:space="preserve">the same time, the exemptions from any permits are set for only certain types of projects with</w:t>
      </w:r>
      <w:r>
        <w:t xml:space="preserve"> </w:t>
      </w:r>
      <w:r>
        <w:t xml:space="preserve">limited impacts on the environment and the exemption from environmental assessments is always</w:t>
      </w:r>
      <w:r>
        <w:t xml:space="preserve"> </w:t>
      </w:r>
      <w:r>
        <w:t xml:space="preserve">combined with the use of appropriate criteria when setting the new rules that aim to keep impacts</w:t>
      </w:r>
      <w:r>
        <w:t xml:space="preserve"> </w:t>
      </w:r>
      <w:r>
        <w:t xml:space="preserve">at a non-significant level. Therefore, the proposed measures take into account both high</w:t>
      </w:r>
      <w:r>
        <w:t xml:space="preserve"> </w:t>
      </w:r>
      <w:r>
        <w:t xml:space="preserve">environmental standards and the need to accelerate grid and renewable energy deployment to</w:t>
      </w:r>
      <w:r>
        <w:t xml:space="preserve"> </w:t>
      </w:r>
      <w:r>
        <w:t xml:space="preserve">meet our 2030 targets.</w:t>
      </w:r>
      <w:r>
        <w:t xml:space="preserve"> </w:t>
      </w:r>
      <w:r>
        <w:t xml:space="preserve">The environmental impacts of security measures under PO1, PO2 and PO3 relate to avoiding</w:t>
      </w:r>
      <w:r>
        <w:t xml:space="preserve"> </w:t>
      </w:r>
      <w:r>
        <w:t xml:space="preserve">increases in CO2 and non-CO2 emissions caused by supply disruptions and related repair costs.</w:t>
      </w:r>
      <w:r>
        <w:br/>
      </w:r>
      <w:r>
        <w:t xml:space="preserve">The environmental impacts of the measures related to smart gas grids and the blending of hydrogen</w:t>
      </w:r>
      <w:r>
        <w:t xml:space="preserve"> </w:t>
      </w:r>
      <w:r>
        <w:t xml:space="preserve">with natural gas would be positive since any possibility to circumvent the discontinuation of</w:t>
      </w:r>
    </w:p>
    <w:p>
      <w:pPr>
        <w:pStyle w:val="BodyText"/>
      </w:pPr>
      <w:r>
        <w:t xml:space="preserve">152 https://climate.ec.europa.eu/document/download/d0671350-37f2-4bc4-88e8-088d0508fb03_en</w:t>
      </w:r>
      <w:r>
        <w:br/>
      </w:r>
      <w:r>
        <w:t xml:space="preserve">153 IEA (2024) World Energy Outlook, p. 97</w:t>
      </w:r>
      <w:r>
        <w:t xml:space="preserve"> </w:t>
      </w:r>
      <w:r>
        <w:t xml:space="preserve">154 Collision risks, electrocution risks, soil contamination, disturbance of specific habitats and species or deforestation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support to fossil fuel infrastructure and to “greenwash” projects would be excluded. At the same</w:t>
      </w:r>
      <w:r>
        <w:t xml:space="preserve"> </w:t>
      </w:r>
      <w:r>
        <w:t xml:space="preserve">time, removing the smart gas grids category would be without prejudice to the contribution that</w:t>
      </w:r>
      <w:r>
        <w:t xml:space="preserve"> </w:t>
      </w:r>
      <w:r>
        <w:t xml:space="preserve">biomethane can bring to decarbonisation at the local and national level, which is the more</w:t>
      </w:r>
      <w:r>
        <w:t xml:space="preserve"> </w:t>
      </w:r>
      <w:r>
        <w:t xml:space="preserve">appropriate level for addressing the grid investment challenge. Indeed, the decentralised</w:t>
      </w:r>
      <w:r>
        <w:t xml:space="preserve"> </w:t>
      </w:r>
      <w:r>
        <w:t xml:space="preserve">production of biomethane in small quantities poses logistical challenges, as locally produced</w:t>
      </w:r>
      <w:r>
        <w:t xml:space="preserve"> </w:t>
      </w:r>
      <w:r>
        <w:t xml:space="preserve">biomethane must be served by only a limited number of injection points.155</w:t>
      </w:r>
      <w:r>
        <w:br/>
      </w:r>
      <w:r>
        <w:t xml:space="preserve">The primarily national dimension of the biomethane grid challenge is underpinned by the need for</w:t>
      </w:r>
      <w:r>
        <w:t xml:space="preserve"> </w:t>
      </w:r>
      <w:r>
        <w:t xml:space="preserve">Member States to reconcile their varying biomethane potentials and ambitions with Article 57 of</w:t>
      </w:r>
      <w:r>
        <w:t xml:space="preserve"> </w:t>
      </w:r>
      <w:r>
        <w:t xml:space="preserve">the Gas Directive, which provides that Member States must ensure that gas distribution system</w:t>
      </w:r>
      <w:r>
        <w:t xml:space="preserve"> </w:t>
      </w:r>
      <w:r>
        <w:t xml:space="preserve">operators develop network decommissioning plans where a reduction in natural gas demand</w:t>
      </w:r>
      <w:r>
        <w:t xml:space="preserve"> </w:t>
      </w:r>
      <w:r>
        <w:t xml:space="preserve">requiring the decommissioning of natural gas distribution networks is expected.</w:t>
      </w:r>
      <w:r>
        <w:t xml:space="preserve"> </w:t>
      </w:r>
      <w:r>
        <w:t xml:space="preserve">All policy options are consistent with the EU’s long-term decarbonisation and environmental</w:t>
      </w:r>
      <w:r>
        <w:t xml:space="preserve"> </w:t>
      </w:r>
      <w:r>
        <w:t xml:space="preserve">objectives and adhere to the do-no-significant-harm principle. They are also assessed to be</w:t>
      </w:r>
      <w:r>
        <w:t xml:space="preserve"> </w:t>
      </w:r>
      <w:r>
        <w:t xml:space="preserve">consistent with the European Climate Law, as they will contribute to accelerating energy system</w:t>
      </w:r>
      <w:r>
        <w:t xml:space="preserve"> </w:t>
      </w:r>
      <w:r>
        <w:t xml:space="preserve">decarbonisation, the reduction of greenhouse gas emissions in line with the Climate Law, albeit to</w:t>
      </w:r>
      <w:r>
        <w:t xml:space="preserve"> </w:t>
      </w:r>
      <w:r>
        <w:t xml:space="preserve">different extents depending on their ability to achieve the optimal grid scenario.</w:t>
      </w:r>
    </w:p>
    <w:p>
      <w:pPr>
        <w:pStyle w:val="Compact"/>
        <w:numPr>
          <w:ilvl w:val="0"/>
          <w:numId w:val="1004"/>
        </w:numPr>
      </w:pPr>
      <w:r>
        <w:t xml:space="preserve">HOW DO THE OPTIONS COMPARE?</w:t>
      </w:r>
      <w:r>
        <w:t xml:space="preserve"> </w:t>
      </w:r>
      <w:r>
        <w:t xml:space="preserve">Figure 4 provides a comparison of the policy options against the specific objectives showing their</w:t>
      </w:r>
      <w:r>
        <w:t xml:space="preserve"> </w:t>
      </w:r>
      <w:r>
        <w:t xml:space="preserve">increased degree of EU-level coordination, PO1 implying a limited number of changes to the</w:t>
      </w:r>
      <w:r>
        <w:t xml:space="preserve"> </w:t>
      </w:r>
      <w:r>
        <w:t xml:space="preserve">status quo and minimal additional EU level intervention, PO2 a more top-down approach, and</w:t>
      </w:r>
      <w:r>
        <w:t xml:space="preserve"> </w:t>
      </w:r>
      <w:r>
        <w:t xml:space="preserve">PO3 involving the highest degree of top-down approach and streamlining at EU level.</w:t>
      </w:r>
    </w:p>
    <w:p>
      <w:pPr>
        <w:pStyle w:val="FirstParagraph"/>
      </w:pPr>
      <w:r>
        <w:t xml:space="preserve">155 Study on the potential for renewable and low-carbon gas deployment and impact on enabling infrastructure</w:t>
      </w:r>
      <w:r>
        <w:t xml:space="preserve"> </w:t>
      </w:r>
      <w:r>
        <w:t xml:space="preserve">development for the Baltic Sea Region (2025, to be published)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Figure 4: Comparison of policy options against specific objectives</w:t>
      </w:r>
    </w:p>
    <w:p>
      <w:pPr>
        <w:pStyle w:val="BodyText"/>
      </w:pPr>
      <w:r>
        <w:t xml:space="preserve">In this section the three policy options are compared against the criteria of effectiveness,</w:t>
      </w:r>
      <w:r>
        <w:t xml:space="preserve"> </w:t>
      </w:r>
      <w:r>
        <w:t xml:space="preserve">efficiency, coherence as well as subsidiarity and proportionality, based on the assessment of the</w:t>
      </w:r>
      <w:r>
        <w:t xml:space="preserve"> </w:t>
      </w:r>
      <w:r>
        <w:t xml:space="preserve">impacts in the previous chapter.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Effectiveness concerns the extent to which the general and specific objectives (SO) of the</w:t>
      </w:r>
      <w:r>
        <w:t xml:space="preserve"> </w:t>
      </w:r>
      <w:r>
        <w:t xml:space="preserve">intervention (Section 4) are met. Table 5 links the policy objectives to assessment criteria.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Table 5: Links between objectives and assessment criteria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More rapid and targeted</w:t>
      </w:r>
      <w:r>
        <w:t xml:space="preserve"> </w:t>
      </w:r>
      <w:r>
        <w:t xml:space="preserve">development and</w:t>
      </w:r>
      <w:r>
        <w:t xml:space="preserve"> </w:t>
      </w:r>
      <w:r>
        <w:t xml:space="preserve">interoperability of</w:t>
      </w:r>
      <w:r>
        <w:t xml:space="preserve"> </w:t>
      </w:r>
      <w:r>
        <w:t xml:space="preserve">resilient trans-European</w:t>
      </w:r>
      <w:r>
        <w:t xml:space="preserve"> </w:t>
      </w:r>
      <w:r>
        <w:t xml:space="preserve">energy networks,</w:t>
      </w:r>
      <w:r>
        <w:t xml:space="preserve"> </w:t>
      </w:r>
      <w:r>
        <w:t xml:space="preserve">renewable energy and</w:t>
      </w:r>
      <w:r>
        <w:t xml:space="preserve"> </w:t>
      </w:r>
      <w:r>
        <w:t xml:space="preserve">flexibility, including</w:t>
      </w:r>
      <w:r>
        <w:t xml:space="preserve"> </w:t>
      </w:r>
      <w:r>
        <w:t xml:space="preserve">storage and recharging</w:t>
      </w:r>
      <w:r>
        <w:t xml:space="preserve"> </w:t>
      </w:r>
      <w:r>
        <w:t xml:space="preserve">stations, necessary for</w:t>
      </w:r>
      <w:r>
        <w:t xml:space="preserve"> </w:t>
      </w:r>
      <w:r>
        <w:t xml:space="preserve">leading to lower energy</w:t>
      </w:r>
      <w:r>
        <w:t xml:space="preserve"> </w:t>
      </w:r>
      <w:r>
        <w:t xml:space="preserve">system costs, higher</w:t>
      </w:r>
      <w:r>
        <w:t xml:space="preserve"> </w:t>
      </w:r>
      <w:r>
        <w:t xml:space="preserve">security and lower</w:t>
      </w:r>
      <w:r>
        <w:t xml:space="preserve"> </w:t>
      </w:r>
      <w:r>
        <w:t xml:space="preserve">emissions</w:t>
      </w:r>
      <w:r>
        <w:t xml:space="preserve"> </w:t>
      </w:r>
      <w:r>
        <w:t xml:space="preserve">Ensure that projects included in</w:t>
      </w:r>
      <w:r>
        <w:t xml:space="preserve"> </w:t>
      </w:r>
      <w:r>
        <w:t xml:space="preserve">network plans and selected as</w:t>
      </w:r>
      <w:r>
        <w:t xml:space="preserve"> </w:t>
      </w:r>
      <w:r>
        <w:t xml:space="preserve">PCI/PMIs address appropriately</w:t>
      </w:r>
      <w:r>
        <w:t xml:space="preserve"> </w:t>
      </w:r>
      <w:r>
        <w:t xml:space="preserve">identified infrastructure needs</w:t>
      </w:r>
      <w:r>
        <w:t xml:space="preserve"> </w:t>
      </w:r>
      <w:r>
        <w:t xml:space="preserve">More robust identification of</w:t>
      </w:r>
      <w:r>
        <w:t xml:space="preserve"> </w:t>
      </w:r>
      <w:r>
        <w:t xml:space="preserve">infrastructure needs</w:t>
      </w:r>
      <w:r>
        <w:t xml:space="preserve"> </w:t>
      </w:r>
      <w:r>
        <w:t xml:space="preserve">Clearer link between planned</w:t>
      </w:r>
      <w:r>
        <w:t xml:space="preserve"> </w:t>
      </w:r>
      <w:r>
        <w:t xml:space="preserve">projects/their impacts with the identified</w:t>
      </w:r>
      <w:r>
        <w:t xml:space="preserve"> </w:t>
      </w:r>
      <w:r>
        <w:t xml:space="preserve">needs</w:t>
      </w:r>
      <w:r>
        <w:t xml:space="preserve"> </w:t>
      </w:r>
      <w:r>
        <w:t xml:space="preserve">PCIs and PMIs effectively addressing</w:t>
      </w:r>
      <w:r>
        <w:t xml:space="preserve"> </w:t>
      </w:r>
      <w:r>
        <w:t xml:space="preserve">identified needs</w:t>
      </w:r>
      <w:r>
        <w:t xml:space="preserve"> </w:t>
      </w:r>
      <w:r>
        <w:t xml:space="preserve">Facilitate the use of cost-sharing tools</w:t>
      </w:r>
      <w:r>
        <w:t xml:space="preserve"> </w:t>
      </w:r>
      <w:r>
        <w:t xml:space="preserve">for faster deployment cross-border</w:t>
      </w:r>
      <w:r>
        <w:t xml:space="preserve"> </w:t>
      </w:r>
      <w:r>
        <w:t xml:space="preserve">infrastructure projects</w:t>
      </w:r>
      <w:r>
        <w:t xml:space="preserve"> </w:t>
      </w:r>
      <w:r>
        <w:t xml:space="preserve">Expected increase in the use of cost-</w:t>
      </w:r>
      <w:r>
        <w:t xml:space="preserve"> </w:t>
      </w:r>
      <w:r>
        <w:t xml:space="preserve">sharing tools</w:t>
      </w:r>
      <w:r>
        <w:t xml:space="preserve"> </w:t>
      </w:r>
      <w:r>
        <w:t xml:space="preserve">Acceleration of project implementation</w:t>
      </w:r>
      <w:r>
        <w:t xml:space="preserve"> </w:t>
      </w:r>
      <w:r>
        <w:t xml:space="preserve">Shorten and simplify permitting</w:t>
      </w:r>
      <w:r>
        <w:t xml:space="preserve"> </w:t>
      </w:r>
      <w:r>
        <w:t xml:space="preserve">procedures for energy infrastructure,</w:t>
      </w:r>
      <w:r>
        <w:t xml:space="preserve"> </w:t>
      </w:r>
      <w:r>
        <w:t xml:space="preserve">renewable energy and storage projects</w:t>
      </w:r>
      <w:r>
        <w:t xml:space="preserve"> </w:t>
      </w:r>
      <w:r>
        <w:t xml:space="preserve">as well as recharging stations</w:t>
      </w:r>
      <w:r>
        <w:t xml:space="preserve"> </w:t>
      </w:r>
      <w:r>
        <w:t xml:space="preserve">Shorter time to obtain necessary permits</w:t>
      </w:r>
      <w:r>
        <w:br/>
      </w:r>
      <w:r>
        <w:t xml:space="preserve">Fewer permit requirements</w:t>
      </w:r>
      <w:r>
        <w:t xml:space="preserve"> </w:t>
      </w:r>
      <w:r>
        <w:t xml:space="preserve">Enhance physical and cyber security</w:t>
      </w:r>
      <w:r>
        <w:t xml:space="preserve"> </w:t>
      </w:r>
      <w:r>
        <w:t xml:space="preserve">and resilience of cross-border energy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Expected reduction in vulnerability risks</w:t>
      </w:r>
      <w:r>
        <w:t xml:space="preserve"> </w:t>
      </w:r>
      <w:r>
        <w:t xml:space="preserve">Expected increase in the uptake of</w:t>
      </w:r>
      <w:r>
        <w:t xml:space="preserve"> </w:t>
      </w:r>
      <w:r>
        <w:t xml:space="preserve">security related investments</w:t>
      </w:r>
    </w:p>
    <w:p>
      <w:pPr>
        <w:pStyle w:val="BodyText"/>
      </w:pPr>
      <w:r>
        <w:t xml:space="preserve">All policy options contribute to the general objective of timely and efficient development and</w:t>
      </w:r>
      <w:r>
        <w:t xml:space="preserve"> </w:t>
      </w:r>
      <w:r>
        <w:t xml:space="preserve">interoperability of resilient cross-border energy infrastructure, because the proposed measures</w:t>
      </w:r>
      <w:r>
        <w:t xml:space="preserve"> </w:t>
      </w:r>
      <w:r>
        <w:t xml:space="preserve">will improve planning, provide tools to accelerate deployment of priority projects via improved</w:t>
      </w:r>
      <w:r>
        <w:t xml:space="preserve"> </w:t>
      </w:r>
      <w:r>
        <w:t xml:space="preserve">permitting and cost-sharing instruments and enhance resilience of cross-border infrastructure.</w:t>
      </w:r>
    </w:p>
    <w:p>
      <w:pPr>
        <w:pStyle w:val="BodyText"/>
      </w:pPr>
      <w:r>
        <w:t xml:space="preserve">Regarding SO1:</w:t>
      </w:r>
    </w:p>
    <w:p>
      <w:pPr>
        <w:pStyle w:val="Compact"/>
        <w:numPr>
          <w:ilvl w:val="0"/>
          <w:numId w:val="1005"/>
        </w:numPr>
      </w:pPr>
      <w:r>
        <w:t xml:space="preserve">PO1 would be slightly more effective than the BAU in identifying the infrastructure</w:t>
      </w:r>
      <w:r>
        <w:t xml:space="preserve"> </w:t>
      </w:r>
      <w:r>
        <w:t xml:space="preserve">needs based on ex ante steering through framework methodologies by ACER.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PO2 and PO3 would be more effective than PO1 in providing for a more robust</w:t>
      </w:r>
      <w:r>
        <w:t xml:space="preserve"> </w:t>
      </w:r>
      <w:r>
        <w:t xml:space="preserve">identification of infrastructure needs which would be based on a comprehensive central</w:t>
      </w:r>
      <w:r>
        <w:t xml:space="preserve"> </w:t>
      </w:r>
      <w:r>
        <w:t xml:space="preserve">scenario. In addition, the needs identification would have to be approved by the</w:t>
      </w:r>
      <w:r>
        <w:t xml:space="preserve"> </w:t>
      </w:r>
      <w:r>
        <w:t xml:space="preserve">Commission and Member States after ACER and NRAs validated the correct application</w:t>
      </w:r>
      <w:r>
        <w:t xml:space="preserve"> </w:t>
      </w:r>
      <w:r>
        <w:t xml:space="preserve">of the framework guidance. Most importantly, only PO2 and PO3 foresee a new planning</w:t>
      </w:r>
      <w:r>
        <w:t xml:space="preserve"> </w:t>
      </w:r>
      <w:r>
        <w:t xml:space="preserve">element for the systematic follow-up of the identified needs with planned projects through</w:t>
      </w:r>
      <w:r>
        <w:t xml:space="preserve"> </w:t>
      </w:r>
      <w:r>
        <w:t xml:space="preserve">the TYNDP and PCI/PMI selection process (‘gap filling mechanism’). The assessment of</w:t>
      </w:r>
      <w:r>
        <w:t xml:space="preserve"> </w:t>
      </w:r>
      <w:r>
        <w:t xml:space="preserve">the impacts of the different options (Section 6) confirmed that ensuring the</w:t>
      </w:r>
      <w:r>
        <w:t xml:space="preserve"> </w:t>
      </w:r>
      <w:r>
        <w:t xml:space="preserve">implementation of a more optimal cross-border infrastructure grid, as would be the case</w:t>
      </w:r>
      <w:r>
        <w:t xml:space="preserve"> </w:t>
      </w:r>
      <w:r>
        <w:t xml:space="preserve">under PO2 and PO3, would lead to significant economic benefits. PO2 and PO3 would</w:t>
      </w:r>
      <w:r>
        <w:t xml:space="preserve"> </w:t>
      </w:r>
      <w:r>
        <w:t xml:space="preserve">also ensure that non-wired solutions are prioritised and internal lines relevant for cross-</w:t>
      </w:r>
      <w:r>
        <w:t xml:space="preserve"> </w:t>
      </w:r>
      <w:r>
        <w:t xml:space="preserve">border electricity trade are adequately reflected in future grid planning and PCI/PMI</w:t>
      </w:r>
      <w:r>
        <w:t xml:space="preserve"> </w:t>
      </w:r>
      <w:r>
        <w:t xml:space="preserve">selections by adjusting the cross-border criteria.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effectiveness of PO3 might be affected by limited and cumbersome access to data</w:t>
      </w:r>
      <w:r>
        <w:t xml:space="preserve"> </w:t>
      </w:r>
      <w:r>
        <w:t xml:space="preserve">and availability of skilled staff as it would to a large extent depend on sufficient access</w:t>
      </w:r>
      <w:r>
        <w:t xml:space="preserve"> </w:t>
      </w:r>
      <w:r>
        <w:t xml:space="preserve">to data and experience from system operation, which might be delivered late or in a poor</w:t>
      </w:r>
      <w:r>
        <w:t xml:space="preserve"> </w:t>
      </w:r>
      <w:r>
        <w:t xml:space="preserve">quality. Similarly, an entity separate from TSOs responsible for the planning of cross-</w:t>
      </w:r>
      <w:r>
        <w:t xml:space="preserve"> </w:t>
      </w:r>
      <w:r>
        <w:t xml:space="preserve">border infrastructure would weaken the link between the planning of cross-border and</w:t>
      </w:r>
      <w:r>
        <w:t xml:space="preserve"> </w:t>
      </w:r>
      <w:r>
        <w:t xml:space="preserve">internal infrastructure. However, a strong link between these planning processes is</w:t>
      </w:r>
      <w:r>
        <w:t xml:space="preserve"> </w:t>
      </w:r>
      <w:r>
        <w:t xml:space="preserve">essential for effective grid planning. In addition, dissociating the responsibility and</w:t>
      </w:r>
    </w:p>
    <w:p>
      <w:pPr>
        <w:pStyle w:val="FirstParagraph"/>
      </w:pPr>
      <w:r>
        <w:t xml:space="preserve">50</w:t>
      </w:r>
    </w:p>
    <w:p>
      <w:pPr>
        <w:pStyle w:val="BodyText"/>
      </w:pPr>
      <w:r>
        <w:t xml:space="preserve">liability for the secure operation of the system from network planning, the former</w:t>
      </w:r>
      <w:r>
        <w:t xml:space="preserve"> </w:t>
      </w:r>
      <w:r>
        <w:t xml:space="preserve">remaining with TSOs and the latter placed on a single EU entity, could potentially lead</w:t>
      </w:r>
      <w:r>
        <w:t xml:space="preserve"> </w:t>
      </w:r>
      <w:r>
        <w:t xml:space="preserve">to inconsistencies, the identification of non-operational solutions and potentially</w:t>
      </w:r>
      <w:r>
        <w:t xml:space="preserve"> </w:t>
      </w:r>
      <w:r>
        <w:t xml:space="preserve">undermine system security, for which specific safeguards would have to be established.</w:t>
      </w:r>
      <w:r>
        <w:t xml:space="preserve"> </w:t>
      </w:r>
      <w:r>
        <w:t xml:space="preserve">In addition, PO3 could entail delays in terms of implementation as establishing fully</w:t>
      </w:r>
      <w:r>
        <w:t xml:space="preserve"> </w:t>
      </w:r>
      <w:r>
        <w:t xml:space="preserve">functioning network models could take between 5-6 years, postponing achievement of</w:t>
      </w:r>
      <w:r>
        <w:t xml:space="preserve"> </w:t>
      </w:r>
      <w:r>
        <w:t xml:space="preserve">the benefits. For these reasons and considering the aforementioned limitations, at this</w:t>
      </w:r>
      <w:r>
        <w:t xml:space="preserve"> </w:t>
      </w:r>
      <w:r>
        <w:t xml:space="preserve">stage PO3 may not meet the SO1 as effectively as PO2.</w:t>
      </w:r>
    </w:p>
    <w:p>
      <w:pPr>
        <w:pStyle w:val="BodyText"/>
      </w:pPr>
      <w:r>
        <w:t xml:space="preserve">Regarding SO2, all policy options would enhance transparency in the cost-sharing process by</w:t>
      </w:r>
      <w:r>
        <w:t xml:space="preserve"> </w:t>
      </w:r>
      <w:r>
        <w:t xml:space="preserve">involving a broader range of stakeholders earlier on. The updated ACER recommendation on the</w:t>
      </w:r>
      <w:r>
        <w:t xml:space="preserve"> </w:t>
      </w:r>
      <w:r>
        <w:t xml:space="preserve">treatment of investment requests for PCIs and PMIs would clarify and streamline procedures,</w:t>
      </w:r>
      <w:r>
        <w:t xml:space="preserve"> </w:t>
      </w:r>
      <w:r>
        <w:t xml:space="preserve">promoting a harmonised approach across Member States and projects. Additionally, the</w:t>
      </w:r>
      <w:r>
        <w:t xml:space="preserve"> </w:t>
      </w:r>
      <w:r>
        <w:t xml:space="preserve">introduction of incentives linked to congestion income could motivate stakeholders to engage</w:t>
      </w:r>
      <w:r>
        <w:t xml:space="preserve"> </w:t>
      </w:r>
      <w:r>
        <w:t xml:space="preserve">more actively in cost-sharing negotiations, potentially reducing the overall costs borne by project</w:t>
      </w:r>
      <w:r>
        <w:t xml:space="preserve"> </w:t>
      </w:r>
      <w:r>
        <w:t xml:space="preserve">beneficiaries.</w:t>
      </w:r>
      <w:r>
        <w:br/>
      </w:r>
      <w:r>
        <w:t xml:space="preserve">-</w:t>
      </w:r>
      <w:r>
        <w:t xml:space="preserve"> </w:t>
      </w:r>
      <w:r>
        <w:t xml:space="preserve">PO1 would be more effective than BAU to trigger discussions on cost-sharing but could</w:t>
      </w:r>
      <w:r>
        <w:t xml:space="preserve"> </w:t>
      </w:r>
      <w:r>
        <w:t xml:space="preserve">be insufficient in securing contributions from non-hosting countries, as it relies primarily</w:t>
      </w:r>
      <w:r>
        <w:t xml:space="preserve"> </w:t>
      </w:r>
      <w:r>
        <w:t xml:space="preserve">on improved transparency and clarity. Overall PO1 is considered somewhat effective, but</w:t>
      </w:r>
      <w:r>
        <w:t xml:space="preserve"> </w:t>
      </w:r>
      <w:r>
        <w:t xml:space="preserve">likely not able to reach the SO2.</w:t>
      </w:r>
      <w:r>
        <w:br/>
      </w:r>
      <w:r>
        <w:t xml:space="preserve">-</w:t>
      </w:r>
      <w:r>
        <w:t xml:space="preserve"> </w:t>
      </w:r>
      <w:r>
        <w:t xml:space="preserve">PO2, by providing a framework coupled with strong incentives for the bundling of</w:t>
      </w:r>
      <w:r>
        <w:t xml:space="preserve"> </w:t>
      </w:r>
      <w:r>
        <w:t xml:space="preserve">projects (joint application for PCI/PMI status and possible CEF funding) and associated</w:t>
      </w:r>
      <w:r>
        <w:t xml:space="preserve"> </w:t>
      </w:r>
      <w:r>
        <w:t xml:space="preserve">cost-sharing process, would ensure a more comprehensive approach to cost-sharing. This</w:t>
      </w:r>
      <w:r>
        <w:t xml:space="preserve"> </w:t>
      </w:r>
      <w:r>
        <w:t xml:space="preserve">approach could overcome the reluctance by Member States to contribute financially to</w:t>
      </w:r>
      <w:r>
        <w:t xml:space="preserve"> </w:t>
      </w:r>
      <w:r>
        <w:t xml:space="preserve">projects outside their territory considering that the cluster will be overall beneficial to</w:t>
      </w:r>
      <w:r>
        <w:t xml:space="preserve"> </w:t>
      </w:r>
      <w:r>
        <w:t xml:space="preserve">them and provide access to the benefits under the TEN-E framework.</w:t>
      </w:r>
      <w:r>
        <w:br/>
      </w:r>
      <w:r>
        <w:t xml:space="preserve">-</w:t>
      </w:r>
      <w:r>
        <w:t xml:space="preserve"> </w:t>
      </w:r>
      <w:r>
        <w:t xml:space="preserve">PO3, by making mandatory the offshore regional planning would ensure that Member</w:t>
      </w:r>
      <w:r>
        <w:t xml:space="preserve"> </w:t>
      </w:r>
      <w:r>
        <w:t xml:space="preserve">States’ offshore commitments are followed up with regional planning and agreements on</w:t>
      </w:r>
      <w:r>
        <w:t xml:space="preserve"> </w:t>
      </w:r>
      <w:r>
        <w:t xml:space="preserve">cost sharing. However, instead of an incentive-based approach (PO2), this mandatory</w:t>
      </w:r>
      <w:r>
        <w:t xml:space="preserve"> </w:t>
      </w:r>
      <w:r>
        <w:t xml:space="preserve">approach could be considered premature and pre-empting Member States’ own</w:t>
      </w:r>
      <w:r>
        <w:t xml:space="preserve"> </w:t>
      </w:r>
      <w:r>
        <w:t xml:space="preserve">assessments. Based on past experience with bilateral cost-sharing discussions, mandating</w:t>
      </w:r>
      <w:r>
        <w:t xml:space="preserve"> </w:t>
      </w:r>
      <w:r>
        <w:t xml:space="preserve">multilateral cost-sharing agreements at this stage might face opposition from some</w:t>
      </w:r>
      <w:r>
        <w:t xml:space="preserve"> </w:t>
      </w:r>
      <w:r>
        <w:t xml:space="preserve">Member States and ultimately undermine the actual purpose of strengthening regional</w:t>
      </w:r>
      <w:r>
        <w:t xml:space="preserve"> </w:t>
      </w:r>
      <w:r>
        <w:t xml:space="preserve">cooperation for more effective cost sharing.</w:t>
      </w:r>
    </w:p>
    <w:bookmarkStart w:id="9" w:name="X3a5ca4062c402f5b75ea6ad511b98d513aa18c5"/>
    <w:p>
      <w:pPr>
        <w:pStyle w:val="Heading2"/>
      </w:pPr>
      <w:r>
        <w:t xml:space="preserve">Concerning SO3, all policy options include permitting acceleration measures.</w:t>
      </w:r>
    </w:p>
    <w:p>
      <w:pPr>
        <w:pStyle w:val="FirstParagraph"/>
      </w:pPr>
      <w:r>
        <w:t xml:space="preserve">PO1 would be more effective than the BAU as it would provide further support and</w:t>
      </w:r>
      <w:r>
        <w:t xml:space="preserve"> </w:t>
      </w:r>
      <w:r>
        <w:t xml:space="preserve">guidance to Member States in implementing the current permitting acceleration</w:t>
      </w:r>
      <w:r>
        <w:t xml:space="preserve"> </w:t>
      </w:r>
      <w:r>
        <w:t xml:space="preserve">framework. However, effectiveness is capped to implementation of current framework,</w:t>
      </w:r>
      <w:r>
        <w:t xml:space="preserve"> </w:t>
      </w:r>
      <w:r>
        <w:t xml:space="preserve">which also does not cover permitting of electricity grids and storage infrastructure.</w:t>
      </w:r>
      <w:r>
        <w:br/>
      </w:r>
      <w:r>
        <w:t xml:space="preserve">-</w:t>
      </w:r>
      <w:r>
        <w:t xml:space="preserve"> </w:t>
      </w:r>
      <w:r>
        <w:t xml:space="preserve">PO2 would introduce legislative amendments ensuring shorter permitting times than the</w:t>
      </w:r>
      <w:r>
        <w:t xml:space="preserve"> </w:t>
      </w:r>
      <w:r>
        <w:t xml:space="preserve">BAU and PO1. It would cover cross-border, national transmission and local distribution</w:t>
      </w:r>
      <w:r>
        <w:t xml:space="preserve"> </w:t>
      </w:r>
      <w:r>
        <w:t xml:space="preserve">grids as well as renewable energy, storage and e-mobility charging infrastructure projects.</w:t>
      </w:r>
      <w:r>
        <w:t xml:space="preserve"> </w:t>
      </w:r>
      <w:r>
        <w:t xml:space="preserve">The proposed measures would result in fewer permitting requirements and shortened</w:t>
      </w:r>
      <w:r>
        <w:t xml:space="preserve"> </w:t>
      </w:r>
      <w:r>
        <w:t xml:space="preserve">procedures and thereby address SO2 more effectively.</w:t>
      </w:r>
      <w:r>
        <w:br/>
      </w:r>
      <w:r>
        <w:t xml:space="preserve">PO3 is expected to have a similar impact with regard to shortening and simplifying national</w:t>
      </w:r>
      <w:r>
        <w:t xml:space="preserve"> </w:t>
      </w:r>
      <w:r>
        <w:t xml:space="preserve">permitting procedures as PO2, as both options include the same measures in this respect. By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introducing a centralised 28th regime for monitoring and coordinating permitting procedures for</w:t>
      </w:r>
      <w:r>
        <w:t xml:space="preserve"> </w:t>
      </w:r>
      <w:r>
        <w:t xml:space="preserve">cross-border grids and large-scale cross-border RES projects, PO3 may facilitate national</w:t>
      </w:r>
      <w:r>
        <w:t xml:space="preserve"> </w:t>
      </w:r>
      <w:r>
        <w:t xml:space="preserve">authorities’ interpretation and application of the relevant permitting provisions of EU law. This</w:t>
      </w:r>
      <w:r>
        <w:t xml:space="preserve"> </w:t>
      </w:r>
      <w:r>
        <w:t xml:space="preserve">could result in a more predictable permitting process, preventing situations of preferential</w:t>
      </w:r>
      <w:r>
        <w:t xml:space="preserve"> </w:t>
      </w:r>
      <w:r>
        <w:t xml:space="preserve">treatment and blockage of projects due to national interests. However, PO3 would entail the</w:t>
      </w:r>
      <w:r>
        <w:t xml:space="preserve"> </w:t>
      </w:r>
      <w:r>
        <w:t xml:space="preserve">creation of an additional administrative level to the permitting process, creating further risks of</w:t>
      </w:r>
      <w:r>
        <w:t xml:space="preserve"> </w:t>
      </w:r>
      <w:r>
        <w:t xml:space="preserve">delays in the form of misalignments and of inefficiencies between the EU-level entity and the</w:t>
      </w:r>
      <w:r>
        <w:t xml:space="preserve"> </w:t>
      </w:r>
      <w:r>
        <w:t xml:space="preserve">national authorities. Further, the EU-level entity would lack autonomous competence to decide</w:t>
      </w:r>
      <w:r>
        <w:t xml:space="preserve"> </w:t>
      </w:r>
      <w:r>
        <w:t xml:space="preserve">over permitting procedures (see Section 5.2.1), which raises doubts over the potential coordination</w:t>
      </w:r>
      <w:r>
        <w:t xml:space="preserve"> </w:t>
      </w:r>
      <w:r>
        <w:t xml:space="preserve">benefits. In addition, setting up an EU-level regime to coordinate permitting for cross-border</w:t>
      </w:r>
      <w:r>
        <w:t xml:space="preserve"> </w:t>
      </w:r>
      <w:r>
        <w:t xml:space="preserve">projects would require resources and risks disrupt ongoing permitting procedures and/or delay</w:t>
      </w:r>
      <w:r>
        <w:t xml:space="preserve"> </w:t>
      </w:r>
      <w:r>
        <w:t xml:space="preserve">new ones, though a transitional period could offset this to a certain extent.156 EU-level permitting</w:t>
      </w:r>
      <w:r>
        <w:t xml:space="preserve"> </w:t>
      </w:r>
      <w:r>
        <w:t xml:space="preserve">monitoring and coordination may also not be welcomed by Member States and other stakeholders,</w:t>
      </w:r>
      <w:r>
        <w:t xml:space="preserve"> </w:t>
      </w:r>
      <w:r>
        <w:t xml:space="preserve">who are mostly calling for targeted changes to the permitting regime to allow sufficient time and</w:t>
      </w:r>
      <w:r>
        <w:t xml:space="preserve"> </w:t>
      </w:r>
      <w:r>
        <w:t xml:space="preserve">resources to implement the existing legislation (see Annex 2). Finally, it risks undermining public</w:t>
      </w:r>
      <w:r>
        <w:t xml:space="preserve"> </w:t>
      </w:r>
      <w:r>
        <w:t xml:space="preserve">acceptance at local level and may therefore result in additional court cases challenging whether</w:t>
      </w:r>
      <w:r>
        <w:t xml:space="preserve"> </w:t>
      </w:r>
      <w:r>
        <w:t xml:space="preserve">national or local circumstances have been adequately taken into account. The overall effectiveness</w:t>
      </w:r>
      <w:r>
        <w:t xml:space="preserve"> </w:t>
      </w:r>
      <w:r>
        <w:t xml:space="preserve">of PO3 as regards permitting is therefore not ensured.</w:t>
      </w:r>
      <w:r>
        <w:br/>
      </w:r>
      <w:r>
        <w:t xml:space="preserve">Finally, as regards SO4:</w:t>
      </w:r>
      <w:r>
        <w:t xml:space="preserve"> </w:t>
      </w:r>
      <w:r>
        <w:t xml:space="preserve">-</w:t>
      </w:r>
      <w:r>
        <w:t xml:space="preserve"> </w:t>
      </w:r>
      <w:r>
        <w:t xml:space="preserve">Under PO1, the risk assessments reporting would give more prominence to potential</w:t>
      </w:r>
      <w:r>
        <w:t xml:space="preserve"> </w:t>
      </w:r>
      <w:r>
        <w:t xml:space="preserve">physical and cyber-security risks and mitigation measures earlier in the project</w:t>
      </w:r>
      <w:r>
        <w:t xml:space="preserve"> </w:t>
      </w:r>
      <w:r>
        <w:t xml:space="preserve">development cycle</w:t>
      </w:r>
      <w:r>
        <w:t xml:space="preserve"> </w:t>
      </w:r>
      <w:r>
        <w:t xml:space="preserve">-</w:t>
      </w:r>
      <w:r>
        <w:t xml:space="preserve"> </w:t>
      </w:r>
      <w:r>
        <w:t xml:space="preserve">PO2 and PO3, would provide incentives to enhance security of cross-border energy</w:t>
      </w:r>
      <w:r>
        <w:t xml:space="preserve"> </w:t>
      </w:r>
      <w:r>
        <w:t xml:space="preserve">infrastructure under the TEN-E framework and hence would be more effective.</w:t>
      </w:r>
    </w:p>
    <w:p>
      <w:pPr>
        <w:pStyle w:val="BodyText"/>
      </w:pP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 the ‘extent to which objectives can be achieved for a given cost (cost</w:t>
      </w:r>
      <w:r>
        <w:t xml:space="preserve"> </w:t>
      </w:r>
      <w:r>
        <w:t xml:space="preserve">effectiveness). The Commission also assessed to what extent the options contribute to</w:t>
      </w:r>
      <w:r>
        <w:t xml:space="preserve"> </w:t>
      </w:r>
      <w:r>
        <w:t xml:space="preserve">administrative and process efficiency (reaching objectives with the least administrative burden).</w:t>
      </w:r>
      <w:r>
        <w:t xml:space="preserve"> </w:t>
      </w:r>
      <w:r>
        <w:t xml:space="preserve">In all policy options, the benefits outweigh the increase in costs, relative to the baseline.</w:t>
      </w:r>
      <w:r>
        <w:br/>
      </w:r>
      <w:r>
        <w:t xml:space="preserve">As regards SO1:</w:t>
      </w:r>
      <w:r>
        <w:br/>
      </w:r>
      <w:r>
        <w:t xml:space="preserve">-</w:t>
      </w:r>
      <w:r>
        <w:t xml:space="preserve"> </w:t>
      </w:r>
      <w:r>
        <w:t xml:space="preserve">PO1 would reduce costs by streamlining the planning steps but would still keep the</w:t>
      </w:r>
      <w:r>
        <w:t xml:space="preserve"> </w:t>
      </w:r>
      <w:r>
        <w:t xml:space="preserve">resource intensive 2-year cycle, which would continue to require significant resources.</w:t>
      </w:r>
      <w:r>
        <w:br/>
      </w:r>
      <w:r>
        <w:t xml:space="preserve">-</w:t>
      </w:r>
      <w:r>
        <w:t xml:space="preserve"> </w:t>
      </w:r>
      <w:r>
        <w:t xml:space="preserve">PO2 would be the most cost-efficient option by reducing the frequency of scenarios and</w:t>
      </w:r>
      <w:r>
        <w:t xml:space="preserve"> </w:t>
      </w:r>
      <w:r>
        <w:t xml:space="preserve">needs assessment to 4-year cycles and eliminating some ex-post verification requirements.</w:t>
      </w:r>
      <w:r>
        <w:t xml:space="preserve"> </w:t>
      </w:r>
      <w:r>
        <w:t xml:space="preserve">The new gap filling step would still be less resource intensive than the 2-year cycle. PO2</w:t>
      </w:r>
      <w:r>
        <w:t xml:space="preserve"> </w:t>
      </w:r>
      <w:r>
        <w:t xml:space="preserve">is also linked to only a limited need of additional resources in terms of staffing.</w:t>
      </w:r>
      <w:r>
        <w:t xml:space="preserve"> </w:t>
      </w:r>
      <w:r>
        <w:t xml:space="preserve">-</w:t>
      </w:r>
      <w:r>
        <w:t xml:space="preserve"> </w:t>
      </w:r>
      <w:r>
        <w:t xml:space="preserve">PO3 would be equally efficient with PO2 when it comes to reduction of frequency of</w:t>
      </w:r>
      <w:r>
        <w:t xml:space="preserve"> </w:t>
      </w:r>
      <w:r>
        <w:t xml:space="preserve">scenarios and elimination of ex post verification requirements. While bringing a number</w:t>
      </w:r>
      <w:r>
        <w:t xml:space="preserve"> </w:t>
      </w:r>
      <w:r>
        <w:t xml:space="preserve">of competences under one entity could create operational efficiencies, it would require</w:t>
      </w:r>
      <w:r>
        <w:t xml:space="preserve"> </w:t>
      </w:r>
      <w:r>
        <w:t xml:space="preserve">substantial reshuffling of resources and both high upfront administrative costs for the</w:t>
      </w:r>
    </w:p>
    <w:p>
      <w:pPr>
        <w:pStyle w:val="BodyText"/>
      </w:pPr>
      <w:r>
        <w:t xml:space="preserve">156 See the example of other harmonised Union policies where overarching powers have been introduced, e.g. in the</w:t>
      </w:r>
      <w:r>
        <w:t xml:space="preserve"> </w:t>
      </w:r>
      <w:r>
        <w:t xml:space="preserve">case of mergers, the first merger regulation took over 10 years to be negotiated.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creation of a new entity or a new section under an existing one (see Annex 9)and additional</w:t>
      </w:r>
      <w:r>
        <w:t xml:space="preserve"> </w:t>
      </w:r>
      <w:r>
        <w:t xml:space="preserve">operational costs to run such an entity. Making an entity operational for these tasks is</w:t>
      </w:r>
      <w:r>
        <w:t xml:space="preserve"> </w:t>
      </w:r>
      <w:r>
        <w:t xml:space="preserve">expected to be very resource intensive and disruptive to the governance of infrastructure</w:t>
      </w:r>
      <w:r>
        <w:t xml:space="preserve"> </w:t>
      </w:r>
      <w:r>
        <w:t xml:space="preserve">planning, possibly offsetting potential gains of a centralised and streamlined approach. It</w:t>
      </w:r>
      <w:r>
        <w:t xml:space="preserve"> </w:t>
      </w:r>
      <w:r>
        <w:t xml:space="preserve">would take several years for such an entity to be fully operational, although this would to</w:t>
      </w:r>
      <w:r>
        <w:t xml:space="preserve"> </w:t>
      </w:r>
      <w:r>
        <w:t xml:space="preserve">a certain extent be addressed with transitional measures.</w:t>
      </w:r>
      <w:r>
        <w:br/>
      </w:r>
      <w:r>
        <w:t xml:space="preserve">Regarding SO2:</w:t>
      </w:r>
      <w:r>
        <w:t xml:space="preserve"> </w:t>
      </w:r>
      <w:r>
        <w:t xml:space="preserve">-</w:t>
      </w:r>
      <w:r>
        <w:t xml:space="preserve"> </w:t>
      </w:r>
      <w:r>
        <w:t xml:space="preserve">PO1 and PO2 are both expected to increase the use of cost-sharing tools and facilitate the</w:t>
      </w:r>
      <w:r>
        <w:t xml:space="preserve"> </w:t>
      </w:r>
      <w:r>
        <w:t xml:space="preserve">acceleration of project implementation, where accepted by all relevant stakeholders. Both</w:t>
      </w:r>
      <w:r>
        <w:t xml:space="preserve"> </w:t>
      </w:r>
      <w:r>
        <w:t xml:space="preserve">options offer tools to achieve SO2 at a relatively similar cost compared to the BAU</w:t>
      </w:r>
      <w:r>
        <w:t xml:space="preserve"> </w:t>
      </w:r>
      <w:r>
        <w:t xml:space="preserve">scenario. Several policy measures under these options help reduce the burden on</w:t>
      </w:r>
      <w:r>
        <w:t xml:space="preserve"> </w:t>
      </w:r>
      <w:r>
        <w:t xml:space="preserve">stakeholders by streamlining and enhancing the transparency of the CBCA process.</w:t>
      </w:r>
      <w:r>
        <w:t xml:space="preserve"> </w:t>
      </w:r>
      <w:r>
        <w:t xml:space="preserve">Measures related to congestion income would generate limited additional compliance costs</w:t>
      </w:r>
      <w:r>
        <w:t xml:space="preserve"> </w:t>
      </w:r>
      <w:r>
        <w:t xml:space="preserve">within existing structures. These measures are considered efficient, as the benefits –</w:t>
      </w:r>
      <w:r>
        <w:t xml:space="preserve"> </w:t>
      </w:r>
      <w:r>
        <w:t xml:space="preserve">particularly in financing cross-border infrastructure and encouraging cost-sharing</w:t>
      </w:r>
      <w:r>
        <w:t xml:space="preserve"> </w:t>
      </w:r>
      <w:r>
        <w:t xml:space="preserve">agreements– are expected to outweigh the associated costs.</w:t>
      </w:r>
      <w:r>
        <w:br/>
      </w:r>
      <w:r>
        <w:t xml:space="preserve">-</w:t>
      </w:r>
      <w:r>
        <w:t xml:space="preserve"> </w:t>
      </w:r>
      <w:r>
        <w:t xml:space="preserve">PO2 involves a voluntary process, meaning that any potential additional resources or costs</w:t>
      </w:r>
      <w:r>
        <w:t xml:space="preserve"> </w:t>
      </w:r>
      <w:r>
        <w:t xml:space="preserve">would not be imposed on stakeholders. This would entail significant efficiency gains for</w:t>
      </w:r>
      <w:r>
        <w:t xml:space="preserve"> </w:t>
      </w:r>
      <w:r>
        <w:t xml:space="preserve">Member States and TSOs with a high number of planned hybrid or cross-border radials,</w:t>
      </w:r>
      <w:r>
        <w:t xml:space="preserve"> </w:t>
      </w:r>
      <w:r>
        <w:t xml:space="preserve">since they could bundle projects and simplify cost-sharing frameworks to lower</w:t>
      </w:r>
      <w:r>
        <w:t xml:space="preserve"> </w:t>
      </w:r>
      <w:r>
        <w:t xml:space="preserve">negotiation efforts and, thereby, resources and costs, of conducting multiple and parallel</w:t>
      </w:r>
      <w:r>
        <w:t xml:space="preserve"> </w:t>
      </w:r>
      <w:r>
        <w:t xml:space="preserve">cost-sharing negotiations.</w:t>
      </w:r>
      <w:r>
        <w:br/>
      </w:r>
      <w:r>
        <w:t xml:space="preserve">-</w:t>
      </w:r>
      <w:r>
        <w:t xml:space="preserve"> </w:t>
      </w:r>
      <w:r>
        <w:t xml:space="preserve">PO3 would impose additional costs on all stakeholders as it would require offshore</w:t>
      </w:r>
      <w:r>
        <w:t xml:space="preserve"> </w:t>
      </w:r>
      <w:r>
        <w:t xml:space="preserve">regional planning and cost-sharing agreements. In particular, this would entail costs for</w:t>
      </w:r>
      <w:r>
        <w:t xml:space="preserve"> </w:t>
      </w:r>
      <w:r>
        <w:t xml:space="preserve">Member States and TSOs with a high number of planned hybrid or cross-border radials</w:t>
      </w:r>
      <w:r>
        <w:t xml:space="preserve"> </w:t>
      </w:r>
      <w:r>
        <w:t xml:space="preserve">and hinder the achievement of consensus. In addition, processes would, to a certain extent,</w:t>
      </w:r>
      <w:r>
        <w:t xml:space="preserve"> </w:t>
      </w:r>
      <w:r>
        <w:t xml:space="preserve">overlap with national planning related to cross-border infrastructure, as the approval of</w:t>
      </w:r>
      <w:r>
        <w:t xml:space="preserve"> </w:t>
      </w:r>
      <w:r>
        <w:t xml:space="preserve">investments required at national level.</w:t>
      </w:r>
      <w:r>
        <w:t xml:space="preserve"> </w:t>
      </w:r>
      <w:r>
        <w:t xml:space="preserve">As for SO3:</w:t>
      </w:r>
      <w:r>
        <w:t xml:space="preserve"> </w:t>
      </w:r>
      <w:r>
        <w:t xml:space="preserve">-</w:t>
      </w:r>
      <w:r>
        <w:t xml:space="preserve"> </w:t>
      </w:r>
      <w:r>
        <w:t xml:space="preserve">PO1 is more efficient than the BAU scenario, as it supports implementation of acceleration</w:t>
      </w:r>
      <w:r>
        <w:t xml:space="preserve"> </w:t>
      </w:r>
      <w:r>
        <w:t xml:space="preserve">measures at a low cost. However, its effectiveness is significantly lower than PO2 and</w:t>
      </w:r>
      <w:r>
        <w:t xml:space="preserve"> </w:t>
      </w:r>
      <w:r>
        <w:t xml:space="preserve">PO3, while it represents costs for Member States just slightly lower than PO2. This results</w:t>
      </w:r>
      <w:r>
        <w:t xml:space="preserve"> </w:t>
      </w:r>
      <w:r>
        <w:t xml:space="preserve">from the fact that under PO1 Member States are still expected to invest in administrative</w:t>
      </w:r>
      <w:r>
        <w:t xml:space="preserve"> </w:t>
      </w:r>
      <w:r>
        <w:t xml:space="preserve">capacity building.</w:t>
      </w:r>
      <w:r>
        <w:t xml:space="preserve"> </w:t>
      </w:r>
      <w:r>
        <w:t xml:space="preserve">-</w:t>
      </w:r>
      <w:r>
        <w:t xml:space="preserve"> </w:t>
      </w:r>
      <w:r>
        <w:t xml:space="preserve">Under PO2, costs for Member States increase slightly in the short-term as Member States</w:t>
      </w:r>
      <w:r>
        <w:t xml:space="preserve"> </w:t>
      </w:r>
      <w:r>
        <w:t xml:space="preserve">would be required to introduce and implement legal changes. The costs are, however,</w:t>
      </w:r>
      <w:r>
        <w:t xml:space="preserve"> </w:t>
      </w:r>
      <w:r>
        <w:t xml:space="preserve">likely to significantly decrease in the long-term as a result of digitalisation. Further, the</w:t>
      </w:r>
      <w:r>
        <w:t xml:space="preserve"> </w:t>
      </w:r>
      <w:r>
        <w:t xml:space="preserve">measures on public acceptance and participation, like the benefit-sharing mechanisms for</w:t>
      </w:r>
      <w:r>
        <w:t xml:space="preserve"> </w:t>
      </w:r>
      <w:r>
        <w:t xml:space="preserve">renewable energy projects, will assist in decreasing opposition and lead to less</w:t>
      </w:r>
      <w:r>
        <w:t xml:space="preserve"> </w:t>
      </w:r>
      <w:r>
        <w:t xml:space="preserve">administrative costs in the form of administrative challenges to permits and judicial</w:t>
      </w:r>
      <w:r>
        <w:t xml:space="preserve"> </w:t>
      </w:r>
      <w:r>
        <w:t xml:space="preserve">disputes.</w:t>
      </w:r>
      <w:r>
        <w:t xml:space="preserve"> </w:t>
      </w:r>
      <w:r>
        <w:t xml:space="preserve">-</w:t>
      </w:r>
      <w:r>
        <w:t xml:space="preserve"> </w:t>
      </w:r>
      <w:r>
        <w:t xml:space="preserve">Under PO3, both upfront and recurrent costs increase due to the need to implement further</w:t>
      </w:r>
      <w:r>
        <w:t xml:space="preserve"> </w:t>
      </w:r>
      <w:r>
        <w:t xml:space="preserve">legislative changes and empower with relevant tasks a permanent European coordination</w:t>
      </w:r>
      <w:r>
        <w:t xml:space="preserve"> </w:t>
      </w:r>
      <w:r>
        <w:t xml:space="preserve">entity. PO3 involves continuous operational costs of such EU body that are not required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by PO1 and PO2. PO3 might also entail additional costs to support public acceptance and</w:t>
      </w:r>
      <w:r>
        <w:t xml:space="preserve"> </w:t>
      </w:r>
      <w:r>
        <w:t xml:space="preserve">related to an increase in court cases (see above).</w:t>
      </w:r>
      <w:r>
        <w:t xml:space="preserve"> </w:t>
      </w:r>
      <w:r>
        <w:t xml:space="preserve">-</w:t>
      </w:r>
      <w:r>
        <w:t xml:space="preserve"> </w:t>
      </w:r>
      <w:r>
        <w:t xml:space="preserve">For both PO2 and PO3, following the initial investment costs, simplification, better</w:t>
      </w:r>
      <w:r>
        <w:t xml:space="preserve"> </w:t>
      </w:r>
      <w:r>
        <w:t xml:space="preserve">coordination and digitalisation of procedures will decrease the relative administrative</w:t>
      </w:r>
      <w:r>
        <w:t xml:space="preserve"> </w:t>
      </w:r>
      <w:r>
        <w:t xml:space="preserve">burden for national authorities leading to efficiency benefits. In comparison, PO2 appears</w:t>
      </w:r>
      <w:r>
        <w:t xml:space="preserve"> </w:t>
      </w:r>
      <w:r>
        <w:t xml:space="preserve">more efficient than PO1 and PO3.</w:t>
      </w:r>
      <w:r>
        <w:t xml:space="preserve"> </w:t>
      </w:r>
      <w:r>
        <w:t xml:space="preserve">As for security related measures (SO4):</w:t>
      </w:r>
      <w:r>
        <w:t xml:space="preserve"> </w:t>
      </w:r>
      <w:r>
        <w:t xml:space="preserve">-</w:t>
      </w:r>
      <w:r>
        <w:t xml:space="preserve"> </w:t>
      </w:r>
      <w:r>
        <w:t xml:space="preserve">PO1 enables earlier consideration of security risks during the initial stages of PCI/PMIs</w:t>
      </w:r>
      <w:r>
        <w:t xml:space="preserve"> </w:t>
      </w:r>
      <w:r>
        <w:t xml:space="preserve">development. While the associated measures may incur additional costs for some project</w:t>
      </w:r>
      <w:r>
        <w:t xml:space="preserve"> </w:t>
      </w:r>
      <w:r>
        <w:t xml:space="preserve">promoters, the number of affected promoters is expected to be limited157, as most are</w:t>
      </w:r>
      <w:r>
        <w:t xml:space="preserve"> </w:t>
      </w:r>
      <w:r>
        <w:t xml:space="preserve">already subject to comparable obligations under the existing EU regulatory framework.</w:t>
      </w:r>
      <w:r>
        <w:t xml:space="preserve"> </w:t>
      </w:r>
      <w:r>
        <w:t xml:space="preserve">The economic benefits linked to the implementation of identified measures are anticipated</w:t>
      </w:r>
      <w:r>
        <w:t xml:space="preserve"> </w:t>
      </w:r>
      <w:r>
        <w:t xml:space="preserve">to outweigh these costs (see above) and is therefore more efficient than BAU.</w:t>
      </w:r>
      <w:r>
        <w:br/>
      </w:r>
      <w:r>
        <w:t xml:space="preserve">-</w:t>
      </w:r>
      <w:r>
        <w:t xml:space="preserve"> </w:t>
      </w:r>
      <w:r>
        <w:t xml:space="preserve">PO2 and PO3 would be significantly more efficient as they also involve broadening the</w:t>
      </w:r>
      <w:r>
        <w:t xml:space="preserve"> </w:t>
      </w:r>
      <w:r>
        <w:t xml:space="preserve">scope of the TEN-E to reinforce EU cross-border energy infrastructure security, as well as</w:t>
      </w:r>
      <w:r>
        <w:t xml:space="preserve"> </w:t>
      </w:r>
      <w:r>
        <w:t xml:space="preserve">additional oversight concerning possible control by untrusted actors over the projects,</w:t>
      </w:r>
      <w:r>
        <w:t xml:space="preserve"> </w:t>
      </w:r>
      <w:r>
        <w:t xml:space="preserve">without incurring additional costs.</w:t>
      </w:r>
      <w:r>
        <w:t xml:space="preserve"> </w:t>
      </w:r>
      <w:r>
        <w:t xml:space="preserve">7.3.</w:t>
      </w:r>
      <w:r>
        <w:t xml:space="preserve"> </w:t>
      </w:r>
      <w:r>
        <w:t xml:space="preserve">Coherence</w:t>
      </w:r>
      <w:r>
        <w:br/>
      </w:r>
      <w:r>
        <w:t xml:space="preserve">Internal coherence assesses how well the various provisions of the initiative fit together and</w:t>
      </w:r>
      <w:r>
        <w:t xml:space="preserve"> </w:t>
      </w:r>
      <w:r>
        <w:t xml:space="preserve">work in a coordinated manner to achieve its objectives. The measures under each policy option</w:t>
      </w:r>
      <w:r>
        <w:t xml:space="preserve"> </w:t>
      </w:r>
      <w:r>
        <w:t xml:space="preserve">are compatible with each other. However, the effectiveness of some measures may be limited by</w:t>
      </w:r>
      <w:r>
        <w:t xml:space="preserve"> </w:t>
      </w:r>
      <w:r>
        <w:t xml:space="preserve">their co-existence. For PO3, the requirement of mandatory regional planning and cost-sharing</w:t>
      </w:r>
      <w:r>
        <w:t xml:space="preserve"> </w:t>
      </w:r>
      <w:r>
        <w:t xml:space="preserve">are incompatible with the objective of a voluntary enabling framework for project bundling.</w:t>
      </w:r>
    </w:p>
    <w:p>
      <w:pPr>
        <w:pStyle w:val="BodyText"/>
      </w:pPr>
      <w:r>
        <w:t xml:space="preserve">As for external coherence, all policy options are consistent with EU and national provisions on</w:t>
      </w:r>
      <w:r>
        <w:t xml:space="preserve"> </w:t>
      </w:r>
      <w:r>
        <w:t xml:space="preserve">infrastructure planning and permitting. PO2 and PO3 would achieve higher coherence by better</w:t>
      </w:r>
      <w:r>
        <w:t xml:space="preserve"> </w:t>
      </w:r>
      <w:r>
        <w:t xml:space="preserve">linking national and EU planning, requiring the use of the central scenario as one of the scenarios</w:t>
      </w:r>
      <w:r>
        <w:t xml:space="preserve"> </w:t>
      </w:r>
      <w:r>
        <w:t xml:space="preserve">as prerequisite for NRA approval of NDPs. The policy options are in line with the EU objective</w:t>
      </w:r>
      <w:r>
        <w:t xml:space="preserve"> </w:t>
      </w:r>
      <w:r>
        <w:t xml:space="preserve">to improve infrastructure planning in the context of the climate transition and complementing</w:t>
      </w:r>
      <w:r>
        <w:t xml:space="preserve"> </w:t>
      </w:r>
      <w:r>
        <w:t xml:space="preserve">other relevant policy initiatives (see Section 1.3). All options would align the TEN-E Regulation</w:t>
      </w:r>
      <w:r>
        <w:t xml:space="preserve"> </w:t>
      </w:r>
      <w:r>
        <w:t xml:space="preserve">with the policy framework on hydrogen as established with the hydrogen and gas decarbonisation</w:t>
      </w:r>
      <w:r>
        <w:t xml:space="preserve"> </w:t>
      </w:r>
      <w:r>
        <w:t xml:space="preserve">package by removing smart gas grids and blending from its scope. PO2 and PO3 would also be</w:t>
      </w:r>
      <w:r>
        <w:t xml:space="preserve"> </w:t>
      </w:r>
      <w:r>
        <w:t xml:space="preserve">most coherent with the Commission’s simplification agenda, removing unnecessary provisions</w:t>
      </w:r>
      <w:r>
        <w:t xml:space="preserve"> </w:t>
      </w:r>
      <w:r>
        <w:t xml:space="preserve">related to monitoring and opinions. However, PO3 also brings substantial new administrative</w:t>
      </w:r>
      <w:r>
        <w:t xml:space="preserve"> </w:t>
      </w:r>
      <w:r>
        <w:t xml:space="preserve">implications in terms of setting up new entities or expanding existing ones, and need for related</w:t>
      </w:r>
      <w:r>
        <w:t xml:space="preserve"> </w:t>
      </w:r>
      <w:r>
        <w:t xml:space="preserve">coordination, which may not fully align with the simplification agenda. All policy options are</w:t>
      </w:r>
      <w:r>
        <w:t xml:space="preserve"> </w:t>
      </w:r>
      <w:r>
        <w:t xml:space="preserve">coherent with the existing EU regulatory framework on critical infrastructure protection and</w:t>
      </w:r>
      <w:r>
        <w:t xml:space="preserve"> </w:t>
      </w:r>
      <w:r>
        <w:t xml:space="preserve">cybersecurity, and Foreign Direct Screening Investments. Building on existing provisions and</w:t>
      </w:r>
      <w:r>
        <w:t xml:space="preserve"> </w:t>
      </w:r>
      <w:r>
        <w:t xml:space="preserve">ensuring consistency between regulatory frameworks, they are expected to accelerate</w:t>
      </w:r>
      <w:r>
        <w:t xml:space="preserve"> </w:t>
      </w:r>
      <w:r>
        <w:t xml:space="preserve">implementation of the EU horizontal framework for EU cross-border energy infrastructure.</w:t>
      </w:r>
    </w:p>
    <w:p>
      <w:pPr>
        <w:pStyle w:val="BodyText"/>
      </w:pPr>
      <w:r>
        <w:t xml:space="preserve">157 Around 8% or 15 project promoters based on the first PCI/PMI list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7.4.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All options fulfil the principle of subsidiarity, as they contribute to market integration through</w:t>
      </w:r>
      <w:r>
        <w:t xml:space="preserve"> </w:t>
      </w:r>
      <w:r>
        <w:t xml:space="preserve">better cross-border energy infrastructure and integration of renewable energy sources. This could</w:t>
      </w:r>
      <w:r>
        <w:t xml:space="preserve"> </w:t>
      </w:r>
      <w:r>
        <w:t xml:space="preserve">not be achieved to the same extent with national measures, especially in cases with cross-border</w:t>
      </w:r>
      <w:r>
        <w:t xml:space="preserve"> </w:t>
      </w:r>
      <w:r>
        <w:t xml:space="preserve">dimension. All options preserve the prerogative of Member States to choose their energy mix,</w:t>
      </w:r>
      <w:r>
        <w:t xml:space="preserve"> </w:t>
      </w:r>
      <w:r>
        <w:t xml:space="preserve">level of competence and cross-border energy infrastructure projects. PO1 provides for the lowest</w:t>
      </w:r>
      <w:r>
        <w:t xml:space="preserve"> </w:t>
      </w:r>
      <w:r>
        <w:t xml:space="preserve">level of intervention but is not sufficiently effective in meeting the initiative’s objectives. PO2</w:t>
      </w:r>
      <w:r>
        <w:t xml:space="preserve"> </w:t>
      </w:r>
      <w:r>
        <w:t xml:space="preserve">entails a more top-down approach with new responsibilities at EU level while maintaining and</w:t>
      </w:r>
      <w:r>
        <w:t xml:space="preserve"> </w:t>
      </w:r>
      <w:r>
        <w:t xml:space="preserve">strengthening competences at national level and is therefore considered following the subsidiarity</w:t>
      </w:r>
      <w:r>
        <w:t xml:space="preserve"> </w:t>
      </w:r>
      <w:r>
        <w:t xml:space="preserve">principle. PO3 entails the most intensive intervention through an EU level entity for cross-border</w:t>
      </w:r>
      <w:r>
        <w:t xml:space="preserve"> </w:t>
      </w:r>
      <w:r>
        <w:t xml:space="preserve">infrastructure planning, prescribing regional planning and cost-sharing, and introducing a 28th</w:t>
      </w:r>
      <w:r>
        <w:t xml:space="preserve"> </w:t>
      </w:r>
      <w:r>
        <w:t xml:space="preserve">regime for permitting of cross-border infrastructure projects based on a permanent European</w:t>
      </w:r>
      <w:r>
        <w:t xml:space="preserve"> </w:t>
      </w:r>
      <w:r>
        <w:t xml:space="preserve">permitting coordination authority. This option may therefore be seen by Member States and</w:t>
      </w:r>
      <w:r>
        <w:t xml:space="preserve"> </w:t>
      </w:r>
      <w:r>
        <w:t xml:space="preserve">stakeholders as interfering too much with national processes. A more top-down infrastructure</w:t>
      </w:r>
      <w:r>
        <w:t xml:space="preserve"> </w:t>
      </w:r>
      <w:r>
        <w:t xml:space="preserve">planning approach at EU-level could improve alignment between national and EU-level</w:t>
      </w:r>
      <w:r>
        <w:t xml:space="preserve"> </w:t>
      </w:r>
      <w:r>
        <w:t xml:space="preserve">objectives. However, as described in Section 5.2, approval by Member States is still required in</w:t>
      </w:r>
      <w:r>
        <w:t xml:space="preserve"> </w:t>
      </w:r>
      <w:r>
        <w:t xml:space="preserve">line with the subsidiarity principle enshrined in the TFEU making the close involvement of the</w:t>
      </w:r>
      <w:r>
        <w:t xml:space="preserve"> </w:t>
      </w:r>
      <w:r>
        <w:t xml:space="preserve">relevant national actors, which in any case have the best information regarding national grid</w:t>
      </w:r>
      <w:r>
        <w:t xml:space="preserve"> </w:t>
      </w:r>
      <w:r>
        <w:t xml:space="preserve">characteristics, inevitable. Similarly, as regards a centralised permitting regime coordinated at</w:t>
      </w:r>
      <w:r>
        <w:t xml:space="preserve"> </w:t>
      </w:r>
      <w:r>
        <w:t xml:space="preserve">the European level and implemented by an EU. entity, the EU regime would come on top of</w:t>
      </w:r>
      <w:r>
        <w:t xml:space="preserve"> </w:t>
      </w:r>
      <w:r>
        <w:t xml:space="preserve">national frameworks, requiring the permanent EU Authority to liaise with national and local</w:t>
      </w:r>
      <w:r>
        <w:t xml:space="preserve"> </w:t>
      </w:r>
      <w:r>
        <w:t xml:space="preserve">authorities to verify that the necessary approvals are granted on time, without having direct</w:t>
      </w:r>
      <w:r>
        <w:t xml:space="preserve"> </w:t>
      </w:r>
      <w:r>
        <w:t xml:space="preserve">impact on the national procedures.</w:t>
      </w:r>
      <w:r>
        <w:br/>
      </w:r>
      <w:r>
        <w:t xml:space="preserve">As for proportionality, PO1 and to a significantly larger extent PO2 contribute to improving</w:t>
      </w:r>
      <w:r>
        <w:t xml:space="preserve"> </w:t>
      </w:r>
      <w:r>
        <w:t xml:space="preserve">the more rapid and targeted development of cross-border energy infrastructure, renewable</w:t>
      </w:r>
      <w:r>
        <w:t xml:space="preserve"> </w:t>
      </w:r>
      <w:r>
        <w:t xml:space="preserve">energy, storage and recharging stations effectively, without imposing significant costs for</w:t>
      </w:r>
      <w:r>
        <w:t xml:space="preserve"> </w:t>
      </w:r>
      <w:r>
        <w:t xml:space="preserve">TSOs/project promoters and Member States, NRAs and ACER. PO3 may raise concerns of</w:t>
      </w:r>
      <w:r>
        <w:t xml:space="preserve"> </w:t>
      </w:r>
      <w:r>
        <w:t xml:space="preserve">disproportionality, due to the involvement of new EU-level entities as regards infrastructure</w:t>
      </w:r>
      <w:r>
        <w:t xml:space="preserve"> </w:t>
      </w:r>
      <w:r>
        <w:t xml:space="preserve">planning and permitting with significant implications both in terms of the costs needed to set-up</w:t>
      </w:r>
      <w:r>
        <w:t xml:space="preserve"> </w:t>
      </w:r>
      <w:r>
        <w:t xml:space="preserve">and operate the new entities as well as the greater top-down EU-level involvement in the network</w:t>
      </w:r>
      <w:r>
        <w:t xml:space="preserve"> </w:t>
      </w:r>
      <w:r>
        <w:t xml:space="preserve">planning and permitting processes.. Creating a new entity or using an existing entity for the</w:t>
      </w:r>
      <w:r>
        <w:t xml:space="preserve"> </w:t>
      </w:r>
      <w:r>
        <w:t xml:space="preserve">purpose of cross-border infrastructure planning may be considered disproportionate in</w:t>
      </w:r>
      <w:r>
        <w:t xml:space="preserve"> </w:t>
      </w:r>
      <w:r>
        <w:t xml:space="preserve">comparison to the expected effectiveness and costs-efficiency of the measure (Sections 7.1 &amp;</w:t>
      </w:r>
      <w:r>
        <w:t xml:space="preserve"> </w:t>
      </w:r>
      <w:r>
        <w:t xml:space="preserve">7,2)., and considering energy system planning aspects would remain at Member State level due</w:t>
      </w:r>
      <w:r>
        <w:t xml:space="preserve"> </w:t>
      </w:r>
      <w:r>
        <w:t xml:space="preserve">to their responsibility for infrastructure planning and their right of approval as guaranteed under</w:t>
      </w:r>
      <w:r>
        <w:t xml:space="preserve"> </w:t>
      </w:r>
      <w:r>
        <w:t xml:space="preserve">Article 172 TFEU. Mandatory regional planning and CBCAs within EU’s sea-basins is</w:t>
      </w:r>
      <w:r>
        <w:t xml:space="preserve"> </w:t>
      </w:r>
      <w:r>
        <w:t xml:space="preserve">considered disproportionate as imposing such binding processes at this stage, possibly</w:t>
      </w:r>
      <w:r>
        <w:t xml:space="preserve"> </w:t>
      </w:r>
      <w:r>
        <w:t xml:space="preserve">undermining trust and overall willingness to engage in such processes. Similarly, the 28th regime</w:t>
      </w:r>
      <w:r>
        <w:t xml:space="preserve"> </w:t>
      </w:r>
      <w:r>
        <w:t xml:space="preserve">for permitting would have considerable limitations in effectiveness as well as cost implications</w:t>
      </w:r>
      <w:r>
        <w:t xml:space="preserve"> </w:t>
      </w:r>
      <w:r>
        <w:t xml:space="preserve">(Sections 7.1 &amp; 7.2), raising concerns over the proportionality of this option. PO2 would appear</w:t>
      </w:r>
      <w:r>
        <w:t xml:space="preserve"> </w:t>
      </w:r>
      <w:r>
        <w:t xml:space="preserve">more proportional to the nature of the problem by focussing on streamlining the current processes</w:t>
      </w:r>
      <w:r>
        <w:t xml:space="preserve"> </w:t>
      </w:r>
      <w:r>
        <w:t xml:space="preserve">and offering new substantive tools that are considered effective to meet the objectives of this</w:t>
      </w:r>
      <w:r>
        <w:t xml:space="preserve"> </w:t>
      </w:r>
      <w:r>
        <w:t xml:space="preserve">initiative without imposing significant additional costs.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7.5.</w:t>
      </w:r>
      <w:r>
        <w:t xml:space="preserve"> </w:t>
      </w:r>
      <w:r>
        <w:t xml:space="preserve">Summary</w:t>
      </w:r>
      <w:r>
        <w:t xml:space="preserve"> </w:t>
      </w:r>
      <w:r>
        <w:t xml:space="preserve">Table 6 provides a summary of the comparison of the options against the baseline scenario in</w:t>
      </w:r>
      <w:r>
        <w:t xml:space="preserve"> </w:t>
      </w:r>
      <w:r>
        <w:t xml:space="preserve">terms of effectiveness, efficiency, coherence, subsidiarity and proportionality. The following</w:t>
      </w:r>
      <w:r>
        <w:t xml:space="preserve"> </w:t>
      </w:r>
      <w:r>
        <w:t xml:space="preserve">ranking symbols have been used: from</w:t>
      </w:r>
      <w:r>
        <w:t xml:space="preserve"> </w:t>
      </w:r>
      <w:r>
        <w:t xml:space="preserve">‘+’</w:t>
      </w:r>
      <w:r>
        <w:t xml:space="preserve"> </w:t>
      </w:r>
      <w:r>
        <w:t xml:space="preserve">(more effective/efficient/coherent/ proportionate than</w:t>
      </w:r>
      <w:r>
        <w:t xml:space="preserve"> </w:t>
      </w:r>
      <w:r>
        <w:t xml:space="preserve">the baseline) to</w:t>
      </w:r>
      <w:r>
        <w:t xml:space="preserve"> </w:t>
      </w:r>
      <w:r>
        <w:t xml:space="preserve">‘+++’</w:t>
      </w:r>
      <w:r>
        <w:t xml:space="preserve"> </w:t>
      </w:r>
      <w:r>
        <w:t xml:space="preserve">(much more effective/efficient/coherent/ proportionate than the baseline);</w:t>
      </w:r>
      <w:r>
        <w:t xml:space="preserve"> </w:t>
      </w:r>
      <w:r>
        <w:t xml:space="preserve">from</w:t>
      </w:r>
      <w:r>
        <w:t xml:space="preserve"> </w:t>
      </w:r>
      <w:r>
        <w:t xml:space="preserve">‘-’</w:t>
      </w:r>
      <w:r>
        <w:t xml:space="preserve"> </w:t>
      </w:r>
      <w:r>
        <w:t xml:space="preserve">(less effective/efficient/ coherent/proportionate than the baseline) to</w:t>
      </w:r>
      <w:r>
        <w:t xml:space="preserve"> </w:t>
      </w:r>
      <w:r>
        <w:t xml:space="preserve">‘—’</w:t>
      </w:r>
      <w:r>
        <w:t xml:space="preserve"> </w:t>
      </w:r>
      <w:r>
        <w:t xml:space="preserve">(much less</w:t>
      </w:r>
      <w:r>
        <w:t xml:space="preserve"> </w:t>
      </w:r>
      <w:r>
        <w:t xml:space="preserve">effective/efficient/coherent/proportionate than the baseline). See Annex 11 for a detailed</w:t>
      </w:r>
      <w:r>
        <w:t xml:space="preserve"> </w:t>
      </w:r>
      <w:r>
        <w:t xml:space="preserve">comparison. The policy measures under each option do not all carry the same weight in the</w:t>
      </w:r>
      <w:r>
        <w:t xml:space="preserve"> </w:t>
      </w:r>
      <w:r>
        <w:t xml:space="preserve">comparison of each option, as certain measures are expected to have a more significant impact</w:t>
      </w:r>
      <w:r>
        <w:t xml:space="preserve"> </w:t>
      </w:r>
      <w:r>
        <w:t xml:space="preserve">than others on achieving the objectives of the initiative.</w:t>
      </w:r>
      <w:r>
        <w:t xml:space="preserve"> </w:t>
      </w:r>
      <w:r>
        <w:t xml:space="preserve">Table 6: Comparison of the policy options</w:t>
      </w:r>
      <w:r>
        <w:br/>
      </w:r>
      <w:r>
        <w:t xml:space="preserve">Impacts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t xml:space="preserve"> </w:t>
      </w:r>
      <w:r>
        <w:t xml:space="preserve">+</w:t>
      </w:r>
      <w:r>
        <w:t xml:space="preserve"> </w:t>
      </w:r>
      <w:r>
        <w:t xml:space="preserve">++/+++</w:t>
      </w:r>
      <w:r>
        <w:t xml:space="preserve"> </w:t>
      </w:r>
      <w:r>
        <w:t xml:space="preserve">+/++</w:t>
      </w:r>
      <w:r>
        <w:br/>
      </w:r>
      <w:r>
        <w:t xml:space="preserve">Coherence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++</w:t>
      </w:r>
      <w:r>
        <w:t xml:space="preserve"> </w:t>
      </w:r>
      <w:r>
        <w:t xml:space="preserve">+/++</w:t>
      </w:r>
      <w:r>
        <w:t xml:space="preserve"> </w:t>
      </w:r>
      <w:r>
        <w:t xml:space="preserve">-</w:t>
      </w:r>
      <w:r>
        <w:t xml:space="preserve"> </w:t>
      </w:r>
      <w:r>
        <w:t xml:space="preserve">Summary comparison of options (contribution to general objective)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Compact"/>
        <w:numPr>
          <w:ilvl w:val="0"/>
          <w:numId w:val="1006"/>
        </w:numPr>
      </w:pP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preferred policy option</w:t>
      </w:r>
      <w:r>
        <w:t xml:space="preserve"> </w:t>
      </w:r>
      <w:r>
        <w:t xml:space="preserve">All policy options address the identified problems and their drivers and contribute to achieving</w:t>
      </w:r>
      <w:r>
        <w:t xml:space="preserve"> </w:t>
      </w:r>
      <w:r>
        <w:t xml:space="preserve">the specific and general objectives, although with a different level of effectiveness and efficiency.</w:t>
      </w:r>
      <w:r>
        <w:t xml:space="preserve"> </w:t>
      </w:r>
      <w:r>
        <w:t xml:space="preserve">From the comparison of the policy options in section 7, PO2 and PO3 are significantly more</w:t>
      </w:r>
      <w:r>
        <w:t xml:space="preserve"> </w:t>
      </w:r>
      <w:r>
        <w:t xml:space="preserve">effective, more efficient and more coherent with the overall EU policy framework than PO1. PO1</w:t>
      </w:r>
      <w:r>
        <w:t xml:space="preserve"> </w:t>
      </w:r>
      <w:r>
        <w:t xml:space="preserve">only performs slightly better in terms of subsidiarity and proportionality compared to PO2 and</w:t>
      </w:r>
      <w:r>
        <w:t xml:space="preserve"> </w:t>
      </w:r>
      <w:r>
        <w:t xml:space="preserve">PO3. Therefore, PO1 is not considered as possible preferred policy option.</w:t>
      </w:r>
      <w:r>
        <w:t xml:space="preserve"> </w:t>
      </w:r>
      <w:r>
        <w:t xml:space="preserve">While PO2 and PO3 both perform better than PO1 as concerning their effectiveness in meeting</w:t>
      </w:r>
      <w:r>
        <w:t xml:space="preserve"> </w:t>
      </w:r>
      <w:r>
        <w:t xml:space="preserve">the specific objectives, PO2 seems overall more effective at this stage. when it comes to ensuring</w:t>
      </w:r>
      <w:r>
        <w:t xml:space="preserve"> </w:t>
      </w:r>
      <w:r>
        <w:t xml:space="preserve">that projects included in network plans and selected as PCI/PMIs address appropriately identified</w:t>
      </w:r>
      <w:r>
        <w:t xml:space="preserve"> </w:t>
      </w:r>
      <w:r>
        <w:t xml:space="preserve">infrastructure needs as well as to shorten and simplify permitting procedures. As regards the</w:t>
      </w:r>
      <w:r>
        <w:t xml:space="preserve"> </w:t>
      </w:r>
      <w:r>
        <w:t xml:space="preserve">efficiency of PO2 and PO3, PO3 on balance is considered less efficient due to the additional</w:t>
      </w:r>
      <w:r>
        <w:t xml:space="preserve"> </w:t>
      </w:r>
      <w:r>
        <w:t xml:space="preserve">resources needed and high-up front costs coupled with potentially lengthy implementation times</w:t>
      </w:r>
      <w:r>
        <w:t xml:space="preserve"> </w:t>
      </w:r>
      <w:r>
        <w:t xml:space="preserve">to set up two new entities at EU level (or reinforce existing ones) responsible for infrastructure</w:t>
      </w:r>
      <w:r>
        <w:t xml:space="preserve"> </w:t>
      </w:r>
      <w:r>
        <w:t xml:space="preserve">planning and coordinated permitting procedures. In terms of subsidiarity and proportionality,</w:t>
      </w:r>
      <w:r>
        <w:t xml:space="preserve"> </w:t>
      </w:r>
      <w:r>
        <w:t xml:space="preserve">measures proposed in PO3 (EU entities responsible for infrastructure planning and permitting as</w:t>
      </w:r>
      <w:r>
        <w:t xml:space="preserve"> </w:t>
      </w:r>
      <w:r>
        <w:t xml:space="preserve">well as mandatory offshore grid planning) with a high degree of EU level intervention appear</w:t>
      </w:r>
      <w:r>
        <w:t xml:space="preserve"> </w:t>
      </w:r>
      <w:r>
        <w:t xml:space="preserve">disproportionate at this stage considering they do not result in a higher level of effectiveness and</w:t>
      </w:r>
      <w:r>
        <w:t xml:space="preserve"> </w:t>
      </w:r>
      <w:r>
        <w:t xml:space="preserve">are expected to entail substantially higher additional costs.</w:t>
      </w:r>
      <w:r>
        <w:t xml:space="preserve"> </w:t>
      </w:r>
      <w:r>
        <w:t xml:space="preserve">Without prejudice to political considerations and the final Commission legislative proposal for</w:t>
      </w:r>
      <w:r>
        <w:t xml:space="preserve"> </w:t>
      </w:r>
      <w:r>
        <w:t xml:space="preserve">the European Grids Package, based on the technical assessment presented in this document, PO2</w:t>
      </w:r>
      <w:r>
        <w:t xml:space="preserve"> </w:t>
      </w:r>
      <w:r>
        <w:t xml:space="preserve">appears as the preferred option. It is expected to enable achievement of the specific objectives to</w:t>
      </w:r>
    </w:p>
    <w:p>
      <w:pPr>
        <w:pStyle w:val="FirstParagraph"/>
      </w:pPr>
      <w:r>
        <w:t xml:space="preserve">56</w:t>
      </w:r>
    </w:p>
    <w:p>
      <w:pPr>
        <w:pStyle w:val="BodyText"/>
      </w:pPr>
      <w:r>
        <w:t xml:space="preserve">ensure projects included in the network development plans and selected as PCIs/PMIs effectively</w:t>
      </w:r>
      <w:r>
        <w:t xml:space="preserve"> </w:t>
      </w:r>
      <w:r>
        <w:t xml:space="preserve">address identified infrastructure needs in line with the optimal grid scenario, to ensure an</w:t>
      </w:r>
      <w:r>
        <w:t xml:space="preserve"> </w:t>
      </w:r>
      <w:r>
        <w:t xml:space="preserve">increased use of cost-sharing tools and reduced project deployment time for cross-border</w:t>
      </w:r>
      <w:r>
        <w:t xml:space="preserve"> </w:t>
      </w:r>
      <w:r>
        <w:t xml:space="preserve">projects, to ensure a shorten the necessary times to obtain permits and to enhance physical and</w:t>
      </w:r>
      <w:r>
        <w:t xml:space="preserve"> </w:t>
      </w:r>
      <w:r>
        <w:t xml:space="preserve">cyber security resilience of cross-border infrastructure.</w:t>
      </w:r>
      <w:r>
        <w:t xml:space="preserve"> </w:t>
      </w:r>
      <w:r>
        <w:t xml:space="preserve">The preferred policy option is largely in line with the views expressed by stakeholders in the</w:t>
      </w:r>
      <w:r>
        <w:t xml:space="preserve"> </w:t>
      </w:r>
      <w:r>
        <w:t xml:space="preserve">public consultation (see Section 5.2.2 and Annex 2) including by strengthening tools to address</w:t>
      </w:r>
      <w:r>
        <w:t xml:space="preserve"> </w:t>
      </w:r>
      <w:r>
        <w:t xml:space="preserve">infrastructure gaps, better reflecting internal reinforcements and non-wire solutions in</w:t>
      </w:r>
      <w:r>
        <w:t xml:space="preserve"> </w:t>
      </w:r>
      <w:r>
        <w:t xml:space="preserve">infrastructure needs identification, streamlining PCI/PMI application procedure for mature</w:t>
      </w:r>
      <w:r>
        <w:t xml:space="preserve"> </w:t>
      </w:r>
      <w:r>
        <w:t xml:space="preserve">projects. It strikes a balance between a full top-down approach and a bottom-up approach, thus</w:t>
      </w:r>
      <w:r>
        <w:t xml:space="preserve"> </w:t>
      </w:r>
      <w:r>
        <w:t xml:space="preserve">also taking under consideration the mixed views of stakeholders in this respect. In addition, it</w:t>
      </w:r>
      <w:r>
        <w:t xml:space="preserve"> </w:t>
      </w:r>
      <w:r>
        <w:t xml:space="preserve">addresses shortcomings of the CBCA framework indicated by stakeholders and promotes</w:t>
      </w:r>
      <w:r>
        <w:t xml:space="preserve"> </w:t>
      </w:r>
      <w:r>
        <w:t xml:space="preserve">bundling of projects. The preferred option addresses delays to permitting procedures which was</w:t>
      </w:r>
      <w:r>
        <w:t xml:space="preserve"> </w:t>
      </w:r>
      <w:r>
        <w:t xml:space="preserve">highlighted as a key barrier by stakeholders, through measures such as digitalisation and</w:t>
      </w:r>
      <w:r>
        <w:t xml:space="preserve"> </w:t>
      </w:r>
      <w:r>
        <w:t xml:space="preserve">shortening/setting of deadlines, which received broad support in the consultation. Finally, it</w:t>
      </w:r>
      <w:r>
        <w:t xml:space="preserve"> </w:t>
      </w:r>
      <w:r>
        <w:t xml:space="preserve">includes measures to strengthen the energy-security dimension of the EU’s infrastructure</w:t>
      </w:r>
      <w:r>
        <w:t xml:space="preserve"> </w:t>
      </w:r>
      <w:r>
        <w:t xml:space="preserve">framework in line which was highlighted by stakeholders as being insufficient.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preferred policy option (PO2) brings positive impacts in terms of simplification and</w:t>
      </w:r>
      <w:r>
        <w:t xml:space="preserve"> </w:t>
      </w:r>
      <w:r>
        <w:t xml:space="preserve">improved efficiency. The following measures would reduce compliance and regulatory costs:</w:t>
      </w:r>
      <w:r>
        <w:t xml:space="preserve"> </w:t>
      </w:r>
      <w:r>
        <w:t xml:space="preserve">• Removal of opinions by ACER and the Commission on draft scenarios and draft</w:t>
      </w:r>
      <w:r>
        <w:t xml:space="preserve"> </w:t>
      </w:r>
      <w:r>
        <w:t xml:space="preserve">infrastructure gaps identification reports as these take in total 6 months and their impact</w:t>
      </w:r>
      <w:r>
        <w:t xml:space="preserve"> </w:t>
      </w:r>
      <w:r>
        <w:t xml:space="preserve">on final deliverable is limited due to late delivery in the process. These ‘ex post’ measures</w:t>
      </w:r>
      <w:r>
        <w:t xml:space="preserve"> </w:t>
      </w:r>
      <w:r>
        <w:t xml:space="preserve">would be replaced by ‘ex ante’ measures.</w:t>
      </w:r>
      <w:r>
        <w:br/>
      </w:r>
      <w:r>
        <w:t xml:space="preserve">• Removal of ACER opinion on draft PCI/PMI list in particular on the consistent</w:t>
      </w:r>
      <w:r>
        <w:t xml:space="preserve"> </w:t>
      </w:r>
      <w:r>
        <w:t xml:space="preserve">application of the criteria and the cost-benefit analysis across regions. The opinion comes</w:t>
      </w:r>
      <w:r>
        <w:t xml:space="preserve"> </w:t>
      </w:r>
      <w:r>
        <w:t xml:space="preserve">late in the process – after the validation of the draft lists by the technical decision-making</w:t>
      </w:r>
      <w:r>
        <w:t xml:space="preserve"> </w:t>
      </w:r>
      <w:r>
        <w:t xml:space="preserve">body of the regional groups – and hence has very limited impact on the final outcome.</w:t>
      </w:r>
      <w:r>
        <w:t xml:space="preserve"> </w:t>
      </w:r>
      <w:r>
        <w:t xml:space="preserve">Instead, the use of the existing ACER PCI/PMI monitoring and NRA assessment would</w:t>
      </w:r>
      <w:r>
        <w:t xml:space="preserve"> </w:t>
      </w:r>
      <w:r>
        <w:t xml:space="preserve">be strengthened in the PCI/PMI selection process so that these results could be more</w:t>
      </w:r>
      <w:r>
        <w:t xml:space="preserve"> </w:t>
      </w:r>
      <w:r>
        <w:t xml:space="preserve">visible and taken into account in the assessment of candidate projects.</w:t>
      </w:r>
      <w:r>
        <w:t xml:space="preserve"> </w:t>
      </w:r>
      <w:r>
        <w:t xml:space="preserve">• Simplified application/evaluation process for mature PCIs and PMIs. PCIs and PMIs</w:t>
      </w:r>
      <w:r>
        <w:t xml:space="preserve"> </w:t>
      </w:r>
      <w:r>
        <w:t xml:space="preserve">which have already reached final investment decision or regulatory approval in such a</w:t>
      </w:r>
      <w:r>
        <w:t xml:space="preserve"> </w:t>
      </w:r>
      <w:r>
        <w:t xml:space="preserve">way that the progress of the project is irreversible, or have received a CEF grant for works</w:t>
      </w:r>
      <w:r>
        <w:t xml:space="preserve"> </w:t>
      </w:r>
      <w:r>
        <w:t xml:space="preserve">and show continued progress in their implementation, should retain their PCI/PMI status</w:t>
      </w:r>
      <w:r>
        <w:t xml:space="preserve"> </w:t>
      </w:r>
      <w:r>
        <w:t xml:space="preserve">without the need for reassessment.</w:t>
      </w:r>
      <w:r>
        <w:t xml:space="preserve"> </w:t>
      </w:r>
      <w:r>
        <w:t xml:space="preserve">• Streamlining the use of priority corridors and Regional Groups to have leaner and more</w:t>
      </w:r>
      <w:r>
        <w:t xml:space="preserve"> </w:t>
      </w:r>
      <w:r>
        <w:t xml:space="preserve">agile approach adapted to changing circumstances.</w:t>
      </w:r>
      <w:r>
        <w:br/>
      </w:r>
      <w:r>
        <w:t xml:space="preserve">• Streamlining the CBCA process through enhanced transparency of project specific</w:t>
      </w:r>
      <w:r>
        <w:t xml:space="preserve"> </w:t>
      </w:r>
      <w:r>
        <w:t xml:space="preserve">benefits early in the infrastructure planning process and an updated CBCA</w:t>
      </w:r>
      <w:r>
        <w:t xml:space="preserve"> </w:t>
      </w:r>
      <w:r>
        <w:t xml:space="preserve">Recommendation from ACER will facilitate processes for TSOs and NRAs.</w:t>
      </w:r>
      <w:r>
        <w:br/>
      </w:r>
      <w:r>
        <w:t xml:space="preserve">• Shortening permitting deadlines simplifies the process and clarifies the existing</w:t>
      </w:r>
      <w:r>
        <w:t xml:space="preserve"> </w:t>
      </w:r>
      <w:r>
        <w:t xml:space="preserve">framework, reduces the administrative burden on promoters.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8.3.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The preferred policy option (PO2) imposes limited additional administrative and adjustment costs</w:t>
      </w:r>
      <w:r>
        <w:t xml:space="preserve"> </w:t>
      </w:r>
      <w:r>
        <w:t xml:space="preserve">on businesses, which would mainly affect TSOs (see Annex 3 and Section 6.1.4). The costs created</w:t>
      </w:r>
      <w:r>
        <w:t xml:space="preserve"> </w:t>
      </w:r>
      <w:r>
        <w:t xml:space="preserve">by the measures under the preferred option (PO2) relate to new security reporting requirements</w:t>
      </w:r>
      <w:r>
        <w:t xml:space="preserve"> </w:t>
      </w:r>
      <w:r>
        <w:t xml:space="preserve">for TSO and project promoters, and a requirement for TSOs to engage in the gap filling</w:t>
      </w:r>
      <w:r>
        <w:t xml:space="preserve"> </w:t>
      </w:r>
      <w:r>
        <w:t xml:space="preserve">mechanism. These costs would either be limited to a small share of TSOs/project promoters or be</w:t>
      </w:r>
      <w:r>
        <w:t xml:space="preserve"> </w:t>
      </w:r>
      <w:r>
        <w:t xml:space="preserve">offset by other measures. Notably, as regards infrastructure planning, the administrative burden</w:t>
      </w:r>
      <w:r>
        <w:t xml:space="preserve"> </w:t>
      </w:r>
      <w:r>
        <w:t xml:space="preserve">on ENTSOs, TSOs and project promoters is expected to be reduced as a result of the Commission</w:t>
      </w:r>
      <w:r>
        <w:t xml:space="preserve"> </w:t>
      </w:r>
      <w:r>
        <w:t xml:space="preserve">taking over central scenario development and simplifications such as the reduced frequency of the</w:t>
      </w:r>
      <w:r>
        <w:t xml:space="preserve"> </w:t>
      </w:r>
      <w:r>
        <w:t xml:space="preserve">TYNDP processes and the simplified application and evaluation process for mature PCIs. The</w:t>
      </w:r>
      <w:r>
        <w:t xml:space="preserve"> </w:t>
      </w:r>
      <w:r>
        <w:t xml:space="preserve">streamlined, simplified and digitalised permitting procedures would also reduce the administrative</w:t>
      </w:r>
      <w:r>
        <w:t xml:space="preserve"> </w:t>
      </w:r>
      <w:r>
        <w:t xml:space="preserve">burden for businesses. The annual costs savings for businesses cannot be fully estimated as</w:t>
      </w:r>
      <w:r>
        <w:t xml:space="preserve"> </w:t>
      </w:r>
      <w:r>
        <w:t xml:space="preserve">relevant data were not available, but it can be concluded that the preferred policy option would</w:t>
      </w:r>
      <w:r>
        <w:t xml:space="preserve"> </w:t>
      </w:r>
      <w:r>
        <w:t xml:space="preserve">lead to recurrent cost saving. In terms of adjustment costs and administrative costs for citizens,</w:t>
      </w:r>
      <w:r>
        <w:t xml:space="preserve"> </w:t>
      </w:r>
      <w:r>
        <w:t xml:space="preserve">the preferred option is not expected to entail any costs. While the costs are limited or non-existent</w:t>
      </w:r>
      <w:r>
        <w:t xml:space="preserve"> </w:t>
      </w:r>
      <w:r>
        <w:t xml:space="preserve">for businesses and citizens, the preferred option would create additional adjustment and</w:t>
      </w:r>
      <w:r>
        <w:t xml:space="preserve"> </w:t>
      </w:r>
      <w:r>
        <w:t xml:space="preserve">administrative costs for the European Commission and ACER, which would take on a greater role</w:t>
      </w:r>
      <w:r>
        <w:t xml:space="preserve"> </w:t>
      </w:r>
      <w:r>
        <w:t xml:space="preserve">in infrastructure planning, and national as well as local authorities for permitting procedures.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Commission will monitor and evaluate the impacts of the legislation against a set of</w:t>
      </w:r>
      <w:r>
        <w:t xml:space="preserve"> </w:t>
      </w:r>
      <w:r>
        <w:t xml:space="preserve">indicators allowing to measure progress in achieving the specific. The monitoring builds on a</w:t>
      </w:r>
      <w:r>
        <w:t xml:space="preserve"> </w:t>
      </w:r>
      <w:r>
        <w:t xml:space="preserve">well-established monitoring system under the existing TEN-E framework where ACER and the</w:t>
      </w:r>
      <w:r>
        <w:t xml:space="preserve"> </w:t>
      </w:r>
      <w:r>
        <w:t xml:space="preserve">Regional Groups monitor the progress of projects implementation. Project promoters will</w:t>
      </w:r>
      <w:r>
        <w:t xml:space="preserve"> </w:t>
      </w:r>
      <w:r>
        <w:t xml:space="preserve">continue to submit annual reports to the national competent authorities, which are then</w:t>
      </w:r>
      <w:r>
        <w:t xml:space="preserve"> </w:t>
      </w:r>
      <w:r>
        <w:t xml:space="preserve">subsequently sent to ACER, which consolidates the reports and submits updates to the Regional</w:t>
      </w:r>
      <w:r>
        <w:t xml:space="preserve"> </w:t>
      </w:r>
      <w:r>
        <w:t xml:space="preserve">Groups. This regular reporting provides information on the progress achieved, possible delays</w:t>
      </w:r>
      <w:r>
        <w:t xml:space="preserve"> </w:t>
      </w:r>
      <w:r>
        <w:t xml:space="preserve">and plans to overcome them. These monitoring arrangements are complemented by detailed</w:t>
      </w:r>
      <w:r>
        <w:t xml:space="preserve"> </w:t>
      </w:r>
      <w:r>
        <w:t xml:space="preserve">monitoring by CINEA for PCIs and PMIs that receive grants under CEF.</w:t>
      </w:r>
      <w:r>
        <w:br/>
      </w:r>
      <w:r>
        <w:t xml:space="preserve">With regards to permitting measures, the Commission will also rely on the existing channels of</w:t>
      </w:r>
      <w:r>
        <w:t xml:space="preserve"> </w:t>
      </w:r>
      <w:r>
        <w:t xml:space="preserve">interaction with Member States’ authorities and relevant stakeholders158 to monitor</w:t>
      </w:r>
      <w:r>
        <w:t xml:space="preserve"> </w:t>
      </w:r>
      <w:r>
        <w:t xml:space="preserve">implementation of the new measures and potential issues. The effects on renewables generation</w:t>
      </w:r>
      <w:r>
        <w:t xml:space="preserve"> </w:t>
      </w:r>
      <w:r>
        <w:t xml:space="preserve">and integration are also covered by the annual reporting done by Member States. Further, new</w:t>
      </w:r>
      <w:r>
        <w:t xml:space="preserve"> </w:t>
      </w:r>
      <w:r>
        <w:t xml:space="preserve">measures on digitalisation and centralisation of information on permitting procedures will enable</w:t>
      </w:r>
      <w:r>
        <w:t xml:space="preserve"> </w:t>
      </w:r>
      <w:r>
        <w:t xml:space="preserve">an improved management of permit applications by national authorities.</w:t>
      </w:r>
      <w:r>
        <w:br/>
      </w:r>
      <w:r>
        <w:t xml:space="preserve">A review of the effectiveness of the new legislation could take place by the end of 2032, when 2</w:t>
      </w:r>
      <w:r>
        <w:t xml:space="preserve"> </w:t>
      </w:r>
      <w:r>
        <w:t xml:space="preserve">new PCI and PMI selection procedures will have been completed and providing sufficient time</w:t>
      </w:r>
      <w:r>
        <w:t xml:space="preserve"> </w:t>
      </w:r>
      <w:r>
        <w:t xml:space="preserve">for the transposition and implementation of amendments to other legislations in relation to</w:t>
      </w:r>
      <w:r>
        <w:t xml:space="preserve"> </w:t>
      </w:r>
      <w:r>
        <w:t xml:space="preserve">permitting.</w:t>
      </w:r>
    </w:p>
    <w:p>
      <w:pPr>
        <w:pStyle w:val="BodyText"/>
      </w:pPr>
      <w:r>
        <w:t xml:space="preserve">158 Platform of National Competent Authorities in charge of the permitting of PCIs and PMIs, permitting expert group,</w:t>
      </w:r>
      <w:r>
        <w:t xml:space="preserve"> </w:t>
      </w:r>
      <w:r>
        <w:t xml:space="preserve">CA-RES, bilateral meetings.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The success of the preferred policy option can be measured against operational objectives based</w:t>
      </w:r>
      <w:r>
        <w:t xml:space="preserve"> </w:t>
      </w:r>
      <w:r>
        <w:t xml:space="preserve">on a set of indicators as listed in Annex 8 in particular addressing:</w:t>
      </w:r>
      <w:r>
        <w:t xml:space="preserve"> </w:t>
      </w:r>
      <w:r>
        <w:t xml:space="preserve">• the extent to which projects included in network developments and selected as PCIs/PMIs</w:t>
      </w:r>
      <w:r>
        <w:t xml:space="preserve"> </w:t>
      </w:r>
      <w:r>
        <w:t xml:space="preserve">address appropriately and effectively identified infrastructure needs;</w:t>
      </w:r>
      <w:r>
        <w:br/>
      </w:r>
      <w:r>
        <w:t xml:space="preserve">• the effective use of cost-sharing tools;</w:t>
      </w:r>
      <w:r>
        <w:br/>
      </w:r>
      <w:r>
        <w:t xml:space="preserve">• the shortening of permitting procedures;</w:t>
      </w:r>
      <w:r>
        <w:t xml:space="preserve"> </w:t>
      </w:r>
      <w:r>
        <w:t xml:space="preserve">• the enhanced physical and cyber security and resilience of energy infrastructure.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Directorate-General (DG) for Energy was leading the preparation of this initiative and the</w:t>
      </w:r>
      <w:r>
        <w:t xml:space="preserve"> </w:t>
      </w:r>
      <w:r>
        <w:t xml:space="preserve">work on the Impact Assessment in the European Commission. The planning entry was approved</w:t>
      </w:r>
      <w:r>
        <w:t xml:space="preserve"> </w:t>
      </w:r>
      <w:r>
        <w:t xml:space="preserve">in Decide Planning under the reference PLAN/2024/2554. It is not included in the Commission</w:t>
      </w:r>
      <w:r>
        <w:t xml:space="preserve"> </w:t>
      </w:r>
      <w:r>
        <w:t xml:space="preserve">Work Programme 2025.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initially planned adoption date (Q1 2026) included in the Clean Industrial Deal and the</w:t>
      </w:r>
      <w:r>
        <w:t xml:space="preserve"> </w:t>
      </w:r>
      <w:r>
        <w:t xml:space="preserve">Affordable Energy Action plan was anticipated to Q4 2025 due to the urgency of the initiative.</w:t>
      </w:r>
      <w:r>
        <w:t xml:space="preserve"> </w:t>
      </w:r>
      <w:r>
        <w:t xml:space="preserve">An inter-service steering group (ISG) was established for preparing this initiative composed of</w:t>
      </w:r>
      <w:r>
        <w:t xml:space="preserve"> </w:t>
      </w:r>
      <w:r>
        <w:t xml:space="preserve">the following Commission services: Secretariat General (SG), CLIMA, GROW, ENEST,</w:t>
      </w:r>
      <w:r>
        <w:t xml:space="preserve"> </w:t>
      </w:r>
      <w:r>
        <w:t xml:space="preserve">REGIO, ENV, JRC, MOVE, HOME, ECFIN, MOVE, TRADE, COMP, SJ. The ISG met 3 times</w:t>
      </w:r>
      <w:r>
        <w:t xml:space="preserve"> </w:t>
      </w:r>
      <w:r>
        <w:t xml:space="preserve">in the period from April until adoption in December 2025.</w:t>
      </w:r>
      <w:r>
        <w:br/>
      </w:r>
      <w:r>
        <w:t xml:space="preserve">Table 7: Timeline</w:t>
      </w:r>
      <w:r>
        <w:br/>
      </w:r>
      <w:r>
        <w:t xml:space="preserve">Milestones</w:t>
      </w:r>
      <w:r>
        <w:br/>
      </w:r>
      <w:r>
        <w:t xml:space="preserve">Dates</w:t>
      </w:r>
      <w:r>
        <w:t xml:space="preserve"> </w:t>
      </w:r>
      <w:r>
        <w:t xml:space="preserve">Publication of the Call for Evidence and Public</w:t>
      </w:r>
      <w:r>
        <w:t xml:space="preserve"> </w:t>
      </w:r>
      <w:r>
        <w:t xml:space="preserve">Consultation</w:t>
      </w:r>
      <w:r>
        <w:br/>
      </w:r>
      <w:r>
        <w:t xml:space="preserve">13 May – 5 August 2025</w:t>
      </w:r>
      <w:r>
        <w:t xml:space="preserve"> </w:t>
      </w:r>
      <w:r>
        <w:t xml:space="preserve">Target stakeholder consultation</w:t>
      </w:r>
      <w:r>
        <w:t xml:space="preserve"> </w:t>
      </w:r>
      <w:r>
        <w:t xml:space="preserve">May - July 2025</w:t>
      </w:r>
      <w:r>
        <w:t xml:space="preserve"> </w:t>
      </w:r>
      <w:r>
        <w:t xml:space="preserve">Upstream meeting with Regulatory Scrutiny Board</w:t>
      </w:r>
      <w:r>
        <w:t xml:space="preserve"> </w:t>
      </w:r>
      <w:r>
        <w:t xml:space="preserve">14 July 2025</w:t>
      </w:r>
      <w:r>
        <w:t xml:space="preserve"> </w:t>
      </w:r>
      <w:r>
        <w:t xml:space="preserve">Submission to Regulatory Scrutiny Board</w:t>
      </w:r>
      <w:r>
        <w:t xml:space="preserve"> </w:t>
      </w:r>
      <w:r>
        <w:t xml:space="preserve">27 August 2025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24 September 2025</w:t>
      </w:r>
      <w:r>
        <w:t xml:space="preserve"> </w:t>
      </w:r>
      <w:r>
        <w:t xml:space="preserve">ISC</w:t>
      </w:r>
      <w:r>
        <w:t xml:space="preserve"> </w:t>
      </w:r>
      <w:r>
        <w:t xml:space="preserve">27</w:t>
      </w:r>
      <w:r>
        <w:t xml:space="preserve"> </w:t>
      </w:r>
      <w:r>
        <w:t xml:space="preserve">November</w:t>
      </w:r>
      <w:r>
        <w:t xml:space="preserve"> </w:t>
      </w:r>
      <w:r>
        <w:t xml:space="preserve">–</w:t>
      </w:r>
      <w:r>
        <w:t xml:space="preserve"> </w:t>
      </w:r>
      <w:r>
        <w:t xml:space="preserve">1</w:t>
      </w:r>
      <w:r>
        <w:t xml:space="preserve"> </w:t>
      </w:r>
      <w:r>
        <w:t xml:space="preserve">December 2025</w:t>
      </w:r>
    </w:p>
    <w:p>
      <w:pPr>
        <w:pStyle w:val="Compact"/>
        <w:numPr>
          <w:ilvl w:val="0"/>
          <w:numId w:val="1007"/>
        </w:numPr>
      </w:pPr>
      <w:r>
        <w:t xml:space="preserve">CONSULTATION OF THE RSB</w:t>
      </w:r>
      <w:r>
        <w:t xml:space="preserve"> </w:t>
      </w:r>
      <w:r>
        <w:t xml:space="preserve">The Impact Assessment report was submitted to the Regulatory Scrutiny Board (RSB) on 27</w:t>
      </w:r>
      <w:r>
        <w:t xml:space="preserve"> </w:t>
      </w:r>
      <w:r>
        <w:t xml:space="preserve">August 2025. It was presented and discussed with the RSB on 24 September 2025. The RSB gave</w:t>
      </w:r>
      <w:r>
        <w:t xml:space="preserve"> </w:t>
      </w:r>
      <w:r>
        <w:t xml:space="preserve">a positive opinion with reservations on 26The below tables summarise how the revised Impact</w:t>
      </w:r>
      <w:r>
        <w:t xml:space="preserve"> </w:t>
      </w:r>
      <w:r>
        <w:t xml:space="preserve">Assessment report addresses the requested improvements.</w:t>
      </w:r>
      <w:r>
        <w:br/>
      </w:r>
      <w:r>
        <w:t xml:space="preserve">RSB requested improvements</w:t>
      </w:r>
      <w:r>
        <w:t xml:space="preserve"> </w:t>
      </w:r>
      <w:r>
        <w:t xml:space="preserve">Changes in the revised report:</w:t>
      </w:r>
    </w:p>
    <w:p>
      <w:pPr>
        <w:pStyle w:val="Compact"/>
        <w:numPr>
          <w:ilvl w:val="0"/>
          <w:numId w:val="1008"/>
        </w:numPr>
      </w:pPr>
      <w:r>
        <w:t xml:space="preserve">The report should clearly present and</w:t>
      </w:r>
      <w:r>
        <w:t xml:space="preserve"> </w:t>
      </w:r>
      <w:r>
        <w:t xml:space="preserve">analyse the problem drivers and clarify to</w:t>
      </w:r>
      <w:r>
        <w:t xml:space="preserve"> </w:t>
      </w:r>
      <w:r>
        <w:t xml:space="preserve">what extent the identified problems are due</w:t>
      </w:r>
      <w:r>
        <w:t xml:space="preserve"> </w:t>
      </w:r>
      <w:r>
        <w:t xml:space="preserve">to implementation flaws in Member States</w:t>
      </w:r>
      <w:r>
        <w:t xml:space="preserve"> </w:t>
      </w:r>
      <w:r>
        <w:t xml:space="preserve">(considering also the lack of data) or due to</w:t>
      </w:r>
      <w:r>
        <w:t xml:space="preserve"> </w:t>
      </w:r>
      <w:r>
        <w:t xml:space="preserve">gaps in the legal framework. It should better</w:t>
      </w:r>
      <w:r>
        <w:t xml:space="preserve"> </w:t>
      </w:r>
      <w:r>
        <w:t xml:space="preserve">explain to what extent this initiative can</w:t>
      </w:r>
      <w:r>
        <w:t xml:space="preserve"> </w:t>
      </w:r>
      <w:r>
        <w:t xml:space="preserve">The text has been revised (section 2) to further</w:t>
      </w:r>
      <w:r>
        <w:t xml:space="preserve"> </w:t>
      </w:r>
      <w:r>
        <w:t xml:space="preserve">clarify the problem drivers and root causes and</w:t>
      </w:r>
      <w:r>
        <w:t xml:space="preserve"> </w:t>
      </w:r>
      <w:r>
        <w:t xml:space="preserve">their links to the proposed measures. It was</w:t>
      </w:r>
      <w:r>
        <w:t xml:space="preserve"> </w:t>
      </w:r>
      <w:r>
        <w:t xml:space="preserve">further explained to what extent the problem</w:t>
      </w:r>
      <w:r>
        <w:t xml:space="preserve"> </w:t>
      </w:r>
      <w:r>
        <w:t xml:space="preserve">relates</w:t>
      </w:r>
      <w:r>
        <w:t xml:space="preserve"> </w:t>
      </w:r>
      <w:r>
        <w:t xml:space="preserve">to</w:t>
      </w:r>
      <w:r>
        <w:t xml:space="preserve"> </w:t>
      </w:r>
      <w:r>
        <w:t xml:space="preserve">issues</w:t>
      </w:r>
      <w:r>
        <w:t xml:space="preserve"> </w:t>
      </w:r>
      <w:r>
        <w:t xml:space="preserve">of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shortcomings in the current legal framework.</w:t>
      </w:r>
    </w:p>
    <w:p>
      <w:pPr>
        <w:pStyle w:val="FirstParagraph"/>
      </w:pPr>
      <w:r>
        <w:t xml:space="preserve">60</w:t>
      </w:r>
    </w:p>
    <w:p>
      <w:pPr>
        <w:pStyle w:val="BodyText"/>
      </w:pPr>
      <w:r>
        <w:t xml:space="preserve">address the identified problems and how this</w:t>
      </w:r>
      <w:r>
        <w:t xml:space="preserve"> </w:t>
      </w:r>
      <w:r>
        <w:t xml:space="preserve">is linked to other legislation such as the</w:t>
      </w:r>
      <w:r>
        <w:t xml:space="preserve"> </w:t>
      </w:r>
      <w:r>
        <w:t xml:space="preserve">Renewable Energy Directive and the TEN-E</w:t>
      </w:r>
      <w:r>
        <w:t xml:space="preserve"> </w:t>
      </w:r>
      <w:r>
        <w:t xml:space="preserve">Regulation.</w:t>
      </w:r>
      <w:r>
        <w:t xml:space="preserve"> </w:t>
      </w:r>
      <w:r>
        <w:t xml:space="preserve">(2) The report should analyse the root causes of</w:t>
      </w:r>
      <w:r>
        <w:t xml:space="preserve"> </w:t>
      </w:r>
      <w:r>
        <w:t xml:space="preserve">insufficient investment in grid integration in</w:t>
      </w:r>
      <w:r>
        <w:t xml:space="preserve"> </w:t>
      </w:r>
      <w:r>
        <w:t xml:space="preserve">the EU. It should explain better to what extent</w:t>
      </w:r>
      <w:r>
        <w:t xml:space="preserve"> </w:t>
      </w:r>
      <w:r>
        <w:t xml:space="preserve">the proposed measures can be effective in</w:t>
      </w:r>
      <w:r>
        <w:t xml:space="preserve"> </w:t>
      </w:r>
      <w:r>
        <w:t xml:space="preserve">addressing the need to invest in cross-border</w:t>
      </w:r>
      <w:r>
        <w:t xml:space="preserve"> </w:t>
      </w:r>
      <w:r>
        <w:t xml:space="preserve">grids to respond to new challenges while</w:t>
      </w:r>
      <w:r>
        <w:t xml:space="preserve"> </w:t>
      </w:r>
      <w:r>
        <w:t xml:space="preserve">considering Member State national interests in</w:t>
      </w:r>
      <w:r>
        <w:t xml:space="preserve"> </w:t>
      </w:r>
      <w:r>
        <w:t xml:space="preserve">securing energy supply and providing energy at</w:t>
      </w:r>
      <w:r>
        <w:t xml:space="preserve"> </w:t>
      </w:r>
      <w:r>
        <w:t xml:space="preserve">affordable prices.</w:t>
      </w:r>
      <w:r>
        <w:br/>
      </w:r>
      <w:r>
        <w:t xml:space="preserve">The text has been revised (section 2) to better</w:t>
      </w:r>
      <w:r>
        <w:t xml:space="preserve"> </w:t>
      </w:r>
      <w:r>
        <w:t xml:space="preserve">explain the root causes of insufficient</w:t>
      </w:r>
      <w:r>
        <w:t xml:space="preserve"> </w:t>
      </w:r>
      <w:r>
        <w:t xml:space="preserve">investments in grids. In addition, it has been</w:t>
      </w:r>
      <w:r>
        <w:t xml:space="preserve"> </w:t>
      </w:r>
      <w:r>
        <w:t xml:space="preserve">elaborated how the proposed measures and</w:t>
      </w:r>
      <w:r>
        <w:t xml:space="preserve"> </w:t>
      </w:r>
      <w:r>
        <w:t xml:space="preserve">options can help addressing the identified root</w:t>
      </w:r>
      <w:r>
        <w:t xml:space="preserve"> </w:t>
      </w:r>
      <w:r>
        <w:t xml:space="preserve">causes (section 5.3 and Annex 9).</w:t>
      </w:r>
      <w:r>
        <w:t xml:space="preserve"> </w:t>
      </w:r>
      <w:r>
        <w:t xml:space="preserve">(3) The report should in more detail assess</w:t>
      </w:r>
      <w:r>
        <w:t xml:space="preserve"> </w:t>
      </w:r>
      <w:r>
        <w:t xml:space="preserve">subsidiarity considerations related to a</w:t>
      </w:r>
      <w:r>
        <w:t xml:space="preserve"> </w:t>
      </w:r>
      <w:r>
        <w:t xml:space="preserve">further centralisation of the processes beyond</w:t>
      </w:r>
      <w:r>
        <w:t xml:space="preserve"> </w:t>
      </w:r>
      <w:r>
        <w:t xml:space="preserve">the already existing coordination mechanism</w:t>
      </w:r>
      <w:r>
        <w:t xml:space="preserve"> </w:t>
      </w:r>
      <w:r>
        <w:t xml:space="preserve">under the TEN-E Regulation and explain</w:t>
      </w:r>
      <w:r>
        <w:t xml:space="preserve"> </w:t>
      </w:r>
      <w:r>
        <w:t xml:space="preserve">how this relates to national prerogatives on</w:t>
      </w:r>
      <w:r>
        <w:t xml:space="preserve"> </w:t>
      </w:r>
      <w:r>
        <w:t xml:space="preserve">energy security.</w:t>
      </w:r>
      <w:r>
        <w:t xml:space="preserve"> </w:t>
      </w:r>
      <w:r>
        <w:t xml:space="preserve">Following the observations from the Board,</w:t>
      </w:r>
      <w:r>
        <w:t xml:space="preserve"> </w:t>
      </w:r>
      <w:r>
        <w:t xml:space="preserve">aspects of subsidiarity have been further</w:t>
      </w:r>
      <w:r>
        <w:t xml:space="preserve"> </w:t>
      </w:r>
      <w:r>
        <w:t xml:space="preserve">assessed in particular in relation to the</w:t>
      </w:r>
      <w:r>
        <w:t xml:space="preserve"> </w:t>
      </w:r>
      <w:r>
        <w:t xml:space="preserve">description of measures under Policy Option 3</w:t>
      </w:r>
      <w:r>
        <w:t xml:space="preserve"> </w:t>
      </w:r>
      <w:r>
        <w:t xml:space="preserve">(section 5.3) and their comparison against the</w:t>
      </w:r>
      <w:r>
        <w:t xml:space="preserve"> </w:t>
      </w:r>
      <w:r>
        <w:t xml:space="preserve">subsidiarity principle (section 7.4)</w:t>
      </w:r>
      <w:r>
        <w:t xml:space="preserve"> </w:t>
      </w:r>
      <w:r>
        <w:t xml:space="preserve">(4) The report should clearly define the</w:t>
      </w:r>
      <w:r>
        <w:t xml:space="preserve"> </w:t>
      </w:r>
      <w:r>
        <w:t xml:space="preserve">success in terms of progress towards</w:t>
      </w:r>
      <w:r>
        <w:t xml:space="preserve"> </w:t>
      </w:r>
      <w:r>
        <w:t xml:space="preserve">“optimal grid”. The link between the general</w:t>
      </w:r>
      <w:r>
        <w:t xml:space="preserve"> </w:t>
      </w:r>
      <w:r>
        <w:t xml:space="preserve">objective and specific objectives should be</w:t>
      </w:r>
      <w:r>
        <w:t xml:space="preserve"> </w:t>
      </w:r>
      <w:r>
        <w:t xml:space="preserve">better explained. The specific objectives</w:t>
      </w:r>
      <w:r>
        <w:t xml:space="preserve"> </w:t>
      </w:r>
      <w:r>
        <w:t xml:space="preserve">should be defined in S.M.A.R.T. terms to</w:t>
      </w:r>
      <w:r>
        <w:t xml:space="preserve"> </w:t>
      </w:r>
      <w:r>
        <w:t xml:space="preserve">allow for assessing the success and</w:t>
      </w:r>
      <w:r>
        <w:t xml:space="preserve"> </w:t>
      </w:r>
      <w:r>
        <w:t xml:space="preserve">monitoring the progress towards meeting the</w:t>
      </w:r>
      <w:r>
        <w:t xml:space="preserve"> </w:t>
      </w:r>
      <w:r>
        <w:t xml:space="preserve">desired objectives. The report should better</w:t>
      </w:r>
      <w:r>
        <w:t xml:space="preserve"> </w:t>
      </w:r>
      <w:r>
        <w:t xml:space="preserve">describe what data will be used for</w:t>
      </w:r>
      <w:r>
        <w:t xml:space="preserve"> </w:t>
      </w:r>
      <w:r>
        <w:t xml:space="preserve">monitoring and how comparability of data</w:t>
      </w:r>
      <w:r>
        <w:br/>
      </w:r>
      <w:r>
        <w:t xml:space="preserve">from Member States on permitting procedures</w:t>
      </w:r>
      <w:r>
        <w:t xml:space="preserve"> </w:t>
      </w:r>
      <w:r>
        <w:t xml:space="preserve">including its duration will be ensured.</w:t>
      </w:r>
    </w:p>
    <w:p>
      <w:pPr>
        <w:pStyle w:val="BodyText"/>
      </w:pPr>
      <w:r>
        <w:t xml:space="preserve">The general and specific objectives have been</w:t>
      </w:r>
      <w:r>
        <w:t xml:space="preserve"> </w:t>
      </w:r>
      <w:r>
        <w:t xml:space="preserve">revised to make them more specific (section 4)</w:t>
      </w:r>
      <w:r>
        <w:t xml:space="preserve"> </w:t>
      </w:r>
      <w:r>
        <w:t xml:space="preserve">to facilitate their monitoring and assessment</w:t>
      </w:r>
      <w:r>
        <w:t xml:space="preserve"> </w:t>
      </w:r>
      <w:r>
        <w:t xml:space="preserve">based on clear indicators and providing</w:t>
      </w:r>
      <w:r>
        <w:t xml:space="preserve"> </w:t>
      </w:r>
      <w:r>
        <w:t xml:space="preserve">relevant data sources to track progress over</w:t>
      </w:r>
      <w:r>
        <w:t xml:space="preserve"> </w:t>
      </w:r>
      <w:r>
        <w:t xml:space="preserve">time (section 9 and Annex 8)</w:t>
      </w:r>
    </w:p>
    <w:p>
      <w:pPr>
        <w:pStyle w:val="Compact"/>
        <w:numPr>
          <w:ilvl w:val="0"/>
          <w:numId w:val="1009"/>
        </w:numPr>
      </w:pPr>
      <w:r>
        <w:t xml:space="preserve">The report should clearly present and justify</w:t>
      </w:r>
      <w:r>
        <w:t xml:space="preserve"> </w:t>
      </w:r>
      <w:r>
        <w:t xml:space="preserve">how the different options compare in terms of</w:t>
      </w:r>
      <w:r>
        <w:t xml:space="preserve"> </w:t>
      </w:r>
      <w:r>
        <w:t xml:space="preserve">costs and benefits. The “optimal grid” could be</w:t>
      </w:r>
      <w:r>
        <w:t xml:space="preserve"> </w:t>
      </w:r>
      <w:r>
        <w:t xml:space="preserve">also used for comparison of the effectiveness</w:t>
      </w:r>
      <w:r>
        <w:t xml:space="preserve"> </w:t>
      </w:r>
      <w:r>
        <w:t xml:space="preserve">of options.</w:t>
      </w:r>
      <w:r>
        <w:br/>
      </w:r>
      <w:r>
        <w:t xml:space="preserve">In the revised version the “optimal grid” and</w:t>
      </w:r>
      <w:r>
        <w:t xml:space="preserve"> </w:t>
      </w:r>
      <w:r>
        <w:t xml:space="preserve">the underlying assumptions were explained in</w:t>
      </w:r>
      <w:r>
        <w:t xml:space="preserve"> </w:t>
      </w:r>
      <w:r>
        <w:t xml:space="preserve">more detail (section 6.1). More detailed</w:t>
      </w:r>
      <w:r>
        <w:t xml:space="preserve"> </w:t>
      </w:r>
      <w:r>
        <w:t xml:space="preserve">assessment has been added with additional data</w:t>
      </w:r>
      <w:r>
        <w:t xml:space="preserve"> </w:t>
      </w:r>
      <w:r>
        <w:t xml:space="preserve">on costs and benefits to the extent available in</w:t>
      </w:r>
      <w:r>
        <w:t xml:space="preserve"> </w:t>
      </w:r>
      <w:r>
        <w:t xml:space="preserve">order to allow for a more granular comparison</w:t>
      </w:r>
      <w:r>
        <w:t xml:space="preserve"> </w:t>
      </w:r>
      <w:r>
        <w:t xml:space="preserve">of the different policy options.</w:t>
      </w:r>
    </w:p>
    <w:p>
      <w:pPr>
        <w:pStyle w:val="Compact"/>
        <w:numPr>
          <w:ilvl w:val="0"/>
          <w:numId w:val="1009"/>
        </w:numPr>
      </w:pPr>
      <w:r>
        <w:t xml:space="preserve">The report should better describe the</w:t>
      </w:r>
      <w:r>
        <w:t xml:space="preserve"> </w:t>
      </w:r>
      <w:r>
        <w:t xml:space="preserve">content of the measures regarding permitting</w:t>
      </w:r>
      <w:r>
        <w:t xml:space="preserve"> </w:t>
      </w:r>
      <w:r>
        <w:t xml:space="preserve">and demonstrate the specific aspects of energy</w:t>
      </w:r>
      <w:r>
        <w:t xml:space="preserve"> </w:t>
      </w:r>
      <w:r>
        <w:t xml:space="preserve">grids also by comparing to initiatives with a</w:t>
      </w:r>
      <w:r>
        <w:t xml:space="preserve"> </w:t>
      </w:r>
      <w:r>
        <w:t xml:space="preserve">Following the Board’s observations, the</w:t>
      </w:r>
      <w:r>
        <w:t xml:space="preserve"> </w:t>
      </w:r>
      <w:r>
        <w:t xml:space="preserve">proposed measures on permitting have been</w:t>
      </w:r>
      <w:r>
        <w:t xml:space="preserve"> </w:t>
      </w:r>
      <w:r>
        <w:t xml:space="preserve">expanded to provided additional details on the</w:t>
      </w:r>
      <w:r>
        <w:t xml:space="preserve"> </w:t>
      </w:r>
      <w:r>
        <w:t xml:space="preserve">content and how they compare to other</w:t>
      </w:r>
    </w:p>
    <w:p>
      <w:pPr>
        <w:pStyle w:val="FirstParagraph"/>
      </w:pPr>
      <w:r>
        <w:t xml:space="preserve">61</w:t>
      </w:r>
    </w:p>
    <w:p>
      <w:pPr>
        <w:pStyle w:val="BodyText"/>
      </w:pPr>
      <w:r>
        <w:t xml:space="preserve">view to accelerating permitting procedures in</w:t>
      </w:r>
      <w:r>
        <w:t xml:space="preserve"> </w:t>
      </w:r>
      <w:r>
        <w:t xml:space="preserve">other sectors. The impacts of measures related</w:t>
      </w:r>
      <w:r>
        <w:t xml:space="preserve"> </w:t>
      </w:r>
      <w:r>
        <w:t xml:space="preserve">to simplifying and shortening permitting</w:t>
      </w:r>
      <w:r>
        <w:t xml:space="preserve"> </w:t>
      </w:r>
      <w:r>
        <w:t xml:space="preserve">procedures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more</w:t>
      </w:r>
      <w:r>
        <w:t xml:space="preserve"> </w:t>
      </w:r>
      <w:r>
        <w:t xml:space="preserve">thoroughly</w:t>
      </w:r>
      <w:r>
        <w:t xml:space="preserve"> </w:t>
      </w:r>
      <w:r>
        <w:t xml:space="preserve">assessed, including an analysis of factors such</w:t>
      </w:r>
      <w:r>
        <w:t xml:space="preserve"> </w:t>
      </w:r>
      <w:r>
        <w:t xml:space="preserve">as national permitting legislation and the</w:t>
      </w:r>
      <w:r>
        <w:t xml:space="preserve"> </w:t>
      </w:r>
      <w:r>
        <w:t xml:space="preserve">duration of court proceedings. For example, it</w:t>
      </w:r>
      <w:r>
        <w:t xml:space="preserve"> </w:t>
      </w:r>
      <w:r>
        <w:t xml:space="preserve">should be explained how imposing shorter</w:t>
      </w:r>
      <w:r>
        <w:t xml:space="preserve"> </w:t>
      </w:r>
      <w:r>
        <w:t xml:space="preserve">deadlines at the EU level may improve the</w:t>
      </w:r>
      <w:r>
        <w:t xml:space="preserve"> </w:t>
      </w:r>
      <w:r>
        <w:t xml:space="preserve">situation given the different circumstances.</w:t>
      </w:r>
      <w:r>
        <w:br/>
      </w:r>
      <w:r>
        <w:t xml:space="preserve">permitting related initiatives (section 5.3 and</w:t>
      </w:r>
      <w:r>
        <w:t xml:space="preserve"> </w:t>
      </w:r>
      <w:r>
        <w:t xml:space="preserve">Annex 9). Furthermore, the expected impacts</w:t>
      </w:r>
      <w:r>
        <w:t xml:space="preserve"> </w:t>
      </w:r>
      <w:r>
        <w:t xml:space="preserve">of the proposed measures compared to the</w:t>
      </w:r>
      <w:r>
        <w:t xml:space="preserve"> </w:t>
      </w:r>
      <w:r>
        <w:t xml:space="preserve">baseline have been assessed in more detail</w:t>
      </w:r>
      <w:r>
        <w:t xml:space="preserve"> </w:t>
      </w:r>
      <w:r>
        <w:t xml:space="preserve">(section 6).</w:t>
      </w:r>
      <w:r>
        <w:t xml:space="preserve"> </w:t>
      </w:r>
      <w:r>
        <w:t xml:space="preserve">(7) The report should highlight possible trade-</w:t>
      </w:r>
      <w:r>
        <w:t xml:space="preserve"> </w:t>
      </w:r>
      <w:r>
        <w:t xml:space="preserve">offs with other EU objectives, in particular</w:t>
      </w:r>
      <w:r>
        <w:t xml:space="preserve"> </w:t>
      </w:r>
      <w:r>
        <w:t xml:space="preserve">linked to the protection of the environment.</w:t>
      </w:r>
      <w:r>
        <w:t xml:space="preserve"> </w:t>
      </w:r>
      <w:r>
        <w:t xml:space="preserve">The environmental impacts beyond greenhouse</w:t>
      </w:r>
      <w:r>
        <w:t xml:space="preserve"> </w:t>
      </w:r>
      <w:r>
        <w:t xml:space="preserve">gas reductions should be thoroughly analysed</w:t>
      </w:r>
      <w:r>
        <w:t xml:space="preserve"> </w:t>
      </w:r>
      <w:r>
        <w:t xml:space="preserve">to allow an assessment of trade-offs stemming</w:t>
      </w:r>
      <w:r>
        <w:t xml:space="preserve"> </w:t>
      </w:r>
      <w:r>
        <w:t xml:space="preserve">from accelerated permitting procedures. The</w:t>
      </w:r>
      <w:r>
        <w:t xml:space="preserve"> </w:t>
      </w:r>
      <w:r>
        <w:t xml:space="preserve">report should describe better any safeguards to</w:t>
      </w:r>
      <w:r>
        <w:t xml:space="preserve"> </w:t>
      </w:r>
      <w:r>
        <w:t xml:space="preserve">address these trade-offs.</w:t>
      </w:r>
      <w:r>
        <w:br/>
      </w:r>
      <w:r>
        <w:t xml:space="preserve">The revised text expands on possible trade-offs</w:t>
      </w:r>
      <w:r>
        <w:t xml:space="preserve"> </w:t>
      </w:r>
      <w:r>
        <w:t xml:space="preserve">with other EU objectives, in particular as</w:t>
      </w:r>
      <w:r>
        <w:t xml:space="preserve"> </w:t>
      </w:r>
      <w:r>
        <w:t xml:space="preserve">regards environmental impacts as well as</w:t>
      </w:r>
      <w:r>
        <w:t xml:space="preserve"> </w:t>
      </w:r>
      <w:r>
        <w:t xml:space="preserve">possible safeguards (sections 5.3 and 6.3).</w:t>
      </w:r>
    </w:p>
    <w:p>
      <w:pPr>
        <w:pStyle w:val="Compact"/>
        <w:numPr>
          <w:ilvl w:val="0"/>
          <w:numId w:val="1010"/>
        </w:numPr>
      </w:pPr>
      <w:r>
        <w:t xml:space="preserve">EVIDENCE, SOURCES AND QUALITY</w:t>
      </w:r>
      <w:r>
        <w:t xml:space="preserve"> </w:t>
      </w:r>
      <w:r>
        <w:t xml:space="preserve">The impact assessment draws on evidence from implementation reports, the stakeholder input to</w:t>
      </w:r>
      <w:r>
        <w:t xml:space="preserve"> </w:t>
      </w:r>
      <w:r>
        <w:t xml:space="preserve">the extensive consultations carried out in this respect, as well as from the results of a series of</w:t>
      </w:r>
      <w:r>
        <w:t xml:space="preserve"> </w:t>
      </w:r>
      <w:r>
        <w:t xml:space="preserve">topical studies on key elements of the TEN-E Regulation, which will be presented below.</w:t>
      </w:r>
      <w:r>
        <w:t xml:space="preserve"> </w:t>
      </w:r>
      <w:r>
        <w:t xml:space="preserve">Formal conclusions adopted in the framework of the Copenhagen Forum in 2023, 2024 and 2025</w:t>
      </w:r>
      <w:r>
        <w:t xml:space="preserve"> </w:t>
      </w:r>
      <w:r>
        <w:t xml:space="preserve">were also considered in the analysis. The Copenhagen Forum gathers annually representatives of</w:t>
      </w:r>
      <w:r>
        <w:t xml:space="preserve"> </w:t>
      </w:r>
      <w:r>
        <w:t xml:space="preserve">the EU institutions, transmission system operators, project promoters, regulators, energy</w:t>
      </w:r>
      <w:r>
        <w:t xml:space="preserve"> </w:t>
      </w:r>
      <w:r>
        <w:t xml:space="preserve">companies, NGOs and civil society and the financing community to discuss the challenges</w:t>
      </w:r>
      <w:r>
        <w:t xml:space="preserve"> </w:t>
      </w:r>
      <w:r>
        <w:t xml:space="preserve">of developing Europe’s energy infrastructure.</w:t>
      </w:r>
      <w:r>
        <w:t xml:space="preserve"> </w:t>
      </w:r>
      <w:r>
        <w:t xml:space="preserve">ACER’s annual consolidated monitoring reports on the progress of electricity and gas PCIs,</w:t>
      </w:r>
      <w:r>
        <w:t xml:space="preserve"> </w:t>
      </w:r>
      <w:r>
        <w:t xml:space="preserve">incremental capacity projects and virtual interconnection points, on the electricity and gas market</w:t>
      </w:r>
      <w:r>
        <w:t xml:space="preserve"> </w:t>
      </w:r>
      <w:r>
        <w:t xml:space="preserve">monitoring and capacity allocation and congestion management, as well as other updates on the</w:t>
      </w:r>
      <w:r>
        <w:t xml:space="preserve"> </w:t>
      </w:r>
      <w:r>
        <w:t xml:space="preserve">cross-border cost allocation decisions, project-specific risk-based incentives were equally</w:t>
      </w:r>
      <w:r>
        <w:t xml:space="preserve"> </w:t>
      </w:r>
      <w:r>
        <w:t xml:space="preserve">considered.</w:t>
      </w:r>
    </w:p>
    <w:p>
      <w:pPr>
        <w:pStyle w:val="FirstParagraph"/>
      </w:pPr>
      <w:r>
        <w:t xml:space="preserve">Further information was gathered through several support studies previously commissioned to</w:t>
      </w:r>
      <w:r>
        <w:t xml:space="preserve"> </w:t>
      </w:r>
      <w:r>
        <w:t xml:space="preserve">external contractors to support the development of policy options and assessment on:</w:t>
      </w:r>
      <w:r>
        <w:t xml:space="preserve"> </w:t>
      </w:r>
      <w:r>
        <w:t xml:space="preserve">Investment needs in infrastructure, infrastructure planning and costs of delays</w:t>
      </w:r>
      <w:r>
        <w:t xml:space="preserve"> </w:t>
      </w:r>
      <w:r>
        <w:t xml:space="preserve">• European Commission: Directorate-General for Energy, Artelys, LBST, Trinomics,</w:t>
      </w:r>
      <w:r>
        <w:t xml:space="preserve"> </w:t>
      </w:r>
      <w:r>
        <w:t xml:space="preserve">Finesso, A. et al., Investment needs of European energy infrastructure to enable a</w:t>
      </w:r>
      <w:r>
        <w:t xml:space="preserve"> </w:t>
      </w:r>
      <w:r>
        <w:t xml:space="preserve">decarbonised economy – Final report, Publications Office of the European Union, 2025,</w:t>
      </w:r>
      <w:r>
        <w:t xml:space="preserve"> </w:t>
      </w:r>
      <w:r>
        <w:t xml:space="preserve">https://data.europa.eu/doi/10.2833/8232521</w:t>
      </w:r>
      <w:r>
        <w:t xml:space="preserve"> </w:t>
      </w:r>
      <w:r>
        <w:t xml:space="preserve">• European Commission: Directorate-General for Energy, Fraunhofer, Guidehouse et. al. </w:t>
      </w:r>
      <w:r>
        <w:t xml:space="preserve"> </w:t>
      </w:r>
      <w:r>
        <w:t xml:space="preserve">Study on network development planning, tariff structures and connection requests for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electricity distribution grids – Final report, Publications Office of the European Union,</w:t>
      </w:r>
      <w:r>
        <w:t xml:space="preserve"> </w:t>
      </w:r>
      <w:r>
        <w:t xml:space="preserve">2025,</w:t>
      </w:r>
      <w:r>
        <w:br/>
      </w:r>
      <w:r>
        <w:t xml:space="preserve">• European Commission, Joint Research Centre, Thomassen, G., Fuhrmanek, A.,</w:t>
      </w:r>
      <w:r>
        <w:t xml:space="preserve"> </w:t>
      </w:r>
      <w:r>
        <w:t xml:space="preserve">Cadenovic, R., Pozo Camara, D. and Vitiello, S., Redispatch and Congestion</w:t>
      </w:r>
      <w:r>
        <w:t xml:space="preserve"> </w:t>
      </w:r>
      <w:r>
        <w:t xml:space="preserve">Management, Publications Office of the European Union, Luxembourg, 2024,</w:t>
      </w:r>
      <w:r>
        <w:t xml:space="preserve"> </w:t>
      </w:r>
      <w:r>
        <w:t xml:space="preserve">https://data.europa.eu/doi/10.2760/853898, JRC137685.</w:t>
      </w:r>
      <w:r>
        <w:br/>
      </w:r>
      <w:r>
        <w:t xml:space="preserve">• ENTSO-E: Opportunities for a more efficient European power system by 2050: TYNDP</w:t>
      </w:r>
      <w:r>
        <w:t xml:space="preserve"> </w:t>
      </w:r>
      <w:r>
        <w:t xml:space="preserve">2024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Gaps</w:t>
      </w:r>
      <w:r>
        <w:t xml:space="preserve"> </w:t>
      </w:r>
      <w:r>
        <w:t xml:space="preserve">Report,</w:t>
      </w:r>
      <w:r>
        <w:t xml:space="preserve"> </w:t>
      </w:r>
      <w:r>
        <w:t xml:space="preserve">2025,</w:t>
      </w:r>
      <w:r>
        <w:t xml:space="preserve"> </w:t>
      </w:r>
      <w:r>
        <w:t xml:space="preserve">https://eepublicdownloads.blob.core.windows.net/public-cdn-container/tyndp-</w:t>
      </w:r>
      <w:r>
        <w:t xml:space="preserve"> </w:t>
      </w:r>
      <w:r>
        <w:t xml:space="preserve">documents/TYNDP2024/foropinion/Infrastructure_Gaps_Report.pdf</w:t>
      </w:r>
    </w:p>
    <w:p>
      <w:pPr>
        <w:pStyle w:val="BodyText"/>
      </w:pPr>
      <w:r>
        <w:t xml:space="preserve">Permitting and delays in projects implementation</w:t>
      </w:r>
    </w:p>
    <w:p>
      <w:pPr>
        <w:pStyle w:val="BodyText"/>
      </w:pPr>
      <w:r>
        <w:t xml:space="preserve">• Directorate-General for Energy, Milieu, Bruggeman, V., Vona, L., Moreira, G. et al.,</w:t>
      </w:r>
      <w:r>
        <w:t xml:space="preserve"> </w:t>
      </w:r>
      <w:r>
        <w:t xml:space="preserve">Study on national permit granting process applicable to energy transmission</w:t>
      </w:r>
      <w:r>
        <w:t xml:space="preserve"> </w:t>
      </w:r>
      <w:r>
        <w:t xml:space="preserve">infrastructure projects with a focus on projects of common interest and projects of mutual</w:t>
      </w:r>
      <w:r>
        <w:t xml:space="preserve"> </w:t>
      </w:r>
      <w:r>
        <w:t xml:space="preserve">interest under Chapter III of Regulation (EU) 2022/869 – Overview report, Publications</w:t>
      </w:r>
      <w:r>
        <w:t xml:space="preserve"> </w:t>
      </w:r>
      <w:r>
        <w:t xml:space="preserve">Office of the European Union, 2025, https://data.europa.eu/doi/10.2833/2566900</w:t>
      </w:r>
      <w:r>
        <w:br/>
      </w:r>
      <w:r>
        <w:t xml:space="preserve">• Technical support for RES policy development and implementation – simplification of</w:t>
      </w:r>
      <w:r>
        <w:t xml:space="preserve"> </w:t>
      </w:r>
      <w:r>
        <w:t xml:space="preserve">permission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RES</w:t>
      </w:r>
      <w:r>
        <w:t xml:space="preserve"> </w:t>
      </w:r>
      <w:r>
        <w:t xml:space="preserve">installations</w:t>
      </w:r>
      <w:r>
        <w:t xml:space="preserve"> </w:t>
      </w:r>
      <w:r>
        <w:t xml:space="preserve">https://op.europa.eu/en/publication-detail/-/publication/949ddae8-0674-11ee-b12e-</w:t>
      </w:r>
      <w:r>
        <w:t xml:space="preserve"> </w:t>
      </w:r>
      <w:r>
        <w:t xml:space="preserve">01aa75ed71a1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This annex provides a summary of the outcomes of the consultation activities carried out for the</w:t>
      </w:r>
      <w:r>
        <w:t xml:space="preserve"> </w:t>
      </w:r>
      <w:r>
        <w:t xml:space="preserve">preparation of the European Grids Package. In line with the Better Regulation guidelines, the</w:t>
      </w:r>
      <w:r>
        <w:t xml:space="preserve"> </w:t>
      </w:r>
      <w:r>
        <w:t xml:space="preserve">Commission carried out a comprehensive consultation based on a consultation strategy that</w:t>
      </w:r>
      <w:r>
        <w:t xml:space="preserve"> </w:t>
      </w:r>
      <w:r>
        <w:t xml:space="preserve">included a range of consultation methods and tools that combined both backward and forward-</w:t>
      </w:r>
      <w:r>
        <w:t xml:space="preserve"> </w:t>
      </w:r>
      <w:r>
        <w:t xml:space="preserve">looking elements. The strategy was designed in line with the intervention logic.</w:t>
      </w:r>
    </w:p>
    <w:p>
      <w:pPr>
        <w:pStyle w:val="BodyText"/>
      </w:pPr>
      <w:r>
        <w:t xml:space="preserve">The consultation strategy aimed to ensure that all relevant evidence were taken into account,</w:t>
      </w:r>
      <w:r>
        <w:t xml:space="preserve"> </w:t>
      </w:r>
      <w:r>
        <w:t xml:space="preserve">including data about costs, societal impact, and the potential benefits of the initiative.</w:t>
      </w:r>
      <w:r>
        <w:t xml:space="preserve"> </w:t>
      </w:r>
      <w:r>
        <w:t xml:space="preserve">In line with the Better Regulation guidelines, the goal of the stakeholder consultation was:</w:t>
      </w:r>
      <w:r>
        <w:t xml:space="preserve"> </w:t>
      </w:r>
      <w:r>
        <w:t xml:space="preserve">• To collect views, experience and concrete examples from stakeholders that will illustrate</w:t>
      </w:r>
      <w:r>
        <w:t xml:space="preserve"> </w:t>
      </w:r>
      <w:r>
        <w:t xml:space="preserve">particular opportunities, challenges and impacts resulting from the implementation of the</w:t>
      </w:r>
      <w:r>
        <w:t xml:space="preserve"> </w:t>
      </w:r>
      <w:r>
        <w:t xml:space="preserve">EU legal framework for grids, in particular the TEN-E Regulation, as well as relevant</w:t>
      </w:r>
      <w:r>
        <w:t xml:space="preserve"> </w:t>
      </w:r>
      <w:r>
        <w:t xml:space="preserve">permitting provisions with the view to fill any potential information/data gaps, and</w:t>
      </w:r>
      <w:r>
        <w:t xml:space="preserve"> </w:t>
      </w:r>
      <w:r>
        <w:t xml:space="preserve">facilitate the analysis of the different evaluation criteria;</w:t>
      </w:r>
      <w:r>
        <w:br/>
      </w:r>
      <w:r>
        <w:t xml:space="preserve">• To solicit opinions on the extent to which the current legal framework is meeting its</w:t>
      </w:r>
      <w:r>
        <w:t xml:space="preserve"> </w:t>
      </w:r>
      <w:r>
        <w:t xml:space="preserve">objectives.</w:t>
      </w:r>
      <w:r>
        <w:br/>
      </w:r>
      <w:r>
        <w:t xml:space="preserve">As a crucial part of the data collection strategy for the evaluation and the forward-looking</w:t>
      </w:r>
      <w:r>
        <w:t xml:space="preserve"> </w:t>
      </w:r>
      <w:r>
        <w:t xml:space="preserve">elements in the impact assessment, a stakeholder mapping exercise has been carried out in order</w:t>
      </w:r>
      <w:r>
        <w:t xml:space="preserve"> </w:t>
      </w:r>
      <w:r>
        <w:t xml:space="preserve">to identify and group the main stakeholders that are involved in and affected by the initiative.</w:t>
      </w:r>
      <w:r>
        <w:t xml:space="preserve"> </w:t>
      </w:r>
      <w:r>
        <w:t xml:space="preserve">The consultation targeted stakeholders inside the EU, both at national and European level. In</w:t>
      </w:r>
      <w:r>
        <w:t xml:space="preserve"> </w:t>
      </w:r>
      <w:r>
        <w:t xml:space="preserve">force since 2022, the current TEN-E Regulation has built an established and well-defined group</w:t>
      </w:r>
      <w:r>
        <w:t xml:space="preserve"> </w:t>
      </w:r>
      <w:r>
        <w:t xml:space="preserve">of stakeholders.</w:t>
      </w:r>
    </w:p>
    <w:p>
      <w:pPr>
        <w:pStyle w:val="BodyText"/>
      </w:pPr>
      <w:r>
        <w:t xml:space="preserve">The consultation strategy included a combination of consultation methods (i.e. open/targeted)</w:t>
      </w:r>
      <w:r>
        <w:t xml:space="preserve"> </w:t>
      </w:r>
      <w:r>
        <w:t xml:space="preserve">and tools (including an online public consultation and in-depth interviews) to provide well-</w:t>
      </w:r>
      <w:r>
        <w:t xml:space="preserve"> </w:t>
      </w:r>
      <w:r>
        <w:t xml:space="preserve">reasoned responses and generate the information and evidence necessary to respond to the</w:t>
      </w:r>
      <w:r>
        <w:t xml:space="preserve"> </w:t>
      </w:r>
      <w:r>
        <w:t xml:space="preserve">evaluation questions and inform forward-looking elements in the policy preparation. In</w:t>
      </w:r>
      <w:r>
        <w:t xml:space="preserve"> </w:t>
      </w:r>
      <w:r>
        <w:t xml:space="preserve">particular, an online public consultation was conducted, giving all interested stakeholders and</w:t>
      </w:r>
      <w:r>
        <w:t xml:space="preserve"> </w:t>
      </w:r>
      <w:r>
        <w:t xml:space="preserve">opportunity to submit evidence, provide their views and respond to the structured questionnaire</w:t>
      </w:r>
      <w:r>
        <w:t xml:space="preserve"> </w:t>
      </w:r>
      <w:r>
        <w:t xml:space="preserve">(please see below).</w:t>
      </w:r>
    </w:p>
    <w:p>
      <w:pPr>
        <w:pStyle w:val="Compact"/>
        <w:numPr>
          <w:ilvl w:val="0"/>
          <w:numId w:val="1011"/>
        </w:numPr>
      </w:pPr>
      <w:r>
        <w:t xml:space="preserve">RESULTS OF THE OPEN PUBLIC CONSULTATION</w:t>
      </w:r>
      <w:r>
        <w:br/>
      </w:r>
      <w:r>
        <w:t xml:space="preserve">An online open public consultation (OPC) was undertaken between 13 May to 5 August 2025 on</w:t>
      </w:r>
      <w:r>
        <w:t xml:space="preserve"> </w:t>
      </w:r>
      <w:r>
        <w:t xml:space="preserve">the ‘Have Your Say’ website. All interested parties were invited to contribute their views on the</w:t>
      </w:r>
      <w:r>
        <w:t xml:space="preserve"> </w:t>
      </w:r>
      <w:r>
        <w:t xml:space="preserve">performance of the TEN-E Regulation, related legal provisions, and areas where further EU action</w:t>
      </w:r>
      <w:r>
        <w:t xml:space="preserve"> </w:t>
      </w:r>
      <w:r>
        <w:t xml:space="preserve">may be needed.</w:t>
      </w:r>
      <w:r>
        <w:br/>
      </w:r>
      <w:r>
        <w:t xml:space="preserve">Moreover, the questionnaire for the OPC did not cover all evaluation criteria, but rather non-</w:t>
      </w:r>
      <w:r>
        <w:t xml:space="preserve"> </w:t>
      </w:r>
      <w:r>
        <w:t xml:space="preserve">technical elements on which citizens and the general public can share their views. The consultation</w:t>
      </w:r>
      <w:r>
        <w:t xml:space="preserve"> </w:t>
      </w:r>
      <w:r>
        <w:t xml:space="preserve">covered the following topics: i) the general functioning of the TEN-E Regulation, ii) EU</w:t>
      </w:r>
      <w:r>
        <w:t xml:space="preserve"> </w:t>
      </w:r>
      <w:r>
        <w:t xml:space="preserve">infrastructure planning, iii) electricity network planning at national level, iv) electricity grid</w:t>
      </w:r>
    </w:p>
    <w:p>
      <w:pPr>
        <w:pStyle w:val="FirstParagraph"/>
      </w:pPr>
      <w:r>
        <w:t xml:space="preserve">64</w:t>
      </w:r>
    </w:p>
    <w:p>
      <w:pPr>
        <w:pStyle w:val="BodyText"/>
      </w:pPr>
      <w:r>
        <w:t xml:space="preserve">hosting capacity, v) permitting, vi) investments in grid infrastructure, vii) supply chains, viii)</w:t>
      </w:r>
      <w:r>
        <w:t xml:space="preserve"> </w:t>
      </w:r>
      <w:r>
        <w:t xml:space="preserve">digitalisation and resilience, and ix) simplification.</w:t>
      </w:r>
      <w:r>
        <w:br/>
      </w:r>
      <w:r>
        <w:t xml:space="preserve">The consultation received a total of 197 responses. In addition, 2 emails were received via a</w:t>
      </w:r>
      <w:r>
        <w:t xml:space="preserve"> </w:t>
      </w:r>
      <w:r>
        <w:t xml:space="preserve">functional mailbox for the consultation. There were 197 responses to every multiple-choice</w:t>
      </w:r>
      <w:r>
        <w:t xml:space="preserve"> </w:t>
      </w:r>
      <w:r>
        <w:t xml:space="preserve">question in the OPC, meaning that every respondent answered each question. For some questions,</w:t>
      </w:r>
      <w:r>
        <w:t xml:space="preserve"> </w:t>
      </w:r>
      <w:r>
        <w:t xml:space="preserve">respondents were asked on a five-point scale the extent to which they agreed or disagreed with</w:t>
      </w:r>
      <w:r>
        <w:t xml:space="preserve"> </w:t>
      </w:r>
      <w:r>
        <w:t xml:space="preserve">statements. The scale was i) Strongly disagree ii) Slightly disagree, iii) Neutral, iv) Slightly agree,</w:t>
      </w:r>
      <w:r>
        <w:t xml:space="preserve"> </w:t>
      </w:r>
      <w:r>
        <w:t xml:space="preserve">v) Strongly agree. A “don’t know” option was also given. For the purposes of this analysis,</w:t>
      </w:r>
      <w:r>
        <w:t xml:space="preserve"> </w:t>
      </w:r>
      <w:r>
        <w:t xml:space="preserve">responses marked as</w:t>
      </w:r>
      <w:r>
        <w:t xml:space="preserve"> </w:t>
      </w:r>
      <w:r>
        <w:t xml:space="preserve">“strongly agree”</w:t>
      </w:r>
      <w:r>
        <w:t xml:space="preserve"> </w:t>
      </w:r>
      <w:r>
        <w:t xml:space="preserve">and</w:t>
      </w:r>
      <w:r>
        <w:t xml:space="preserve"> </w:t>
      </w:r>
      <w:r>
        <w:t xml:space="preserve">“slightly agree”</w:t>
      </w:r>
      <w:r>
        <w:t xml:space="preserve"> </w:t>
      </w:r>
      <w:r>
        <w:t xml:space="preserve">are grouped under</w:t>
      </w:r>
      <w:r>
        <w:t xml:space="preserve"> </w:t>
      </w:r>
      <w:r>
        <w:t xml:space="preserve">“agree,”</w:t>
      </w:r>
      <w:r>
        <w:t xml:space="preserve"> </w:t>
      </w:r>
      <w:r>
        <w:t xml:space="preserve">and</w:t>
      </w:r>
      <w:r>
        <w:t xml:space="preserve"> </w:t>
      </w:r>
      <w:r>
        <w:t xml:space="preserve">similarly,</w:t>
      </w:r>
      <w:r>
        <w:t xml:space="preserve"> </w:t>
      </w:r>
      <w:r>
        <w:t xml:space="preserve">“strongly disagree”</w:t>
      </w:r>
      <w:r>
        <w:t xml:space="preserve"> </w:t>
      </w:r>
      <w:r>
        <w:t xml:space="preserve">and</w:t>
      </w:r>
      <w:r>
        <w:t xml:space="preserve"> </w:t>
      </w:r>
      <w:r>
        <w:t xml:space="preserve">“slightly disagree”</w:t>
      </w:r>
      <w:r>
        <w:t xml:space="preserve"> </w:t>
      </w:r>
      <w:r>
        <w:t xml:space="preserve">are grouped under</w:t>
      </w:r>
      <w:r>
        <w:t xml:space="preserve"> </w:t>
      </w:r>
      <w:r>
        <w:t xml:space="preserve">“disagree”</w:t>
      </w:r>
      <w:r>
        <w:t xml:space="preserve">.</w:t>
      </w:r>
      <w:r>
        <w:t xml:space="preserve"> </w:t>
      </w:r>
      <w:r>
        <w:t xml:space="preserve">Table 8 provides an overview of the stakeholder categories participating in the OPC and a brief</w:t>
      </w:r>
      <w:r>
        <w:t xml:space="preserve"> </w:t>
      </w:r>
      <w:r>
        <w:t xml:space="preserve">description of each group’s role and relevance to the consultation, ranked according to their</w:t>
      </w:r>
      <w:r>
        <w:t xml:space="preserve"> </w:t>
      </w:r>
      <w:r>
        <w:t xml:space="preserve">respective share of the total consultation responses. The list demonstrates a good coverage of all</w:t>
      </w:r>
      <w:r>
        <w:t xml:space="preserve"> </w:t>
      </w:r>
      <w:r>
        <w:t xml:space="preserve">parties affected by the Regulation. The main category of respondents were companies (90</w:t>
      </w:r>
      <w:r>
        <w:t xml:space="preserve"> </w:t>
      </w:r>
      <w:r>
        <w:t xml:space="preserve">responses, 45.7% of total), followed by business associations (54 responses, 27.4% of total),</w:t>
      </w:r>
      <w:r>
        <w:t xml:space="preserve"> </w:t>
      </w:r>
      <w:r>
        <w:t xml:space="preserve">NGOs (14 responses, 7.1% of total), EU citizens (12 responses, 6.1% of total), and public</w:t>
      </w:r>
      <w:r>
        <w:t xml:space="preserve"> </w:t>
      </w:r>
      <w:r>
        <w:t xml:space="preserve">authorities (10 responses, 5.1% of total).</w:t>
      </w:r>
      <w:r>
        <w:t xml:space="preserve"> </w:t>
      </w:r>
      <w:r>
        <w:t xml:space="preserve">Table 8: Distribution of responses to the consultation by category</w:t>
      </w:r>
      <w:r>
        <w:t xml:space="preserve"> </w:t>
      </w:r>
      <w:r>
        <w:t xml:space="preserve">Type of Stakeholder</w:t>
      </w:r>
      <w:r>
        <w:t xml:space="preserve"> </w:t>
      </w:r>
      <w:r>
        <w:t xml:space="preserve">Main Role and Relevance</w:t>
      </w:r>
      <w:r>
        <w:t xml:space="preserve"> </w:t>
      </w:r>
      <w:r>
        <w:t xml:space="preserve">Number</w:t>
      </w:r>
      <w:r>
        <w:t xml:space="preserve"> </w:t>
      </w:r>
      <w:r>
        <w:t xml:space="preserve">Percentage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Key stakeholders affected by the TEN-E Regulation,</w:t>
      </w:r>
      <w:r>
        <w:t xml:space="preserve"> </w:t>
      </w:r>
      <w:r>
        <w:t xml:space="preserve">especially in energy production, distribution, and</w:t>
      </w:r>
      <w:r>
        <w:t xml:space="preserve"> </w:t>
      </w:r>
      <w:r>
        <w:t xml:space="preserve">infrastructure.</w:t>
      </w:r>
      <w:r>
        <w:t xml:space="preserve"> </w:t>
      </w:r>
      <w:r>
        <w:t xml:space="preserve">90</w:t>
      </w:r>
      <w:r>
        <w:t xml:space="preserve"> </w:t>
      </w:r>
      <w:r>
        <w:t xml:space="preserve">45.7%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Represent interests of industries impacted by TEN-E</w:t>
      </w:r>
      <w:r>
        <w:t xml:space="preserve"> </w:t>
      </w:r>
      <w:r>
        <w:t xml:space="preserve">and provide collective feedback on policy implications.</w:t>
      </w:r>
      <w:r>
        <w:t xml:space="preserve"> </w:t>
      </w:r>
      <w:r>
        <w:t xml:space="preserve">54</w:t>
      </w:r>
      <w:r>
        <w:t xml:space="preserve"> </w:t>
      </w:r>
      <w:r>
        <w:t xml:space="preserve">27.4%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organisation (NGO)</w:t>
      </w:r>
      <w:r>
        <w:t xml:space="preserve"> </w:t>
      </w:r>
      <w:r>
        <w:t xml:space="preserve">Provide perspectives on environmental and social</w:t>
      </w:r>
      <w:r>
        <w:t xml:space="preserve"> </w:t>
      </w:r>
      <w:r>
        <w:t xml:space="preserve">impacts of energy infrastructure projects.</w:t>
      </w:r>
      <w:r>
        <w:t xml:space="preserve"> </w:t>
      </w:r>
      <w:r>
        <w:t xml:space="preserve">14</w:t>
      </w:r>
      <w:r>
        <w:t xml:space="preserve"> </w:t>
      </w:r>
      <w:r>
        <w:t xml:space="preserve">7.1%</w:t>
      </w:r>
      <w:r>
        <w:t xml:space="preserve"> </w:t>
      </w:r>
      <w:r>
        <w:t xml:space="preserve">EU citizen</w:t>
      </w:r>
      <w:r>
        <w:t xml:space="preserve"> </w:t>
      </w:r>
      <w:r>
        <w:t xml:space="preserve">Direct beneficiaries and contributors to the energy</w:t>
      </w:r>
      <w:r>
        <w:t xml:space="preserve"> </w:t>
      </w:r>
      <w:r>
        <w:t xml:space="preserve">transition; essential for shaping inclusive energy</w:t>
      </w:r>
      <w:r>
        <w:t xml:space="preserve"> </w:t>
      </w:r>
      <w:r>
        <w:t xml:space="preserve">policies.</w:t>
      </w:r>
      <w:r>
        <w:t xml:space="preserve"> </w:t>
      </w:r>
      <w:r>
        <w:t xml:space="preserve">12</w:t>
      </w:r>
      <w:r>
        <w:t xml:space="preserve"> </w:t>
      </w:r>
      <w:r>
        <w:t xml:space="preserve">6.1%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Responsible for implementing and enforcing TEN-E</w:t>
      </w:r>
      <w:r>
        <w:t xml:space="preserve"> </w:t>
      </w:r>
      <w:r>
        <w:t xml:space="preserve">Regulation at various administrative levels.</w:t>
      </w:r>
      <w:r>
        <w:t xml:space="preserve"> </w:t>
      </w:r>
      <w:r>
        <w:t xml:space="preserve">10</w:t>
      </w:r>
      <w:r>
        <w:t xml:space="preserve"> </w:t>
      </w:r>
      <w:r>
        <w:t xml:space="preserve">5.1%</w:t>
      </w:r>
      <w:r>
        <w:t xml:space="preserve"> </w:t>
      </w:r>
      <w:r>
        <w:t xml:space="preserve">Other</w:t>
      </w:r>
      <w:r>
        <w:t xml:space="preserve"> </w:t>
      </w:r>
      <w:r>
        <w:t xml:space="preserve">Miscellaneous entities with indirect relevance to the</w:t>
      </w:r>
      <w:r>
        <w:t xml:space="preserve"> </w:t>
      </w:r>
      <w:r>
        <w:t xml:space="preserve">TEN-E Regulation.</w:t>
      </w:r>
      <w:r>
        <w:t xml:space="preserve"> </w:t>
      </w:r>
      <w:r>
        <w:t xml:space="preserve">8</w:t>
      </w:r>
      <w:r>
        <w:t xml:space="preserve"> </w:t>
      </w:r>
      <w:r>
        <w:t xml:space="preserve">4.1%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Advocate for fair energy prices and transparency in</w:t>
      </w:r>
      <w:r>
        <w:t xml:space="preserve"> </w:t>
      </w:r>
      <w:r>
        <w:t xml:space="preserve">infrastructure projects.</w:t>
      </w:r>
      <w:r>
        <w:t xml:space="preserve"> </w:t>
      </w:r>
      <w:r>
        <w:t xml:space="preserve">3</w:t>
      </w:r>
      <w:r>
        <w:t xml:space="preserve"> </w:t>
      </w:r>
      <w:r>
        <w:t xml:space="preserve">1.5%</w:t>
      </w:r>
      <w:r>
        <w:t xml:space="preserve"> </w:t>
      </w:r>
      <w:r>
        <w:t xml:space="preserve">Environmental</w:t>
      </w:r>
      <w:r>
        <w:t xml:space="preserve"> </w:t>
      </w:r>
      <w:r>
        <w:t xml:space="preserve">organisation</w:t>
      </w:r>
      <w:r>
        <w:t xml:space="preserve"> </w:t>
      </w:r>
      <w:r>
        <w:t xml:space="preserve">Focus on ecological impacts of energy infrastructure and</w:t>
      </w:r>
      <w:r>
        <w:t xml:space="preserve"> </w:t>
      </w:r>
      <w:r>
        <w:t xml:space="preserve">promote sustainable practices.</w:t>
      </w:r>
      <w:r>
        <w:t xml:space="preserve"> </w:t>
      </w:r>
      <w:r>
        <w:t xml:space="preserve">3</w:t>
      </w:r>
      <w:r>
        <w:t xml:space="preserve"> </w:t>
      </w:r>
      <w:r>
        <w:t xml:space="preserve">1.5%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</w:t>
      </w:r>
      <w:r>
        <w:t xml:space="preserve"> </w:t>
      </w:r>
      <w:r>
        <w:t xml:space="preserve">Contribute expert knowledge and analysis to evaluate</w:t>
      </w:r>
      <w:r>
        <w:t xml:space="preserve"> </w:t>
      </w:r>
      <w:r>
        <w:t xml:space="preserve">policy scenarios and infrastructure impacts.</w:t>
      </w:r>
      <w:r>
        <w:t xml:space="preserve"> </w:t>
      </w:r>
      <w:r>
        <w:t xml:space="preserve">1</w:t>
      </w:r>
      <w:r>
        <w:t xml:space="preserve"> </w:t>
      </w:r>
      <w:r>
        <w:t xml:space="preserve">0.5%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May be indirectly affected by cross-border energy</w:t>
      </w:r>
      <w:r>
        <w:t xml:space="preserve"> </w:t>
      </w:r>
      <w:r>
        <w:t xml:space="preserve">infrastructure and policies.</w:t>
      </w:r>
      <w:r>
        <w:t xml:space="preserve"> </w:t>
      </w:r>
      <w:r>
        <w:t xml:space="preserve">1</w:t>
      </w:r>
      <w:r>
        <w:t xml:space="preserve"> </w:t>
      </w:r>
      <w:r>
        <w:t xml:space="preserve">0.5%</w:t>
      </w:r>
      <w:r>
        <w:t xml:space="preserve"> </w:t>
      </w:r>
      <w:r>
        <w:t xml:space="preserve">Trade union</w:t>
      </w:r>
      <w:r>
        <w:t xml:space="preserve"> </w:t>
      </w:r>
      <w:r>
        <w:t xml:space="preserve">Represent workers in the energy sector and provide</w:t>
      </w:r>
      <w:r>
        <w:t xml:space="preserve"> </w:t>
      </w:r>
      <w:r>
        <w:t xml:space="preserve">input on labour implications of TEN-E Regulation.</w:t>
      </w:r>
      <w:r>
        <w:t xml:space="preserve"> </w:t>
      </w:r>
      <w:r>
        <w:t xml:space="preserve">1</w:t>
      </w:r>
      <w:r>
        <w:t xml:space="preserve"> </w:t>
      </w:r>
      <w:r>
        <w:t xml:space="preserve">0.5%</w:t>
      </w:r>
      <w:r>
        <w:t xml:space="preserve"> </w:t>
      </w:r>
      <w:r>
        <w:t xml:space="preserve">Grand total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Furthermore, to analyse the responses in more depth, the stakeholder category</w:t>
      </w:r>
      <w:r>
        <w:t xml:space="preserve"> </w:t>
      </w:r>
      <w:r>
        <w:t xml:space="preserve">‘’Company/</w:t>
      </w:r>
      <w:r>
        <w:t xml:space="preserve"> </w:t>
      </w:r>
      <w:r>
        <w:t xml:space="preserve">business’</w:t>
      </w:r>
      <w:r>
        <w:t xml:space="preserve">’ was divided into further subcategories. The analysis details the responses of each</w:t>
      </w:r>
      <w:r>
        <w:t xml:space="preserve"> </w:t>
      </w:r>
      <w:r>
        <w:t xml:space="preserve">subcategory of companies/businesses, where a sizable variance can be seen. It should be noted</w:t>
      </w:r>
      <w:r>
        <w:t xml:space="preserve"> </w:t>
      </w:r>
      <w:r>
        <w:t xml:space="preserve">that, when dividing responses into subcategories, desk research on the respective stakeholder as</w:t>
      </w:r>
      <w:r>
        <w:t xml:space="preserve"> </w:t>
      </w:r>
      <w:r>
        <w:t xml:space="preserve">well as professional judgement was used for the disaggregation; this therefore does not represent</w:t>
      </w:r>
      <w:r>
        <w:t xml:space="preserve"> </w:t>
      </w:r>
      <w:r>
        <w:t xml:space="preserve">a classification explicitly provided by the respondents. The subcategories identified and the</w:t>
      </w:r>
      <w:r>
        <w:t xml:space="preserve"> </w:t>
      </w:r>
      <w:r>
        <w:t xml:space="preserve">distribution of respondents are as follows: 27 TSOs, 13 DSOs, 19 Project promoters, 21 Energy</w:t>
      </w:r>
      <w:r>
        <w:t xml:space="preserve"> </w:t>
      </w:r>
      <w:r>
        <w:t xml:space="preserve">generator/suppliers, 8 Energy offtakers, and 2 can be classified as other.159</w:t>
      </w:r>
      <w:r>
        <w:t xml:space="preserve"> </w:t>
      </w:r>
      <w:r>
        <w:t xml:space="preserve">In terms of the distribution of responses to the OPC by country (see Figure 5), most responses</w:t>
      </w:r>
      <w:r>
        <w:t xml:space="preserve"> </w:t>
      </w:r>
      <w:r>
        <w:t xml:space="preserve">were received from Belgium (46 responses, 23.4% of total), followed by Germany (24 responses,</w:t>
      </w:r>
      <w:r>
        <w:t xml:space="preserve"> </w:t>
      </w:r>
      <w:r>
        <w:t xml:space="preserve">12.2% of total), and Italy (16 responses, 8.1% of total).</w:t>
      </w:r>
      <w:r>
        <w:br/>
      </w:r>
      <w:r>
        <w:t xml:space="preserve">Figure 5: Distribution of responses per country</w:t>
      </w:r>
    </w:p>
    <w:p>
      <w:pPr>
        <w:pStyle w:val="Compact"/>
        <w:numPr>
          <w:ilvl w:val="0"/>
          <w:numId w:val="1012"/>
        </w:numPr>
      </w:pPr>
      <w:r>
        <w:t xml:space="preserve">FINDINGS</w:t>
      </w:r>
      <w:r>
        <w:t xml:space="preserve"> </w:t>
      </w:r>
      <w:r>
        <w:t xml:space="preserve">2.1.</w:t>
      </w:r>
      <w:r>
        <w:t xml:space="preserve"> </w:t>
      </w:r>
      <w:r>
        <w:t xml:space="preserve">General questions</w:t>
      </w:r>
      <w:r>
        <w:t xml:space="preserve"> </w:t>
      </w:r>
      <w:r>
        <w:t xml:space="preserve">When asked to what extent the current EU legal framework for grids delivers on its main</w:t>
      </w:r>
      <w:r>
        <w:t xml:space="preserve"> </w:t>
      </w:r>
      <w:r>
        <w:t xml:space="preserve">objectives (market integration, interconnections, competition/affordable energy prices, energy</w:t>
      </w:r>
      <w:r>
        <w:t xml:space="preserve"> </w:t>
      </w:r>
      <w:r>
        <w:t xml:space="preserve">security), more than half of respondents (53%; companies 56%, business associations 50%, NGOs</w:t>
      </w:r>
      <w:r>
        <w:t xml:space="preserve"> </w:t>
      </w:r>
      <w:r>
        <w:t xml:space="preserve">43%, public authorities 60%) agreed that it supports market integration, while 12% expressed</w:t>
      </w:r>
      <w:r>
        <w:t xml:space="preserve"> </w:t>
      </w:r>
      <w:r>
        <w:t xml:space="preserve">neutrality and 6% were unsure. Less than half of respondents (40%; companies 41%, business</w:t>
      </w:r>
    </w:p>
    <w:p>
      <w:pPr>
        <w:pStyle w:val="FirstParagraph"/>
      </w:pPr>
      <w:r>
        <w:t xml:space="preserve">159 Whereas TSOs and DSOs can relatively easily be identified the other categories leave more room for interpretation.</w:t>
      </w:r>
      <w:r>
        <w:t xml:space="preserve"> </w:t>
      </w:r>
      <w:r>
        <w:t xml:space="preserve">The project promoter category, for instance, includes organisations that develop infrastructure or non-infrastructure</w:t>
      </w:r>
      <w:r>
        <w:t xml:space="preserve"> </w:t>
      </w:r>
      <w:r>
        <w:t xml:space="preserve">(grid) solutions, energy suppliers include organisations that are interpreted to predominantly produce energy and</w:t>
      </w:r>
      <w:r>
        <w:t xml:space="preserve"> </w:t>
      </w:r>
      <w:r>
        <w:t xml:space="preserve">energy offtakers include organisations that are interpreted to predominantly consume energy, such as industrial</w:t>
      </w:r>
      <w:r>
        <w:t xml:space="preserve"> </w:t>
      </w:r>
      <w:r>
        <w:t xml:space="preserve">companies.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associations 39%, NGOs 14%, public authorities 70%) agreed that it supports interconnections,</w:t>
      </w:r>
      <w:r>
        <w:t xml:space="preserve"> </w:t>
      </w:r>
      <w:r>
        <w:t xml:space="preserve">with 20% expressing neutrality and 8% reporting uncertainty.</w:t>
      </w:r>
      <w:r>
        <w:br/>
      </w:r>
      <w:r>
        <w:t xml:space="preserve">Overall, public authorities believe that the framework performs well on interconnections: one</w:t>
      </w:r>
      <w:r>
        <w:t xml:space="preserve"> </w:t>
      </w:r>
      <w:r>
        <w:t xml:space="preserve">public authority mentioned that, for interconnections, there is no reason to expand the legal</w:t>
      </w:r>
      <w:r>
        <w:t xml:space="preserve"> </w:t>
      </w:r>
      <w:r>
        <w:t xml:space="preserve">framework as certain benefits were seen for border connections. Further, another public authority</w:t>
      </w:r>
      <w:r>
        <w:t xml:space="preserve"> </w:t>
      </w:r>
      <w:r>
        <w:t xml:space="preserve">mentioned that the current legal framework has enabled a high level of integration of national</w:t>
      </w:r>
      <w:r>
        <w:t xml:space="preserve"> </w:t>
      </w:r>
      <w:r>
        <w:t xml:space="preserve">markets, which should be seen as a positive outcome, as it has allowed wholesale markets to reach</w:t>
      </w:r>
      <w:r>
        <w:t xml:space="preserve"> </w:t>
      </w:r>
      <w:r>
        <w:t xml:space="preserve">satisfactory levels of liquidity and foster stronger complementarities between markets.</w:t>
      </w:r>
      <w:r>
        <w:br/>
      </w:r>
      <w:r>
        <w:t xml:space="preserve">Slightly higher levels of support (45% agreement; companies 49%, business associations 54%,</w:t>
      </w:r>
      <w:r>
        <w:t xml:space="preserve"> </w:t>
      </w:r>
      <w:r>
        <w:t xml:space="preserve">NGOs 14%, public authorities 40%) were observed for energy security, with 15% expressing a</w:t>
      </w:r>
      <w:r>
        <w:t xml:space="preserve"> </w:t>
      </w:r>
      <w:r>
        <w:t xml:space="preserve">neutral stance and 3% being uncertain. Less than a third of respondents (30%; companies 31%,</w:t>
      </w:r>
      <w:r>
        <w:t xml:space="preserve"> </w:t>
      </w:r>
      <w:r>
        <w:t xml:space="preserve">business associations 31%, NGOs 21%, public authorities 50%) agreed that the legal framework</w:t>
      </w:r>
      <w:r>
        <w:t xml:space="preserve"> </w:t>
      </w:r>
      <w:r>
        <w:t xml:space="preserve">supports competitiveness (energy price affordability), while 20% expressed a neutral stance and</w:t>
      </w:r>
      <w:r>
        <w:t xml:space="preserve"> </w:t>
      </w:r>
      <w:r>
        <w:t xml:space="preserve">3% were unsure.</w:t>
      </w:r>
      <w:r>
        <w:br/>
      </w:r>
      <w:r>
        <w:t xml:space="preserve">Regarding key barriers to developing grid infrastructure at the necessary pace for the energy</w:t>
      </w:r>
      <w:r>
        <w:t xml:space="preserve"> </w:t>
      </w:r>
      <w:r>
        <w:t xml:space="preserve">transition, most respondents ranked lengthy permitting as the leading obstacle (78%; companies</w:t>
      </w:r>
      <w:r>
        <w:t xml:space="preserve"> </w:t>
      </w:r>
      <w:r>
        <w:t xml:space="preserve">83%, business associations 89%, NGOs 57%, public authorities 40%), followed by insufficient</w:t>
      </w:r>
      <w:r>
        <w:t xml:space="preserve"> </w:t>
      </w:r>
      <w:r>
        <w:t xml:space="preserve">financing (59%; companies 61%, business associations 67%, NGOs 36%, public authorities 40%)</w:t>
      </w:r>
      <w:r>
        <w:t xml:space="preserve"> </w:t>
      </w:r>
      <w:r>
        <w:t xml:space="preserve">and regulatory uncertainty (58%; companies 69%, business associations 56%, NGOs 43%, public</w:t>
      </w:r>
      <w:r>
        <w:t xml:space="preserve"> </w:t>
      </w:r>
      <w:r>
        <w:t xml:space="preserve">authorities 40%). Several TSOs and DSOs mentioned that the current permitting procedures for</w:t>
      </w:r>
      <w:r>
        <w:t xml:space="preserve"> </w:t>
      </w:r>
      <w:r>
        <w:t xml:space="preserve">grid infrastructure are too long, leading to significant delays in the overall process. Further</w:t>
      </w:r>
      <w:r>
        <w:t xml:space="preserve"> </w:t>
      </w:r>
      <w:r>
        <w:t xml:space="preserve">comments were made by TSOs about insufficient funding as one of the reasons for major grid</w:t>
      </w:r>
      <w:r>
        <w:t xml:space="preserve"> </w:t>
      </w:r>
      <w:r>
        <w:t xml:space="preserve">delays. One TSO stated that currently TSO face unprecedented investment needs to meet the</w:t>
      </w:r>
      <w:r>
        <w:t xml:space="preserve"> </w:t>
      </w:r>
      <w:r>
        <w:t xml:space="preserve">current demand of the energy transition, and a further TSO argued for the need of improved</w:t>
      </w:r>
      <w:r>
        <w:t xml:space="preserve"> </w:t>
      </w:r>
      <w:r>
        <w:t xml:space="preserve">national regulatory funding models to encourage grid investments.</w:t>
      </w:r>
      <w:r>
        <w:br/>
      </w:r>
      <w:r>
        <w:t xml:space="preserve">About a third of respondents, also pointed to additional challenges, including a lack of skilled</w:t>
      </w:r>
      <w:r>
        <w:t xml:space="preserve"> </w:t>
      </w:r>
      <w:r>
        <w:t xml:space="preserve">workforce and poor coordination between grid planning and energy transition needs.</w:t>
      </w:r>
      <w:r>
        <w:t xml:space="preserve"> </w:t>
      </w:r>
      <w:r>
        <w:t xml:space="preserve">2.2.</w:t>
      </w:r>
      <w:r>
        <w:t xml:space="preserve"> </w:t>
      </w:r>
      <w:r>
        <w:t xml:space="preserve">EU Infrastructure planning</w:t>
      </w:r>
      <w:r>
        <w:t xml:space="preserve"> </w:t>
      </w:r>
      <w:r>
        <w:t xml:space="preserve">Respondents were asked to assess whether the current framework for the Ten-Year Network</w:t>
      </w:r>
      <w:r>
        <w:t xml:space="preserve"> </w:t>
      </w:r>
      <w:r>
        <w:t xml:space="preserve">Development Plan (TYNDP) and national transmission development plans ensure integrated and</w:t>
      </w:r>
      <w:r>
        <w:t xml:space="preserve"> </w:t>
      </w:r>
      <w:r>
        <w:t xml:space="preserve">coherent planning across EU and national levels. Little more than a third of respondents (37%;</w:t>
      </w:r>
      <w:r>
        <w:t xml:space="preserve"> </w:t>
      </w:r>
      <w:r>
        <w:t xml:space="preserve">companies 44%, business associations 37%, NGOs 7%, public authorities 30%) agreed with the</w:t>
      </w:r>
      <w:r>
        <w:t xml:space="preserve"> </w:t>
      </w:r>
      <w:r>
        <w:t xml:space="preserve">statement, while a similar proportion (34%) disagreed, 14% expressed neutrality and 15% were</w:t>
      </w:r>
      <w:r>
        <w:t xml:space="preserve"> </w:t>
      </w:r>
      <w:r>
        <w:t xml:space="preserve">uncertain.</w:t>
      </w:r>
      <w:r>
        <w:t xml:space="preserve"> </w:t>
      </w:r>
      <w:r>
        <w:t xml:space="preserve">Views on the extent to which the TYNDP identifies all cross-border infrastructure needs were</w:t>
      </w:r>
      <w:r>
        <w:t xml:space="preserve"> </w:t>
      </w:r>
      <w:r>
        <w:t xml:space="preserve">mixed: 34% (companies 37%, business associations 33%, NGOs 14%, public authorities 20%)</w:t>
      </w:r>
      <w:r>
        <w:t xml:space="preserve"> </w:t>
      </w:r>
      <w:r>
        <w:t xml:space="preserve">agreed, 22% expressed neutrality and 18% were uncertain. In terms of addressing relevant projects</w:t>
      </w:r>
      <w:r>
        <w:t xml:space="preserve"> </w:t>
      </w:r>
      <w:r>
        <w:t xml:space="preserve">to close infrastructure gaps, only 18% said the TYNDP sufficiently captures these needs, while</w:t>
      </w:r>
      <w:r>
        <w:t xml:space="preserve"> </w:t>
      </w:r>
      <w:r>
        <w:t xml:space="preserve">44% (companies 37%, business associations 43%, NGOs 86%, public authorities 50%) believed</w:t>
      </w:r>
      <w:r>
        <w:t xml:space="preserve"> </w:t>
      </w:r>
      <w:r>
        <w:t xml:space="preserve">it falls short, 22% expressed neutrality and 16% reported uncertainty. When analysing the replies</w:t>
      </w:r>
      <w:r>
        <w:t xml:space="preserve"> </w:t>
      </w:r>
      <w:r>
        <w:t xml:space="preserve">of stakeholders that strongly disagree that the TYNDP sufficiently captures project needs,</w:t>
      </w:r>
      <w:r>
        <w:t xml:space="preserve"> </w:t>
      </w:r>
      <w:r>
        <w:t xml:space="preserve">stakeholders mentioned that a stronger alignment is needed between the TYNDP, national</w:t>
      </w:r>
      <w:r>
        <w:t xml:space="preserve"> </w:t>
      </w:r>
      <w:r>
        <w:t xml:space="preserve">development plans and EU level scenarios. Further, another stakeholder mentioned that the current</w:t>
      </w:r>
      <w:r>
        <w:t xml:space="preserve"> </w:t>
      </w:r>
      <w:r>
        <w:t xml:space="preserve">TYNDP framework is not sufficiently adapted to the realities of more isolated regions, like island</w:t>
      </w:r>
      <w:r>
        <w:t xml:space="preserve"> </w:t>
      </w:r>
      <w:r>
        <w:t xml:space="preserve">regions where systems are not physically interconnected with Mainland Europe. A further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criticism mentioned is the absence of views and plans of DSOs DNDP in the TYNDP and the</w:t>
      </w:r>
      <w:r>
        <w:t xml:space="preserve"> </w:t>
      </w:r>
      <w:r>
        <w:t xml:space="preserve">build-up of future scenarios.</w:t>
      </w:r>
      <w:r>
        <w:t xml:space="preserve"> </w:t>
      </w:r>
      <w:r>
        <w:t xml:space="preserve">When asked whether the TYNDP should have a more top-down European approach to</w:t>
      </w:r>
      <w:r>
        <w:t xml:space="preserve"> </w:t>
      </w:r>
      <w:r>
        <w:t xml:space="preserve">infrastructure planning aimed at aligning network development with EU and Member State</w:t>
      </w:r>
      <w:r>
        <w:t xml:space="preserve"> </w:t>
      </w:r>
      <w:r>
        <w:t xml:space="preserve">climate and energy goals, 41% of respondents (companies 41%, business associations 43%, NGOs</w:t>
      </w:r>
      <w:r>
        <w:t xml:space="preserve"> </w:t>
      </w:r>
      <w:r>
        <w:t xml:space="preserve">14%, public authorities 40%) expressed disagreement and 36% reported agreement (12% of</w:t>
      </w:r>
      <w:r>
        <w:t xml:space="preserve"> </w:t>
      </w:r>
      <w:r>
        <w:t xml:space="preserve">respondents expressed a neutral stance, 11% did not know). Note that there is wide variance in</w:t>
      </w:r>
      <w:r>
        <w:t xml:space="preserve"> </w:t>
      </w:r>
      <w:r>
        <w:t xml:space="preserve">responses within the company category. While a strong majority (70%) of TSOs disagreed with</w:t>
      </w:r>
      <w:r>
        <w:t xml:space="preserve"> </w:t>
      </w:r>
      <w:r>
        <w:t xml:space="preserve">the statement, only 19% of project promotors, 29% of energy suppliers, 38% of energy offtakers,</w:t>
      </w:r>
      <w:r>
        <w:t xml:space="preserve"> </w:t>
      </w:r>
      <w:r>
        <w:t xml:space="preserve">and 46% of DSOs disagreed.</w:t>
      </w:r>
      <w:r>
        <w:br/>
      </w:r>
      <w:r>
        <w:t xml:space="preserve">Similarly, 41% of respondents (companies 42%, business associations 46%, NGOs 7%, public</w:t>
      </w:r>
      <w:r>
        <w:t xml:space="preserve"> </w:t>
      </w:r>
      <w:r>
        <w:t xml:space="preserve">authorities 30%) expressed disagreement with the TYNDP having a more top-down European</w:t>
      </w:r>
      <w:r>
        <w:t xml:space="preserve"> </w:t>
      </w:r>
      <w:r>
        <w:t xml:space="preserve">approach to better link identified needs and priority projects of common European interest</w:t>
      </w:r>
      <w:r>
        <w:t xml:space="preserve"> </w:t>
      </w:r>
      <w:r>
        <w:t xml:space="preserve">(agreement 36%, neutrality 12%, uncertainty 12%). Note that variance in responses within the</w:t>
      </w:r>
      <w:r>
        <w:t xml:space="preserve"> </w:t>
      </w:r>
      <w:r>
        <w:t xml:space="preserve">company category mirrors the previous question. While a strong majority (70%) of TSOs and</w:t>
      </w:r>
      <w:r>
        <w:t xml:space="preserve"> </w:t>
      </w:r>
      <w:r>
        <w:t xml:space="preserve">DSOs (62%) disagreed with the statement, only 19% of project promotors, 24% of energy</w:t>
      </w:r>
      <w:r>
        <w:t xml:space="preserve"> </w:t>
      </w:r>
      <w:r>
        <w:t xml:space="preserve">suppliers, and 38% of energy offtakers disagreed.</w:t>
      </w:r>
      <w:r>
        <w:t xml:space="preserve"> </w:t>
      </w:r>
      <w:r>
        <w:t xml:space="preserve">Yet, a majority of respondents (60%) (companies 53%, business associations 70%, NGOs 100%,</w:t>
      </w:r>
      <w:r>
        <w:t xml:space="preserve"> </w:t>
      </w:r>
      <w:r>
        <w:t xml:space="preserve">public authorities 50%) agreed that national projects should more clearly support EU-wide</w:t>
      </w:r>
      <w:r>
        <w:t xml:space="preserve"> </w:t>
      </w:r>
      <w:r>
        <w:t xml:space="preserve">priorities (17% was neutral and 13% uncertain). For those respondents who agreed, the argument</w:t>
      </w:r>
      <w:r>
        <w:t xml:space="preserve"> </w:t>
      </w:r>
      <w:r>
        <w:t xml:space="preserve">of serving pan-European interests was mentioned, especially for interconnectors. Further, one</w:t>
      </w:r>
      <w:r>
        <w:t xml:space="preserve"> </w:t>
      </w:r>
      <w:r>
        <w:t xml:space="preserve">TSO mentioned the need for a more top-down European view in identifying cross-border needs,</w:t>
      </w:r>
      <w:r>
        <w:t xml:space="preserve"> </w:t>
      </w:r>
      <w:r>
        <w:t xml:space="preserve">although the implementation of projects should remain at the regional level. Further, several</w:t>
      </w:r>
      <w:r>
        <w:t xml:space="preserve"> </w:t>
      </w:r>
      <w:r>
        <w:t xml:space="preserve">stakeholders mentioned that the TYNDP should adopt a stronger top-down European approach to</w:t>
      </w:r>
      <w:r>
        <w:t xml:space="preserve"> </w:t>
      </w:r>
      <w:r>
        <w:t xml:space="preserve">identify cross-border infrastructure needs and should go beyond the current bottom-up project</w:t>
      </w:r>
      <w:r>
        <w:t xml:space="preserve"> </w:t>
      </w:r>
      <w:r>
        <w:t xml:space="preserve">collection.</w:t>
      </w:r>
      <w:r>
        <w:br/>
      </w:r>
      <w:r>
        <w:t xml:space="preserve">When asked which elements should be included in the EU-level needs identification, a large</w:t>
      </w:r>
      <w:r>
        <w:t xml:space="preserve"> </w:t>
      </w:r>
      <w:r>
        <w:t xml:space="preserve">majority of respondents (76%; companies 79%, business associations 76%, NGOs 93%, public</w:t>
      </w:r>
      <w:r>
        <w:t xml:space="preserve"> </w:t>
      </w:r>
      <w:r>
        <w:t xml:space="preserve">authorities 70%) favoured the inclusion of cross-border projects, as well as internal reinforcements</w:t>
      </w:r>
      <w:r>
        <w:t xml:space="preserve"> </w:t>
      </w:r>
      <w:r>
        <w:t xml:space="preserve">required to support those projects (72%; companies 66%, business associations 78%, NGOs 93%,</w:t>
      </w:r>
      <w:r>
        <w:t xml:space="preserve"> </w:t>
      </w:r>
      <w:r>
        <w:t xml:space="preserve">public authorities 70%), and the adoption of a cross-sectoral planning approach (71%; companies</w:t>
      </w:r>
      <w:r>
        <w:t xml:space="preserve"> </w:t>
      </w:r>
      <w:r>
        <w:t xml:space="preserve">64%, business associations 87%, NGOs 86%, public authorities 50%).</w:t>
      </w:r>
      <w:r>
        <w:br/>
      </w:r>
      <w:r>
        <w:t xml:space="preserve">Additionally, 64% of respondents supported the idea of establishing connections with third</w:t>
      </w:r>
      <w:r>
        <w:t xml:space="preserve"> </w:t>
      </w:r>
      <w:r>
        <w:t xml:space="preserve">countries, and 54% supported the inclusion of non-infrastructure solutions such as grid-enhancing</w:t>
      </w:r>
      <w:r>
        <w:t xml:space="preserve"> </w:t>
      </w:r>
      <w:r>
        <w:t xml:space="preserve">technologies.</w:t>
      </w:r>
      <w:r>
        <w:t xml:space="preserve"> </w:t>
      </w:r>
      <w:r>
        <w:t xml:space="preserve">On whether the current two-year frequency of the system needs identification and scenario-</w:t>
      </w:r>
      <w:r>
        <w:t xml:space="preserve"> </w:t>
      </w:r>
      <w:r>
        <w:t xml:space="preserve">building processes is appropriate, the vast majority, about 85% of respondents, found the current</w:t>
      </w:r>
      <w:r>
        <w:t xml:space="preserve"> </w:t>
      </w:r>
      <w:r>
        <w:t xml:space="preserve">interval suitable; others suggested alternatives, particularly annual simplified updates. Finally,</w:t>
      </w:r>
      <w:r>
        <w:t xml:space="preserve"> </w:t>
      </w:r>
      <w:r>
        <w:t xml:space="preserve">54% of the respondents (companies 49%, business associations 63%, NGOs 71%, public</w:t>
      </w:r>
      <w:r>
        <w:t xml:space="preserve"> </w:t>
      </w:r>
      <w:r>
        <w:t xml:space="preserve">authorities 40%) indicated that the governance framework of the TYNDP, including stakeholder</w:t>
      </w:r>
      <w:r>
        <w:t xml:space="preserve"> </w:t>
      </w:r>
      <w:r>
        <w:t xml:space="preserve">roles, should be revised to enhance its effectiveness. Note there is a wide variance in responses</w:t>
      </w:r>
      <w:r>
        <w:t xml:space="preserve"> </w:t>
      </w:r>
      <w:r>
        <w:t xml:space="preserve">within the company category. A strong majority (70%) of TSOs disagreed with the statement,</w:t>
      </w:r>
      <w:r>
        <w:t xml:space="preserve"> </w:t>
      </w:r>
      <w:r>
        <w:t xml:space="preserve">followed by 50% of project promotors, energy offtakers and others and only 31% of DSOs and</w:t>
      </w:r>
      <w:r>
        <w:t xml:space="preserve"> </w:t>
      </w:r>
      <w:r>
        <w:t xml:space="preserve">38% of energy suppliers.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Electricity network planning at national level</w:t>
      </w:r>
      <w:r>
        <w:t xml:space="preserve"> </w:t>
      </w:r>
      <w:r>
        <w:t xml:space="preserve">Half of respondents (companies 61%, business associations 46%, NGOs 14%, public authorities</w:t>
      </w:r>
      <w:r>
        <w:t xml:space="preserve"> </w:t>
      </w:r>
      <w:r>
        <w:t xml:space="preserve">50%) considered the current legal framework for transmission network planning fit for purpose.</w:t>
      </w:r>
      <w:r>
        <w:t xml:space="preserve"> </w:t>
      </w:r>
      <w:r>
        <w:t xml:space="preserve">Note there is a wide variance in responses within the company category. Whereas a vast majority</w:t>
      </w:r>
      <w:r>
        <w:t xml:space="preserve"> </w:t>
      </w:r>
      <w:r>
        <w:t xml:space="preserve">of TSOs (85%), DSOs (62%), energy suppliers (76%) and 50% of energy offtakers and other</w:t>
      </w:r>
      <w:r>
        <w:t xml:space="preserve"> </w:t>
      </w:r>
      <w:r>
        <w:t xml:space="preserve">companies agreed with the statement, 84% of project promoters disagreed. Furthermore, a</w:t>
      </w:r>
      <w:r>
        <w:t xml:space="preserve"> </w:t>
      </w:r>
      <w:r>
        <w:t xml:space="preserve">majority, 61% (companies 56%, business associations 61%, NGOs 93%, public authorities 60%)</w:t>
      </w:r>
      <w:r>
        <w:t xml:space="preserve"> </w:t>
      </w:r>
      <w:r>
        <w:t xml:space="preserve">highlighted the need for stronger alignment between Member States in national transmission</w:t>
      </w:r>
      <w:r>
        <w:t xml:space="preserve"> </w:t>
      </w:r>
      <w:r>
        <w:t xml:space="preserve">development plans. In the company category, 78% of TSOs and 54% of DSOs stated that they</w:t>
      </w:r>
      <w:r>
        <w:t xml:space="preserve"> </w:t>
      </w:r>
      <w:r>
        <w:t xml:space="preserve">consider there to be sufficient alignment, whereas 52% of energy suppliers, 88% of energy</w:t>
      </w:r>
      <w:r>
        <w:t xml:space="preserve"> </w:t>
      </w:r>
      <w:r>
        <w:t xml:space="preserve">offtakers and nearly all (95%) project promotors expressed disagreement with the statement.</w:t>
      </w:r>
      <w:r>
        <w:t xml:space="preserve"> </w:t>
      </w:r>
      <w:r>
        <w:t xml:space="preserve">A larger majority, 73% (companies 69%, business associations 76%, NGOs 93%, public</w:t>
      </w:r>
      <w:r>
        <w:t xml:space="preserve"> </w:t>
      </w:r>
      <w:r>
        <w:t xml:space="preserve">authorities 60%) supported the idea of a need for better alignment between national transmission</w:t>
      </w:r>
      <w:r>
        <w:t xml:space="preserve"> </w:t>
      </w:r>
      <w:r>
        <w:t xml:space="preserve">and distribution network development plans across the EU. From the company category, a strong</w:t>
      </w:r>
      <w:r>
        <w:t xml:space="preserve"> </w:t>
      </w:r>
      <w:r>
        <w:t xml:space="preserve">majority of project promotors (95%), DSOs (77%), energy offtakers (75%) and energy suppliers</w:t>
      </w:r>
      <w:r>
        <w:t xml:space="preserve"> </w:t>
      </w:r>
      <w:r>
        <w:t xml:space="preserve">(67%) expressed this need, against only 48% of TSOs. Among the reasons mentioned were</w:t>
      </w:r>
      <w:r>
        <w:t xml:space="preserve"> </w:t>
      </w:r>
      <w:r>
        <w:t xml:space="preserve">increased transparency and that DSOs should be part of the scenario-building process in the</w:t>
      </w:r>
      <w:r>
        <w:t xml:space="preserve"> </w:t>
      </w:r>
      <w:r>
        <w:t xml:space="preserve">TYNDPs. One respondent stated that there is currently insufficient linkage between national and</w:t>
      </w:r>
      <w:r>
        <w:t xml:space="preserve"> </w:t>
      </w:r>
      <w:r>
        <w:t xml:space="preserve">cross-border plans and that national development plans currently support national needs, but are</w:t>
      </w:r>
      <w:r>
        <w:t xml:space="preserve"> </w:t>
      </w:r>
      <w:r>
        <w:t xml:space="preserve">not necessarily linked to identifying that support optimum cross-border growth.</w:t>
      </w:r>
      <w:r>
        <w:br/>
      </w:r>
      <w:r>
        <w:t xml:space="preserve">Among the elements identified for improvement, common scenarios were the top choice, though</w:t>
      </w:r>
      <w:r>
        <w:t xml:space="preserve"> </w:t>
      </w:r>
      <w:r>
        <w:t xml:space="preserve">still supported by little less than half of respondents (48%; companies 44%, business associations</w:t>
      </w:r>
      <w:r>
        <w:t xml:space="preserve"> </w:t>
      </w:r>
      <w:r>
        <w:t xml:space="preserve">50%, NGOs 86%, public authorities 40%), followed by alignment of planning scope and outlook</w:t>
      </w:r>
      <w:r>
        <w:t xml:space="preserve"> </w:t>
      </w:r>
      <w:r>
        <w:t xml:space="preserve">period (43%).</w:t>
      </w:r>
      <w:r>
        <w:t xml:space="preserve"> </w:t>
      </w:r>
      <w:r>
        <w:t xml:space="preserve">Concerning the national distribution network development plans, 34% of respondents agreed that</w:t>
      </w:r>
      <w:r>
        <w:t xml:space="preserve"> </w:t>
      </w:r>
      <w:r>
        <w:t xml:space="preserve">the existing legal framework is not fit for purpose (companies 24%, business associations 44%,</w:t>
      </w:r>
      <w:r>
        <w:t xml:space="preserve"> </w:t>
      </w:r>
      <w:r>
        <w:t xml:space="preserve">NGOs 50%, public authorities 50%), while 16% were neutral and 23% expressed uncertainty.</w:t>
      </w:r>
      <w:r>
        <w:t xml:space="preserve"> </w:t>
      </w:r>
      <w:r>
        <w:t xml:space="preserve">Regarding whether the coverage of small DSOs is sufficient, 30% of respondents were uncertain</w:t>
      </w:r>
      <w:r>
        <w:t xml:space="preserve"> </w:t>
      </w:r>
      <w:r>
        <w:t xml:space="preserve">(companies 39%, business associations 30%, NGOs 21%, public authorities 20%), 30% disagreed,</w:t>
      </w:r>
      <w:r>
        <w:t xml:space="preserve"> </w:t>
      </w:r>
      <w:r>
        <w:t xml:space="preserve">and 21% were neutral. On whether there is sufficient transparency of distribution network</w:t>
      </w:r>
      <w:r>
        <w:t xml:space="preserve"> </w:t>
      </w:r>
      <w:r>
        <w:t xml:space="preserve">development plans, 37% disagreed (companies 28%, business associations 39%, NGOs 71%,</w:t>
      </w:r>
      <w:r>
        <w:t xml:space="preserve"> </w:t>
      </w:r>
      <w:r>
        <w:t xml:space="preserve">public authorities 30%), with 17% neutral and 20% uncertain. Similarly, 37% of respondents</w:t>
      </w:r>
      <w:r>
        <w:t xml:space="preserve"> </w:t>
      </w:r>
      <w:r>
        <w:t xml:space="preserve">found the implementation of these plans insufficient and that their objectives are not met</w:t>
      </w:r>
      <w:r>
        <w:t xml:space="preserve"> </w:t>
      </w:r>
      <w:r>
        <w:t xml:space="preserve">(companies 26%, business associations 37%, NGOs 64%, public authorities 70%), while 17%</w:t>
      </w:r>
      <w:r>
        <w:t xml:space="preserve"> </w:t>
      </w:r>
      <w:r>
        <w:t xml:space="preserve">were neutral and 24% uncertain.</w:t>
      </w:r>
      <w:r>
        <w:br/>
      </w:r>
      <w:r>
        <w:t xml:space="preserve">Respondents mentioned the plans lack standardisation and could benefit from a more holistic</w:t>
      </w:r>
      <w:r>
        <w:t xml:space="preserve"> </w:t>
      </w:r>
      <w:r>
        <w:t xml:space="preserve">approach, with better coordination when implementing the plans. It was mentioned that DSOs</w:t>
      </w:r>
      <w:r>
        <w:t xml:space="preserve"> </w:t>
      </w:r>
      <w:r>
        <w:t xml:space="preserve">across the EU can benefit from sharing the DNDPs through a common EU repository to enhance</w:t>
      </w:r>
      <w:r>
        <w:t xml:space="preserve"> </w:t>
      </w:r>
      <w:r>
        <w:t xml:space="preserve">cooperation and share best practices. When asked whether distribution grid operators have</w:t>
      </w:r>
      <w:r>
        <w:t xml:space="preserve"> </w:t>
      </w:r>
      <w:r>
        <w:t xml:space="preserve">sufficient capacity to properly plan distribution grids, 27% expressed uncertainty (companies</w:t>
      </w:r>
      <w:r>
        <w:t xml:space="preserve"> </w:t>
      </w:r>
      <w:r>
        <w:t xml:space="preserve">34%, business associations 30%, NGOs 29%, public authorities 10%), 27% disagreed, and 21%</w:t>
      </w:r>
      <w:r>
        <w:t xml:space="preserve"> </w:t>
      </w:r>
      <w:r>
        <w:t xml:space="preserve">were neutral. Finally, 29% agreed that stronger coordination of distribution network planning is</w:t>
      </w:r>
      <w:r>
        <w:t xml:space="preserve"> </w:t>
      </w:r>
      <w:r>
        <w:t xml:space="preserve">needed at the EU level (companies 23%, business associations 33%, NGOs 64%, public authorities</w:t>
      </w:r>
      <w:r>
        <w:t xml:space="preserve"> </w:t>
      </w:r>
      <w:r>
        <w:t xml:space="preserve">30%), with 20% neutral and 24% uncertain.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2.4.</w:t>
      </w:r>
      <w:r>
        <w:t xml:space="preserve"> </w:t>
      </w:r>
      <w:r>
        <w:t xml:space="preserve">Permitting</w:t>
      </w:r>
      <w:r>
        <w:t xml:space="preserve"> </w:t>
      </w:r>
      <w:r>
        <w:t xml:space="preserve">About a third of respondents (34%; companies 36%, business associations 37%, NGOs 14%,</w:t>
      </w:r>
      <w:r>
        <w:t xml:space="preserve"> </w:t>
      </w:r>
      <w:r>
        <w:t xml:space="preserve">public authorities 10%) reported that the permitting provisions of the TEN-E regulation are not</w:t>
      </w:r>
      <w:r>
        <w:t xml:space="preserve"> </w:t>
      </w:r>
      <w:r>
        <w:t xml:space="preserve">clear and easy to implement, with 16% remaining neutral and 34% unsure. A vast majority of 83%</w:t>
      </w:r>
      <w:r>
        <w:t xml:space="preserve"> </w:t>
      </w:r>
      <w:r>
        <w:t xml:space="preserve">(companies 92%, business associations 83%, NGOs 29%, public authorities 70%) supported</w:t>
      </w:r>
      <w:r>
        <w:t xml:space="preserve"> </w:t>
      </w:r>
      <w:r>
        <w:t xml:space="preserve">simplifying and streamlining environmental assessments (only 5% neutral and 5% uncertain).</w:t>
      </w:r>
      <w:r>
        <w:t xml:space="preserve"> </w:t>
      </w:r>
      <w:r>
        <w:t xml:space="preserve">Similarly, 82% of respondents (companies 83%, business associations 81%, NGOs 79%, public</w:t>
      </w:r>
      <w:r>
        <w:t xml:space="preserve"> </w:t>
      </w:r>
      <w:r>
        <w:t xml:space="preserve">authorities 80%) agreed that permitting procedures should be fully digitalised (only 7% neutral</w:t>
      </w:r>
      <w:r>
        <w:t xml:space="preserve"> </w:t>
      </w:r>
      <w:r>
        <w:t xml:space="preserve">and 9% uncertain). Additionally, 77% of respondents (companies 78%, business associations</w:t>
      </w:r>
      <w:r>
        <w:t xml:space="preserve"> </w:t>
      </w:r>
      <w:r>
        <w:t xml:space="preserve">85%, NGOs 50%, public authorities 70%) agreed that deadlines for the permitting of networks</w:t>
      </w:r>
      <w:r>
        <w:t xml:space="preserve"> </w:t>
      </w:r>
      <w:r>
        <w:t xml:space="preserve">should be shortened or established where missing, with only 7% neutral and 9% uncertain.</w:t>
      </w:r>
      <w:r>
        <w:br/>
      </w:r>
      <w:r>
        <w:t xml:space="preserve">Moreover, 64% of respondents agreed that permitting procedures for storage assets should be</w:t>
      </w:r>
      <w:r>
        <w:t xml:space="preserve"> </w:t>
      </w:r>
      <w:r>
        <w:t xml:space="preserve">simplified (companies 59%, business associations 81%, NGOs 50%, public authorities 70%), with</w:t>
      </w:r>
      <w:r>
        <w:t xml:space="preserve"> </w:t>
      </w:r>
      <w:r>
        <w:t xml:space="preserve">13% remaining neutral and 18% uncertain. Slightly more (69%) supported simplifying permitting</w:t>
      </w:r>
      <w:r>
        <w:t xml:space="preserve"> </w:t>
      </w:r>
      <w:r>
        <w:t xml:space="preserve">procedures for distribution network projects, small-scale renewable projects, and activities such</w:t>
      </w:r>
      <w:r>
        <w:t xml:space="preserve"> </w:t>
      </w:r>
      <w:r>
        <w:t xml:space="preserve">as repurposing, refurbishment, and repowering (companies 67%, business associations 80%,</w:t>
      </w:r>
      <w:r>
        <w:t xml:space="preserve"> </w:t>
      </w:r>
      <w:r>
        <w:t xml:space="preserve">NGOs 50%, public authorities 60%), while 8% were neutral and 19% uncertain. Furthermore,</w:t>
      </w:r>
      <w:r>
        <w:t xml:space="preserve"> </w:t>
      </w:r>
      <w:r>
        <w:t xml:space="preserve">71% agreed that permitting procedures for hybrid projects (those combining different</w:t>
      </w:r>
      <w:r>
        <w:t xml:space="preserve"> </w:t>
      </w:r>
      <w:r>
        <w:t xml:space="preserve">technologies, including storage) and other innovative solutions should be simplified (companies</w:t>
      </w:r>
      <w:r>
        <w:t xml:space="preserve"> </w:t>
      </w:r>
      <w:r>
        <w:t xml:space="preserve">72%, business associations 85%, NGOs 43%, public authorities 60%), with 11% neutral and 14%</w:t>
      </w:r>
      <w:r>
        <w:t xml:space="preserve"> </w:t>
      </w:r>
      <w:r>
        <w:t xml:space="preserve">uncertain.</w:t>
      </w:r>
      <w:r>
        <w:t xml:space="preserve"> </w:t>
      </w:r>
      <w:r>
        <w:t xml:space="preserve">2.5.</w:t>
      </w:r>
      <w:r>
        <w:t xml:space="preserve"> </w:t>
      </w:r>
      <w:r>
        <w:t xml:space="preserve">Facilitating investments in grid infrastructure</w:t>
      </w:r>
      <w:r>
        <w:t xml:space="preserve"> </w:t>
      </w:r>
      <w:r>
        <w:t xml:space="preserve">As regards the functioning of the cross-border cost-allocation (CBCA) framework under the TEN-</w:t>
      </w:r>
      <w:r>
        <w:t xml:space="preserve"> </w:t>
      </w:r>
      <w:r>
        <w:t xml:space="preserve">E Regulation, 38% of the participants (companies 40%, business associations 37%, NGOs 36%,</w:t>
      </w:r>
      <w:r>
        <w:t xml:space="preserve"> </w:t>
      </w:r>
      <w:r>
        <w:t xml:space="preserve">public authorities 20%) stated that the framework is not fit for purpose, while 20% of respondents</w:t>
      </w:r>
      <w:r>
        <w:t xml:space="preserve"> </w:t>
      </w:r>
      <w:r>
        <w:t xml:space="preserve">remained neutral and 35% expressed no opinion. Participants cited CBCA’s complexity, lack of</w:t>
      </w:r>
      <w:r>
        <w:t xml:space="preserve"> </w:t>
      </w:r>
      <w:r>
        <w:t xml:space="preserve">transparency, and failure to incentivise cooperation among non-hosting countries. They also</w:t>
      </w:r>
      <w:r>
        <w:t xml:space="preserve"> </w:t>
      </w:r>
      <w:r>
        <w:t xml:space="preserve">highlighted the need for alternative financing mechanisms, clearer cost-sharing models, and</w:t>
      </w:r>
      <w:r>
        <w:t xml:space="preserve"> </w:t>
      </w:r>
      <w:r>
        <w:t xml:space="preserve">stronger political commitment to support cross-border infrastructure investments.</w:t>
      </w:r>
      <w:r>
        <w:br/>
      </w:r>
      <w:r>
        <w:t xml:space="preserve">In total, 37% of respondents (companies 30%, business associations 39%, NGOs 43%, public</w:t>
      </w:r>
      <w:r>
        <w:t xml:space="preserve"> </w:t>
      </w:r>
      <w:r>
        <w:t xml:space="preserve">authorities 30%) thought that an investment request within the CBCA framework could also cover</w:t>
      </w:r>
      <w:r>
        <w:t xml:space="preserve"> </w:t>
      </w:r>
      <w:r>
        <w:t xml:space="preserve">several projects (‘bundling’) to facilitate cost sharing amongst more Member State beneficiaries</w:t>
      </w:r>
      <w:r>
        <w:t xml:space="preserve"> </w:t>
      </w:r>
      <w:r>
        <w:t xml:space="preserve">– importantly, 25% were neutral and 32% uncertain. Similarly, 36% (companies 31%, business</w:t>
      </w:r>
      <w:r>
        <w:t xml:space="preserve"> </w:t>
      </w:r>
      <w:r>
        <w:t xml:space="preserve">associations 35%, NGOs 57%, public authorities 30%) favoured that the CBCA framework further</w:t>
      </w:r>
      <w:r>
        <w:t xml:space="preserve"> </w:t>
      </w:r>
      <w:r>
        <w:t xml:space="preserve">develops to facilitate the sharing of investment costs among countries, beyond hosting Member</w:t>
      </w:r>
      <w:r>
        <w:t xml:space="preserve"> </w:t>
      </w:r>
      <w:r>
        <w:t xml:space="preserve">States, in proportion to the expected benefits – importantly, 18% were neutral and 31% uncertain.</w:t>
      </w:r>
      <w:r>
        <w:br/>
      </w:r>
      <w:r>
        <w:t xml:space="preserve">On the role of involved actors (Member States, NRAs, ACER, TSOs), 34% (companies 33%,</w:t>
      </w:r>
      <w:r>
        <w:t xml:space="preserve"> </w:t>
      </w:r>
      <w:r>
        <w:t xml:space="preserve">business associations 33%, NGOs 43%, public authorities 20%) supported revising their</w:t>
      </w:r>
      <w:r>
        <w:t xml:space="preserve"> </w:t>
      </w:r>
      <w:r>
        <w:t xml:space="preserve">responsibilities to improve the process, while 22% expressed neutrality and 32% uncertainty.</w:t>
      </w:r>
      <w:r>
        <w:t xml:space="preserve"> </w:t>
      </w:r>
      <w:r>
        <w:t xml:space="preserve">When asked about other instruments beyond CBCA that should be considered or modified to</w:t>
      </w:r>
      <w:r>
        <w:t xml:space="preserve"> </w:t>
      </w:r>
      <w:r>
        <w:t xml:space="preserve">facilitate financing of cross-border infrastructure, 20% (companies 18%, business associations</w:t>
      </w:r>
      <w:r>
        <w:t xml:space="preserve"> </w:t>
      </w:r>
      <w:r>
        <w:t xml:space="preserve">20%, NGOs 21%, public authorities 40%) favoured sharing congestion income, 18% agreed with</w:t>
      </w:r>
      <w:r>
        <w:t xml:space="preserve"> </w:t>
      </w:r>
      <w:r>
        <w:t xml:space="preserve">the Inter-Transmission System Operator Compensation (ITC) mechanism, 17% preferred a</w:t>
      </w:r>
      <w:r>
        <w:t xml:space="preserve"> </w:t>
      </w:r>
      <w:r>
        <w:t xml:space="preserve">common/regional RAB, and 8% endorsed ex post conditionalities.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Regulatory risk (70%; companies 79%, business associations 67%, NGOs 57%, public authorities</w:t>
      </w:r>
      <w:r>
        <w:t xml:space="preserve"> </w:t>
      </w:r>
      <w:r>
        <w:t xml:space="preserve">30% - only 8% expressed neutrality and 14% uncertainty) and access to public funding (70%;</w:t>
      </w:r>
      <w:r>
        <w:t xml:space="preserve"> </w:t>
      </w:r>
      <w:r>
        <w:t xml:space="preserve">companies 76%, business associations 70%, NGOs 64%, public authorities 40% - only 11%</w:t>
      </w:r>
      <w:r>
        <w:t xml:space="preserve"> </w:t>
      </w:r>
      <w:r>
        <w:t xml:space="preserve">expressed neutrality and 13% uncertainty) were identified as the most significant financial</w:t>
      </w:r>
      <w:r>
        <w:t xml:space="preserve"> </w:t>
      </w:r>
      <w:r>
        <w:t xml:space="preserve">obstacles to infrastructure investment, followed by access to equity (55%), access to debt (53%),</w:t>
      </w:r>
      <w:r>
        <w:t xml:space="preserve"> </w:t>
      </w:r>
      <w:r>
        <w:t xml:space="preserve">and access to counter-guarantees (44%). Respondents pointed out that the current regulatory and</w:t>
      </w:r>
      <w:r>
        <w:t xml:space="preserve"> </w:t>
      </w:r>
      <w:r>
        <w:t xml:space="preserve">financial environment is generally covers the needs, but required investments for the energy</w:t>
      </w:r>
      <w:r>
        <w:t xml:space="preserve"> </w:t>
      </w:r>
      <w:r>
        <w:t xml:space="preserve">transition increase uncertainty, particularly in the development of hydrogen infrastructure.</w:t>
      </w:r>
      <w:r>
        <w:t xml:space="preserve"> </w:t>
      </w:r>
      <w:r>
        <w:t xml:space="preserve">Respondents also proposed improving grid digitalisation, streamlining permitting procedures, and</w:t>
      </w:r>
      <w:r>
        <w:t xml:space="preserve"> </w:t>
      </w:r>
      <w:r>
        <w:t xml:space="preserve">enhancing coordination between stakeholders to reduce investment risks. They emphasised the</w:t>
      </w:r>
      <w:r>
        <w:t xml:space="preserve"> </w:t>
      </w:r>
      <w:r>
        <w:t xml:space="preserve">need for regulatory clarity, political commitment, and better planning to attract private capital and</w:t>
      </w:r>
      <w:r>
        <w:t xml:space="preserve"> </w:t>
      </w:r>
      <w:r>
        <w:t xml:space="preserve">support long-term infrastructure development.</w:t>
      </w:r>
      <w:r>
        <w:t xml:space="preserve"> </w:t>
      </w:r>
      <w:r>
        <w:t xml:space="preserve">2.6.</w:t>
      </w:r>
      <w:r>
        <w:t xml:space="preserve"> </w:t>
      </w:r>
      <w:r>
        <w:t xml:space="preserve">Supply chains</w:t>
      </w:r>
      <w:r>
        <w:t xml:space="preserve"> </w:t>
      </w:r>
      <w:r>
        <w:t xml:space="preserve">Supply chain constraints and shortages in skilled labour appeared to remain key obstacles to grid</w:t>
      </w:r>
      <w:r>
        <w:t xml:space="preserve"> </w:t>
      </w:r>
      <w:r>
        <w:t xml:space="preserve">development. When asked whether current EU and national network development plans offer</w:t>
      </w:r>
      <w:r>
        <w:t xml:space="preserve"> </w:t>
      </w:r>
      <w:r>
        <w:t xml:space="preserve">sufficient visibility for supply chain investment planning, more than a third of respondents (37%;</w:t>
      </w:r>
      <w:r>
        <w:t xml:space="preserve"> </w:t>
      </w:r>
      <w:r>
        <w:t xml:space="preserve">companies 39%, business associations 37%, NGOs 50%, public authorities 10%) disagreed, with</w:t>
      </w:r>
      <w:r>
        <w:t xml:space="preserve"> </w:t>
      </w:r>
      <w:r>
        <w:t xml:space="preserve">23% remaining neutral and 15% uncertain. Additionally, half of the respondents (51%; companies</w:t>
      </w:r>
      <w:r>
        <w:t xml:space="preserve"> </w:t>
      </w:r>
      <w:r>
        <w:t xml:space="preserve">57%, business associations 56%, NGOs 57%, public authorities 20%) agreed that there is a need</w:t>
      </w:r>
      <w:r>
        <w:t xml:space="preserve"> </w:t>
      </w:r>
      <w:r>
        <w:t xml:space="preserve">for better visibility to ensure sufficient investment in the supply chains, with 20% remaining</w:t>
      </w:r>
      <w:r>
        <w:t xml:space="preserve"> </w:t>
      </w:r>
      <w:r>
        <w:t xml:space="preserve">neutral and 16% abstaining.</w:t>
      </w:r>
      <w:r>
        <w:br/>
      </w:r>
      <w:r>
        <w:t xml:space="preserve">Regarding the need for harmonisation of equipment requirements across the EU, a similar fraction</w:t>
      </w:r>
      <w:r>
        <w:t xml:space="preserve"> </w:t>
      </w:r>
      <w:r>
        <w:t xml:space="preserve">of respondents (52%; companies 52%, business associations 44%, NGOs 50%, public authorities</w:t>
      </w:r>
      <w:r>
        <w:t xml:space="preserve"> </w:t>
      </w:r>
      <w:r>
        <w:t xml:space="preserve">50%) agreed that this idea would help scale up production and repair capacities, while 19% were</w:t>
      </w:r>
      <w:r>
        <w:t xml:space="preserve"> </w:t>
      </w:r>
      <w:r>
        <w:t xml:space="preserve">neutral and 17% uncertain. Moreover, 66% of respondents (companies 71%, business associations</w:t>
      </w:r>
      <w:r>
        <w:t xml:space="preserve"> </w:t>
      </w:r>
      <w:r>
        <w:t xml:space="preserve">67%, NGOs 36%, public authorities 20%) agreed that further EU-level action is needed to address</w:t>
      </w:r>
      <w:r>
        <w:t xml:space="preserve"> </w:t>
      </w:r>
      <w:r>
        <w:t xml:space="preserve">supply chain bottlenecks, while 12% were neutral and 14% uncertain. A slightly lower fraction</w:t>
      </w:r>
      <w:r>
        <w:t xml:space="preserve"> </w:t>
      </w:r>
      <w:r>
        <w:t xml:space="preserve">though still a majority of respondents (60%) (companies 56%, business associations 74%, NGOs</w:t>
      </w:r>
      <w:r>
        <w:t xml:space="preserve"> </w:t>
      </w:r>
      <w:r>
        <w:t xml:space="preserve">43%, public authorities 40%) agreed on the need for additional EU action in the field of skills for</w:t>
      </w:r>
      <w:r>
        <w:t xml:space="preserve"> </w:t>
      </w:r>
      <w:r>
        <w:t xml:space="preserve">the energy sector, following recent initiatives such as the Union of Skills, while 18% were neutral</w:t>
      </w:r>
      <w:r>
        <w:t xml:space="preserve"> </w:t>
      </w:r>
      <w:r>
        <w:t xml:space="preserve">and 16% uncertain.</w:t>
      </w:r>
      <w:r>
        <w:t xml:space="preserve"> </w:t>
      </w:r>
      <w:r>
        <w:t xml:space="preserve">2.7.</w:t>
      </w:r>
      <w:r>
        <w:t xml:space="preserve"> </w:t>
      </w:r>
      <w:r>
        <w:t xml:space="preserve">Digitalisation and resilience</w:t>
      </w:r>
      <w:r>
        <w:t xml:space="preserve"> </w:t>
      </w:r>
      <w:r>
        <w:t xml:space="preserve">On whether more EU-level action is needed to enhance the visibility and quantified benefits of</w:t>
      </w:r>
      <w:r>
        <w:t xml:space="preserve"> </w:t>
      </w:r>
      <w:r>
        <w:t xml:space="preserve">digital, innovative, and grid-enhancing technologies, 62% of respondents (companies 56%,</w:t>
      </w:r>
      <w:r>
        <w:t xml:space="preserve"> </w:t>
      </w:r>
      <w:r>
        <w:t xml:space="preserve">business associations 67%, NGOs 79%, public authorities 50%) agreed, with 14% reporting</w:t>
      </w:r>
      <w:r>
        <w:t xml:space="preserve"> </w:t>
      </w:r>
      <w:r>
        <w:t xml:space="preserve">neutrality and 8% uncertainty. A larger majority, 76% (companies 71%, business associations</w:t>
      </w:r>
      <w:r>
        <w:t xml:space="preserve"> </w:t>
      </w:r>
      <w:r>
        <w:t xml:space="preserve">78%, NGOs 86%, public authorities 90%) argued that further measures are needed to increase the</w:t>
      </w:r>
      <w:r>
        <w:t xml:space="preserve"> </w:t>
      </w:r>
      <w:r>
        <w:t xml:space="preserve">efficiency of the existing grid.</w:t>
      </w:r>
      <w:r>
        <w:br/>
      </w:r>
      <w:r>
        <w:t xml:space="preserve">With respect to flexibility planning, about a third of participants (31%; companies 33%, business</w:t>
      </w:r>
      <w:r>
        <w:t xml:space="preserve"> </w:t>
      </w:r>
      <w:r>
        <w:t xml:space="preserve">associations 31%, NGOs 14%, public authorities 20%) agreed that the current regulatory</w:t>
      </w:r>
      <w:r>
        <w:t xml:space="preserve"> </w:t>
      </w:r>
      <w:r>
        <w:t xml:space="preserve">framework sufficiently integrates flexibility needs into network planning and development, with</w:t>
      </w:r>
      <w:r>
        <w:t xml:space="preserve"> </w:t>
      </w:r>
      <w:r>
        <w:t xml:space="preserve">16% showing neutrality and 8% uncertainty.</w:t>
      </w:r>
      <w:r>
        <w:br/>
      </w:r>
      <w:r>
        <w:t xml:space="preserve">On the topic of security and resilience, 38% of respondents (companies 37%, business associations</w:t>
      </w:r>
      <w:r>
        <w:t xml:space="preserve"> </w:t>
      </w:r>
      <w:r>
        <w:t xml:space="preserve">44%, NGOs 36%, public authorities 40%) advocated that the EU legal framework, beyond the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TEN-E Regulation, does not sufficiently address emerging risks such as climate change impacts;</w:t>
      </w:r>
      <w:r>
        <w:t xml:space="preserve"> </w:t>
      </w:r>
      <w:r>
        <w:t xml:space="preserve">however, 18% of respondents were neutral and 32% uncertain. Moreover, 36% (companies 33%,</w:t>
      </w:r>
      <w:r>
        <w:t xml:space="preserve"> </w:t>
      </w:r>
      <w:r>
        <w:t xml:space="preserve">business associations 31%, NGOs 29%, public authorities 60%) agreed that extra security criteria</w:t>
      </w:r>
      <w:r>
        <w:t xml:space="preserve"> </w:t>
      </w:r>
      <w:r>
        <w:t xml:space="preserve">for PCIs and PMIs to enhance protection against physical and cyber risks are needed, with 14%</w:t>
      </w:r>
      <w:r>
        <w:t xml:space="preserve"> </w:t>
      </w:r>
      <w:r>
        <w:t xml:space="preserve">indicating neutrality and 27% uncertainty. Furthermore, only 14% indicated that the framework</w:t>
      </w:r>
      <w:r>
        <w:t xml:space="preserve"> </w:t>
      </w:r>
      <w:r>
        <w:t xml:space="preserve">addresses the exclusion of non-trusted actors from participating in critical infrastructure projects,</w:t>
      </w:r>
      <w:r>
        <w:t xml:space="preserve"> </w:t>
      </w:r>
      <w:r>
        <w:t xml:space="preserve">with 19% revealing neutrality and almost a majority, 45% (companies 41%, business associations</w:t>
      </w:r>
      <w:r>
        <w:t xml:space="preserve"> </w:t>
      </w:r>
      <w:r>
        <w:t xml:space="preserve">48%, NGOs 86%, public authorities 40%) being uncertain.</w:t>
      </w:r>
      <w:r>
        <w:t xml:space="preserve"> </w:t>
      </w:r>
      <w:r>
        <w:t xml:space="preserve">2.8.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When asked about simplifying the PCI/PMI selection process, 42% of respondents (companies</w:t>
      </w:r>
      <w:r>
        <w:t xml:space="preserve"> </w:t>
      </w:r>
      <w:r>
        <w:t xml:space="preserve">50%, business associations 28%, NGOs 29%, public authorities 30%) opposed the idea of</w:t>
      </w:r>
      <w:r>
        <w:t xml:space="preserve"> </w:t>
      </w:r>
      <w:r>
        <w:t xml:space="preserve">reducing the current frequency of the selection process (every two years), for example to every</w:t>
      </w:r>
      <w:r>
        <w:t xml:space="preserve"> </w:t>
      </w:r>
      <w:r>
        <w:t xml:space="preserve">three years, with 17% remaining neutral and 28% uncertain. A majority of 59% (companies 63%,</w:t>
      </w:r>
      <w:r>
        <w:t xml:space="preserve"> </w:t>
      </w:r>
      <w:r>
        <w:t xml:space="preserve">business associations 57%, NGOs 36%, public authorities 50% - 12% neutral and 25% uncertain)</w:t>
      </w:r>
      <w:r>
        <w:t xml:space="preserve"> </w:t>
      </w:r>
      <w:r>
        <w:t xml:space="preserve">agreed that projects with PCI/PMI status should not be required to reapply for each PCI/PMI</w:t>
      </w:r>
      <w:r>
        <w:t xml:space="preserve"> </w:t>
      </w:r>
      <w:r>
        <w:t xml:space="preserve">process, provided certain conditions are met, and also advocated that the application process</w:t>
      </w:r>
      <w:r>
        <w:t xml:space="preserve"> </w:t>
      </w:r>
      <w:r>
        <w:t xml:space="preserve">should be further simplified (companies 63%, business associations 61%, NGOs 21%, public</w:t>
      </w:r>
      <w:r>
        <w:t xml:space="preserve"> </w:t>
      </w:r>
      <w:r>
        <w:t xml:space="preserve">authorities 40% - 12% neutral and 24% uncertain).</w:t>
      </w:r>
      <w:r>
        <w:br/>
      </w:r>
      <w:r>
        <w:t xml:space="preserve">Within the company subcategory, opinions vary significantly. 93% of the TSOs, 67% of the energy</w:t>
      </w:r>
      <w:r>
        <w:t xml:space="preserve"> </w:t>
      </w:r>
      <w:r>
        <w:t xml:space="preserve">suppliers and 50% of the energy offtakers agree that projects with PCI/PMI status should not be</w:t>
      </w:r>
      <w:r>
        <w:t xml:space="preserve"> </w:t>
      </w:r>
      <w:r>
        <w:t xml:space="preserve">required to reapply for each selection process. In contrast, only 46% of DSOs and 31% of the</w:t>
      </w:r>
      <w:r>
        <w:t xml:space="preserve"> </w:t>
      </w:r>
      <w:r>
        <w:t xml:space="preserve">project promoters support this exemption.</w:t>
      </w:r>
      <w:r>
        <w:br/>
      </w:r>
      <w:r>
        <w:t xml:space="preserve">Some stakeholders advocated for other ways to simplify the PCI/PMI process and to reduce its</w:t>
      </w:r>
      <w:r>
        <w:t xml:space="preserve"> </w:t>
      </w:r>
      <w:r>
        <w:t xml:space="preserve">length, for example by adopting a lighter approach to maintaining its PCI status for reapplication.</w:t>
      </w:r>
      <w:r>
        <w:t xml:space="preserve"> </w:t>
      </w:r>
      <w:r>
        <w:t xml:space="preserve">Further suggestions to improve the PCI/PMI status mentioned for the application to be reviewed</w:t>
      </w:r>
      <w:r>
        <w:t xml:space="preserve"> </w:t>
      </w:r>
      <w:r>
        <w:t xml:space="preserve">only on a limited number of occasions and questioned only in case of major discrepancies between</w:t>
      </w:r>
      <w:r>
        <w:t xml:space="preserve"> </w:t>
      </w:r>
      <w:r>
        <w:t xml:space="preserve">the situation when it was awarded and the latest set of scenarios. One stakeholder mentioned that</w:t>
      </w:r>
      <w:r>
        <w:t xml:space="preserve"> </w:t>
      </w:r>
      <w:r>
        <w:t xml:space="preserve">this would help avoid diverting scarce resources from project promoters and decrease the</w:t>
      </w:r>
      <w:r>
        <w:t xml:space="preserve"> </w:t>
      </w:r>
      <w:r>
        <w:t xml:space="preserve">uncertainty they face when preparing their project financing.</w:t>
      </w:r>
      <w:r>
        <w:t xml:space="preserve"> </w:t>
      </w:r>
      <w:r>
        <w:t xml:space="preserve">A similar pattern is observed for the simplification of the application process. Support is the</w:t>
      </w:r>
      <w:r>
        <w:t xml:space="preserve"> </w:t>
      </w:r>
      <w:r>
        <w:t xml:space="preserve">highest among TSOs (74%), energy generators (76%), DSOs (54%), and energy offtakers (50%),</w:t>
      </w:r>
      <w:r>
        <w:t xml:space="preserve"> </w:t>
      </w:r>
      <w:r>
        <w:t xml:space="preserve">while only 44% of the project promoters agree with simplification of the application process.</w:t>
      </w:r>
      <w:r>
        <w:br/>
      </w:r>
      <w:r>
        <w:t xml:space="preserve">Regarding additional simplification measures, 45% (companies 50%, business associations 46%,</w:t>
      </w:r>
      <w:r>
        <w:t xml:space="preserve"> </w:t>
      </w:r>
      <w:r>
        <w:t xml:space="preserve">NGOs 14%, public authorities 30%) agreed on simplification in PCI/PMI project monitoring and</w:t>
      </w:r>
      <w:r>
        <w:t xml:space="preserve"> </w:t>
      </w:r>
      <w:r>
        <w:t xml:space="preserve">reporting,160 followed by 38% supporting simplification in the TYNDP process, and 31%</w:t>
      </w:r>
      <w:r>
        <w:t xml:space="preserve"> </w:t>
      </w:r>
      <w:r>
        <w:t xml:space="preserve">favouring simplification in the offshore network development planning process. One stakeholder</w:t>
      </w:r>
      <w:r>
        <w:t xml:space="preserve"> </w:t>
      </w:r>
      <w:r>
        <w:t xml:space="preserve">mentioned that the PCI/PMI project monitoring and reporting should be harmonised by bundling</w:t>
      </w:r>
      <w:r>
        <w:t xml:space="preserve"> </w:t>
      </w:r>
      <w:r>
        <w:t xml:space="preserve">data collection activities and submission to a single platform. Another stakeholder mentioned that</w:t>
      </w:r>
      <w:r>
        <w:t xml:space="preserve"> </w:t>
      </w:r>
      <w:r>
        <w:t xml:space="preserve">scenario building can be made more dynamic, infrastructure gap identification more transparent</w:t>
      </w:r>
      <w:r>
        <w:t xml:space="preserve"> </w:t>
      </w:r>
      <w:r>
        <w:t xml:space="preserve">and data-driven, and project assessment more streamlined. Offshore planning can benefit from a</w:t>
      </w:r>
      <w:r>
        <w:t xml:space="preserve"> </w:t>
      </w:r>
      <w:r>
        <w:t xml:space="preserve">more integrated and simplified approach to accelerate deployment.</w:t>
      </w:r>
    </w:p>
    <w:p>
      <w:pPr>
        <w:pStyle w:val="BodyText"/>
      </w:pPr>
      <w:r>
        <w:t xml:space="preserve">160 Importantly, 21% of respondents were neutral and 31% uncertain on this.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Looking more closely at the company subcategories, support for simplification in PCI/PMI project</w:t>
      </w:r>
      <w:r>
        <w:t xml:space="preserve"> </w:t>
      </w:r>
      <w:r>
        <w:t xml:space="preserve">monitoring and reporting was highest among TSOs (89%) and energy suppliers (52%). Only 15%</w:t>
      </w:r>
      <w:r>
        <w:t xml:space="preserve"> </w:t>
      </w:r>
      <w:r>
        <w:t xml:space="preserve">of DSOs and 31% of project promotors support this measure.</w:t>
      </w:r>
      <w:r>
        <w:br/>
      </w:r>
      <w:r>
        <w:t xml:space="preserve">In the TYNDP process, support for simplification varied across the components:</w:t>
      </w:r>
      <w:r>
        <w:t xml:space="preserve"> </w:t>
      </w:r>
      <w:r>
        <w:t xml:space="preserve">• Infrastructure gap identification: The highest levels of support came from TSOs (59%),</w:t>
      </w:r>
      <w:r>
        <w:t xml:space="preserve"> </w:t>
      </w:r>
      <w:r>
        <w:t xml:space="preserve">and energy suppliers (43%). Moderate support was observed among energy offtakers</w:t>
      </w:r>
      <w:r>
        <w:t xml:space="preserve"> </w:t>
      </w:r>
      <w:r>
        <w:t xml:space="preserve">(38%), while project promoters (19%) and DSOs (8%) showed the lowest levels of</w:t>
      </w:r>
      <w:r>
        <w:t xml:space="preserve"> </w:t>
      </w:r>
      <w:r>
        <w:t xml:space="preserve">agreement.</w:t>
      </w:r>
      <w:r>
        <w:t xml:space="preserve"> </w:t>
      </w:r>
      <w:r>
        <w:t xml:space="preserve">• Scenario building: Again, TSOs (70%) expressed the strongest support. This was followed</w:t>
      </w:r>
      <w:r>
        <w:t xml:space="preserve"> </w:t>
      </w:r>
      <w:r>
        <w:t xml:space="preserve">by energy generators (38%) energy offtakers (25%), and DSOs (23%). Support among</w:t>
      </w:r>
      <w:r>
        <w:t xml:space="preserve"> </w:t>
      </w:r>
      <w:r>
        <w:t xml:space="preserve">Project Promoters remained low at 19%.</w:t>
      </w:r>
      <w:r>
        <w:t xml:space="preserve"> </w:t>
      </w:r>
      <w:r>
        <w:t xml:space="preserve">• Project assessment: The majority of TSOs (59%) agreed to simplification efforts. Only</w:t>
      </w:r>
      <w:r>
        <w:t xml:space="preserve"> </w:t>
      </w:r>
      <w:r>
        <w:t xml:space="preserve">38% of energy suppliers agreed, while project promoters (25%), DSOs (15%), and Energy</w:t>
      </w:r>
      <w:r>
        <w:t xml:space="preserve"> </w:t>
      </w:r>
      <w:r>
        <w:t xml:space="preserve">Offtakers (13%) expressed even fewer agreement.</w:t>
      </w:r>
      <w:r>
        <w:t xml:space="preserve"> </w:t>
      </w:r>
      <w:r>
        <w:t xml:space="preserve">In the area of offshore network development planning, the company subcategories’ views were</w:t>
      </w:r>
      <w:r>
        <w:t xml:space="preserve"> </w:t>
      </w:r>
      <w:r>
        <w:t xml:space="preserve">mixed, with a notable degree of uncertainty. 37% of all company/business type respondents</w:t>
      </w:r>
      <w:r>
        <w:t xml:space="preserve"> </w:t>
      </w:r>
      <w:r>
        <w:t xml:space="preserve">selected</w:t>
      </w:r>
      <w:r>
        <w:t xml:space="preserve"> </w:t>
      </w:r>
      <w:r>
        <w:t xml:space="preserve">“Don’t know”</w:t>
      </w:r>
      <w:r>
        <w:t xml:space="preserve">, with this figure rising sharply to 77% among DSOs, indicating a lack of</w:t>
      </w:r>
      <w:r>
        <w:t xml:space="preserve"> </w:t>
      </w:r>
      <w:r>
        <w:t xml:space="preserve">clarity or familiarity with the topic. Among those expressing a clear opinion, TSOs showed the</w:t>
      </w:r>
      <w:r>
        <w:t xml:space="preserve"> </w:t>
      </w:r>
      <w:r>
        <w:t xml:space="preserve">highest level of support for simplification, with 44%. This was followed by Energy Offtakers</w:t>
      </w:r>
      <w:r>
        <w:t xml:space="preserve"> </w:t>
      </w:r>
      <w:r>
        <w:t xml:space="preserve">(38%), Energy Generators/Suppliers (34%), and Project Promoters (22%).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Summary of the implementation of the preferred policy option</w:t>
      </w:r>
      <w:r>
        <w:br/>
      </w:r>
      <w:r>
        <w:t xml:space="preserve">The primary objective of the initiative is to improve the energy infrastructure planning</w:t>
      </w:r>
      <w:r>
        <w:t xml:space="preserve"> </w:t>
      </w:r>
      <w:r>
        <w:t xml:space="preserve">framework so that it fosters deployment of the most effective and efficient solutions. It will also</w:t>
      </w:r>
      <w:r>
        <w:t xml:space="preserve"> </w:t>
      </w:r>
      <w:r>
        <w:t xml:space="preserve">help speed up deployment of priority infrastructure, improve its climate resilience and security.</w:t>
      </w:r>
      <w:r>
        <w:t xml:space="preserve"> </w:t>
      </w:r>
      <w:r>
        <w:t xml:space="preserve">The improved robustness and coordination of scenario building and needs identification at EU</w:t>
      </w:r>
      <w:r>
        <w:t xml:space="preserve"> </w:t>
      </w:r>
      <w:r>
        <w:t xml:space="preserve">level will support infrastructure planning at national level by TSOs and NRAs.</w:t>
      </w:r>
      <w:r>
        <w:br/>
      </w:r>
      <w:r>
        <w:t xml:space="preserve">The following key target groups have been identified for this initiative:</w:t>
      </w:r>
      <w:r>
        <w:t xml:space="preserve"> </w:t>
      </w:r>
      <w:r>
        <w:t xml:space="preserve">• European citizens and consumers</w:t>
      </w:r>
      <w:r>
        <w:br/>
      </w:r>
      <w:r>
        <w:t xml:space="preserve">• Project promoters, including Transmission System Operators</w:t>
      </w:r>
      <w:r>
        <w:t xml:space="preserve"> </w:t>
      </w:r>
      <w:r>
        <w:t xml:space="preserve">• European TSO associations (ENTSO-E, ENTSO-G, and ENNOH)</w:t>
      </w:r>
      <w:r>
        <w:t xml:space="preserve"> </w:t>
      </w:r>
      <w:r>
        <w:t xml:space="preserve">• National Competent Authorities and their local and regional representatives (i.e. </w:t>
      </w:r>
      <w:r>
        <w:t xml:space="preserve"> </w:t>
      </w:r>
      <w:r>
        <w:t xml:space="preserve">Ministries and outermost regions)</w:t>
      </w:r>
      <w:r>
        <w:t xml:space="preserve"> </w:t>
      </w:r>
      <w:r>
        <w:t xml:space="preserve">• National Regulatory Authorities</w:t>
      </w:r>
      <w:r>
        <w:t xml:space="preserve"> </w:t>
      </w:r>
      <w:r>
        <w:t xml:space="preserve">• European Union Regulators</w:t>
      </w:r>
      <w:r>
        <w:br/>
      </w:r>
      <w:r>
        <w:t xml:space="preserve">• Distribution system operators and DSO branch organisations (including EU DSO entity)</w:t>
      </w:r>
      <w:r>
        <w:t xml:space="preserve"> </w:t>
      </w:r>
      <w:r>
        <w:t xml:space="preserve">• Energy producers / Industry</w:t>
      </w:r>
      <w:r>
        <w:t xml:space="preserve"> </w:t>
      </w:r>
      <w:r>
        <w:t xml:space="preserve">• Charging point operators</w:t>
      </w:r>
      <w:r>
        <w:br/>
      </w:r>
      <w:r>
        <w:t xml:space="preserve">The below table outlines the practical implications of the initiative for all key target groups</w:t>
      </w:r>
      <w:r>
        <w:t xml:space="preserve"> </w:t>
      </w:r>
      <w:r>
        <w:t xml:space="preserve">identified</w:t>
      </w:r>
      <w:r>
        <w:t xml:space="preserve"> </w:t>
      </w:r>
      <w:r>
        <w:t xml:space="preserve">Table 9: Implications of initiative for key target groups identified</w:t>
      </w:r>
      <w:r>
        <w:t xml:space="preserve"> </w:t>
      </w:r>
      <w:r>
        <w:t xml:space="preserve">Type of stakeholder per</w:t>
      </w:r>
      <w:r>
        <w:t xml:space="preserve"> </w:t>
      </w:r>
      <w:r>
        <w:t xml:space="preserve">target group</w:t>
      </w:r>
      <w:r>
        <w:t xml:space="preserve"> </w:t>
      </w:r>
      <w:r>
        <w:t xml:space="preserve">Practical implications</w:t>
      </w:r>
      <w:r>
        <w:t xml:space="preserve"> </w:t>
      </w:r>
      <w:r>
        <w:t xml:space="preserve">European citizens and</w:t>
      </w:r>
      <w:r>
        <w:t xml:space="preserve"> </w:t>
      </w:r>
      <w:r>
        <w:t xml:space="preserve">consumers</w:t>
      </w:r>
    </w:p>
    <w:p>
      <w:pPr>
        <w:pStyle w:val="BodyText"/>
      </w:pPr>
      <w:r>
        <w:t xml:space="preserve">Ensuring more fit for purpose energy infrastructure planning</w:t>
      </w:r>
      <w:r>
        <w:t xml:space="preserve"> </w:t>
      </w:r>
      <w:r>
        <w:t xml:space="preserve">will benefit citizens in several ways. Optimal and efficient</w:t>
      </w:r>
      <w:r>
        <w:t xml:space="preserve"> </w:t>
      </w:r>
      <w:r>
        <w:t xml:space="preserve">deployment of infrastructure and renewable energy assets will</w:t>
      </w:r>
      <w:r>
        <w:t xml:space="preserve"> </w:t>
      </w:r>
      <w:r>
        <w:t xml:space="preserve">support phase-out of fossil fuels and lower greenhouse gas</w:t>
      </w:r>
      <w:r>
        <w:t xml:space="preserve"> </w:t>
      </w:r>
      <w:r>
        <w:t xml:space="preserve">emissions.</w:t>
      </w:r>
      <w:r>
        <w:t xml:space="preserve"> </w:t>
      </w:r>
      <w:r>
        <w:t xml:space="preserve">Considering that grid expansion is a prerequisite for the energy</w:t>
      </w:r>
      <w:r>
        <w:t xml:space="preserve"> </w:t>
      </w:r>
      <w:r>
        <w:t xml:space="preserve">transition and for further electrification of the economy, high</w:t>
      </w:r>
      <w:r>
        <w:t xml:space="preserve"> </w:t>
      </w:r>
      <w:r>
        <w:t xml:space="preserve">investment costs in energy infrastructure are unavoidable.</w:t>
      </w:r>
      <w:r>
        <w:t xml:space="preserve"> </w:t>
      </w:r>
      <w:r>
        <w:t xml:space="preserve">These will also affect the tariffs covering the increased costs of</w:t>
      </w:r>
      <w:r>
        <w:t xml:space="preserve"> </w:t>
      </w:r>
      <w:r>
        <w:t xml:space="preserve">infrastructure. The Grids Package will help reduce the costs of</w:t>
      </w:r>
      <w:r>
        <w:t xml:space="preserve"> </w:t>
      </w:r>
      <w:r>
        <w:t xml:space="preserve">investments, by improving planning and identification of key</w:t>
      </w:r>
      <w:r>
        <w:t xml:space="preserve"> </w:t>
      </w:r>
      <w:r>
        <w:t xml:space="preserve">infrastructure priorities and supporting deployment of less</w:t>
      </w:r>
      <w:r>
        <w:t xml:space="preserve"> </w:t>
      </w:r>
      <w:r>
        <w:t xml:space="preserve">costly non-wired solutions.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Accelerated permitting process will also allow for a faster</w:t>
      </w:r>
      <w:r>
        <w:t xml:space="preserve"> </w:t>
      </w:r>
      <w:r>
        <w:t xml:space="preserve">implementation of key project, bringing forward the benefits</w:t>
      </w:r>
      <w:r>
        <w:t xml:space="preserve"> </w:t>
      </w:r>
      <w:r>
        <w:t xml:space="preserve">identified in cost-benefit analyses at national and regional level</w:t>
      </w:r>
      <w:r>
        <w:t xml:space="preserve"> </w:t>
      </w:r>
      <w:r>
        <w:t xml:space="preserve">and avoiding high dispatch costs for consumers associated with</w:t>
      </w:r>
      <w:r>
        <w:t xml:space="preserve"> </w:t>
      </w:r>
      <w:r>
        <w:t xml:space="preserve">delays.</w:t>
      </w:r>
      <w:r>
        <w:t xml:space="preserve"> </w:t>
      </w:r>
      <w:r>
        <w:t xml:space="preserve">By addressing the security concerns and improving climate</w:t>
      </w:r>
      <w:r>
        <w:t xml:space="preserve"> </w:t>
      </w:r>
      <w:r>
        <w:t xml:space="preserve">resilience of infrastructure, the Grids Package will reduce the</w:t>
      </w:r>
      <w:r>
        <w:t xml:space="preserve"> </w:t>
      </w:r>
      <w:r>
        <w:t xml:space="preserve">risk of black-outs and potential crisis situations caused by power</w:t>
      </w:r>
      <w:r>
        <w:t xml:space="preserve"> </w:t>
      </w:r>
      <w:r>
        <w:t xml:space="preserve">shortage, e.g. transport disruptions.</w:t>
      </w:r>
      <w:r>
        <w:t xml:space="preserve"> </w:t>
      </w:r>
      <w:r>
        <w:t xml:space="preserve">More top-down steering of infrastructure planning will further</w:t>
      </w:r>
      <w:r>
        <w:t xml:space="preserve"> </w:t>
      </w:r>
      <w:r>
        <w:t xml:space="preserve">increase transparency in scenarios and needs identification used</w:t>
      </w:r>
      <w:r>
        <w:t xml:space="preserve"> </w:t>
      </w:r>
      <w:r>
        <w:t xml:space="preserve">for the selection and implementation of PCIs and PMIs, which</w:t>
      </w:r>
      <w:r>
        <w:t xml:space="preserve"> </w:t>
      </w:r>
      <w:r>
        <w:t xml:space="preserve">will help citizens and consumers understand the benefits and</w:t>
      </w:r>
      <w:r>
        <w:t xml:space="preserve"> </w:t>
      </w:r>
      <w:r>
        <w:t xml:space="preserve">necessity for priority projects and hence improve public</w:t>
      </w:r>
      <w:r>
        <w:t xml:space="preserve"> </w:t>
      </w:r>
      <w:r>
        <w:t xml:space="preserve">acceptance.</w:t>
      </w:r>
      <w:r>
        <w:br/>
      </w:r>
      <w:r>
        <w:t xml:space="preserve">More visibility and predictability of planned infrastructure as</w:t>
      </w:r>
      <w:r>
        <w:t xml:space="preserve"> </w:t>
      </w:r>
      <w:r>
        <w:t xml:space="preserve">well as expansion of investments will have a positive impact on</w:t>
      </w:r>
      <w:r>
        <w:t xml:space="preserve"> </w:t>
      </w:r>
      <w:r>
        <w:t xml:space="preserve">energy sector employment.</w:t>
      </w:r>
      <w:r>
        <w:t xml:space="preserve"> </w:t>
      </w:r>
      <w:r>
        <w:t xml:space="preserve">Project</w:t>
      </w:r>
      <w:r>
        <w:t xml:space="preserve"> </w:t>
      </w:r>
      <w:r>
        <w:t xml:space="preserve">promoters,</w:t>
      </w:r>
      <w:r>
        <w:t xml:space="preserve"> </w:t>
      </w:r>
      <w:r>
        <w:t xml:space="preserve">including</w:t>
      </w:r>
      <w:r>
        <w:t xml:space="preserve"> </w:t>
      </w:r>
      <w:r>
        <w:t xml:space="preserve">Transmission</w:t>
      </w:r>
      <w:r>
        <w:t xml:space="preserve"> </w:t>
      </w:r>
      <w:r>
        <w:t xml:space="preserve">System Operators</w:t>
      </w:r>
    </w:p>
    <w:p>
      <w:pPr>
        <w:pStyle w:val="BodyText"/>
      </w:pPr>
      <w:r>
        <w:t xml:space="preserve">The overall effect on TSOs should be neutral. TSOs will have</w:t>
      </w:r>
      <w:r>
        <w:t xml:space="preserve"> </w:t>
      </w:r>
      <w:r>
        <w:t xml:space="preserve">some additional responsibilities, including to propose solutions</w:t>
      </w:r>
      <w:r>
        <w:t xml:space="preserve"> </w:t>
      </w:r>
      <w:r>
        <w:t xml:space="preserve">to possible unaddressed infrastructure gaps and assess and</w:t>
      </w:r>
      <w:r>
        <w:t xml:space="preserve"> </w:t>
      </w:r>
      <w:r>
        <w:t xml:space="preserve">report security vulnerability for the proposed projects.</w:t>
      </w:r>
      <w:r>
        <w:t xml:space="preserve"> </w:t>
      </w:r>
      <w:r>
        <w:t xml:space="preserve">However, stronger support and push towards non-wired</w:t>
      </w:r>
      <w:r>
        <w:t xml:space="preserve"> </w:t>
      </w:r>
      <w:r>
        <w:t xml:space="preserve">solutions will reduce the pressure on TSOs to pursue all</w:t>
      </w:r>
      <w:r>
        <w:t xml:space="preserve"> </w:t>
      </w:r>
      <w:r>
        <w:t xml:space="preserve">infrastructure projects.</w:t>
      </w:r>
      <w:r>
        <w:t xml:space="preserve"> </w:t>
      </w:r>
      <w:r>
        <w:t xml:space="preserve">Improved coordination with national plans and less stringent</w:t>
      </w:r>
      <w:r>
        <w:t xml:space="preserve"> </w:t>
      </w:r>
      <w:r>
        <w:t xml:space="preserve">requirements for internal lines to qualify for the PCI status will</w:t>
      </w:r>
      <w:r>
        <w:t xml:space="preserve"> </w:t>
      </w:r>
      <w:r>
        <w:t xml:space="preserve">help TSOs deliver key national infrastructure. Also, the</w:t>
      </w:r>
      <w:r>
        <w:t xml:space="preserve"> </w:t>
      </w:r>
      <w:r>
        <w:t xml:space="preserve">European Commission taking over responsibility for scenario</w:t>
      </w:r>
      <w:r>
        <w:t xml:space="preserve"> </w:t>
      </w:r>
      <w:r>
        <w:t xml:space="preserve">building should free personal capacity on TSO side, as TSOs</w:t>
      </w:r>
      <w:r>
        <w:t xml:space="preserve"> </w:t>
      </w:r>
      <w:r>
        <w:t xml:space="preserve">are closely involved in the TYNDP currently next to ENTSOs.</w:t>
      </w:r>
      <w:r>
        <w:t xml:space="preserve"> </w:t>
      </w:r>
      <w:r>
        <w:t xml:space="preserve">Moreover, thanks to reduced reporting and streamlining of the</w:t>
      </w:r>
      <w:r>
        <w:t xml:space="preserve"> </w:t>
      </w:r>
      <w:r>
        <w:t xml:space="preserve">PCI/PMI process fewer resources will be needed to propose and</w:t>
      </w:r>
      <w:r>
        <w:t xml:space="preserve"> </w:t>
      </w:r>
      <w:r>
        <w:t xml:space="preserve">keep projects in the Union list.</w:t>
      </w:r>
      <w:r>
        <w:br/>
      </w:r>
      <w:r>
        <w:t xml:space="preserve">More robust and predictable long-term planning will create</w:t>
      </w:r>
      <w:r>
        <w:t xml:space="preserve"> </w:t>
      </w:r>
      <w:r>
        <w:t xml:space="preserve">more certainty for investors, allowing project promoters to</w:t>
      </w:r>
      <w:r>
        <w:t xml:space="preserve"> </w:t>
      </w:r>
      <w:r>
        <w:t xml:space="preserve">obtain financing from the market. The streamlining and</w:t>
      </w:r>
      <w:r>
        <w:t xml:space="preserve"> </w:t>
      </w:r>
      <w:r>
        <w:t xml:space="preserve">acceleration of permitting will also lead to reduced costs, faster</w:t>
      </w:r>
      <w:r>
        <w:t xml:space="preserve"> </w:t>
      </w:r>
      <w:r>
        <w:t xml:space="preserve">project deployment, and improved certainty.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European TSO (ENTSO-</w:t>
      </w:r>
      <w:r>
        <w:t xml:space="preserve"> </w:t>
      </w:r>
      <w:r>
        <w:t xml:space="preserve">E,</w:t>
      </w:r>
      <w:r>
        <w:t xml:space="preserve"> </w:t>
      </w:r>
      <w:r>
        <w:t xml:space="preserve">ENTSO-G,</w:t>
      </w:r>
      <w:r>
        <w:t xml:space="preserve"> </w:t>
      </w:r>
      <w:r>
        <w:t xml:space="preserve">and</w:t>
      </w:r>
      <w:r>
        <w:t xml:space="preserve"> </w:t>
      </w:r>
      <w:r>
        <w:t xml:space="preserve">ENNOH)</w:t>
      </w:r>
    </w:p>
    <w:p>
      <w:pPr>
        <w:pStyle w:val="BodyText"/>
      </w:pPr>
      <w:r>
        <w:t xml:space="preserve">The main impact on European TSOs will come from the lower</w:t>
      </w:r>
      <w:r>
        <w:t xml:space="preserve"> </w:t>
      </w:r>
      <w:r>
        <w:t xml:space="preserve">frequency of scenarios and needs assessment which up to now</w:t>
      </w:r>
      <w:r>
        <w:t xml:space="preserve"> </w:t>
      </w:r>
      <w:r>
        <w:t xml:space="preserve">are under their responsibility. The lower frequency will help</w:t>
      </w:r>
      <w:r>
        <w:t xml:space="preserve"> </w:t>
      </w:r>
      <w:r>
        <w:t xml:space="preserve">reduce resource needs and ensure timely completion of other</w:t>
      </w:r>
      <w:r>
        <w:t xml:space="preserve"> </w:t>
      </w:r>
      <w:r>
        <w:t xml:space="preserve">TYNDP deliverables. Taking over scenario developments by</w:t>
      </w:r>
      <w:r>
        <w:t xml:space="preserve"> </w:t>
      </w:r>
      <w:r>
        <w:t xml:space="preserve">the European Commission will also bring additional savings to</w:t>
      </w:r>
      <w:r>
        <w:t xml:space="preserve"> </w:t>
      </w:r>
      <w:r>
        <w:t xml:space="preserve">these organisations.</w:t>
      </w:r>
      <w:r>
        <w:t xml:space="preserve"> </w:t>
      </w:r>
      <w:r>
        <w:t xml:space="preserve">They will continue to be key actors in infrastructure planning</w:t>
      </w:r>
      <w:r>
        <w:t xml:space="preserve"> </w:t>
      </w:r>
      <w:r>
        <w:t xml:space="preserve">but with less power and discretion on the approach to be taken</w:t>
      </w:r>
      <w:r>
        <w:t xml:space="preserve"> </w:t>
      </w:r>
      <w:r>
        <w:t xml:space="preserve">given the more prescriptive framework and ex ante steering. The</w:t>
      </w:r>
      <w:r>
        <w:t xml:space="preserve"> </w:t>
      </w:r>
      <w:r>
        <w:t xml:space="preserve">more defined rules will reduce the efforts needed to reach</w:t>
      </w:r>
      <w:r>
        <w:t xml:space="preserve"> </w:t>
      </w:r>
      <w:r>
        <w:t xml:space="preserve">agreement between the three organisations on various aspects of</w:t>
      </w:r>
      <w:r>
        <w:t xml:space="preserve"> </w:t>
      </w:r>
      <w:r>
        <w:t xml:space="preserve">the planning which under the current framework was often both</w:t>
      </w:r>
      <w:r>
        <w:t xml:space="preserve"> </w:t>
      </w:r>
      <w:r>
        <w:t xml:space="preserve">time and resource consuming.</w:t>
      </w:r>
      <w:r>
        <w:t xml:space="preserve"> </w:t>
      </w:r>
      <w:r>
        <w:t xml:space="preserve">National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and their local</w:t>
      </w:r>
      <w:r>
        <w:t xml:space="preserve"> </w:t>
      </w:r>
      <w:r>
        <w:t xml:space="preserve">and</w:t>
      </w:r>
      <w:r>
        <w:t xml:space="preserve"> </w:t>
      </w:r>
      <w:r>
        <w:t xml:space="preserve">regional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(i.e. </w:t>
      </w:r>
      <w:r>
        <w:t xml:space="preserve"> </w:t>
      </w:r>
      <w:r>
        <w:t xml:space="preserve">Ministries and outermost</w:t>
      </w:r>
      <w:r>
        <w:t xml:space="preserve"> </w:t>
      </w:r>
      <w:r>
        <w:t xml:space="preserve">regions)</w:t>
      </w:r>
    </w:p>
    <w:p>
      <w:pPr>
        <w:pStyle w:val="BodyText"/>
      </w:pPr>
      <w:r>
        <w:t xml:space="preserve">The initiative will increase the involvement of Member States</w:t>
      </w:r>
      <w:r>
        <w:t xml:space="preserve"> </w:t>
      </w:r>
      <w:r>
        <w:t xml:space="preserve">in the infrastructure needs identification process as well as</w:t>
      </w:r>
      <w:r>
        <w:t xml:space="preserve"> </w:t>
      </w:r>
      <w:r>
        <w:t xml:space="preserve">identification of possible solutions. Consequently, additional</w:t>
      </w:r>
      <w:r>
        <w:t xml:space="preserve"> </w:t>
      </w:r>
      <w:r>
        <w:t xml:space="preserve">resources might need to be mobilised in the national authorities</w:t>
      </w:r>
      <w:r>
        <w:t xml:space="preserve"> </w:t>
      </w:r>
      <w:r>
        <w:t xml:space="preserve">to actively contribute to the process. However, this would also</w:t>
      </w:r>
      <w:r>
        <w:t xml:space="preserve"> </w:t>
      </w:r>
      <w:r>
        <w:t xml:space="preserve">give Ministries more influence on the outcomes on the process</w:t>
      </w:r>
      <w:r>
        <w:t xml:space="preserve"> </w:t>
      </w:r>
      <w:r>
        <w:t xml:space="preserve">and should ultimately lead to greater political and public</w:t>
      </w:r>
      <w:r>
        <w:t xml:space="preserve"> </w:t>
      </w:r>
      <w:r>
        <w:t xml:space="preserve">acceptance of grid planning and respective projects.</w:t>
      </w:r>
      <w:r>
        <w:br/>
      </w:r>
      <w:r>
        <w:t xml:space="preserve">National Competent Authorities (NCAs) would be faced with</w:t>
      </w:r>
      <w:r>
        <w:t xml:space="preserve"> </w:t>
      </w:r>
      <w:r>
        <w:t xml:space="preserve">tighter permitting deadlines but also streamlined and more</w:t>
      </w:r>
      <w:r>
        <w:t xml:space="preserve"> </w:t>
      </w:r>
      <w:r>
        <w:t xml:space="preserve">simplified requirements for grids. They would also need to</w:t>
      </w:r>
      <w:r>
        <w:t xml:space="preserve"> </w:t>
      </w:r>
      <w:r>
        <w:t xml:space="preserve">dedicate resources to the digitalisation of permitting procedures,</w:t>
      </w:r>
      <w:r>
        <w:t xml:space="preserve"> </w:t>
      </w:r>
      <w:r>
        <w:t xml:space="preserve">which are expected to lead to efficiency gains in a longer-term</w:t>
      </w:r>
      <w:r>
        <w:t xml:space="preserve"> </w:t>
      </w:r>
      <w:r>
        <w:t xml:space="preserve">perspective.</w:t>
      </w:r>
      <w:r>
        <w:br/>
      </w:r>
      <w:r>
        <w:t xml:space="preserve">National</w:t>
      </w:r>
      <w:r>
        <w:t xml:space="preserve"> </w:t>
      </w:r>
      <w:r>
        <w:t xml:space="preserve">Regulatory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The role of the NRAs will increase as they will be more involved</w:t>
      </w:r>
      <w:r>
        <w:t xml:space="preserve"> </w:t>
      </w:r>
      <w:r>
        <w:t xml:space="preserve">in the validation of the identified infrastructure gaps as well as</w:t>
      </w:r>
      <w:r>
        <w:t xml:space="preserve"> </w:t>
      </w:r>
      <w:r>
        <w:t xml:space="preserve">the solutions to fill the unaddressed needs. NRAs would also</w:t>
      </w:r>
      <w:r>
        <w:t xml:space="preserve"> </w:t>
      </w:r>
      <w:r>
        <w:t xml:space="preserve">need to better verify the application of the central scenario</w:t>
      </w:r>
      <w:r>
        <w:t xml:space="preserve"> </w:t>
      </w:r>
      <w:r>
        <w:t xml:space="preserve">developed by the Commission meaning that some more thorough</w:t>
      </w:r>
      <w:r>
        <w:t xml:space="preserve"> </w:t>
      </w:r>
      <w:r>
        <w:t xml:space="preserve">scrutiny of the NDPs will be needed, but it is not expected to</w:t>
      </w:r>
      <w:r>
        <w:t xml:space="preserve"> </w:t>
      </w:r>
      <w:r>
        <w:t xml:space="preserve">create much additional work.</w:t>
      </w:r>
      <w:r>
        <w:br/>
      </w:r>
      <w:r>
        <w:t xml:space="preserve">As regards CBCA, NRAs would have a new responsibility to</w:t>
      </w:r>
      <w:r>
        <w:t xml:space="preserve"> </w:t>
      </w:r>
      <w:r>
        <w:t xml:space="preserve">prepare coordinated CBCAs for the bundle of projects, but the</w:t>
      </w:r>
      <w:r>
        <w:t xml:space="preserve"> </w:t>
      </w:r>
      <w:r>
        <w:t xml:space="preserve">number of such project bundles is not expected to be very high.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Regulators (ACER)</w:t>
      </w:r>
      <w:r>
        <w:t xml:space="preserve"> </w:t>
      </w:r>
      <w:r>
        <w:t xml:space="preserve">ACER will have a strengthened role in setting a framework</w:t>
      </w:r>
      <w:r>
        <w:t xml:space="preserve"> </w:t>
      </w:r>
      <w:r>
        <w:t xml:space="preserve">methodology for the identification of infrastructure needs. It</w:t>
      </w:r>
      <w:r>
        <w:t xml:space="preserve"> </w:t>
      </w:r>
      <w:r>
        <w:t xml:space="preserve">will also validate the application of the methodology to ensure</w:t>
      </w:r>
      <w:r>
        <w:t xml:space="preserve"> </w:t>
      </w:r>
      <w:r>
        <w:t xml:space="preserve">that the needs are well captured. Monitoring exercise should be</w:t>
      </w:r>
      <w:r>
        <w:t xml:space="preserve"> </w:t>
      </w:r>
      <w:r>
        <w:t xml:space="preserve">merged with the processes under PCI/PMI assessment, which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would positively impact ACER from an administrative</w:t>
      </w:r>
      <w:r>
        <w:t xml:space="preserve"> </w:t>
      </w:r>
      <w:r>
        <w:t xml:space="preserve">perspective, but also bring ACER and NRA views earlier in the</w:t>
      </w:r>
      <w:r>
        <w:t xml:space="preserve"> </w:t>
      </w:r>
      <w:r>
        <w:t xml:space="preserve">assessment process. On the other hand, the formal role of ACER</w:t>
      </w:r>
      <w:r>
        <w:t xml:space="preserve"> </w:t>
      </w:r>
      <w:r>
        <w:t xml:space="preserve">will be more prominent in scenario development, as this task</w:t>
      </w:r>
      <w:r>
        <w:t xml:space="preserve"> </w:t>
      </w:r>
      <w:r>
        <w:t xml:space="preserve">will be taken over by the Commission. In addition, ACER</w:t>
      </w:r>
      <w:r>
        <w:t xml:space="preserve"> </w:t>
      </w:r>
      <w:r>
        <w:t xml:space="preserve">would have to update the CBCA Recommendation based on</w:t>
      </w:r>
      <w:r>
        <w:t xml:space="preserve"> </w:t>
      </w:r>
      <w:r>
        <w:t xml:space="preserve">principles include in the TEN-E framework.</w:t>
      </w:r>
      <w:r>
        <w:t xml:space="preserve"> </w:t>
      </w:r>
      <w:r>
        <w:t xml:space="preserve">Distribution</w:t>
      </w:r>
      <w:r>
        <w:t xml:space="preserve"> </w:t>
      </w:r>
      <w:r>
        <w:t xml:space="preserve">system</w:t>
      </w:r>
      <w:r>
        <w:t xml:space="preserve"> </w:t>
      </w:r>
      <w:r>
        <w:t xml:space="preserve">operators</w:t>
      </w:r>
      <w:r>
        <w:t xml:space="preserve"> </w:t>
      </w:r>
      <w:r>
        <w:t xml:space="preserve">There are no legal changes directly impacting the role of DSOs</w:t>
      </w:r>
      <w:r>
        <w:t xml:space="preserve"> </w:t>
      </w:r>
      <w:r>
        <w:t xml:space="preserve">or bringing further responsibilities. However, continuation of</w:t>
      </w:r>
      <w:r>
        <w:t xml:space="preserve"> </w:t>
      </w:r>
      <w:r>
        <w:t xml:space="preserve">ongoing initiatives and their strengthening (on smart and digital</w:t>
      </w:r>
      <w:r>
        <w:t xml:space="preserve"> </w:t>
      </w:r>
      <w:r>
        <w:t xml:space="preserve">technologies, use of common scenarios and better coordination</w:t>
      </w:r>
      <w:r>
        <w:t xml:space="preserve"> </w:t>
      </w:r>
      <w:r>
        <w:t xml:space="preserve">with TSOs as required by applicable legal framework) will lead</w:t>
      </w:r>
      <w:r>
        <w:t xml:space="preserve"> </w:t>
      </w:r>
      <w:r>
        <w:t xml:space="preserve">to increased role of DSOs.</w:t>
      </w:r>
      <w:r>
        <w:br/>
      </w:r>
      <w:r>
        <w:t xml:space="preserve">Energy</w:t>
      </w:r>
      <w:r>
        <w:t xml:space="preserve"> </w:t>
      </w:r>
      <w:r>
        <w:t xml:space="preserve">producers</w:t>
      </w:r>
      <w:r>
        <w:t xml:space="preserve"> </w:t>
      </w:r>
      <w:r>
        <w:t xml:space="preserve">/</w:t>
      </w:r>
      <w:r>
        <w:t xml:space="preserve"> </w:t>
      </w:r>
      <w:r>
        <w:t xml:space="preserve">Industry</w:t>
      </w:r>
    </w:p>
    <w:p>
      <w:pPr>
        <w:pStyle w:val="BodyText"/>
      </w:pPr>
      <w:r>
        <w:t xml:space="preserve">The initiative would bring significant positive benefits for energy</w:t>
      </w:r>
      <w:r>
        <w:t xml:space="preserve"> </w:t>
      </w:r>
      <w:r>
        <w:t xml:space="preserve">producers as well as energy consuming industry, as it aims to</w:t>
      </w:r>
      <w:r>
        <w:t xml:space="preserve"> </w:t>
      </w:r>
      <w:r>
        <w:t xml:space="preserve">improve alignment of grid planning with the expected pace of</w:t>
      </w:r>
      <w:r>
        <w:t xml:space="preserve"> </w:t>
      </w:r>
      <w:r>
        <w:t xml:space="preserve">energy generation deployment and consumption. This would</w:t>
      </w:r>
      <w:r>
        <w:t xml:space="preserve"> </w:t>
      </w:r>
      <w:r>
        <w:t xml:space="preserve">allow for earlier grid connection both on the consumption and</w:t>
      </w:r>
      <w:r>
        <w:t xml:space="preserve"> </w:t>
      </w:r>
      <w:r>
        <w:t xml:space="preserve">generation side, and hence positive micro and macro-economic</w:t>
      </w:r>
      <w:r>
        <w:t xml:space="preserve"> </w:t>
      </w:r>
      <w:r>
        <w:t xml:space="preserve">benefits stemming from higher SEW coming from electricity</w:t>
      </w:r>
      <w:r>
        <w:t xml:space="preserve"> </w:t>
      </w:r>
      <w:r>
        <w:t xml:space="preserve">generation (or avoided cost when waiting for delayed grid</w:t>
      </w:r>
      <w:r>
        <w:t xml:space="preserve"> </w:t>
      </w:r>
      <w:r>
        <w:t xml:space="preserve">connection).</w:t>
      </w:r>
      <w:r>
        <w:t xml:space="preserve"> </w:t>
      </w:r>
      <w:r>
        <w:t xml:space="preserve">Better incorporation of the non-wired solutions and grid</w:t>
      </w:r>
      <w:r>
        <w:t xml:space="preserve"> </w:t>
      </w:r>
      <w:r>
        <w:t xml:space="preserve">enhancing technologies would further support the market</w:t>
      </w:r>
      <w:r>
        <w:t xml:space="preserve"> </w:t>
      </w:r>
      <w:r>
        <w:t xml:space="preserve">expansion of these technologies. Streamlined and accelerated</w:t>
      </w:r>
      <w:r>
        <w:t xml:space="preserve"> </w:t>
      </w:r>
      <w:r>
        <w:t xml:space="preserve">permitting procedures for renewable energy projects would</w:t>
      </w:r>
      <w:r>
        <w:t xml:space="preserve"> </w:t>
      </w:r>
      <w:r>
        <w:t xml:space="preserve">improve investment certainty, facilitate quicker project</w:t>
      </w:r>
      <w:r>
        <w:t xml:space="preserve"> </w:t>
      </w:r>
      <w:r>
        <w:t xml:space="preserve">realisation and return on investment for renewable energy</w:t>
      </w:r>
      <w:r>
        <w:t xml:space="preserve"> </w:t>
      </w:r>
      <w:r>
        <w:t xml:space="preserve">producers. The initiative aims to significantly lower energy</w:t>
      </w:r>
      <w:r>
        <w:t xml:space="preserve"> </w:t>
      </w:r>
      <w:r>
        <w:t xml:space="preserve">system costs with positive implications for consumers, including</w:t>
      </w:r>
      <w:r>
        <w:t xml:space="preserve"> </w:t>
      </w:r>
      <w:r>
        <w:t xml:space="preserve">industry. While higher electricity grid investments could lead to</w:t>
      </w:r>
      <w:r>
        <w:t xml:space="preserve"> </w:t>
      </w:r>
      <w:r>
        <w:t xml:space="preserve">higher tariffs for all consumers, the overall lower energy system</w:t>
      </w:r>
      <w:r>
        <w:t xml:space="preserve"> </w:t>
      </w:r>
      <w:r>
        <w:t xml:space="preserve">costs would also be transferred on to consumers, including</w:t>
      </w:r>
      <w:r>
        <w:t xml:space="preserve"> </w:t>
      </w:r>
      <w:r>
        <w:t xml:space="preserve">industry, via lower wholesale electricity prices.</w:t>
      </w:r>
      <w:r>
        <w:br/>
      </w:r>
      <w:r>
        <w:t xml:space="preserve">By addressing security concerns and improving climate</w:t>
      </w:r>
      <w:r>
        <w:t xml:space="preserve"> </w:t>
      </w:r>
      <w:r>
        <w:t xml:space="preserve">resilience of infrastructure, the Grids Package will also</w:t>
      </w:r>
      <w:r>
        <w:t xml:space="preserve"> </w:t>
      </w:r>
      <w:r>
        <w:t xml:space="preserve">contribute to ensure more reliable energy supply, which is crucial</w:t>
      </w:r>
      <w:r>
        <w:t xml:space="preserve"> </w:t>
      </w:r>
      <w:r>
        <w:t xml:space="preserve">also for industrial consumers.</w:t>
      </w:r>
    </w:p>
    <w:p>
      <w:pPr>
        <w:pStyle w:val="Compact"/>
        <w:numPr>
          <w:ilvl w:val="0"/>
          <w:numId w:val="1013"/>
        </w:numPr>
      </w:pPr>
      <w:r>
        <w:t xml:space="preserve">SUMMARY OF COSTS AND BENEFITS</w:t>
      </w:r>
      <w:r>
        <w:t xml:space="preserve"> </w:t>
      </w:r>
      <w:r>
        <w:t xml:space="preserve">The assessment of benefits distinguishes between direct and indirect benefits of the preferred</w:t>
      </w:r>
      <w:r>
        <w:t xml:space="preserve"> </w:t>
      </w:r>
      <w:r>
        <w:t xml:space="preserve">policy option (policy option 2).</w:t>
      </w:r>
    </w:p>
    <w:p>
      <w:pPr>
        <w:pStyle w:val="FirstParagraph"/>
      </w:pPr>
      <w:r>
        <w:t xml:space="preserve">77</w:t>
      </w:r>
    </w:p>
    <w:p>
      <w:pPr>
        <w:pStyle w:val="BodyText"/>
      </w:pPr>
      <w:r>
        <w:t xml:space="preserve">Direct benefits of the preferred option are mainly related to reduction of energy system costs due</w:t>
      </w:r>
      <w:r>
        <w:t xml:space="preserve"> </w:t>
      </w:r>
      <w:r>
        <w:t xml:space="preserve">to improved infrastructure planning, reduced CO2 emissions from optimal grid functioning,</w:t>
      </w:r>
      <w:r>
        <w:t xml:space="preserve"> </w:t>
      </w:r>
      <w:r>
        <w:t xml:space="preserve">reduced re-dispatching of renewable energy sources and increased renewable energy integration.</w:t>
      </w:r>
      <w:r>
        <w:t xml:space="preserve"> </w:t>
      </w:r>
      <w:r>
        <w:t xml:space="preserve">Indirect benefits include overall reduced electricity price, increased competitiveness for European</w:t>
      </w:r>
      <w:r>
        <w:t xml:space="preserve"> </w:t>
      </w:r>
      <w:r>
        <w:t xml:space="preserve">businesses and industry, improved electrification and grid access for transport, industry and data</w:t>
      </w:r>
      <w:r>
        <w:t xml:space="preserve"> </w:t>
      </w:r>
      <w:r>
        <w:t xml:space="preserve">centres and greater energy system security.</w:t>
      </w:r>
      <w:r>
        <w:t xml:space="preserve"> </w:t>
      </w:r>
      <w:r>
        <w:t xml:space="preserve">Costs and benefits should usually be based on market price (reflecting the opportunity cost of</w:t>
      </w:r>
      <w:r>
        <w:t xml:space="preserve"> </w:t>
      </w:r>
      <w:r>
        <w:t xml:space="preserve">action). However, these are not always available and so other methods may be needed to express</w:t>
      </w:r>
      <w:r>
        <w:t xml:space="preserve"> </w:t>
      </w:r>
      <w:r>
        <w:t xml:space="preserve">impacts in monetary terms or indeed sometimes the impacts cannot be expressed in monetary</w:t>
      </w:r>
      <w:r>
        <w:t xml:space="preserve"> </w:t>
      </w:r>
      <w:r>
        <w:t xml:space="preserve">terms.</w:t>
      </w:r>
      <w:r>
        <w:t xml:space="preserve"> </w:t>
      </w:r>
      <w:r>
        <w:t xml:space="preserve">The below table summarises the direct and indirect benefits for the preferred policy option based</w:t>
      </w:r>
      <w:r>
        <w:t xml:space="preserve"> </w:t>
      </w:r>
      <w:r>
        <w:t xml:space="preserve">on best available data.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14 billion n EUR /year of reduction of system</w:t>
      </w:r>
      <w:r>
        <w:t xml:space="preserve"> </w:t>
      </w:r>
      <w:r>
        <w:t xml:space="preserve">costs (composed of total network investment</w:t>
      </w:r>
      <w:r>
        <w:t xml:space="preserve"> </w:t>
      </w:r>
      <w:r>
        <w:t xml:space="preserve">(including costs of related necessary internal</w:t>
      </w:r>
      <w:r>
        <w:t xml:space="preserve"> </w:t>
      </w:r>
      <w:r>
        <w:t xml:space="preserve">reinforcements and generation costs) until 2040</w:t>
      </w:r>
    </w:p>
    <w:p>
      <w:pPr>
        <w:pStyle w:val="BodyText"/>
      </w:pPr>
      <w:r>
        <w:t xml:space="preserve">Benefits coming from with the optimal grid</w:t>
      </w:r>
      <w:r>
        <w:t xml:space="preserve"> </w:t>
      </w:r>
      <w:r>
        <w:t xml:space="preserve">meaning</w:t>
      </w:r>
      <w:r>
        <w:t xml:space="preserve"> </w:t>
      </w:r>
      <w:r>
        <w:t xml:space="preserve">the</w:t>
      </w:r>
      <w:r>
        <w:t xml:space="preserve"> </w:t>
      </w:r>
      <w:r>
        <w:t xml:space="preserve">TYNDP</w:t>
      </w:r>
      <w:r>
        <w:t xml:space="preserve"> </w:t>
      </w:r>
      <w:r>
        <w:t xml:space="preserve">projects</w:t>
      </w:r>
      <w:r>
        <w:t xml:space="preserve"> </w:t>
      </w:r>
      <w:r>
        <w:t xml:space="preserve">and</w:t>
      </w:r>
      <w:r>
        <w:t xml:space="preserve"> </w:t>
      </w:r>
      <w:r>
        <w:t xml:space="preserve">addressing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identified</w:t>
      </w:r>
      <w:r>
        <w:t xml:space="preserve"> </w:t>
      </w:r>
      <w:r>
        <w:t xml:space="preserve">needs</w:t>
      </w:r>
      <w:r>
        <w:t xml:space="preserve"> </w:t>
      </w:r>
      <w:r>
        <w:t xml:space="preserve">associated with yearly investment of EUR</w:t>
      </w:r>
      <w:r>
        <w:t xml:space="preserve"> </w:t>
      </w:r>
      <w:r>
        <w:t xml:space="preserve">6 bn/year between 2025 and 2040. The</w:t>
      </w:r>
      <w:r>
        <w:t xml:space="preserve"> </w:t>
      </w:r>
      <w:r>
        <w:t xml:space="preserve">preferred option would help to achieve</w:t>
      </w:r>
      <w:r>
        <w:t xml:space="preserve"> </w:t>
      </w:r>
      <w:r>
        <w:t xml:space="preserve">those benefits, but the exact share is hard to</w:t>
      </w:r>
      <w:r>
        <w:t xml:space="preserve"> </w:t>
      </w:r>
      <w:r>
        <w:t xml:space="preserve">quantify.</w:t>
      </w:r>
    </w:p>
    <w:p>
      <w:pPr>
        <w:pStyle w:val="BodyText"/>
      </w:pPr>
      <w:r>
        <w:t xml:space="preserve">Reduced CO2 emissions</w:t>
      </w:r>
      <w:r>
        <w:br/>
      </w:r>
      <w:r>
        <w:t xml:space="preserve">27 Mton per year in the EU</w:t>
      </w:r>
      <w:r>
        <w:t xml:space="preserve"> </w:t>
      </w:r>
      <w:r>
        <w:t xml:space="preserve">As above, benefits coming from the</w:t>
      </w:r>
      <w:r>
        <w:t xml:space="preserve"> </w:t>
      </w:r>
      <w:r>
        <w:t xml:space="preserve">optimal grid.</w:t>
      </w:r>
      <w:r>
        <w:t xml:space="preserve"> </w:t>
      </w:r>
      <w:r>
        <w:t xml:space="preserve">Reduced redispatching of</w:t>
      </w:r>
      <w:r>
        <w:t xml:space="preserve"> </w:t>
      </w:r>
      <w:r>
        <w:t xml:space="preserve">RES</w:t>
      </w:r>
      <w:r>
        <w:t xml:space="preserve"> </w:t>
      </w:r>
      <w:r>
        <w:t xml:space="preserve">37 billion EUR/year in 2040</w:t>
      </w:r>
      <w:r>
        <w:t xml:space="preserve"> </w:t>
      </w:r>
      <w:r>
        <w:t xml:space="preserve">Benefits of avoided redispatching in case</w:t>
      </w:r>
      <w:r>
        <w:t xml:space="preserve"> </w:t>
      </w:r>
      <w:r>
        <w:t xml:space="preserve">of relevant grid buildout</w:t>
      </w:r>
      <w:r>
        <w:t xml:space="preserve"> </w:t>
      </w:r>
      <w:r>
        <w:t xml:space="preserve">RES integration</w:t>
      </w:r>
      <w:r>
        <w:t xml:space="preserve"> </w:t>
      </w:r>
      <w:r>
        <w:t xml:space="preserve">Avoiding curtailment of 143 TWh in 2040</w:t>
      </w:r>
      <w:r>
        <w:br/>
      </w:r>
      <w:r>
        <w:t xml:space="preserve">As above, benefits coming from the</w:t>
      </w:r>
      <w:r>
        <w:t xml:space="preserve"> </w:t>
      </w:r>
      <w:r>
        <w:t xml:space="preserve">optimal grid as well as accelerated</w:t>
      </w:r>
      <w:r>
        <w:t xml:space="preserve"> </w:t>
      </w:r>
      <w:r>
        <w:t xml:space="preserve">permitting procedures for grids, renewable</w:t>
      </w:r>
      <w:r>
        <w:t xml:space="preserve"> </w:t>
      </w:r>
      <w:r>
        <w:t xml:space="preserve">energy generation and storage projects as</w:t>
      </w:r>
      <w:r>
        <w:t xml:space="preserve"> </w:t>
      </w:r>
      <w:r>
        <w:t xml:space="preserve">well as recharging stations.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Electricity prices</w:t>
      </w:r>
      <w:r>
        <w:t xml:space="preserve"> </w:t>
      </w:r>
      <w:r>
        <w:t xml:space="preserve">Reduced tariff increases and retail prices</w:t>
      </w:r>
      <w:r>
        <w:t xml:space="preserve"> </w:t>
      </w:r>
      <w:r>
        <w:t xml:space="preserve">Non-wired solutions and planning based on</w:t>
      </w:r>
      <w:r>
        <w:t xml:space="preserve"> </w:t>
      </w:r>
      <w:r>
        <w:t xml:space="preserve">credible demand projections would lower</w:t>
      </w:r>
      <w:r>
        <w:t xml:space="preserve"> </w:t>
      </w:r>
      <w:r>
        <w:t xml:space="preserve">CAPEX needed to be recovered in tariffs.</w:t>
      </w:r>
      <w:r>
        <w:t xml:space="preserve"> </w:t>
      </w:r>
      <w:r>
        <w:t xml:space="preserve">Better planning allows better and faster</w:t>
      </w:r>
      <w:r>
        <w:t xml:space="preserve"> </w:t>
      </w:r>
      <w:r>
        <w:t xml:space="preserve">RES integration bringing lower prices.</w:t>
      </w:r>
      <w:r>
        <w:t xml:space="preserve"> </w:t>
      </w:r>
      <w:r>
        <w:t xml:space="preserve">Increased competitiveness</w:t>
      </w:r>
      <w:r>
        <w:t xml:space="preserve"> </w:t>
      </w:r>
      <w:r>
        <w:t xml:space="preserve">Support for electrification of energy intensive</w:t>
      </w:r>
      <w:r>
        <w:t xml:space="preserve"> </w:t>
      </w:r>
      <w:r>
        <w:t xml:space="preserve">industries</w:t>
      </w:r>
    </w:p>
    <w:p>
      <w:pPr>
        <w:pStyle w:val="BodyText"/>
      </w:pPr>
      <w:r>
        <w:t xml:space="preserve">EUR 603 billion in mobilised investments into</w:t>
      </w:r>
      <w:r>
        <w:t xml:space="preserve"> </w:t>
      </w:r>
      <w:r>
        <w:t xml:space="preserve">grid technologies by 2040</w:t>
      </w:r>
      <w:r>
        <w:t xml:space="preserve"> </w:t>
      </w:r>
      <w:r>
        <w:t xml:space="preserve">Removing grid congestion hampering</w:t>
      </w:r>
      <w:r>
        <w:t xml:space="preserve"> </w:t>
      </w:r>
      <w:r>
        <w:t xml:space="preserve">electrification or investment in industries</w:t>
      </w:r>
      <w:r>
        <w:t xml:space="preserve"> </w:t>
      </w:r>
      <w:r>
        <w:t xml:space="preserve">requiring high electricity e.g. data centers.</w:t>
      </w:r>
      <w:r>
        <w:t xml:space="preserve"> </w:t>
      </w:r>
      <w:r>
        <w:t xml:space="preserve">Completing 2024 TYNDP project portfolio</w:t>
      </w:r>
      <w:r>
        <w:t xml:space="preserve"> </w:t>
      </w:r>
      <w:r>
        <w:t xml:space="preserve">would lead to mobilisation of huge amount</w:t>
      </w:r>
      <w:r>
        <w:t xml:space="preserve"> </w:t>
      </w:r>
      <w:r>
        <w:t xml:space="preserve">of investment, as well as to some 4.1</w:t>
      </w:r>
      <w:r>
        <w:t xml:space="preserve"> </w:t>
      </w:r>
      <w:r>
        <w:t xml:space="preserve">million jobs in the EU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Electrification of different</w:t>
      </w:r>
      <w:r>
        <w:t xml:space="preserve"> </w:t>
      </w:r>
      <w:r>
        <w:t xml:space="preserve">sectors through better grid</w:t>
      </w:r>
      <w:r>
        <w:t xml:space="preserve"> </w:t>
      </w:r>
      <w:r>
        <w:t xml:space="preserve">access</w:t>
      </w:r>
      <w:r>
        <w:br/>
      </w:r>
      <w:r>
        <w:t xml:space="preserve">Not possible to monetise benefit.</w:t>
      </w:r>
      <w:r>
        <w:t xml:space="preserve"> </w:t>
      </w:r>
      <w:r>
        <w:t xml:space="preserve">More grid capacity based on optimised grid</w:t>
      </w:r>
      <w:r>
        <w:t xml:space="preserve"> </w:t>
      </w:r>
      <w:r>
        <w:t xml:space="preserve">planning and use will enable electrification</w:t>
      </w:r>
      <w:r>
        <w:t xml:space="preserve"> </w:t>
      </w:r>
      <w:r>
        <w:t xml:space="preserve">of transport and industry as well as better</w:t>
      </w:r>
      <w:r>
        <w:t xml:space="preserve"> </w:t>
      </w:r>
      <w:r>
        <w:t xml:space="preserve">grid access for data centres.</w:t>
      </w:r>
      <w:r>
        <w:t xml:space="preserve"> </w:t>
      </w:r>
      <w:r>
        <w:t xml:space="preserve">Greater grid security</w:t>
      </w:r>
      <w:r>
        <w:t xml:space="preserve"> </w:t>
      </w:r>
      <w:r>
        <w:t xml:space="preserve">Avoided costs of repairs - EUR 50-60 million</w:t>
      </w:r>
      <w:r>
        <w:t xml:space="preserve"> </w:t>
      </w:r>
      <w:r>
        <w:t xml:space="preserve">for an undersea cable and of additional loss of</w:t>
      </w:r>
      <w:r>
        <w:t xml:space="preserve"> </w:t>
      </w:r>
      <w:r>
        <w:t xml:space="preserve">economic welfare due to price increases.</w:t>
      </w:r>
      <w:r>
        <w:t xml:space="preserve"> </w:t>
      </w:r>
      <w:r>
        <w:t xml:space="preserve">Addressing security vulnerabilities would</w:t>
      </w:r>
      <w:r>
        <w:t xml:space="preserve"> </w:t>
      </w:r>
      <w:r>
        <w:t xml:space="preserve">lower the costs of outage, more expensive</w:t>
      </w:r>
      <w:r>
        <w:t xml:space="preserve"> </w:t>
      </w:r>
      <w:r>
        <w:t xml:space="preserve">power</w:t>
      </w:r>
      <w:r>
        <w:t xml:space="preserve"> </w:t>
      </w:r>
      <w:r>
        <w:t xml:space="preserve">supply</w:t>
      </w:r>
      <w:r>
        <w:t xml:space="preserve"> </w:t>
      </w:r>
      <w:r>
        <w:t xml:space="preserve">and</w:t>
      </w:r>
      <w:r>
        <w:t xml:space="preserve"> </w:t>
      </w:r>
      <w:r>
        <w:t xml:space="preserve">repairs</w:t>
      </w:r>
      <w:r>
        <w:t xml:space="preserve"> </w:t>
      </w:r>
      <w:r>
        <w:t xml:space="preserve">of</w:t>
      </w:r>
      <w:r>
        <w:t xml:space="preserve"> </w:t>
      </w:r>
      <w:r>
        <w:t xml:space="preserve">sabotaged/damaged infrastructure</w:t>
      </w:r>
      <w:r>
        <w:t xml:space="preserve"> </w:t>
      </w:r>
      <w:r>
        <w:t xml:space="preserve">(1) 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Please indicate in the comments</w:t>
      </w:r>
      <w:r>
        <w:t xml:space="preserve"> </w:t>
      </w:r>
      <w:r>
        <w:t xml:space="preserve">column which stakeholder group is the main recipient of the benefit;(3) For reductions in regulatory costs, please</w:t>
      </w:r>
      <w:r>
        <w:t xml:space="preserve"> </w:t>
      </w:r>
      <w:r>
        <w:t xml:space="preserve">describe in the comments column the details as to how the saving arises (e.g. reductions in adjustment costs,</w:t>
      </w:r>
      <w:r>
        <w:t xml:space="preserve"> </w:t>
      </w:r>
      <w:r>
        <w:t xml:space="preserve">administrative costs, regulatory charges, enforcement costs, etc.;);.</w:t>
      </w:r>
      <w:r>
        <w:br/>
      </w:r>
      <w:r>
        <w:t xml:space="preserve">For assessing the costs of the preferred policy option, the analysis distinguishes between direct</w:t>
      </w:r>
      <w:r>
        <w:t xml:space="preserve"> </w:t>
      </w:r>
      <w:r>
        <w:t xml:space="preserve">costs and indirect costs. The preferred policy option results in direct costs in terms of adjustment</w:t>
      </w:r>
      <w:r>
        <w:t xml:space="preserve"> </w:t>
      </w:r>
      <w:r>
        <w:t xml:space="preserve">costs, administrative costs and enforcement costs for businesses and administrations (national</w:t>
      </w:r>
      <w:r>
        <w:t xml:space="preserve"> </w:t>
      </w:r>
      <w:r>
        <w:t xml:space="preserve">competent authorities, national regulatory authorities, the Commission and ACER) in order to</w:t>
      </w:r>
      <w:r>
        <w:t xml:space="preserve"> </w:t>
      </w:r>
      <w:r>
        <w:t xml:space="preserve">comply with the substantive obligations or requirements contained therein. The application of the</w:t>
      </w:r>
      <w:r>
        <w:t xml:space="preserve"> </w:t>
      </w:r>
      <w:r>
        <w:t xml:space="preserve">preferred policy option could result in indirect costs for citizens/consumers and businesses in some</w:t>
      </w:r>
      <w:r>
        <w:t xml:space="preserve"> </w:t>
      </w:r>
      <w:r>
        <w:t xml:space="preserve">countries where energy prices could increase due to price convergence resulting from further</w:t>
      </w:r>
      <w:r>
        <w:t xml:space="preserve"> </w:t>
      </w:r>
      <w:r>
        <w:t xml:space="preserve">market integration. The European Grids Package is not envisioned to introduce any regulatory</w:t>
      </w:r>
      <w:r>
        <w:t xml:space="preserve"> </w:t>
      </w:r>
      <w:r>
        <w:t xml:space="preserve">charges such as fees, levies, taxes etc. Additional enforcement costs at national and EU level will</w:t>
      </w:r>
      <w:r>
        <w:t xml:space="preserve"> </w:t>
      </w:r>
      <w:r>
        <w:t xml:space="preserve">depend on the implementation.</w:t>
      </w:r>
      <w:r>
        <w:t xml:space="preserve"> </w:t>
      </w:r>
      <w:r>
        <w:t xml:space="preserve">The below table summarises the direct and indirect costs for those actions of the preferred policy</w:t>
      </w:r>
      <w:r>
        <w:t xml:space="preserve"> </w:t>
      </w:r>
      <w:r>
        <w:t xml:space="preserve">options for which costs have been identified and compared to the baseline. It is not possible to</w:t>
      </w:r>
      <w:r>
        <w:t xml:space="preserve"> </w:t>
      </w:r>
      <w:r>
        <w:t xml:space="preserve">estimate these costs for all actions at this stage, but where they are not included they are considered</w:t>
      </w:r>
      <w:r>
        <w:t xml:space="preserve"> </w:t>
      </w:r>
      <w:r>
        <w:t xml:space="preserve">as non-significant.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PO2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TSO: Ensure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scenario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 follow-up</w:t>
      </w:r>
      <w:r>
        <w:t xml:space="preserve"> </w:t>
      </w:r>
      <w:r>
        <w:t xml:space="preserve">of</w:t>
      </w:r>
      <w:r>
        <w:t xml:space="preserve"> </w:t>
      </w:r>
      <w:r>
        <w:t xml:space="preserve">identified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needs</w:t>
      </w:r>
      <w:r>
        <w:t xml:space="preserve"> </w:t>
      </w:r>
      <w:r>
        <w:t xml:space="preserve">(gap</w:t>
      </w:r>
      <w:r>
        <w:t xml:space="preserve"> </w:t>
      </w:r>
      <w:r>
        <w:t xml:space="preserve">filling</w:t>
      </w:r>
      <w:r>
        <w:t xml:space="preserve"> </w:t>
      </w:r>
      <w:r>
        <w:t xml:space="preserve">mechanism).</w:t>
      </w:r>
      <w:r>
        <w:t xml:space="preserve"> </w:t>
      </w:r>
      <w:r>
        <w:t xml:space="preserve">EC:</w:t>
      </w:r>
      <w:r>
        <w:t xml:space="preserve"> </w:t>
      </w:r>
      <w:r>
        <w:t xml:space="preserve">Building</w:t>
      </w:r>
      <w:r>
        <w:t xml:space="preserve"> </w:t>
      </w:r>
      <w:r>
        <w:t xml:space="preserve">capacity to take</w:t>
      </w:r>
      <w:r>
        <w:t xml:space="preserve"> </w:t>
      </w:r>
      <w:r>
        <w:t xml:space="preserve">over</w:t>
      </w:r>
      <w:r>
        <w:t xml:space="preserve"> </w:t>
      </w:r>
      <w:r>
        <w:t xml:space="preserve">some</w:t>
      </w:r>
      <w:r>
        <w:t xml:space="preserve"> </w:t>
      </w:r>
      <w:r>
        <w:t xml:space="preserve">planning</w:t>
      </w:r>
      <w:r>
        <w:t xml:space="preserve"> </w:t>
      </w:r>
      <w:r>
        <w:t xml:space="preserve">activities.</w:t>
      </w:r>
    </w:p>
    <w:p>
      <w:pPr>
        <w:pStyle w:val="BodyText"/>
      </w:pPr>
      <w:r>
        <w:t xml:space="preserve">NCA: Set up a</w:t>
      </w:r>
      <w:r>
        <w:t xml:space="preserve"> </w:t>
      </w:r>
      <w:r>
        <w:t xml:space="preserve">digitalised</w:t>
      </w:r>
      <w:r>
        <w:t xml:space="preserve"> </w:t>
      </w:r>
      <w:r>
        <w:t xml:space="preserve">permitting</w:t>
      </w:r>
      <w:r>
        <w:t xml:space="preserve"> </w:t>
      </w:r>
      <w:r>
        <w:t xml:space="preserve">system and data</w:t>
      </w:r>
      <w:r>
        <w:t xml:space="preserve"> </w:t>
      </w:r>
      <w:r>
        <w:t xml:space="preserve">collection.</w:t>
      </w:r>
      <w:r>
        <w:t xml:space="preserve"> </w:t>
      </w:r>
      <w:r>
        <w:t xml:space="preserve">NRAs:</w:t>
      </w:r>
      <w:r>
        <w:br/>
      </w:r>
      <w:r>
        <w:t xml:space="preserve">Regulation of</w:t>
      </w:r>
      <w:r>
        <w:t xml:space="preserve"> </w:t>
      </w:r>
      <w:r>
        <w:t xml:space="preserve">projects</w:t>
      </w:r>
      <w:r>
        <w:t xml:space="preserve"> </w:t>
      </w:r>
      <w:r>
        <w:t xml:space="preserve">outside their</w:t>
      </w:r>
      <w:r>
        <w:t xml:space="preserve"> </w:t>
      </w:r>
      <w:r>
        <w:t xml:space="preserve">territory and to</w:t>
      </w:r>
      <w:r>
        <w:t xml:space="preserve"> </w:t>
      </w:r>
      <w:r>
        <w:t xml:space="preserve">cooperate in</w:t>
      </w:r>
      <w:r>
        <w:t xml:space="preserve"> </w:t>
      </w:r>
      <w:r>
        <w:t xml:space="preserve">groups with</w:t>
      </w:r>
      <w:r>
        <w:t xml:space="preserve"> </w:t>
      </w:r>
      <w:r>
        <w:t xml:space="preserve">NRAs and</w:t>
      </w:r>
      <w:r>
        <w:t xml:space="preserve"> </w:t>
      </w:r>
      <w:r>
        <w:t xml:space="preserve">TSOs from</w:t>
      </w:r>
      <w:r>
        <w:t xml:space="preserve"> </w:t>
      </w:r>
      <w:r>
        <w:t xml:space="preserve">different</w:t>
      </w:r>
      <w:r>
        <w:t xml:space="preserve"> </w:t>
      </w:r>
      <w:r>
        <w:t xml:space="preserve">Member States</w:t>
      </w:r>
      <w:r>
        <w:t xml:space="preserve"> </w:t>
      </w:r>
      <w:r>
        <w:t xml:space="preserve">under the cost-</w:t>
      </w:r>
      <w:r>
        <w:t xml:space="preserve"> </w:t>
      </w:r>
      <w:r>
        <w:t xml:space="preserve">sharing</w:t>
      </w:r>
      <w:r>
        <w:t xml:space="preserve"> </w:t>
      </w:r>
      <w:r>
        <w:t xml:space="preserve">framework.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TSOs/Project</w:t>
      </w:r>
      <w:r>
        <w:t xml:space="preserve"> </w:t>
      </w:r>
      <w:r>
        <w:t xml:space="preserve">promoters: New</w:t>
      </w:r>
      <w:r>
        <w:t xml:space="preserve"> </w:t>
      </w:r>
      <w:r>
        <w:t xml:space="preserve">ACER:</w:t>
      </w:r>
      <w:r>
        <w:t xml:space="preserve"> </w:t>
      </w:r>
      <w:r>
        <w:t xml:space="preserve">framework</w:t>
      </w:r>
      <w:r>
        <w:t xml:space="preserve"> </w:t>
      </w:r>
      <w:r>
        <w:t xml:space="preserve">methodology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EC: 18 FTEs</w:t>
      </w:r>
      <w:r>
        <w:t xml:space="preserve"> </w:t>
      </w:r>
      <w:r>
        <w:t xml:space="preserve">&amp; EUR 0.5</w:t>
      </w:r>
      <w:r>
        <w:t xml:space="preserve"> </w:t>
      </w:r>
      <w:r>
        <w:t xml:space="preserve">mln</w:t>
      </w:r>
      <w:r>
        <w:t xml:space="preserve"> </w:t>
      </w:r>
      <w:r>
        <w:t xml:space="preserve">in</w:t>
      </w:r>
      <w:r>
        <w:t xml:space="preserve"> </w:t>
      </w:r>
      <w:r>
        <w:t xml:space="preserve">external costs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security</w:t>
      </w:r>
      <w:r>
        <w:t xml:space="preserve"> </w:t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risk mitigation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affect a small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TSOs/project</w:t>
      </w:r>
      <w:r>
        <w:t xml:space="preserve"> </w:t>
      </w:r>
      <w:r>
        <w:t xml:space="preserve">promoters.</w:t>
      </w:r>
      <w:r>
        <w:t xml:space="preserve"> </w:t>
      </w:r>
      <w:r>
        <w:t xml:space="preserve">identification of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needs (grouped</w:t>
      </w:r>
      <w:r>
        <w:t xml:space="preserve"> </w:t>
      </w:r>
      <w:r>
        <w:t xml:space="preserve">together with 2</w:t>
      </w:r>
      <w:r>
        <w:t xml:space="preserve"> </w:t>
      </w:r>
      <w:r>
        <w:t xml:space="preserve">FTEs for data</w:t>
      </w:r>
      <w:r>
        <w:t xml:space="preserve"> </w:t>
      </w:r>
      <w:r>
        <w:t xml:space="preserve">verification for</w:t>
      </w:r>
      <w:r>
        <w:t xml:space="preserve"> </w:t>
      </w:r>
      <w:r>
        <w:t xml:space="preserve">scenario</w:t>
      </w:r>
      <w:r>
        <w:t xml:space="preserve"> </w:t>
      </w:r>
      <w:r>
        <w:t xml:space="preserve">development)</w:t>
      </w:r>
    </w:p>
    <w:p>
      <w:pPr>
        <w:pStyle w:val="BodyText"/>
      </w:pPr>
      <w:r>
        <w:t xml:space="preserve">ACER: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costs to update</w:t>
      </w:r>
      <w:r>
        <w:t xml:space="preserve"> </w:t>
      </w:r>
      <w:r>
        <w:t xml:space="preserve">its</w:t>
      </w:r>
      <w:r>
        <w:t xml:space="preserve"> </w:t>
      </w:r>
      <w:r>
        <w:t xml:space="preserve">CBCA</w:t>
      </w:r>
      <w:r>
        <w:t xml:space="preserve"> </w:t>
      </w:r>
      <w:r>
        <w:t xml:space="preserve">recommendatio</w:t>
      </w:r>
      <w:r>
        <w:t xml:space="preserve"> </w:t>
      </w:r>
      <w:r>
        <w:t xml:space="preserve">n (and develop a</w:t>
      </w:r>
      <w:r>
        <w:t xml:space="preserve"> </w:t>
      </w:r>
      <w:r>
        <w:t xml:space="preserve">template</w:t>
      </w:r>
      <w:r>
        <w:t xml:space="preserve"> </w:t>
      </w:r>
      <w:r>
        <w:t xml:space="preserve">(estimated</w:t>
      </w:r>
      <w:r>
        <w:t xml:space="preserve"> </w:t>
      </w:r>
      <w:r>
        <w:t xml:space="preserve">1</w:t>
      </w:r>
      <w:r>
        <w:t xml:space="preserve"> </w:t>
      </w:r>
      <w:r>
        <w:t xml:space="preserve">FTE).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implementing</w:t>
      </w:r>
      <w:r>
        <w:t xml:space="preserve"> </w:t>
      </w:r>
      <w:r>
        <w:t xml:space="preserve">new planning</w:t>
      </w:r>
      <w:r>
        <w:t xml:space="preserve"> </w:t>
      </w:r>
      <w:r>
        <w:t xml:space="preserve">tasks.</w:t>
      </w:r>
    </w:p>
    <w:p>
      <w:pPr>
        <w:pStyle w:val="BodyText"/>
      </w:pPr>
      <w:r>
        <w:t xml:space="preserve">NRAs</w:t>
      </w:r>
      <w:r>
        <w:t xml:space="preserve"> </w:t>
      </w:r>
      <w:r>
        <w:t xml:space="preserve">&amp;</w:t>
      </w:r>
      <w:r>
        <w:t xml:space="preserve"> </w:t>
      </w:r>
      <w:r>
        <w:t xml:space="preserve">ACER: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data</w:t>
      </w:r>
      <w:r>
        <w:t xml:space="preserve"> </w:t>
      </w:r>
      <w:r>
        <w:t xml:space="preserve">verification for</w:t>
      </w:r>
      <w:r>
        <w:t xml:space="preserve"> </w:t>
      </w:r>
      <w:r>
        <w:t xml:space="preserve">the</w:t>
      </w:r>
      <w:r>
        <w:t xml:space="preserve"> </w:t>
      </w:r>
      <w:r>
        <w:t xml:space="preserve">scenario</w:t>
      </w:r>
      <w:r>
        <w:t xml:space="preserve"> </w:t>
      </w:r>
      <w:r>
        <w:t xml:space="preserve">development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verification,</w:t>
      </w:r>
      <w:r>
        <w:t xml:space="preserve"> </w:t>
      </w:r>
      <w:r>
        <w:t xml:space="preserve">approval, and</w:t>
      </w:r>
      <w:r>
        <w:t xml:space="preserve"> </w:t>
      </w:r>
      <w:r>
        <w:t xml:space="preserve">follow-up</w:t>
      </w:r>
      <w:r>
        <w:t xml:space="preserve"> </w:t>
      </w:r>
      <w:r>
        <w:t xml:space="preserve">of</w:t>
      </w:r>
      <w:r>
        <w:t xml:space="preserve"> </w:t>
      </w:r>
      <w:r>
        <w:t xml:space="preserve">identified</w:t>
      </w:r>
      <w:r>
        <w:t xml:space="preserve"> </w:t>
      </w:r>
      <w:r>
        <w:t xml:space="preserve">needs</w:t>
      </w:r>
      <w:r>
        <w:t xml:space="preserve"> </w:t>
      </w:r>
      <w:r>
        <w:t xml:space="preserve">(gap</w:t>
      </w:r>
      <w:r>
        <w:t xml:space="preserve"> </w:t>
      </w:r>
      <w:r>
        <w:t xml:space="preserve">filling</w:t>
      </w:r>
      <w:r>
        <w:t xml:space="preserve"> </w:t>
      </w:r>
      <w:r>
        <w:t xml:space="preserve">mechanism). 2</w:t>
      </w:r>
      <w:r>
        <w:t xml:space="preserve"> </w:t>
      </w:r>
      <w:r>
        <w:t xml:space="preserve">FTEs</w:t>
      </w:r>
      <w:r>
        <w:t xml:space="preserve"> </w:t>
      </w:r>
      <w:r>
        <w:t xml:space="preserve">for</w:t>
      </w:r>
      <w:r>
        <w:t xml:space="preserve"> </w:t>
      </w:r>
      <w:r>
        <w:t xml:space="preserve">ACER.</w:t>
      </w:r>
    </w:p>
    <w:p>
      <w:pPr>
        <w:pStyle w:val="BodyText"/>
      </w:pPr>
      <w:r>
        <w:t xml:space="preserve">NCA: Increase</w:t>
      </w:r>
      <w:r>
        <w:t xml:space="preserve"> </w:t>
      </w:r>
      <w:r>
        <w:t xml:space="preserve">resources</w:t>
      </w:r>
      <w:r>
        <w:t xml:space="preserve"> </w:t>
      </w:r>
      <w:r>
        <w:t xml:space="preserve">to</w:t>
      </w:r>
      <w:r>
        <w:t xml:space="preserve"> </w:t>
      </w:r>
      <w:r>
        <w:t xml:space="preserve">deal</w:t>
      </w:r>
      <w:r>
        <w:t xml:space="preserve"> </w:t>
      </w:r>
      <w:r>
        <w:t xml:space="preserve">with</w:t>
      </w:r>
      <w:r>
        <w:t xml:space="preserve"> </w:t>
      </w:r>
      <w:r>
        <w:t xml:space="preserve">tighter</w:t>
      </w:r>
      <w:r>
        <w:t xml:space="preserve"> </w:t>
      </w:r>
      <w:r>
        <w:t xml:space="preserve">permitting</w:t>
      </w:r>
      <w:r>
        <w:t xml:space="preserve"> </w:t>
      </w:r>
      <w:r>
        <w:t xml:space="preserve">deadlines.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NRAs:</w:t>
      </w:r>
      <w:r>
        <w:t xml:space="preserve"> </w:t>
      </w:r>
      <w:r>
        <w:t xml:space="preserve">Additional</w:t>
      </w:r>
      <w:r>
        <w:t xml:space="preserve"> </w:t>
      </w:r>
      <w:r>
        <w:t xml:space="preserve">resources</w:t>
      </w:r>
      <w:r>
        <w:t xml:space="preserve"> </w:t>
      </w:r>
      <w:r>
        <w:t xml:space="preserve">for</w:t>
      </w:r>
      <w:r>
        <w:t xml:space="preserve"> </w:t>
      </w:r>
      <w:r>
        <w:t xml:space="preserve">better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the regulatory</w:t>
      </w:r>
      <w:r>
        <w:t xml:space="preserve"> </w:t>
      </w:r>
      <w:r>
        <w:t xml:space="preserve">framework.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Higher</w:t>
      </w:r>
      <w:r>
        <w:t xml:space="preserve"> </w:t>
      </w:r>
      <w:r>
        <w:t xml:space="preserve">electricity</w:t>
      </w:r>
      <w:r>
        <w:t xml:space="preserve"> </w:t>
      </w:r>
      <w:r>
        <w:t xml:space="preserve">prices</w:t>
      </w:r>
      <w:r>
        <w:t xml:space="preserve"> </w:t>
      </w:r>
      <w:r>
        <w:t xml:space="preserve">in</w:t>
      </w:r>
      <w:r>
        <w:t xml:space="preserve"> </w:t>
      </w:r>
      <w:r>
        <w:t xml:space="preserve">some</w:t>
      </w:r>
      <w:r>
        <w:t xml:space="preserve"> </w:t>
      </w:r>
      <w:r>
        <w:t xml:space="preserve">countries</w:t>
      </w:r>
      <w:r>
        <w:t xml:space="preserve"> </w:t>
      </w:r>
      <w:r>
        <w:t xml:space="preserve">due to price</w:t>
      </w:r>
      <w:r>
        <w:t xml:space="preserve"> </w:t>
      </w:r>
      <w:r>
        <w:t xml:space="preserve">convergence</w:t>
      </w:r>
      <w:r>
        <w:t xml:space="preserve"> </w:t>
      </w:r>
      <w:r>
        <w:t xml:space="preserve">impacts.</w:t>
      </w:r>
    </w:p>
    <w:p>
      <w:pPr>
        <w:pStyle w:val="BodyText"/>
      </w:pPr>
      <w:r>
        <w:t xml:space="preserve">Possible</w:t>
      </w:r>
      <w:r>
        <w:t xml:space="preserve"> </w:t>
      </w:r>
      <w:r>
        <w:t xml:space="preserve">higher</w:t>
      </w:r>
      <w:r>
        <w:t xml:space="preserve"> </w:t>
      </w:r>
      <w:r>
        <w:t xml:space="preserve">network</w:t>
      </w:r>
      <w:r>
        <w:t xml:space="preserve"> </w:t>
      </w:r>
      <w:r>
        <w:t xml:space="preserve">tariffs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Higher</w:t>
      </w:r>
      <w:r>
        <w:t xml:space="preserve"> </w:t>
      </w:r>
      <w:r>
        <w:t xml:space="preserve">electricity</w:t>
      </w:r>
      <w:r>
        <w:t xml:space="preserve"> </w:t>
      </w:r>
      <w:r>
        <w:t xml:space="preserve">prices in some</w:t>
      </w:r>
      <w:r>
        <w:t xml:space="preserve"> </w:t>
      </w:r>
      <w:r>
        <w:t xml:space="preserve">countries due</w:t>
      </w:r>
      <w:r>
        <w:t xml:space="preserve"> </w:t>
      </w:r>
      <w:r>
        <w:t xml:space="preserve">to</w:t>
      </w:r>
      <w:r>
        <w:t xml:space="preserve"> </w:t>
      </w:r>
      <w:r>
        <w:t xml:space="preserve">price</w:t>
      </w:r>
      <w:r>
        <w:t xml:space="preserve"> </w:t>
      </w:r>
      <w:r>
        <w:t xml:space="preserve">convergence</w:t>
      </w:r>
      <w:r>
        <w:t xml:space="preserve"> </w:t>
      </w:r>
      <w:r>
        <w:t xml:space="preserve">impacts.</w:t>
      </w:r>
    </w:p>
    <w:p>
      <w:pPr>
        <w:pStyle w:val="BodyText"/>
      </w:pPr>
      <w:r>
        <w:t xml:space="preserve">Possible higher</w:t>
      </w:r>
      <w:r>
        <w:t xml:space="preserve"> </w:t>
      </w:r>
      <w:r>
        <w:t xml:space="preserve">network tariffs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80</w:t>
      </w:r>
    </w:p>
    <w:p>
      <w:pPr>
        <w:pStyle w:val="Compact"/>
        <w:numPr>
          <w:ilvl w:val="0"/>
          <w:numId w:val="1014"/>
        </w:numPr>
      </w:pPr>
      <w:r>
        <w:t xml:space="preserve">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specified; (3) If relevant and available, please present information on costs according to the</w:t>
      </w:r>
      <w:r>
        <w:t xml:space="preserve"> </w:t>
      </w:r>
      <w:r>
        <w:t xml:space="preserve">standard typology of costs (adjustment costs, administrative costs, regulatory charges, enforcement costs,</w:t>
      </w:r>
      <w:r>
        <w:t xml:space="preserve"> </w:t>
      </w:r>
      <w:r>
        <w:t xml:space="preserve">indirect costs;).</w:t>
      </w:r>
    </w:p>
    <w:p>
      <w:pPr>
        <w:pStyle w:val="Compact"/>
        <w:numPr>
          <w:ilvl w:val="0"/>
          <w:numId w:val="1015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TSOs/Project promoters: New</w:t>
      </w:r>
      <w:r>
        <w:t xml:space="preserve"> </w:t>
      </w:r>
      <w:r>
        <w:t xml:space="preserve">security reporting and risk</w:t>
      </w:r>
      <w:r>
        <w:t xml:space="preserve"> </w:t>
      </w:r>
      <w:r>
        <w:t xml:space="preserve">mitigation requirements. Cannot</w:t>
      </w:r>
      <w:r>
        <w:t xml:space="preserve"> </w:t>
      </w:r>
      <w:r>
        <w:t xml:space="preserve">be quantified at this time but</w:t>
      </w:r>
      <w:r>
        <w:t xml:space="preserve"> </w:t>
      </w:r>
      <w:r>
        <w:t xml:space="preserve">expected to be limited.</w:t>
      </w:r>
      <w:r>
        <w:t xml:space="preserve"> </w:t>
      </w:r>
      <w:r>
        <w:t xml:space="preserve">A slight increase in</w:t>
      </w:r>
      <w:r>
        <w:t xml:space="preserve"> </w:t>
      </w:r>
      <w:r>
        <w:t xml:space="preserve">administrative burden for</w:t>
      </w:r>
      <w:r>
        <w:t xml:space="preserve"> </w:t>
      </w:r>
      <w:r>
        <w:t xml:space="preserve">TSOs and project</w:t>
      </w:r>
      <w:r>
        <w:t xml:space="preserve"> </w:t>
      </w:r>
      <w:r>
        <w:t xml:space="preserve">promoters.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N/A</w:t>
      </w:r>
      <w:r>
        <w:t xml:space="preserve"> </w:t>
      </w:r>
      <w:r>
        <w:t xml:space="preserve">ENTSOs</w:t>
      </w:r>
      <w:r>
        <w:t xml:space="preserve"> </w:t>
      </w:r>
      <w:r>
        <w:t xml:space="preserve">&amp;</w:t>
      </w:r>
      <w:r>
        <w:t xml:space="preserve"> </w:t>
      </w:r>
      <w:r>
        <w:t xml:space="preserve">TSOs:</w:t>
      </w:r>
      <w:r>
        <w:t xml:space="preserve"> </w:t>
      </w:r>
      <w:r>
        <w:t xml:space="preserve">Reduced</w:t>
      </w:r>
      <w:r>
        <w:t xml:space="preserve"> </w:t>
      </w:r>
      <w:r>
        <w:t xml:space="preserve">frequency of TYNDP process and</w:t>
      </w:r>
      <w:r>
        <w:t xml:space="preserve"> </w:t>
      </w:r>
      <w:r>
        <w:t xml:space="preserve">Commission taking over central</w:t>
      </w:r>
      <w:r>
        <w:t xml:space="preserve"> </w:t>
      </w:r>
      <w:r>
        <w:t xml:space="preserve">scenario development = savings of</w:t>
      </w:r>
      <w:r>
        <w:t xml:space="preserve"> </w:t>
      </w:r>
      <w:r>
        <w:t xml:space="preserve">between EUR 2 and 4 million per</w:t>
      </w:r>
      <w:r>
        <w:t xml:space="preserve"> </w:t>
      </w:r>
      <w:r>
        <w:t xml:space="preserve">year.</w:t>
      </w:r>
      <w:r>
        <w:t xml:space="preserve"> </w:t>
      </w:r>
      <w:r>
        <w:t xml:space="preserve">TSOs/project</w:t>
      </w:r>
      <w:r>
        <w:t xml:space="preserve"> </w:t>
      </w:r>
      <w:r>
        <w:t xml:space="preserve">promoters:</w:t>
      </w:r>
      <w:r>
        <w:t xml:space="preserve"> </w:t>
      </w:r>
      <w:r>
        <w:t xml:space="preserve">simplified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evaluation process for mature PCIs</w:t>
      </w:r>
      <w:r>
        <w:t xml:space="preserve"> </w:t>
      </w:r>
      <w:r>
        <w:t xml:space="preserve">and PMIs. Expected savings per</w:t>
      </w:r>
      <w:r>
        <w:t xml:space="preserve"> </w:t>
      </w:r>
      <w:r>
        <w:t xml:space="preserve">PCI/PMI list between EUR 0.25</w:t>
      </w:r>
      <w:r>
        <w:t xml:space="preserve"> </w:t>
      </w:r>
      <w:r>
        <w:t xml:space="preserve">and 0.5 million.</w:t>
      </w:r>
      <w:r>
        <w:br/>
      </w:r>
      <w:r>
        <w:t xml:space="preserve">Streamline permitting procedures</w:t>
      </w:r>
      <w:r>
        <w:t xml:space="preserve"> </w:t>
      </w:r>
      <w:r>
        <w:t xml:space="preserve">will</w:t>
      </w:r>
      <w:r>
        <w:t xml:space="preserve"> </w:t>
      </w:r>
      <w:r>
        <w:t xml:space="preserve">reduce</w:t>
      </w:r>
      <w:r>
        <w:t xml:space="preserve"> </w:t>
      </w:r>
      <w:r>
        <w:t xml:space="preserve">costs,</w:t>
      </w:r>
      <w:r>
        <w:t xml:space="preserve"> </w:t>
      </w:r>
      <w:r>
        <w:t xml:space="preserve">accelerate</w:t>
      </w:r>
      <w:r>
        <w:t xml:space="preserve"> </w:t>
      </w:r>
      <w:r>
        <w:t xml:space="preserve">project deployment, and improve</w:t>
      </w:r>
      <w:r>
        <w:t xml:space="preserve"> </w:t>
      </w:r>
      <w:r>
        <w:t xml:space="preserve">certainty. Cannot be quantified at</w:t>
      </w:r>
      <w:r>
        <w:t xml:space="preserve"> </w:t>
      </w:r>
      <w:r>
        <w:t xml:space="preserve">this time.</w:t>
      </w:r>
      <w:r>
        <w:t xml:space="preserve"> </w:t>
      </w:r>
      <w:r>
        <w:t xml:space="preserve">A significant reduction of</w:t>
      </w:r>
      <w:r>
        <w:t xml:space="preserve"> </w:t>
      </w:r>
      <w:r>
        <w:t xml:space="preserve">the administrative burden</w:t>
      </w:r>
      <w:r>
        <w:t xml:space="preserve"> </w:t>
      </w:r>
      <w:r>
        <w:t xml:space="preserve">for ENTSOs, TSOs and</w:t>
      </w:r>
      <w:r>
        <w:t xml:space="preserve"> </w:t>
      </w:r>
      <w:r>
        <w:t xml:space="preserve">project promoters.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N/A</w:t>
      </w:r>
      <w:r>
        <w:t xml:space="preserve"> </w:t>
      </w:r>
      <w:r>
        <w:t xml:space="preserve">Savings of at least between EUR</w:t>
      </w:r>
      <w:r>
        <w:t xml:space="preserve"> </w:t>
      </w:r>
      <w:r>
        <w:t xml:space="preserve">2.5 and 4.5 million.</w:t>
      </w:r>
    </w:p>
    <w:p>
      <w:pPr>
        <w:pStyle w:val="BodyText"/>
      </w:pPr>
      <w:r>
        <w:t xml:space="preserve">Adjustment costs**</w:t>
      </w:r>
      <w:r>
        <w:t xml:space="preserve"> </w:t>
      </w:r>
      <w:r>
        <w:t xml:space="preserve">N/A</w:t>
      </w:r>
      <w:r>
        <w:t xml:space="preserve"> </w:t>
      </w:r>
      <w:r>
        <w:t xml:space="preserve">TSO: Ensure data collection for the</w:t>
      </w:r>
      <w:r>
        <w:t xml:space="preserve"> </w:t>
      </w:r>
      <w:r>
        <w:t xml:space="preserve">scenario development as well as</w:t>
      </w:r>
      <w:r>
        <w:t xml:space="preserve"> </w:t>
      </w:r>
      <w:r>
        <w:t xml:space="preserve">follow-up of identified needs (gap</w:t>
      </w:r>
      <w:r>
        <w:t xml:space="preserve"> </w:t>
      </w:r>
      <w:r>
        <w:t xml:space="preserve">filling mechanism). Cannot be</w:t>
      </w:r>
      <w:r>
        <w:t xml:space="preserve"> </w:t>
      </w:r>
      <w:r>
        <w:t xml:space="preserve">quantified at this time.</w:t>
      </w:r>
    </w:p>
    <w:p>
      <w:pPr>
        <w:pStyle w:val="BodyText"/>
      </w:pPr>
      <w:r>
        <w:t xml:space="preserve">Citizens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No administrative burden is</w:t>
      </w:r>
      <w:r>
        <w:t xml:space="preserve"> </w:t>
      </w:r>
      <w:r>
        <w:t xml:space="preserve">expected for citizens.</w:t>
      </w:r>
      <w:r>
        <w:t xml:space="preserve"> </w:t>
      </w:r>
      <w:r>
        <w:t xml:space="preserve">The total recurrent administrative</w:t>
      </w:r>
      <w:r>
        <w:t xml:space="preserve"> </w:t>
      </w:r>
      <w:r>
        <w:t xml:space="preserve">burden would be significantly</w:t>
      </w:r>
      <w:r>
        <w:t xml:space="preserve"> </w:t>
      </w:r>
      <w:r>
        <w:t xml:space="preserve">lowered (negative), due to</w:t>
      </w:r>
      <w:r>
        <w:t xml:space="preserve"> </w:t>
      </w:r>
      <w:r>
        <w:t xml:space="preserve">simplified infrastructure</w:t>
      </w:r>
      <w:r>
        <w:t xml:space="preserve"> </w:t>
      </w:r>
      <w:r>
        <w:t xml:space="preserve">planning, cost-sharing and</w:t>
      </w:r>
      <w:r>
        <w:t xml:space="preserve"> </w:t>
      </w:r>
      <w:r>
        <w:t xml:space="preserve">permitting procedures</w:t>
      </w:r>
      <w:r>
        <w:t xml:space="preserve"> </w:t>
      </w:r>
      <w:r>
        <w:t xml:space="preserve">The total administrative</w:t>
      </w:r>
      <w:r>
        <w:t xml:space="preserve"> </w:t>
      </w:r>
      <w:r>
        <w:t xml:space="preserve">burden would be</w:t>
      </w:r>
      <w:r>
        <w:t xml:space="preserve"> </w:t>
      </w:r>
      <w:r>
        <w:t xml:space="preserve">significantly lowered</w:t>
      </w:r>
      <w:r>
        <w:t xml:space="preserve"> </w:t>
      </w:r>
      <w:r>
        <w:t xml:space="preserve">(negative), as the</w:t>
      </w:r>
      <w:r>
        <w:t xml:space="preserve"> </w:t>
      </w:r>
      <w:r>
        <w:t xml:space="preserve">increase in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related to new security</w:t>
      </w:r>
      <w:r>
        <w:t xml:space="preserve"> </w:t>
      </w:r>
      <w:r>
        <w:t xml:space="preserve">and reporting</w:t>
      </w:r>
      <w:r>
        <w:t xml:space="preserve"> </w:t>
      </w:r>
      <w:r>
        <w:t xml:space="preserve">requirements would be</w:t>
      </w:r>
      <w:r>
        <w:t xml:space="preserve"> </w:t>
      </w:r>
      <w:r>
        <w:t xml:space="preserve">offset by simplified</w:t>
      </w:r>
      <w:r>
        <w:t xml:space="preserve"> </w:t>
      </w:r>
      <w:r>
        <w:t xml:space="preserve">planning and permitting</w:t>
      </w:r>
      <w:r>
        <w:t xml:space="preserve"> </w:t>
      </w:r>
      <w:r>
        <w:t xml:space="preserve">processes.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IV.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7 - affordable and</w:t>
      </w:r>
      <w:r>
        <w:t xml:space="preserve"> </w:t>
      </w:r>
      <w:r>
        <w:t xml:space="preserve">clean energy</w:t>
      </w:r>
      <w:r>
        <w:br/>
      </w:r>
      <w:r>
        <w:t xml:space="preserve">This targeted revision will support the impacts of</w:t>
      </w:r>
      <w:r>
        <w:t xml:space="preserve"> </w:t>
      </w:r>
      <w:r>
        <w:t xml:space="preserve">the TEN-E. By achieving an expanded and</w:t>
      </w:r>
      <w:r>
        <w:t xml:space="preserve"> </w:t>
      </w:r>
      <w:r>
        <w:t xml:space="preserve">modernised grid, electricity will become more</w:t>
      </w:r>
      <w:r>
        <w:t xml:space="preserve"> </w:t>
      </w:r>
      <w:r>
        <w:t xml:space="preserve">easily available throughout the EU. Thus, 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will</w:t>
      </w:r>
      <w:r>
        <w:t xml:space="preserve"> </w:t>
      </w:r>
      <w:r>
        <w:t xml:space="preserve">strengthen</w:t>
      </w:r>
      <w:r>
        <w:t xml:space="preserve"> </w:t>
      </w:r>
      <w:r>
        <w:t xml:space="preserve">market</w:t>
      </w:r>
      <w:r>
        <w:t xml:space="preserve"> </w:t>
      </w:r>
      <w:r>
        <w:t xml:space="preserve">integration, increase electricity supply and enable</w:t>
      </w:r>
      <w:r>
        <w:t xml:space="preserve"> </w:t>
      </w:r>
      <w:r>
        <w:t xml:space="preserve">access to affordable and clean energy. This is vital</w:t>
      </w:r>
      <w:r>
        <w:t xml:space="preserve"> </w:t>
      </w:r>
      <w:r>
        <w:t xml:space="preserve">to counter growing energy poverty in the EU. All</w:t>
      </w:r>
      <w:r>
        <w:t xml:space="preserve"> </w:t>
      </w:r>
      <w:r>
        <w:t xml:space="preserve">above will benefit both households and industry.</w:t>
      </w:r>
      <w:r>
        <w:t xml:space="preserve"> </w:t>
      </w:r>
      <w:r>
        <w:t xml:space="preserve">More affordable electricity prices due to positive</w:t>
      </w:r>
      <w:r>
        <w:t xml:space="preserve"> </w:t>
      </w:r>
      <w:r>
        <w:t xml:space="preserve">effects of greater market convergence will</w:t>
      </w:r>
      <w:r>
        <w:t xml:space="preserve"> </w:t>
      </w:r>
      <w:r>
        <w:t xml:space="preserve">especially improve the competitiveness of energy</w:t>
      </w:r>
      <w:r>
        <w:t xml:space="preserve"> </w:t>
      </w:r>
      <w:r>
        <w:t xml:space="preserve">intensive industries and encourage investments in</w:t>
      </w:r>
      <w:r>
        <w:t xml:space="preserve"> </w:t>
      </w:r>
      <w:r>
        <w:t xml:space="preserve">decarbonisation and clean energy business</w:t>
      </w:r>
      <w:r>
        <w:t xml:space="preserve"> </w:t>
      </w:r>
      <w:r>
        <w:t xml:space="preserve">models.</w:t>
      </w:r>
    </w:p>
    <w:p>
      <w:pPr>
        <w:pStyle w:val="BodyText"/>
      </w:pPr>
      <w:r>
        <w:t xml:space="preserve">SDG 9 Industry, Innovation</w:t>
      </w:r>
      <w:r>
        <w:t xml:space="preserve"> </w:t>
      </w:r>
      <w:r>
        <w:t xml:space="preserve">and Infrastructure</w:t>
      </w:r>
      <w:r>
        <w:t xml:space="preserve"> </w:t>
      </w:r>
      <w:r>
        <w:t xml:space="preserve">Aim of the initiative is to achieve better planning</w:t>
      </w:r>
      <w:r>
        <w:t xml:space="preserve"> </w:t>
      </w:r>
      <w:r>
        <w:t xml:space="preserve">catering for future developments of demand and</w:t>
      </w:r>
      <w:r>
        <w:t xml:space="preserve"> </w:t>
      </w:r>
      <w:r>
        <w:t xml:space="preserve">supply, including in the industrial sector, as well</w:t>
      </w:r>
      <w:r>
        <w:t xml:space="preserve"> </w:t>
      </w:r>
      <w:r>
        <w:t xml:space="preserve">as achieve resilient and sustainable infrastructure</w:t>
      </w:r>
      <w:r>
        <w:t xml:space="preserve"> </w:t>
      </w:r>
      <w:r>
        <w:t xml:space="preserve">development. Hence it is fully aligned with</w:t>
      </w:r>
      <w:r>
        <w:t xml:space="preserve"> </w:t>
      </w:r>
      <w:r>
        <w:t xml:space="preserve">SDG9,</w:t>
      </w:r>
      <w:r>
        <w:t xml:space="preserve"> </w:t>
      </w:r>
      <w:r>
        <w:t xml:space="preserve">which</w:t>
      </w:r>
      <w:r>
        <w:t xml:space="preserve"> </w:t>
      </w:r>
      <w:r>
        <w:t xml:space="preserve">aims</w:t>
      </w:r>
      <w:r>
        <w:t xml:space="preserve"> </w:t>
      </w:r>
      <w:r>
        <w:t xml:space="preserve">to</w:t>
      </w:r>
      <w:r>
        <w:t xml:space="preserve"> </w:t>
      </w:r>
      <w:r>
        <w:t xml:space="preserve">build</w:t>
      </w:r>
      <w:r>
        <w:t xml:space="preserve"> </w:t>
      </w:r>
      <w:r>
        <w:t xml:space="preserve">resilient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and</w:t>
      </w:r>
      <w:r>
        <w:t xml:space="preserve"> </w:t>
      </w:r>
      <w:r>
        <w:t xml:space="preserve">promote</w:t>
      </w:r>
      <w:r>
        <w:t xml:space="preserve"> </w:t>
      </w:r>
      <w:r>
        <w:t xml:space="preserve">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 industrialization and innovation.</w:t>
      </w:r>
      <w:r>
        <w:t xml:space="preserve"> </w:t>
      </w:r>
      <w:r>
        <w:t xml:space="preserve">Regarding the latter, preferred option aims to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more strongly support digital and smart grid</w:t>
      </w:r>
      <w:r>
        <w:t xml:space="preserve"> </w:t>
      </w:r>
      <w:r>
        <w:t xml:space="preserve">technologies, contributing to further innovation</w:t>
      </w:r>
      <w:r>
        <w:t xml:space="preserve"> </w:t>
      </w:r>
      <w:r>
        <w:t xml:space="preserve">efforts in the grid manufacturing industry.</w:t>
      </w:r>
      <w:r>
        <w:t xml:space="preserve"> </w:t>
      </w:r>
      <w:r>
        <w:t xml:space="preserve">SDG</w:t>
      </w:r>
      <w:r>
        <w:t xml:space="preserve"> </w:t>
      </w:r>
      <w:r>
        <w:t xml:space="preserve">12</w:t>
      </w:r>
      <w:r>
        <w:t xml:space="preserve"> </w:t>
      </w:r>
      <w:r>
        <w:t xml:space="preserve">Responsible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t xml:space="preserve"> </w:t>
      </w:r>
      <w:r>
        <w:t xml:space="preserve">By fostering modernised and expanded grid the</w:t>
      </w:r>
      <w:r>
        <w:t xml:space="preserve"> </w:t>
      </w:r>
      <w:r>
        <w:t xml:space="preserve">preferred option will enable the build out of</w:t>
      </w:r>
      <w:r>
        <w:t xml:space="preserve"> </w:t>
      </w:r>
      <w:r>
        <w:t xml:space="preserve">renewable energies and hence a quicker phase out</w:t>
      </w:r>
      <w:r>
        <w:t xml:space="preserve"> </w:t>
      </w:r>
      <w:r>
        <w:t xml:space="preserve">of fossil fuels. The digitalisation and optimisation</w:t>
      </w:r>
      <w:r>
        <w:t xml:space="preserve"> </w:t>
      </w:r>
      <w:r>
        <w:t xml:space="preserve">of the grid will enable more cost-optimal dispatch</w:t>
      </w:r>
      <w:r>
        <w:t xml:space="preserve"> </w:t>
      </w:r>
      <w:r>
        <w:t xml:space="preserve">and lower curtailment of renewable energy.</w:t>
      </w:r>
      <w:r>
        <w:t xml:space="preserve"> </w:t>
      </w:r>
      <w:r>
        <w:t xml:space="preserve">Improved availability of renewables based on</w:t>
      </w:r>
      <w:r>
        <w:t xml:space="preserve"> </w:t>
      </w:r>
      <w:r>
        <w:t xml:space="preserve">sufficient grid capacity will incentivise energy</w:t>
      </w:r>
      <w:r>
        <w:t xml:space="preserve"> </w:t>
      </w:r>
      <w:r>
        <w:t xml:space="preserve">intensive industries to favour decarbonised energy</w:t>
      </w:r>
      <w:r>
        <w:t xml:space="preserve"> </w:t>
      </w:r>
      <w:r>
        <w:t xml:space="preserve">consumption including both production and</w:t>
      </w:r>
      <w:r>
        <w:t xml:space="preserve"> </w:t>
      </w:r>
      <w:r>
        <w:t xml:space="preserve">consumption of low carbon hydrogen. The</w:t>
      </w:r>
      <w:r>
        <w:t xml:space="preserve"> </w:t>
      </w:r>
      <w:r>
        <w:t xml:space="preserve">changes in consumption trend/pattern above can</w:t>
      </w:r>
      <w:r>
        <w:t xml:space="preserve"> </w:t>
      </w:r>
      <w:r>
        <w:t xml:space="preserve">be monitored.</w:t>
      </w:r>
    </w:p>
    <w:p>
      <w:pPr>
        <w:pStyle w:val="BodyText"/>
      </w:pPr>
      <w:r>
        <w:t xml:space="preserve">SDG no. 13 Climate</w:t>
      </w:r>
      <w:r>
        <w:t xml:space="preserve"> </w:t>
      </w:r>
      <w:r>
        <w:t xml:space="preserve">As above, the preferred option will support more</w:t>
      </w:r>
      <w:r>
        <w:t xml:space="preserve"> </w:t>
      </w:r>
      <w:r>
        <w:t xml:space="preserve">optimal, modernized and expanded grid, which in</w:t>
      </w:r>
      <w:r>
        <w:t xml:space="preserve"> </w:t>
      </w:r>
      <w:r>
        <w:t xml:space="preserve">turn will enable the integration of renewable</w:t>
      </w:r>
      <w:r>
        <w:t xml:space="preserve"> </w:t>
      </w:r>
      <w:r>
        <w:t xml:space="preserve">energies and a quicker phase out of fossil fuels.</w:t>
      </w:r>
      <w:r>
        <w:t xml:space="preserve"> </w:t>
      </w:r>
      <w:r>
        <w:t xml:space="preserve">Reduced fossil fuels consumption will reduce</w:t>
      </w:r>
      <w:r>
        <w:t xml:space="preserve"> </w:t>
      </w:r>
      <w:r>
        <w:t xml:space="preserve">greenhouse gas emissions. As time is of the</w:t>
      </w:r>
      <w:r>
        <w:t xml:space="preserve"> </w:t>
      </w:r>
      <w:r>
        <w:t xml:space="preserve">essence for avoiding irreversible damage to the</w:t>
      </w:r>
      <w:r>
        <w:t xml:space="preserve"> </w:t>
      </w:r>
      <w:r>
        <w:t xml:space="preserve">climate and repercussions on biodiversity, adding</w:t>
      </w:r>
      <w:r>
        <w:t xml:space="preserve"> </w:t>
      </w:r>
      <w:r>
        <w:t xml:space="preserve">renewable energy capacity is expected to be a</w:t>
      </w:r>
      <w:r>
        <w:t xml:space="preserve"> </w:t>
      </w:r>
      <w:r>
        <w:t xml:space="preserve">tangible result to be measured in both time and</w:t>
      </w:r>
      <w:r>
        <w:t xml:space="preserve"> </w:t>
      </w:r>
      <w:r>
        <w:t xml:space="preserve">size (installed capacity).</w:t>
      </w:r>
      <w:r>
        <w:t xml:space="preserve"> </w:t>
      </w:r>
      <w:r>
        <w:t xml:space="preserve">Because the initiative prioritizes cross-border</w:t>
      </w:r>
      <w:r>
        <w:t xml:space="preserve"> </w:t>
      </w:r>
      <w:r>
        <w:t xml:space="preserve">projects, efficiencies among Member States will</w:t>
      </w:r>
      <w:r>
        <w:t xml:space="preserve"> </w:t>
      </w:r>
      <w:r>
        <w:t xml:space="preserve">be</w:t>
      </w:r>
      <w:r>
        <w:t xml:space="preserve"> </w:t>
      </w:r>
      <w:r>
        <w:t xml:space="preserve">obtained.</w:t>
      </w:r>
    </w:p>
    <w:p>
      <w:pPr>
        <w:pStyle w:val="BodyText"/>
      </w:pPr>
      <w:r>
        <w:t xml:space="preserve">Through</w:t>
      </w:r>
      <w:r>
        <w:t xml:space="preserve"> </w:t>
      </w:r>
      <w:r>
        <w:t xml:space="preserve">better</w:t>
      </w:r>
      <w:r>
        <w:t xml:space="preserve"> </w:t>
      </w:r>
      <w:r>
        <w:t xml:space="preserve">planning,</w:t>
      </w:r>
      <w:r>
        <w:t xml:space="preserve"> </w:t>
      </w:r>
      <w:r>
        <w:t xml:space="preserve">overinvestments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avoided,</w:t>
      </w:r>
      <w:r>
        <w:t xml:space="preserve"> </w:t>
      </w:r>
      <w:r>
        <w:t xml:space="preserve">hence</w:t>
      </w:r>
      <w:r>
        <w:t xml:space="preserve"> </w:t>
      </w:r>
      <w:r>
        <w:t xml:space="preserve">improving the overall environmental footprint.</w:t>
      </w:r>
      <w:r>
        <w:t xml:space="preserve"> </w:t>
      </w:r>
      <w:r>
        <w:t xml:space="preserve">Moreover,</w:t>
      </w:r>
      <w:r>
        <w:t xml:space="preserve"> </w:t>
      </w:r>
      <w:r>
        <w:t xml:space="preserve">cross-border</w:t>
      </w:r>
      <w:r>
        <w:t xml:space="preserve"> </w:t>
      </w:r>
      <w:r>
        <w:t xml:space="preserve">co-operations</w:t>
      </w:r>
      <w:r>
        <w:t xml:space="preserve"> </w:t>
      </w:r>
      <w:r>
        <w:t xml:space="preserve">can</w:t>
      </w:r>
      <w:r>
        <w:t xml:space="preserve"> </w:t>
      </w:r>
      <w:r>
        <w:t xml:space="preserve">stimulate innovative solutions, including the use</w:t>
      </w:r>
      <w:r>
        <w:t xml:space="preserve"> </w:t>
      </w:r>
      <w:r>
        <w:t xml:space="preserve">of digital tools. Such tools can improve</w:t>
      </w:r>
      <w:r>
        <w:t xml:space="preserve"> </w:t>
      </w:r>
      <w:r>
        <w:t xml:space="preserve">efficiencies,</w:t>
      </w:r>
      <w:r>
        <w:t xml:space="preserve"> </w:t>
      </w:r>
      <w:r>
        <w:t xml:space="preserve">in</w:t>
      </w:r>
      <w:r>
        <w:t xml:space="preserve"> </w:t>
      </w:r>
      <w:r>
        <w:t xml:space="preserve">terms of</w:t>
      </w:r>
      <w:r>
        <w:t xml:space="preserve"> </w:t>
      </w:r>
      <w:r>
        <w:t xml:space="preserve">operations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maintenance, increased electricity output and</w:t>
      </w:r>
      <w:r>
        <w:t xml:space="preserve"> </w:t>
      </w:r>
      <w:r>
        <w:t xml:space="preserve">reducing network losses.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Analysis of the needs for infrastructure and the benefits of the optimal grid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The analysis builds on the 2024 TYNDP Infrastructure Gaps Report (IGR)161 which screens the</w:t>
      </w:r>
      <w:r>
        <w:t xml:space="preserve"> </w:t>
      </w:r>
      <w:r>
        <w:t xml:space="preserve">entire European perimeter to identify potential needs in terms of increase of interconnection</w:t>
      </w:r>
      <w:r>
        <w:t xml:space="preserve"> </w:t>
      </w:r>
      <w:r>
        <w:t xml:space="preserve">capacities at ENTSO-E perimeter by 2030, 2040 and 2050 time horizons.</w:t>
      </w:r>
      <w:r>
        <w:t xml:space="preserve"> </w:t>
      </w:r>
      <w:r>
        <w:t xml:space="preserve">The methodology for identifying infrastructure gaps and benefits of matching the infrastructure</w:t>
      </w:r>
      <w:r>
        <w:t xml:space="preserve"> </w:t>
      </w:r>
      <w:r>
        <w:t xml:space="preserve">needs, as outlined involves several key steps:</w:t>
      </w:r>
      <w:r>
        <w:t xml:space="preserve"> </w:t>
      </w:r>
      <w:r>
        <w:t xml:space="preserve">1. Scenarios Development: The process begins with defining a range of possible future</w:t>
      </w:r>
      <w:r>
        <w:t xml:space="preserve"> </w:t>
      </w:r>
      <w:r>
        <w:t xml:space="preserve">scenarios that test infrastructure needs. This includes assessing different possible futures</w:t>
      </w:r>
      <w:r>
        <w:t xml:space="preserve"> </w:t>
      </w:r>
      <w:r>
        <w:t xml:space="preserve">and understanding infrastructure requirements at various timelines such as 2030, 2040, and</w:t>
      </w:r>
      <w:r>
        <w:t xml:space="preserve"> </w:t>
      </w:r>
      <w:r>
        <w:t xml:space="preserve">2050. The infrastructure needs assessment is based on the TYNDP 2024 National Trends+</w:t>
      </w:r>
      <w:r>
        <w:t xml:space="preserve"> </w:t>
      </w:r>
      <w:r>
        <w:t xml:space="preserve">scenarios for 2030 and 2040 and Distributed Energy scenarios for 2050.</w:t>
      </w:r>
      <w:r>
        <w:t xml:space="preserve"> </w:t>
      </w:r>
      <w:r>
        <w:t xml:space="preserve">2. System needs identification: This part of the study considers the European electrical</w:t>
      </w:r>
      <w:r>
        <w:t xml:space="preserve"> </w:t>
      </w:r>
      <w:r>
        <w:t xml:space="preserve">system as a whole to identify where new system assets would bring benefits. It involves</w:t>
      </w:r>
      <w:r>
        <w:t xml:space="preserve"> </w:t>
      </w:r>
      <w:r>
        <w:t xml:space="preserve">analysing the combination of potential network capacity increases between countries and</w:t>
      </w:r>
      <w:r>
        <w:t xml:space="preserve"> </w:t>
      </w:r>
      <w:r>
        <w:t xml:space="preserve">storage that minimize total system costs. The costs include network investment, internal</w:t>
      </w:r>
      <w:r>
        <w:t xml:space="preserve"> </w:t>
      </w:r>
      <w:r>
        <w:t xml:space="preserve">reinforcements, and generation costs, while maximising socio-economic welfare.</w:t>
      </w:r>
      <w:r>
        <w:t xml:space="preserve"> </w:t>
      </w:r>
      <w:r>
        <w:t xml:space="preserve">The process involves collecting input data from different sources. This includes data</w:t>
      </w:r>
      <w:r>
        <w:t xml:space="preserve"> </w:t>
      </w:r>
      <w:r>
        <w:t xml:space="preserve">related to transmission, storage projects, and potential hybrid projects focused on cross-</w:t>
      </w:r>
      <w:r>
        <w:t xml:space="preserve"> </w:t>
      </w:r>
      <w:r>
        <w:t xml:space="preserve">border capacity increases. Then a general market modelling approach is undertaken where</w:t>
      </w:r>
      <w:r>
        <w:t xml:space="preserve"> </w:t>
      </w:r>
      <w:r>
        <w:t xml:space="preserve">scenarios are evaluated to determine potential future energy systems. This involves</w:t>
      </w:r>
      <w:r>
        <w:t xml:space="preserve"> </w:t>
      </w:r>
      <w:r>
        <w:t xml:space="preserve">simulations to check reference case congestions and identify the flows within the system.</w:t>
      </w:r>
      <w:r>
        <w:br/>
      </w:r>
      <w:r>
        <w:t xml:space="preserve">The simulations use different approach depending on the time horizon. For 2030, NTC</w:t>
      </w:r>
      <w:r>
        <w:t xml:space="preserve"> </w:t>
      </w:r>
      <w:r>
        <w:t xml:space="preserve">Model (Net Transfer Capacity model) is used for assessing transfer capacities between</w:t>
      </w:r>
      <w:r>
        <w:t xml:space="preserve"> </w:t>
      </w:r>
      <w:r>
        <w:t xml:space="preserve">bidding zones or countries. A zonal market simulation is performed for 2040. It includes</w:t>
      </w:r>
      <w:r>
        <w:t xml:space="preserve"> </w:t>
      </w:r>
      <w:r>
        <w:t xml:space="preserve">defining clusters for generation and load data to optimize data processing and validation</w:t>
      </w:r>
      <w:r>
        <w:t xml:space="preserve"> </w:t>
      </w:r>
      <w:r>
        <w:t xml:space="preserve">based on PECD Zone Clustering Model.</w:t>
      </w:r>
      <w:r>
        <w:br/>
      </w:r>
      <w:r>
        <w:t xml:space="preserve">In order to define clusters, first internal inter-zone connections are given infinite capacity</w:t>
      </w:r>
      <w:r>
        <w:t xml:space="preserve"> </w:t>
      </w:r>
      <w:r>
        <w:t xml:space="preserve">to focus on cross-border bottlenecks, while maintaining technical constraints like</w:t>
      </w:r>
      <w:r>
        <w:t xml:space="preserve"> </w:t>
      </w:r>
      <w:r>
        <w:t xml:space="preserve">impedance. HVDC links are then added, requiring special constraints due to their unique</w:t>
      </w:r>
      <w:r>
        <w:t xml:space="preserve"> </w:t>
      </w:r>
      <w:r>
        <w:t xml:space="preserve">behaviour. Corrections for Phase Shifting Transformers (PSTs) are also implemented to</w:t>
      </w:r>
      <w:r>
        <w:t xml:space="preserve"> </w:t>
      </w:r>
      <w:r>
        <w:t xml:space="preserve">reflect their effect on power flow, modifying mesh rules accordingly. Once the model is</w:t>
      </w:r>
      <w:r>
        <w:t xml:space="preserve"> </w:t>
      </w:r>
      <w:r>
        <w:t xml:space="preserve">set, a zonal simulation is run to detect existing congestions (this represents the first</w:t>
      </w:r>
      <w:r>
        <w:t xml:space="preserve"> </w:t>
      </w:r>
      <w:r>
        <w:t xml:space="preserve">modelling run). Based on this run, candidate interconnection projects are collected with</w:t>
      </w:r>
      <w:r>
        <w:t xml:space="preserve"> </w:t>
      </w:r>
      <w:r>
        <w:t xml:space="preserve">standard cost data from TSOs and project promoters. These are then implemented in a</w:t>
      </w:r>
      <w:r>
        <w:t xml:space="preserve"> </w:t>
      </w:r>
      <w:r>
        <w:t xml:space="preserve">capacity expansion model using Antares Xpansion, which solves for the most cost-</w:t>
      </w:r>
      <w:r>
        <w:t xml:space="preserve"> </w:t>
      </w:r>
      <w:r>
        <w:t xml:space="preserve">effective set of cross-border upgrades. The optimisation relies on Benders Decomposition,</w:t>
      </w:r>
      <w:r>
        <w:t xml:space="preserve"> </w:t>
      </w:r>
      <w:r>
        <w:t xml:space="preserve">which breaks the problem into manageable steps: proposing investments, simulating</w:t>
      </w:r>
      <w:r>
        <w:t xml:space="preserve"> </w:t>
      </w:r>
      <w:r>
        <w:t xml:space="preserve">dispatch, calculating total costs, and refining until the cost no longer significantly</w:t>
      </w:r>
      <w:r>
        <w:t xml:space="preserve"> </w:t>
      </w:r>
      <w:r>
        <w:t xml:space="preserve">improves. This iterative process intends to allow for the identification of strategic upgrades</w:t>
      </w:r>
      <w:r>
        <w:t xml:space="preserve"> </w:t>
      </w:r>
      <w:r>
        <w:t xml:space="preserve">that minimise long-term system costs while ensuring security of supply and efficient</w:t>
      </w:r>
      <w:r>
        <w:t xml:space="preserve"> </w:t>
      </w:r>
      <w:r>
        <w:t xml:space="preserve">integration of renewables. For 2050, Simplified Zonal Market Model is used.162</w:t>
      </w:r>
    </w:p>
    <w:p>
      <w:pPr>
        <w:pStyle w:val="BodyText"/>
      </w:pPr>
      <w:r>
        <w:t xml:space="preserve">161 ENTSO-E (2025), TYNDP 2024. Opportunities for…op. cit.</w:t>
      </w:r>
      <w:r>
        <w:t xml:space="preserve"> </w:t>
      </w:r>
      <w:r>
        <w:t xml:space="preserve">162 ENTSO-E (2025), TYNDP 2024. Identification of the System Needs Study Methodology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Figure 6: Step-by-step Identification of System Needs process diagram (TYNDP 2024 for 2040-time horizon)</w:t>
      </w:r>
    </w:p>
    <w:p>
      <w:pPr>
        <w:pStyle w:val="BodyText"/>
      </w:pPr>
      <w:r>
        <w:t xml:space="preserve">Source: ENTSO-E Identification of the System Needs Study Methodology</w:t>
      </w:r>
    </w:p>
    <w:p>
      <w:pPr>
        <w:pStyle w:val="BodyText"/>
      </w:pPr>
      <w:r>
        <w:t xml:space="preserve">The optimization of the grid where it would minimise the total system costs is performed in two</w:t>
      </w:r>
      <w:r>
        <w:t xml:space="preserve"> </w:t>
      </w:r>
      <w:r>
        <w:t xml:space="preserve">phases:</w:t>
      </w:r>
      <w:r>
        <w:br/>
      </w:r>
      <w:r>
        <w:t xml:space="preserve">•</w:t>
      </w:r>
      <w:r>
        <w:t xml:space="preserve"> </w:t>
      </w:r>
      <w:r>
        <w:t xml:space="preserve">The first phase considers only existing projects, collected from project promoters, on top</w:t>
      </w:r>
      <w:r>
        <w:t xml:space="preserve"> </w:t>
      </w:r>
      <w:r>
        <w:t xml:space="preserve">of the ones already included in the reference network and based on TSO submission (Third</w:t>
      </w:r>
      <w:r>
        <w:t xml:space="preserve"> </w:t>
      </w:r>
      <w:r>
        <w:t xml:space="preserve">party and TSOs). For battery and flexibility candidates, the only capacities considered in</w:t>
      </w:r>
      <w:r>
        <w:t xml:space="preserve"> </w:t>
      </w:r>
      <w:r>
        <w:t xml:space="preserve">this phase are the ones removed from starting point.</w:t>
      </w:r>
      <w:r>
        <w:br/>
      </w:r>
      <w:r>
        <w:t xml:space="preserve">•</w:t>
      </w:r>
      <w:r>
        <w:t xml:space="preserve"> </w:t>
      </w:r>
      <w:r>
        <w:t xml:space="preserve">The second phase considers conceptual candidates added to candidates that were not</w:t>
      </w:r>
      <w:r>
        <w:t xml:space="preserve"> </w:t>
      </w:r>
      <w:r>
        <w:t xml:space="preserve">selected from the first loop of optimization. These include conceptual interconnections,</w:t>
      </w:r>
      <w:r>
        <w:t xml:space="preserve"> </w:t>
      </w:r>
      <w:r>
        <w:t xml:space="preserve">collected from TSOs, hybrid projects, collected from regional groups, and normative</w:t>
      </w:r>
      <w:r>
        <w:t xml:space="preserve"> </w:t>
      </w:r>
      <w:r>
        <w:t xml:space="preserve">flexibilities.</w:t>
      </w:r>
      <w:r>
        <w:br/>
      </w:r>
      <w:r>
        <w:t xml:space="preserve">In the 2024 System Needs assessment, the H2 system is also modelled, adding complexity to the</w:t>
      </w:r>
      <w:r>
        <w:t xml:space="preserve"> </w:t>
      </w:r>
      <w:r>
        <w:t xml:space="preserve">data collection (performed in the Scenario Building process) and the computation. The results</w:t>
      </w:r>
      <w:r>
        <w:t xml:space="preserve"> </w:t>
      </w:r>
      <w:r>
        <w:t xml:space="preserve">allowed for a following process that intends to capture the hydrogen infrastructure gaps in Europe.</w:t>
      </w:r>
    </w:p>
    <w:p>
      <w:pPr>
        <w:pStyle w:val="Compact"/>
        <w:numPr>
          <w:ilvl w:val="0"/>
          <w:numId w:val="1016"/>
        </w:numPr>
      </w:pPr>
      <w:r>
        <w:t xml:space="preserve">Infrastructure gaps identification: This part of the study identifies where there is a</w:t>
      </w:r>
      <w:r>
        <w:t xml:space="preserve"> </w:t>
      </w:r>
      <w:r>
        <w:t xml:space="preserve">potential difference between cross-border capacity needs and the expected increases from</w:t>
      </w:r>
      <w:r>
        <w:t xml:space="preserve"> </w:t>
      </w:r>
      <w:r>
        <w:t xml:space="preserve">transmission projects to be developed in the future. Thes projects represent investment</w:t>
      </w:r>
      <w:r>
        <w:t xml:space="preserve"> </w:t>
      </w:r>
      <w:r>
        <w:t xml:space="preserve">candidates submitted by project promoters and are largely in line with the TYNDP 2024</w:t>
      </w:r>
      <w:r>
        <w:t xml:space="preserve"> </w:t>
      </w:r>
      <w:r>
        <w:t xml:space="preserve">projects portfolio. This analysis helps map where there are opportunities for new solutions</w:t>
      </w:r>
      <w:r>
        <w:t xml:space="preserve"> </w:t>
      </w:r>
      <w:r>
        <w:t xml:space="preserve">to increase capacity.</w:t>
      </w:r>
    </w:p>
    <w:p>
      <w:pPr>
        <w:pStyle w:val="FirstParagraph"/>
      </w:pPr>
      <w:r>
        <w:t xml:space="preserve">The benefits of an optimal grid are assessed by looking among others at: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1.1. Socio-Economic Welfare (SEW) which reflects the sum of economic surpluses for</w:t>
      </w:r>
      <w:r>
        <w:t xml:space="preserve"> </w:t>
      </w:r>
      <w:r>
        <w:t xml:space="preserve">electricity consumers, producers, and transmission owners. It measures how much more</w:t>
      </w:r>
      <w:r>
        <w:t xml:space="preserve"> </w:t>
      </w:r>
      <w:r>
        <w:t xml:space="preserve">efficient and beneficial the grid becomes by enhancing cross-border transmission and</w:t>
      </w:r>
      <w:r>
        <w:t xml:space="preserve"> </w:t>
      </w:r>
      <w:r>
        <w:t xml:space="preserve">reducing congestion.</w:t>
      </w:r>
      <w:r>
        <w:t xml:space="preserve"> </w:t>
      </w:r>
      <w:r>
        <w:t xml:space="preserve">1.2. Reduction in system costs estimating reductions in total system costs, like network</w:t>
      </w:r>
      <w:r>
        <w:t xml:space="preserve"> </w:t>
      </w:r>
      <w:r>
        <w:t xml:space="preserve">investment, internal reinforcement, and generation costs, achieved by optimizing grid</w:t>
      </w:r>
      <w:r>
        <w:t xml:space="preserve"> </w:t>
      </w:r>
      <w:r>
        <w:t xml:space="preserve">capacity and eliminating constraints.</w:t>
      </w:r>
      <w:r>
        <w:t xml:space="preserve"> </w:t>
      </w:r>
      <w:r>
        <w:t xml:space="preserve">1.3. Integration of renewable energy sources which is based on the ability of the optimal</w:t>
      </w:r>
      <w:r>
        <w:t xml:space="preserve"> </w:t>
      </w:r>
      <w:r>
        <w:t xml:space="preserve">grid to integrate and utilize renewable energy, thereby reducing reliance on fossil fuels,</w:t>
      </w:r>
      <w:r>
        <w:t xml:space="preserve"> </w:t>
      </w:r>
      <w:r>
        <w:t xml:space="preserve">decreasing carbon emissions, and supporting sustainable energy goals.</w:t>
      </w:r>
      <w:r>
        <w:t xml:space="preserve"> </w:t>
      </w:r>
      <w:r>
        <w:t xml:space="preserve">1.4. Avoided curtailment where the assessment considers the reduction in curtailment</w:t>
      </w:r>
      <w:r>
        <w:t xml:space="preserve"> </w:t>
      </w:r>
      <w:r>
        <w:t xml:space="preserve">(unused renewable power due to grid constraints) as a significant grid optimization benefit</w:t>
      </w:r>
      <w:r>
        <w:t xml:space="preserve"> </w:t>
      </w:r>
      <w:r>
        <w:t xml:space="preserve">by maximizing the use of generated renewable energy.</w:t>
      </w:r>
      <w:r>
        <w:t xml:space="preserve"> </w:t>
      </w:r>
      <w:r>
        <w:t xml:space="preserve">1.5. Reduction in CO2 emissions which includes evaluating how better cross-border</w:t>
      </w:r>
      <w:r>
        <w:t xml:space="preserve"> </w:t>
      </w:r>
      <w:r>
        <w:t xml:space="preserve">integration and increased capacity for renewable energy contribute to decreases in CO2</w:t>
      </w:r>
      <w:r>
        <w:t xml:space="preserve"> </w:t>
      </w:r>
      <w:r>
        <w:t xml:space="preserve">emissions, aligning with environmental targets.</w:t>
      </w:r>
      <w:r>
        <w:t xml:space="preserve"> </w:t>
      </w:r>
      <w:r>
        <w:t xml:space="preserve">1.6. Economic and market benefits looking at how an optimal grid enables more competitive</w:t>
      </w:r>
      <w:r>
        <w:t xml:space="preserve"> </w:t>
      </w:r>
      <w:r>
        <w:t xml:space="preserve">electricity pricing by facilitating market integration and reducing regional price</w:t>
      </w:r>
      <w:r>
        <w:t xml:space="preserve"> </w:t>
      </w:r>
      <w:r>
        <w:t xml:space="preserve">disparities. It leads to lower electricity bills and broader economic benefits.</w:t>
      </w:r>
    </w:p>
    <w:p>
      <w:pPr>
        <w:pStyle w:val="BodyText"/>
      </w:pPr>
      <w:r>
        <w:t xml:space="preserve">Infrastructure needs assessment by JRC</w:t>
      </w:r>
      <w:r>
        <w:t xml:space="preserve"> </w:t>
      </w:r>
      <w:r>
        <w:t xml:space="preserve">The JRC assessment applies the same logic to the infrastructure needs assessment as the ENTSO-</w:t>
      </w:r>
      <w:r>
        <w:t xml:space="preserve"> </w:t>
      </w:r>
      <w:r>
        <w:t xml:space="preserve">E IGR, but uses a different model (METIS 3) and introduces some adjustments to make the</w:t>
      </w:r>
      <w:r>
        <w:t xml:space="preserve"> </w:t>
      </w:r>
      <w:r>
        <w:t xml:space="preserve">assessment more in line with the latest policy developments. The analysis is based on the National</w:t>
      </w:r>
      <w:r>
        <w:t xml:space="preserve"> </w:t>
      </w:r>
      <w:r>
        <w:t xml:space="preserve">Trends + scenario 2030 and 2040, while the investment candidates and their costs used for grid</w:t>
      </w:r>
      <w:r>
        <w:t xml:space="preserve"> </w:t>
      </w:r>
      <w:r>
        <w:t xml:space="preserve">optimisation come from:</w:t>
      </w:r>
      <w:r>
        <w:t xml:space="preserve"> </w:t>
      </w:r>
      <w:r>
        <w:t xml:space="preserve">•</w:t>
      </w:r>
      <w:r>
        <w:t xml:space="preserve"> </w:t>
      </w:r>
      <w:r>
        <w:t xml:space="preserve">Explicit TYNDP candidates and their costs cost,</w:t>
      </w:r>
      <w:r>
        <w:br/>
      </w:r>
      <w:r>
        <w:t xml:space="preserve">•</w:t>
      </w:r>
      <w:r>
        <w:t xml:space="preserve"> </w:t>
      </w:r>
      <w:r>
        <w:t xml:space="preserve">Generic expansion candidates,</w:t>
      </w:r>
      <w:r>
        <w:t xml:space="preserve"> </w:t>
      </w:r>
      <w:r>
        <w:t xml:space="preserve">•</w:t>
      </w:r>
      <w:r>
        <w:t xml:space="preserve"> </w:t>
      </w:r>
      <w:r>
        <w:t xml:space="preserve">Complete bidirectional line setup (LU),</w:t>
      </w:r>
      <w:r>
        <w:br/>
      </w:r>
      <w:r>
        <w:t xml:space="preserve">•</w:t>
      </w:r>
      <w:r>
        <w:t xml:space="preserve"> </w:t>
      </w:r>
      <w:r>
        <w:t xml:space="preserve">Candidates from scenario results.</w:t>
      </w:r>
      <w:r>
        <w:br/>
      </w:r>
      <w:r>
        <w:t xml:space="preserve">The reference grid and the expansion candidates for the expansion study provide a modelling setup</w:t>
      </w:r>
      <w:r>
        <w:t xml:space="preserve"> </w:t>
      </w:r>
      <w:r>
        <w:t xml:space="preserve">for METIS. The nodes are divided into those at which installed generation capacities or demand</w:t>
      </w:r>
      <w:r>
        <w:t xml:space="preserve"> </w:t>
      </w:r>
      <w:r>
        <w:t xml:space="preserve">is located and nodes which have neither. The METIS scenario is parametrised to closely resemble</w:t>
      </w:r>
      <w:r>
        <w:t xml:space="preserve"> </w:t>
      </w:r>
      <w:r>
        <w:t xml:space="preserve">the TYNDP National Trends+ scenario, but some differences remain. The model produces some</w:t>
      </w:r>
      <w:r>
        <w:t xml:space="preserve"> </w:t>
      </w:r>
      <w:r>
        <w:t xml:space="preserve">additional outputs such as average electricity prices after the line expansion.</w:t>
      </w:r>
    </w:p>
    <w:p>
      <w:pPr>
        <w:pStyle w:val="BodyText"/>
      </w:pPr>
      <w:r>
        <w:t xml:space="preserve">Analysis of the delays in infrastructure deployment</w:t>
      </w:r>
      <w:r>
        <w:t xml:space="preserve"> </w:t>
      </w:r>
      <w:r>
        <w:t xml:space="preserve">The analysis has been performed by the JRC based on the 2024 TYNDP National Trends + data</w:t>
      </w:r>
      <w:r>
        <w:t xml:space="preserve"> </w:t>
      </w:r>
      <w:r>
        <w:t xml:space="preserve">and METIS model optimisation, and based on data on delays coming from 2020 to 2026 TYNDP</w:t>
      </w:r>
      <w:r>
        <w:t xml:space="preserve"> </w:t>
      </w:r>
      <w:r>
        <w:t xml:space="preserve">project collections.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The quantification of costs of delays looks at 2030 comparing a situation with projects expected</w:t>
      </w:r>
      <w:r>
        <w:t xml:space="preserve"> </w:t>
      </w:r>
      <w:r>
        <w:t xml:space="preserve">initially to be completed by 2030 (No delays case) to a situation without the projects whose</w:t>
      </w:r>
      <w:r>
        <w:t xml:space="preserve"> </w:t>
      </w:r>
      <w:r>
        <w:t xml:space="preserve">commissioning dates were moved to 2030 and beyond (delayed scenario). The expected grid in</w:t>
      </w:r>
      <w:r>
        <w:t xml:space="preserve"> </w:t>
      </w:r>
      <w:r>
        <w:t xml:space="preserve">2030 contains:</w:t>
      </w:r>
      <w:r>
        <w:t xml:space="preserve"> </w:t>
      </w:r>
      <w:r>
        <w:t xml:space="preserve">•</w:t>
      </w:r>
      <w:r>
        <w:t xml:space="preserve"> </w:t>
      </w:r>
      <w:r>
        <w:t xml:space="preserve">ENTSO reference grid (aggregated per border) for 2030</w:t>
      </w:r>
      <w:r>
        <w:t xml:space="preserve"> </w:t>
      </w:r>
      <w:r>
        <w:t xml:space="preserve">•</w:t>
      </w:r>
      <w:r>
        <w:t xml:space="preserve"> </w:t>
      </w:r>
      <w:r>
        <w:t xml:space="preserve">any additional project candidates with initial commissioning dates by 2030 (data coming</w:t>
      </w:r>
      <w:r>
        <w:t xml:space="preserve"> </w:t>
      </w:r>
      <w:r>
        <w:t xml:space="preserve">from previous TYNDPs)</w:t>
      </w:r>
      <w:r>
        <w:t xml:space="preserve"> </w:t>
      </w:r>
      <w:r>
        <w:t xml:space="preserve">This forms the “No delays case” with additional MW and annualised CAPEX and OPEX of each</w:t>
      </w:r>
      <w:r>
        <w:t xml:space="preserve"> </w:t>
      </w:r>
      <w:r>
        <w:t xml:space="preserve">candidate.</w:t>
      </w:r>
      <w:r>
        <w:br/>
      </w:r>
      <w:r>
        <w:t xml:space="preserve">In the delayed scenario, the projects with delays leading to commissioning dates beyond 2030</w:t>
      </w:r>
      <w:r>
        <w:t xml:space="preserve"> </w:t>
      </w:r>
      <w:r>
        <w:t xml:space="preserve">have been removed from METIS optimisation (the latest data comes from information provided</w:t>
      </w:r>
      <w:r>
        <w:t xml:space="preserve"> </w:t>
      </w:r>
      <w:r>
        <w:t xml:space="preserve">by project promoters in the context of the 2nd PCI/PMI list and project submissions to the TYNDP</w:t>
      </w:r>
      <w:r>
        <w:t xml:space="preserve"> </w:t>
      </w:r>
      <w:r>
        <w:t xml:space="preserve">2026).</w:t>
      </w:r>
      <w:r>
        <w:t xml:space="preserve"> </w:t>
      </w:r>
      <w:r>
        <w:t xml:space="preserve">The analysis covers only transmission projects, meaning that the effects of delayed storage</w:t>
      </w:r>
      <w:r>
        <w:t xml:space="preserve"> </w:t>
      </w:r>
      <w:r>
        <w:t xml:space="preserve">projects are not included in the METIS contexts.</w:t>
      </w:r>
      <w:r>
        <w:br/>
      </w:r>
      <w:r>
        <w:t xml:space="preserve">The impact of the delays was estimated in terms of:</w:t>
      </w:r>
      <w:r>
        <w:br/>
      </w:r>
      <w:r>
        <w:t xml:space="preserve">•</w:t>
      </w:r>
      <w:r>
        <w:t xml:space="preserve"> </w:t>
      </w:r>
      <w:r>
        <w:t xml:space="preserve">Average price per zone and scenario and delta of delay scenario compared to the No</w:t>
      </w:r>
      <w:r>
        <w:t xml:space="preserve"> </w:t>
      </w:r>
      <w:r>
        <w:t xml:space="preserve">Delays case;</w:t>
      </w:r>
      <w:r>
        <w:br/>
      </w:r>
      <w:r>
        <w:t xml:space="preserve">•</w:t>
      </w:r>
      <w:r>
        <w:t xml:space="preserve"> </w:t>
      </w:r>
      <w:r>
        <w:t xml:space="preserve">Delta in Social Economic Welfare to the No Delays case;</w:t>
      </w:r>
      <w:r>
        <w:br/>
      </w:r>
      <w:r>
        <w:t xml:space="preserve">•</w:t>
      </w:r>
      <w:r>
        <w:t xml:space="preserve"> </w:t>
      </w:r>
      <w:r>
        <w:t xml:space="preserve">Total cost of generation (fuel cost, emission certificates, variable O&amp;M) and delta to No</w:t>
      </w:r>
      <w:r>
        <w:t xml:space="preserve"> </w:t>
      </w:r>
      <w:r>
        <w:t xml:space="preserve">Delays case;</w:t>
      </w:r>
      <w:r>
        <w:br/>
      </w:r>
      <w:r>
        <w:t xml:space="preserve">•</w:t>
      </w:r>
      <w:r>
        <w:t xml:space="preserve"> </w:t>
      </w:r>
      <w:r>
        <w:t xml:space="preserve">Investment costs compared to the delayed projects.</w:t>
      </w:r>
    </w:p>
    <w:p>
      <w:pPr>
        <w:pStyle w:val="BodyText"/>
      </w:pPr>
      <w:r>
        <w:t xml:space="preserve">Analysis of the benefits of dynamic line rating deployment</w:t>
      </w:r>
      <w:r>
        <w:t xml:space="preserve"> </w:t>
      </w:r>
      <w:r>
        <w:t xml:space="preserve">Commission analysis used available data from Joint Allocation Office (JAO - Leading service</w:t>
      </w:r>
      <w:r>
        <w:t xml:space="preserve"> </w:t>
      </w:r>
      <w:r>
        <w:t xml:space="preserve">provider for TSOs), from the common grid model and results of shadow pricing in the period of</w:t>
      </w:r>
      <w:r>
        <w:t xml:space="preserve"> </w:t>
      </w:r>
      <w:r>
        <w:t xml:space="preserve">April 2022 to June 2025. It analysed 143 most congested lines in the CORE region (i.e., their</w:t>
      </w:r>
      <w:r>
        <w:t xml:space="preserve"> </w:t>
      </w:r>
      <w:r>
        <w:t xml:space="preserve">aggregated share in total shadow prices &lt;99%, lines with frequent changes to Fmax were filtered</w:t>
      </w:r>
      <w:r>
        <w:t xml:space="preserve"> </w:t>
      </w:r>
      <w:r>
        <w:t xml:space="preserve">out before the calculation), and applied dynamic line rating on these lines (assumptions: increase</w:t>
      </w:r>
      <w:r>
        <w:t xml:space="preserve"> </w:t>
      </w:r>
      <w:r>
        <w:t xml:space="preserve">of available maximum flow Fmax by 20 % in 1/3 of the year, 70 % of such increase available for</w:t>
      </w:r>
      <w:r>
        <w:t xml:space="preserve"> </w:t>
      </w:r>
      <w:r>
        <w:t xml:space="preserve">cross-border trade). Yearly shadow prices were discounted by 0.5 % annually due to expected</w:t>
      </w:r>
      <w:r>
        <w:t xml:space="preserve"> </w:t>
      </w:r>
      <w:r>
        <w:t xml:space="preserve">decrease of the shadow prices, and benefits were calculated per expected life-duration of 20 years</w:t>
      </w:r>
      <w:r>
        <w:t xml:space="preserve"> </w:t>
      </w:r>
      <w:r>
        <w:t xml:space="preserve">for dynamic line rating technology. Costs of dynamic line rating were taken from conservative</w:t>
      </w:r>
      <w:r>
        <w:t xml:space="preserve"> </w:t>
      </w:r>
      <w:r>
        <w:t xml:space="preserve">estimate of Forbes (https://www.forbes.com/sites/annabroughel/2025/03/27/dynamic-line-</w:t>
      </w:r>
      <w:r>
        <w:t xml:space="preserve"> </w:t>
      </w:r>
      <w:r>
        <w:t xml:space="preserve">rating-grid-technology-to-reduce-your-electric-bills/). For comparison, ACER estimate is 500</w:t>
      </w:r>
      <w:r>
        <w:t xml:space="preserve"> </w:t>
      </w:r>
      <w:r>
        <w:t xml:space="preserve">000 EUR for one line to be equipped by the dynamic line rating, which would result in</w:t>
      </w:r>
      <w:r>
        <w:t xml:space="preserve"> </w:t>
      </w:r>
      <w:r>
        <w:t xml:space="preserve">approximately 50 % lower costs if we apply it on the identical line base. In this relation, more</w:t>
      </w:r>
      <w:r>
        <w:t xml:space="preserve"> </w:t>
      </w:r>
      <w:r>
        <w:t xml:space="preserve">conservative (higher) Forbes values were chosen.</w:t>
      </w:r>
      <w:r>
        <w:t xml:space="preserve"> </w:t>
      </w:r>
      <w:r>
        <w:t xml:space="preserve">Analysis of the benefits of accelerating permitting for recharging stations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First, the high energy efficiency of EVs must be considered. While electricity accounted for only</w:t>
      </w:r>
      <w:r>
        <w:t xml:space="preserve"> </w:t>
      </w:r>
      <w:r>
        <w:t xml:space="preserve">7% of the total energy use in road transport in 2023, it powers 26% of the miles driven.163</w:t>
      </w:r>
      <w:r>
        <w:t xml:space="preserve"> </w:t>
      </w:r>
      <w:r>
        <w:t xml:space="preserve">Second, the ACER Market Monitoring Report shows that the need for congestion management</w:t>
      </w:r>
      <w:r>
        <w:t xml:space="preserve"> </w:t>
      </w:r>
      <w:r>
        <w:t xml:space="preserve">jumped 14.5% in 2023, driving up system costs. It estimates that the costs of managing</w:t>
      </w:r>
      <w:r>
        <w:t xml:space="preserve"> </w:t>
      </w:r>
      <w:r>
        <w:t xml:space="preserve">congestion in the EU power grid exceeded €4 billion. Increasingly, congestion management</w:t>
      </w:r>
      <w:r>
        <w:t xml:space="preserve"> </w:t>
      </w:r>
      <w:r>
        <w:t xml:space="preserve">results in renewable energy being curtailed. Streamlining permitting procedures for recharging</w:t>
      </w:r>
      <w:r>
        <w:t xml:space="preserve"> </w:t>
      </w:r>
      <w:r>
        <w:t xml:space="preserve">stations, and thus accelerating EV adoption, will contribute to limit renewables curtailment and</w:t>
      </w:r>
      <w:r>
        <w:t xml:space="preserve"> </w:t>
      </w:r>
      <w:r>
        <w:t xml:space="preserve">to reduce GHG emissions thanks to smart charging, by increasing electricity demand at the right</w:t>
      </w:r>
      <w:r>
        <w:t xml:space="preserve"> </w:t>
      </w:r>
      <w:r>
        <w:t xml:space="preserve">times (when clean energy is abundant) and store it for later use.</w:t>
      </w:r>
      <w:r>
        <w:br/>
      </w:r>
      <w:r>
        <w:t xml:space="preserve">EVs can provide additional flexibility thanks to bidirectional charging, by selling energy back to</w:t>
      </w:r>
      <w:r>
        <w:t xml:space="preserve"> </w:t>
      </w:r>
      <w:r>
        <w:t xml:space="preserve">the grid at peak times. EVs with bidirectional charging capabilities could contribute up to 4% of</w:t>
      </w:r>
      <w:r>
        <w:t xml:space="preserve"> </w:t>
      </w:r>
      <w:r>
        <w:t xml:space="preserve">Europe’s annual power supply by 2030. Estimated at 114 TWh battery capacity, it is enough to</w:t>
      </w:r>
      <w:r>
        <w:t xml:space="preserve"> </w:t>
      </w:r>
      <w:r>
        <w:t xml:space="preserve">power 30 million homes every year.164 By 2040, EVs utilizing bidirectional charging could</w:t>
      </w:r>
      <w:r>
        <w:t xml:space="preserve"> </w:t>
      </w:r>
      <w:r>
        <w:t xml:space="preserve">supply up to 9% of Europe’s annual electricity demand, positioning them as the fourth-largest</w:t>
      </w:r>
      <w:r>
        <w:t xml:space="preserve"> </w:t>
      </w:r>
      <w:r>
        <w:t xml:space="preserve">electricity provider in the region.165 During peak times, EVs could supply up to 15–20% of</w:t>
      </w:r>
      <w:r>
        <w:t xml:space="preserve"> </w:t>
      </w:r>
      <w:r>
        <w:t xml:space="preserve">electricity demand, serving as a large virtual power plant.166 The economic benefits might raise</w:t>
      </w:r>
      <w:r>
        <w:t xml:space="preserve"> </w:t>
      </w:r>
      <w:r>
        <w:t xml:space="preserve">up to €22 billion per year in savings for EU energy systems by 2040 through vehicle-to-grid</w:t>
      </w:r>
      <w:r>
        <w:t xml:space="preserve"> </w:t>
      </w:r>
      <w:r>
        <w:t xml:space="preserve">(V2G) integration.167 Moving to smart and bidirectional charging could save family car owners</w:t>
      </w:r>
      <w:r>
        <w:t xml:space="preserve"> </w:t>
      </w:r>
      <w:r>
        <w:t xml:space="preserve">an average of 20% on total cost of vehicle ownership.168 Electric bus fleets could even reduce</w:t>
      </w:r>
      <w:r>
        <w:t xml:space="preserve"> </w:t>
      </w:r>
      <w:r>
        <w:t xml:space="preserve">their charging costs, a primary component of their operating expenditure, by more than 90% with</w:t>
      </w:r>
      <w:r>
        <w:t xml:space="preserve"> </w:t>
      </w:r>
      <w:r>
        <w:t xml:space="preserve">V2G.169 In terms of GHG emissions, by 2035, V2G could reduce CO₂ emissions by 60 million</w:t>
      </w:r>
      <w:r>
        <w:t xml:space="preserve"> </w:t>
      </w:r>
      <w:r>
        <w:t xml:space="preserve">tonnes per year in Europe through reduced use of fossil-fuel generation at peak.170 Cumulative</w:t>
      </w:r>
      <w:r>
        <w:t xml:space="preserve"> </w:t>
      </w:r>
      <w:r>
        <w:t xml:space="preserve">savings (2025–2040) could reach 350 – 450 Mt CO₂.</w:t>
      </w:r>
    </w:p>
    <w:p>
      <w:pPr>
        <w:pStyle w:val="BodyText"/>
      </w:pPr>
      <w:r>
        <w:t xml:space="preserve">Additional evidence from other studies or assessments</w:t>
      </w:r>
      <w:r>
        <w:t xml:space="preserve"> </w:t>
      </w:r>
      <w:r>
        <w:t xml:space="preserve">Economic impacts - benefits from optimised grid in 2040:</w:t>
      </w:r>
      <w:r>
        <w:t xml:space="preserve"> </w:t>
      </w:r>
      <w:r>
        <w:t xml:space="preserve">As set out in section 6.1.1, for 2040, investments of EUR 6 bn/year into the optimal grid would</w:t>
      </w:r>
      <w:r>
        <w:t xml:space="preserve"> </w:t>
      </w:r>
      <w:r>
        <w:t xml:space="preserve">lead to EUR 14 bn/year reduction in system costs, that is EUR 8 bn/year net saving (only part of</w:t>
      </w:r>
      <w:r>
        <w:t xml:space="preserve"> </w:t>
      </w:r>
      <w:r>
        <w:t xml:space="preserve">these savings could be achieved by the already planned projects under the BAU scenario,</w:t>
      </w:r>
      <w:r>
        <w:t xml:space="preserve"> </w:t>
      </w:r>
      <w:r>
        <w:t xml:space="preserve">corresponding to 78 GW new capacity to be added by 2040). Figure 7 provides a more detailed</w:t>
      </w:r>
      <w:r>
        <w:t xml:space="preserve"> </w:t>
      </w:r>
      <w:r>
        <w:t xml:space="preserve">overview on the expected benefits.</w:t>
      </w:r>
    </w:p>
    <w:p>
      <w:pPr>
        <w:pStyle w:val="BodyText"/>
      </w:pPr>
      <w:r>
        <w:t xml:space="preserve">163 IEA, Global EV Outlook 2023</w:t>
      </w:r>
      <w:r>
        <w:t xml:space="preserve"> </w:t>
      </w:r>
      <w:r>
        <w:t xml:space="preserve">164 EY/Eurelectric report, Plugging into potential: unleashing the untapped flexibility of EVs, March 2025</w:t>
      </w:r>
      <w:r>
        <w:t xml:space="preserve"> </w:t>
      </w:r>
      <w:r>
        <w:t xml:space="preserve">165Fraunhofer study for T&amp;E, Batteries on wheels: the untapped potential of EVs, October 2024</w:t>
      </w:r>
      <w:r>
        <w:t xml:space="preserve"> </w:t>
      </w:r>
      <w:r>
        <w:t xml:space="preserve">166 Fraunhofer study for T&amp;E, Batteries on wheels: the untapped potential of EVs, October 2024</w:t>
      </w:r>
      <w:r>
        <w:t xml:space="preserve"> </w:t>
      </w:r>
      <w:r>
        <w:t xml:space="preserve">167Fraunhofer study for T&amp;E, Batteries on wheels: the untapped potential of EVs, October 2024</w:t>
      </w:r>
      <w:r>
        <w:t xml:space="preserve"> </w:t>
      </w:r>
      <w:r>
        <w:t xml:space="preserve">168 EY/Eurelectric report, Plugging into potential: unleashing the untapped flexibility of EVs, March 2025</w:t>
      </w:r>
      <w:r>
        <w:t xml:space="preserve"> </w:t>
      </w:r>
      <w:r>
        <w:t xml:space="preserve">169 https://www.sciencedirect.com/science/article/pii/S136655452300073X</w:t>
      </w:r>
      <w:r>
        <w:t xml:space="preserve"> </w:t>
      </w:r>
      <w:r>
        <w:t xml:space="preserve">170Fraunhofer study for T&amp;E, Batteries on wheels: the untapped potential of EVs, October 2024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Figure 7: Expected benefits from optimised grid in 2040</w:t>
      </w:r>
    </w:p>
    <w:p>
      <w:pPr>
        <w:pStyle w:val="BodyText"/>
      </w:pPr>
      <w:r>
        <w:t xml:space="preserve">Source: ENTSO-E, TYNDP 2024 Infrastructure Gap Report</w:t>
      </w:r>
    </w:p>
    <w:p>
      <w:pPr>
        <w:pStyle w:val="BodyText"/>
      </w:pPr>
      <w:r>
        <w:t xml:space="preserve">Economic impacts - congestion income:</w:t>
      </w:r>
      <w:r>
        <w:t xml:space="preserve"> </w:t>
      </w:r>
      <w:r>
        <w:t xml:space="preserve">Further to the assessment in section 6.1.1, in 2021, NRAs reported to ACER on the use of EUR</w:t>
      </w:r>
      <w:r>
        <w:t xml:space="preserve"> </w:t>
      </w:r>
      <w:r>
        <w:t xml:space="preserve">6.9 billion of overall congestion income.171 45% was used on the priority objectives172, and 49%</w:t>
      </w:r>
      <w:r>
        <w:t xml:space="preserve"> </w:t>
      </w:r>
      <w:r>
        <w:t xml:space="preserve">was saved on internal accounts. The remainder 6%, was used partly to reduce tariffs and partly to</w:t>
      </w:r>
      <w:r>
        <w:t xml:space="preserve"> </w:t>
      </w:r>
      <w:r>
        <w:t xml:space="preserve">cover tax obligations incurred by the transmission system operators.173 For 2024174, the total</w:t>
      </w:r>
      <w:r>
        <w:t xml:space="preserve"> </w:t>
      </w:r>
      <w:r>
        <w:t xml:space="preserve">congestion income collected was around EUR 8.4 billion with around EUR 5 billion spent on the</w:t>
      </w:r>
      <w:r>
        <w:t xml:space="preserve"> </w:t>
      </w:r>
      <w:r>
        <w:t xml:space="preserve">priority objectives and more than EUR 1 billion for tariff reduction and electricity customers’</w:t>
      </w:r>
      <w:r>
        <w:t xml:space="preserve"> </w:t>
      </w:r>
      <w:r>
        <w:t xml:space="preserve">support.175 As a result, around EUR 2.4 billion is expected to be stored. Of the EUR 5 billion spent</w:t>
      </w:r>
      <w:r>
        <w:t xml:space="preserve"> </w:t>
      </w:r>
      <w:r>
        <w:t xml:space="preserve">on the priority objectives, around EUR 1 billion was used for “ongoing investment or capital</w:t>
      </w:r>
      <w:r>
        <w:t xml:space="preserve"> </w:t>
      </w:r>
      <w:r>
        <w:t xml:space="preserve">expenditures for renewal, replacement, reinforcement of existing assets, or new assets which</w:t>
      </w:r>
      <w:r>
        <w:t xml:space="preserve"> </w:t>
      </w:r>
      <w:r>
        <w:t xml:space="preserve">significantly contribute to maintaining or increasing cross-zonal capacity, including the costs of</w:t>
      </w:r>
      <w:r>
        <w:t xml:space="preserve"> </w:t>
      </w:r>
      <w:r>
        <w:t xml:space="preserve">development and construction phases of such assets”.</w:t>
      </w:r>
      <w:r>
        <w:t xml:space="preserve"> </w:t>
      </w:r>
      <w:r>
        <w:t xml:space="preserve">Economic impacts - redispatch volumes:</w:t>
      </w:r>
      <w:r>
        <w:t xml:space="preserve"> </w:t>
      </w:r>
      <w:r>
        <w:t xml:space="preserve">In addition to the assessment in section 6.1.1., the below figure shows the evolution of</w:t>
      </w:r>
      <w:r>
        <w:t xml:space="preserve"> </w:t>
      </w:r>
      <w:r>
        <w:t xml:space="preserve">redispatched volumes in European system in three scenarios done by the JRC: business as usual</w:t>
      </w:r>
      <w:r>
        <w:t xml:space="preserve"> </w:t>
      </w:r>
      <w:r>
        <w:t xml:space="preserve">(10 % of grid expansion by 2040), ambitious grid expansion (20% increase of grid capacity by</w:t>
      </w:r>
      <w:r>
        <w:t xml:space="preserve"> </w:t>
      </w:r>
      <w:r>
        <w:t xml:space="preserve">2040) and extreme grid expansion (35 % increase of grid capacity by 2040). Redispatching</w:t>
      </w:r>
    </w:p>
    <w:p>
      <w:pPr>
        <w:pStyle w:val="BodyText"/>
      </w:pPr>
      <w:r>
        <w:t xml:space="preserve">171 ACER. (2022). Use of Congestion Income 2021 ACER Monitoring Report. 10.1 Use of Congestion Income 2020</w:t>
      </w:r>
      <w:r>
        <w:br/>
      </w:r>
      <w:r>
        <w:t xml:space="preserve">172 Article 19(2) of Regulation (EU) 2019/943. Priority objectives include a) guaranteeing the actual availability of</w:t>
      </w:r>
      <w:r>
        <w:t xml:space="preserve"> </w:t>
      </w:r>
      <w:r>
        <w:t xml:space="preserve">the allocated capacity including firmness compensation and b) maintaining or increasing cross-zonal capacities</w:t>
      </w:r>
      <w:r>
        <w:t xml:space="preserve"> </w:t>
      </w:r>
      <w:r>
        <w:t xml:space="preserve">through optimisation of the usage of existing interconnectors by means of coordinated remedial actions, where</w:t>
      </w:r>
      <w:r>
        <w:t xml:space="preserve"> </w:t>
      </w:r>
      <w:r>
        <w:t xml:space="preserve">applicable, or covering costs resulting from network investments that are relevant to reduce interconnector congestion.</w:t>
      </w:r>
      <w:r>
        <w:t xml:space="preserve"> </w:t>
      </w:r>
      <w:r>
        <w:t xml:space="preserve">173 CERRE_Infrastructure_Final-report.pdf</w:t>
      </w:r>
      <w:r>
        <w:t xml:space="preserve"> </w:t>
      </w:r>
      <w:r>
        <w:t xml:space="preserve">174 Congestion revenues for the years 2022 and 2023 are not considered representative due to the energy crisis and</w:t>
      </w:r>
      <w:r>
        <w:t xml:space="preserve"> </w:t>
      </w:r>
      <w:r>
        <w:t xml:space="preserve">therefore are not included here.</w:t>
      </w:r>
      <w:r>
        <w:t xml:space="preserve"> </w:t>
      </w:r>
      <w:r>
        <w:t xml:space="preserve">175 ACER data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significantly drops between BAU and AGE, and further in XGE scenario (see Figure 8).176 Of</w:t>
      </w:r>
      <w:r>
        <w:t xml:space="preserve"> </w:t>
      </w:r>
      <w:r>
        <w:t xml:space="preserve">the total amount of electricity redispatched, between 50-120 TWh will be of renewable origin in</w:t>
      </w:r>
      <w:r>
        <w:t xml:space="preserve"> </w:t>
      </w:r>
      <w:r>
        <w:t xml:space="preserve">2030, and between 100-310 TWh in 2040 (depending on the scenario). These numbers confirm</w:t>
      </w:r>
      <w:r>
        <w:t xml:space="preserve"> </w:t>
      </w:r>
      <w:r>
        <w:t xml:space="preserve">that appropriate grid expansion can significantly lower environmental losses linked to curtailed</w:t>
      </w:r>
      <w:r>
        <w:t xml:space="preserve"> </w:t>
      </w:r>
      <w:r>
        <w:t xml:space="preserve">electricity from renewables. (See estimation of ENTSO-E in the following paragraph, noting that</w:t>
      </w:r>
      <w:r>
        <w:t xml:space="preserve"> </w:t>
      </w:r>
      <w:r>
        <w:t xml:space="preserve">optimal grid would decrease curtailed RES by 143 TWh in 2040, matching the middle JRC</w:t>
      </w:r>
      <w:r>
        <w:t xml:space="preserve"> </w:t>
      </w:r>
      <w:r>
        <w:t xml:space="preserve">scenario).</w:t>
      </w:r>
    </w:p>
    <w:p>
      <w:pPr>
        <w:pStyle w:val="BodyText"/>
      </w:pPr>
      <w:r>
        <w:t xml:space="preserve">Figure 8: Evolution of redispatch volumes in the European power system</w:t>
      </w:r>
    </w:p>
    <w:p>
      <w:pPr>
        <w:pStyle w:val="BodyText"/>
      </w:pPr>
      <w:r>
        <w:t xml:space="preserve">Figure 9 shows the expected redispatching costs under different grid development scenarios</w:t>
      </w:r>
      <w:r>
        <w:t xml:space="preserve"> </w:t>
      </w:r>
      <w:r>
        <w:t xml:space="preserve">(BAU, Ambitious Grid Expansion (AGE) and Extreme Grid Expansion (XGE)) as shown below</w:t>
      </w:r>
      <w:r>
        <w:t xml:space="preserve"> </w:t>
      </w:r>
      <w:r>
        <w:t xml:space="preserve">from the JRC analysis.</w:t>
      </w:r>
    </w:p>
    <w:p>
      <w:pPr>
        <w:pStyle w:val="BodyText"/>
      </w:pPr>
      <w:r>
        <w:t xml:space="preserve">176 This JRC study does not identify optimal grid as such, which represents a shortcoming. To this aim, we do not</w:t>
      </w:r>
      <w:r>
        <w:t xml:space="preserve"> </w:t>
      </w:r>
      <w:r>
        <w:t xml:space="preserve">show results compared per policy option, but only for illustration of potential positive benefits from avoided RES</w:t>
      </w:r>
      <w:r>
        <w:t xml:space="preserve"> </w:t>
      </w:r>
      <w:r>
        <w:t xml:space="preserve">curtailment perspective.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Figure 9: Evolution of redispatch costs in the European power system (JRC, 2024)</w:t>
      </w:r>
    </w:p>
    <w:p>
      <w:pPr>
        <w:pStyle w:val="BodyText"/>
      </w:pPr>
      <w:r>
        <w:t xml:space="preserve">CO2 emissions decrease for optimised grid:</w:t>
      </w:r>
      <w:r>
        <w:t xml:space="preserve"> </w:t>
      </w:r>
      <w:r>
        <w:t xml:space="preserve">Figure 10 provides a more detailed overview on expected CO2 emission reductions for certain</w:t>
      </w:r>
      <w:r>
        <w:t xml:space="preserve"> </w:t>
      </w:r>
      <w:r>
        <w:t xml:space="preserve">countries as set out in section 6.3 on environmental impacts.</w:t>
      </w:r>
      <w:r>
        <w:t xml:space="preserve"> </w:t>
      </w:r>
      <w:r>
        <w:t xml:space="preserve">Figure 10: CO2 emissions decrease for optimised grid, source: ENTSO-E 2024 TYNDP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Administrative costs:</w:t>
      </w:r>
      <w:r>
        <w:t xml:space="preserve"> </w:t>
      </w:r>
      <w:r>
        <w:t xml:space="preserve">Policy option 3:</w:t>
      </w:r>
    </w:p>
    <w:p>
      <w:pPr>
        <w:pStyle w:val="BodyText"/>
      </w:pPr>
      <w:r>
        <w:t xml:space="preserve">The most substantial administrative costs are expected for PO3 and the establishment of entities</w:t>
      </w:r>
      <w:r>
        <w:t xml:space="preserve"> </w:t>
      </w:r>
      <w:r>
        <w:t xml:space="preserve">responsible for infrastructure planning and permitting. To estimate the administrative costs of</w:t>
      </w:r>
      <w:r>
        <w:t xml:space="preserve"> </w:t>
      </w:r>
      <w:r>
        <w:t xml:space="preserve">setting up an entity to cover all tasks in relation to infrastructure planning (PO3), the current</w:t>
      </w:r>
      <w:r>
        <w:t xml:space="preserve"> </w:t>
      </w:r>
      <w:r>
        <w:t xml:space="preserve">budget of ENTSO-E and ACER can serve as examples. For 2023, the budget of ENTSO-E177</w:t>
      </w:r>
      <w:r>
        <w:t xml:space="preserve"> </w:t>
      </w:r>
      <w:r>
        <w:t xml:space="preserve">totalled EUR 61.2 million, mostly funded by TSO member fees. As of 31 December 2023,</w:t>
      </w:r>
      <w:r>
        <w:t xml:space="preserve"> </w:t>
      </w:r>
      <w:r>
        <w:t xml:space="preserve">ENTSO-E counted 145 employees including permanent staff and secondments from TSOs. In</w:t>
      </w:r>
      <w:r>
        <w:t xml:space="preserve"> </w:t>
      </w:r>
      <w:r>
        <w:t xml:space="preserve">addition, ENTSO-E is relying on “numerous” TSO staff members to bring in their expertise to</w:t>
      </w:r>
      <w:r>
        <w:t xml:space="preserve"> </w:t>
      </w:r>
      <w:r>
        <w:t xml:space="preserve">execute their tasks. While infrastructure planning is only one of ENTSO-E’s tasks, the entity</w:t>
      </w:r>
      <w:r>
        <w:t xml:space="preserve"> </w:t>
      </w:r>
      <w:r>
        <w:t xml:space="preserve">would also cover hydrogen infrastructure planning which is currently with ENTSO-G and</w:t>
      </w:r>
      <w:r>
        <w:t xml:space="preserve"> </w:t>
      </w:r>
      <w:r>
        <w:t xml:space="preserve">ENNOH. In comparison, ACER’s total budget for 2023 was EUR 30 million, with 152 permanent</w:t>
      </w:r>
      <w:r>
        <w:t xml:space="preserve"> </w:t>
      </w:r>
      <w:r>
        <w:t xml:space="preserve">staff divided in three main areas: energy market and system needs, REMIT and horizontal</w:t>
      </w:r>
      <w:r>
        <w:t xml:space="preserve"> </w:t>
      </w:r>
      <w:r>
        <w:t xml:space="preserve">activities178. For the entity, staffing of 50 FTEs with an annual budget of around EUR 10-15</w:t>
      </w:r>
      <w:r>
        <w:t xml:space="preserve"> </w:t>
      </w:r>
      <w:r>
        <w:t xml:space="preserve">million might be required to carry out all tasks. While there might be some offsets due to staff</w:t>
      </w:r>
      <w:r>
        <w:t xml:space="preserve"> </w:t>
      </w:r>
      <w:r>
        <w:t xml:space="preserve">transfers, a substantial part would be in addition to the budget required to operate the already</w:t>
      </w:r>
      <w:r>
        <w:t xml:space="preserve"> </w:t>
      </w:r>
      <w:r>
        <w:t xml:space="preserve">existing entities. Since the entity would be independent from TSOs/project promoters, the budget</w:t>
      </w:r>
      <w:r>
        <w:t xml:space="preserve"> </w:t>
      </w:r>
      <w:r>
        <w:t xml:space="preserve">would have to be financed from other sources than membership fees. Whereas some posts of the</w:t>
      </w:r>
      <w:r>
        <w:t xml:space="preserve"> </w:t>
      </w:r>
      <w:r>
        <w:t xml:space="preserve">current entities might be transferred to the entity, all horizontal functions would have to be</w:t>
      </w:r>
      <w:r>
        <w:t xml:space="preserve"> </w:t>
      </w:r>
      <w:r>
        <w:t xml:space="preserve">established for a new entity (e.g. legal, finance, HR, IT).</w:t>
      </w:r>
    </w:p>
    <w:p>
      <w:pPr>
        <w:pStyle w:val="BodyText"/>
      </w:pPr>
      <w:r>
        <w:t xml:space="preserve">Given the highly specialised tasks, the establishment of such an entity and the time for it to</w:t>
      </w:r>
      <w:r>
        <w:t xml:space="preserve"> </w:t>
      </w:r>
      <w:r>
        <w:t xml:space="preserve">become fully operational is likely to take several years which would further delay the expected</w:t>
      </w:r>
      <w:r>
        <w:t xml:space="preserve"> </w:t>
      </w:r>
      <w:r>
        <w:t xml:space="preserve">benefits and hence increase costs in terms of non-realised benefits. It is expected to be very</w:t>
      </w:r>
      <w:r>
        <w:t xml:space="preserve"> </w:t>
      </w:r>
      <w:r>
        <w:t xml:space="preserve">difficult to hire highly specialised staff with sufficient experience in network operation, which is</w:t>
      </w:r>
      <w:r>
        <w:t xml:space="preserve"> </w:t>
      </w:r>
      <w:r>
        <w:t xml:space="preserve">intrinsically linked with network planning as well as responsibility for security of supply.</w:t>
      </w:r>
      <w:r>
        <w:t xml:space="preserve"> </w:t>
      </w:r>
      <w:r>
        <w:t xml:space="preserve">Substantial costs are expected to ensure full consistency of the complex network models required</w:t>
      </w:r>
      <w:r>
        <w:t xml:space="preserve"> </w:t>
      </w:r>
      <w:r>
        <w:t xml:space="preserve">by the entity for grid planning and the network models used for other tasks by the already existing</w:t>
      </w:r>
      <w:r>
        <w:t xml:space="preserve"> </w:t>
      </w:r>
      <w:r>
        <w:t xml:space="preserve">entities, e.g. system operation. The split between tasks related to planning (newly established</w:t>
      </w:r>
      <w:r>
        <w:t xml:space="preserve"> </w:t>
      </w:r>
      <w:r>
        <w:t xml:space="preserve">entity) and operation (ENTSOs/TSOs) across different entities entails substantial risks of</w:t>
      </w:r>
      <w:r>
        <w:t xml:space="preserve"> </w:t>
      </w:r>
      <w:r>
        <w:t xml:space="preserve">inconsistencies possibly affecting energy security and questioning liability of respective actors.</w:t>
      </w:r>
    </w:p>
    <w:p>
      <w:pPr>
        <w:pStyle w:val="BodyText"/>
      </w:pPr>
      <w:r>
        <w:t xml:space="preserve">For cost and benefit sharing, the administrative costs are highest for PO3 on the side of the</w:t>
      </w:r>
      <w:r>
        <w:t xml:space="preserve"> </w:t>
      </w:r>
      <w:r>
        <w:t xml:space="preserve">Commission, Member States, NRAs and system operators, where regional planning and cost-</w:t>
      </w:r>
      <w:r>
        <w:t xml:space="preserve"> </w:t>
      </w:r>
      <w:r>
        <w:t xml:space="preserve">sharing are mandatory for some offshore sea basins where hybrid or cross-border radials are</w:t>
      </w:r>
      <w:r>
        <w:t xml:space="preserve"> </w:t>
      </w:r>
      <w:r>
        <w:t xml:space="preserve">planned. In the short term, this is expected to mainly affect North Sea Member States.</w:t>
      </w:r>
      <w:r>
        <w:t xml:space="preserve"> </w:t>
      </w:r>
      <w:r>
        <w:t xml:space="preserve">Nevertheless, North Sea TSOs, under the OTC, and Member States, under NSEC, have already</w:t>
      </w:r>
      <w:r>
        <w:t xml:space="preserve"> </w:t>
      </w:r>
      <w:r>
        <w:t xml:space="preserve">initiated this process saving some of the necessary resources in the region.</w:t>
      </w:r>
      <w:r>
        <w:br/>
      </w:r>
      <w:r>
        <w:t xml:space="preserve">On permitting, PO3 would require, in addition to the costs of PO2, the setting up of a coordination</w:t>
      </w:r>
      <w:r>
        <w:t xml:space="preserve"> </w:t>
      </w:r>
      <w:r>
        <w:t xml:space="preserve">entity at the European level. Such a body would be expected to coordinate permitting procedures</w:t>
      </w:r>
    </w:p>
    <w:p>
      <w:pPr>
        <w:pStyle w:val="BodyText"/>
      </w:pPr>
      <w:r>
        <w:t xml:space="preserve">177 ENTSO-E: Annual Report, 2023 Edition, https://consultations.entsoe.eu/entso-e-general/have-your-say-on-the-</w:t>
      </w:r>
      <w:r>
        <w:t xml:space="preserve"> </w:t>
      </w:r>
      <w:r>
        <w:t xml:space="preserve">entso-es-annual-report-2023/supporting_documents/ENTSOE%20ANNUAL%20REPORT%202023.pdf</w:t>
      </w:r>
      <w:r>
        <w:t xml:space="preserve"> </w:t>
      </w:r>
      <w:r>
        <w:t xml:space="preserve">178</w:t>
      </w:r>
      <w:r>
        <w:t xml:space="preserve"> </w:t>
      </w:r>
      <w:r>
        <w:t xml:space="preserve">ACER</w:t>
      </w:r>
      <w:r>
        <w:t xml:space="preserve"> </w:t>
      </w:r>
      <w:r>
        <w:t xml:space="preserve">(2025):</w:t>
      </w:r>
      <w:r>
        <w:t xml:space="preserve"> </w:t>
      </w:r>
      <w:r>
        <w:t xml:space="preserve">Consolidated</w:t>
      </w:r>
      <w:r>
        <w:t xml:space="preserve"> </w:t>
      </w:r>
      <w:r>
        <w:t xml:space="preserve">annual</w:t>
      </w:r>
      <w:r>
        <w:t xml:space="preserve"> </w:t>
      </w:r>
      <w:r>
        <w:t xml:space="preserve">activity</w:t>
      </w:r>
      <w:r>
        <w:t xml:space="preserve"> </w:t>
      </w:r>
      <w:r>
        <w:t xml:space="preserve">report</w:t>
      </w:r>
      <w:r>
        <w:t xml:space="preserve"> </w:t>
      </w:r>
      <w:r>
        <w:t xml:space="preserve">2024,</w:t>
      </w:r>
      <w:r>
        <w:t xml:space="preserve"> </w:t>
      </w:r>
      <w:r>
        <w:t xml:space="preserve">https://www.acer.europa.eu/sites/default/files/documents/Publications/ACER-Consolidated-Annual-Activity-</w:t>
      </w:r>
      <w:r>
        <w:t xml:space="preserve"> </w:t>
      </w:r>
      <w:r>
        <w:t xml:space="preserve">Report-2024.pdf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for at least 250 projects with a cross-border dimension179. To do so, it will have to liaise with</w:t>
      </w:r>
      <w:r>
        <w:t xml:space="preserve"> </w:t>
      </w:r>
      <w:r>
        <w:t xml:space="preserve">national and local authorities for authorisation. Taking a conservative assumption, this would</w:t>
      </w:r>
      <w:r>
        <w:t xml:space="preserve"> </w:t>
      </w:r>
      <w:r>
        <w:t xml:space="preserve">require 50 FTEs, representing a total budget, including overhead, of at minimum, EUR 10 million</w:t>
      </w:r>
      <w:r>
        <w:t xml:space="preserve"> </w:t>
      </w:r>
      <w:r>
        <w:t xml:space="preserve">per year. Further, PO3 is unlikely to save resources in local administration who would still have</w:t>
      </w:r>
      <w:r>
        <w:t xml:space="preserve"> </w:t>
      </w:r>
      <w:r>
        <w:t xml:space="preserve">to perform the national/local level assessment and implement the decisions on the ground and</w:t>
      </w:r>
      <w:r>
        <w:t xml:space="preserve"> </w:t>
      </w:r>
      <w:r>
        <w:t xml:space="preserve">not preclude the need for reinforcement of the national permitting authorities with additional staff</w:t>
      </w:r>
      <w:r>
        <w:t xml:space="preserve"> </w:t>
      </w:r>
      <w:r>
        <w:t xml:space="preserve">and tools, given that for sovereignty reasons these are still necessary and responsible for the final</w:t>
      </w:r>
      <w:r>
        <w:t xml:space="preserve"> </w:t>
      </w:r>
      <w:r>
        <w:t xml:space="preserve">decisions concerning the projects in question.</w:t>
      </w:r>
    </w:p>
    <w:p>
      <w:pPr>
        <w:pStyle w:val="BodyText"/>
      </w:pPr>
      <w:r>
        <w:t xml:space="preserve">179 Assuming 220 PCIs and PMIs per Union list and additional cross-border renewable and storage projects.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ANNEX 5: COMPETITIVENESS CHECK</w:t>
      </w:r>
      <w:r>
        <w:br/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6.1.1. and Annex 3</w:t>
      </w:r>
      <w:r>
        <w:t xml:space="preserve"> </w:t>
      </w:r>
      <w:r>
        <w:t xml:space="preserve">International competitiveness</w:t>
      </w:r>
      <w:r>
        <w:br/>
      </w:r>
      <w:r>
        <w:t xml:space="preserve">+</w:t>
      </w:r>
      <w:r>
        <w:t xml:space="preserve"> </w:t>
      </w:r>
      <w:r>
        <w:t xml:space="preserve">6.1.2.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6.1.2. and 6.1.3.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n.a.</w:t>
      </w:r>
    </w:p>
    <w:p>
      <w:pPr>
        <w:pStyle w:val="Compact"/>
        <w:numPr>
          <w:ilvl w:val="0"/>
          <w:numId w:val="1017"/>
        </w:numPr>
      </w:pPr>
      <w:r>
        <w:t xml:space="preserve">SYNTHETIC ASSESSMENT</w:t>
      </w:r>
      <w:r>
        <w:br/>
      </w:r>
      <w:r>
        <w:t xml:space="preserve">Cost and price competitiveness</w:t>
      </w:r>
      <w:r>
        <w:t xml:space="preserve"> </w:t>
      </w:r>
      <w:r>
        <w:t xml:space="preserve">Expanding and modernising EU grids will improve access to electricity and increase supply. All</w:t>
      </w:r>
      <w:r>
        <w:t xml:space="preserve"> </w:t>
      </w:r>
      <w:r>
        <w:t xml:space="preserve">other things equal this will reduce the price of electricity, and thus the production costs of</w:t>
      </w:r>
      <w:r>
        <w:t xml:space="preserve"> </w:t>
      </w:r>
      <w:r>
        <w:t xml:space="preserve">companies dependent on electricity as an input to perform their activities. Examples of</w:t>
      </w:r>
      <w:r>
        <w:t xml:space="preserve"> </w:t>
      </w:r>
      <w:r>
        <w:t xml:space="preserve">companies that are particularly energy intensive are Data Centres, Chemical and Petrochemical</w:t>
      </w:r>
      <w:r>
        <w:t xml:space="preserve"> </w:t>
      </w:r>
      <w:r>
        <w:t xml:space="preserve">Industry, Non-Metallic Minerals Industry, Iron and Steel Industry. These industries not only</w:t>
      </w:r>
      <w:r>
        <w:t xml:space="preserve"> </w:t>
      </w:r>
      <w:r>
        <w:t xml:space="preserve">consume large amounts of electricity but also contribute significantly to the EU’s GDP and</w:t>
      </w:r>
      <w:r>
        <w:t xml:space="preserve"> </w:t>
      </w:r>
      <w:r>
        <w:t xml:space="preserve">employment. For these industries, lower electricity cost imply that they can improve productivity,</w:t>
      </w:r>
      <w:r>
        <w:t xml:space="preserve"> </w:t>
      </w:r>
      <w:r>
        <w:t xml:space="preserve">i.e. produce more with the same input, or maintain production levels and save costs. Both of</w:t>
      </w:r>
      <w:r>
        <w:t xml:space="preserve"> </w:t>
      </w:r>
      <w:r>
        <w:t xml:space="preserve">which supports higher margins that can benefit owners (shareholders), employers (higher wages)</w:t>
      </w:r>
      <w:r>
        <w:t xml:space="preserve"> </w:t>
      </w:r>
      <w:r>
        <w:t xml:space="preserve">and/or the business itself if profits are fully or partly invested in business development, e.g. by</w:t>
      </w:r>
      <w:r>
        <w:t xml:space="preserve"> </w:t>
      </w:r>
      <w:r>
        <w:t xml:space="preserve">upgrading facilities and enhancing innovation.</w:t>
      </w:r>
      <w:r>
        <w:br/>
      </w:r>
      <w:r>
        <w:t xml:space="preserve">For low-carbon hydrogen, cost levels are high in the entire value chain, especially in the</w:t>
      </w:r>
      <w:r>
        <w:t xml:space="preserve"> </w:t>
      </w:r>
      <w:r>
        <w:t xml:space="preserve">production phase which depends on electricity (and water) for electrolysis. Reducing electricity</w:t>
      </w:r>
      <w:r>
        <w:t xml:space="preserve"> </w:t>
      </w:r>
      <w:r>
        <w:t xml:space="preserve">prices is therefore enabling the EU to reach ambition levels for domestic hydrogen production</w:t>
      </w:r>
      <w:r>
        <w:t xml:space="preserve"> </w:t>
      </w:r>
      <w:r>
        <w:t xml:space="preserve">and derivatives, both of which are essential to transform the hard-to-abate sector and the transport</w:t>
      </w:r>
      <w:r>
        <w:t xml:space="preserve"> </w:t>
      </w:r>
      <w:r>
        <w:t xml:space="preserve">sector that will have to transform away from fossil fuels to low-carbon alternative fuels.</w:t>
      </w:r>
      <w:r>
        <w:br/>
      </w:r>
      <w:r>
        <w:t xml:space="preserve">A modernised grid with smart technologies will also entail more flexible grids allowing for active</w:t>
      </w:r>
      <w:r>
        <w:t xml:space="preserve"> </w:t>
      </w:r>
      <w:r>
        <w:t xml:space="preserve">demand response, including electricity storage. Storage can also resolve congestion and curtail</w:t>
      </w:r>
      <w:r>
        <w:t xml:space="preserve"> </w:t>
      </w:r>
      <w:r>
        <w:t xml:space="preserve">the need for new investments. Thus, an updated grid can both reduce capital costs and smoothen</w:t>
      </w:r>
      <w:r>
        <w:t xml:space="preserve"> </w:t>
      </w:r>
      <w:r>
        <w:t xml:space="preserve">out price peaks.</w:t>
      </w:r>
      <w:r>
        <w:br/>
      </w:r>
      <w:r>
        <w:t xml:space="preserve">Eventually, accelerated permitting, will ensure a that infrastructure projects will be completed in</w:t>
      </w:r>
      <w:r>
        <w:t xml:space="preserve"> </w:t>
      </w:r>
      <w:r>
        <w:t xml:space="preserve">a shorter timeframe, which means that the net present value of the projects will increase. This</w:t>
      </w:r>
      <w:r>
        <w:t xml:space="preserve"> </w:t>
      </w:r>
      <w:r>
        <w:t xml:space="preserve">improves the rate of return for investors and value added for the society.</w:t>
      </w:r>
    </w:p>
    <w:p>
      <w:pPr>
        <w:pStyle w:val="FirstParagraph"/>
      </w:pPr>
      <w:r>
        <w:t xml:space="preserve">94</w:t>
      </w:r>
    </w:p>
    <w:p>
      <w:pPr>
        <w:pStyle w:val="BodyText"/>
      </w:pPr>
      <w:r>
        <w:t xml:space="preserve">The initiative is also expected to overall significantly reduce compliance costs for companies,</w:t>
      </w:r>
      <w:r>
        <w:t xml:space="preserve"> </w:t>
      </w:r>
      <w:r>
        <w:t xml:space="preserve">including system operators, project promoters and renewable energy generators, through a</w:t>
      </w:r>
      <w:r>
        <w:t xml:space="preserve"> </w:t>
      </w:r>
      <w:r>
        <w:t xml:space="preserve">simplification and streamlining of processes (see Annex 3).</w:t>
      </w:r>
    </w:p>
    <w:p>
      <w:pPr>
        <w:pStyle w:val="BodyText"/>
      </w:pPr>
      <w:r>
        <w:t xml:space="preserve">International competitiveness</w:t>
      </w:r>
      <w:r>
        <w:t xml:space="preserve"> </w:t>
      </w:r>
      <w:r>
        <w:t xml:space="preserve">There are many factors driving international competitiveness, including productivity and costs.</w:t>
      </w:r>
      <w:r>
        <w:t xml:space="preserve"> </w:t>
      </w:r>
      <w:r>
        <w:t xml:space="preserve">Lower electricity costs can also help reducing market prices without squeezing margins. For</w:t>
      </w:r>
      <w:r>
        <w:t xml:space="preserve"> </w:t>
      </w:r>
      <w:r>
        <w:t xml:space="preserve">companies that are competing on an international level, this will enhance their competitive</w:t>
      </w:r>
      <w:r>
        <w:t xml:space="preserve"> </w:t>
      </w:r>
      <w:r>
        <w:t xml:space="preserve">position. Being competitive in export markets usually entails tougher competition than at home</w:t>
      </w:r>
      <w:r>
        <w:t xml:space="preserve"> </w:t>
      </w:r>
      <w:r>
        <w:t xml:space="preserve">(EU) e.g. due to different legal requirements, higher transportation costs, more established</w:t>
      </w:r>
      <w:r>
        <w:t xml:space="preserve"> </w:t>
      </w:r>
      <w:r>
        <w:t xml:space="preserve">competitors etc. Hence, even marginally lower prices can be a decisive factor for international</w:t>
      </w:r>
      <w:r>
        <w:t xml:space="preserve"> </w:t>
      </w:r>
      <w:r>
        <w:t xml:space="preserve">competitiveness and market entry in third countries and overseas markets. Furthermore, for the</w:t>
      </w:r>
      <w:r>
        <w:t xml:space="preserve"> </w:t>
      </w:r>
      <w:r>
        <w:t xml:space="preserve">EU to be attractive for foreign direct investments, energy infrastructure plays a key role as it</w:t>
      </w:r>
      <w:r>
        <w:t xml:space="preserve"> </w:t>
      </w:r>
      <w:r>
        <w:t xml:space="preserve">underpins market efficiency and enables industry development.</w:t>
      </w:r>
    </w:p>
    <w:p>
      <w:pPr>
        <w:pStyle w:val="BodyText"/>
      </w:pPr>
      <w:r>
        <w:t xml:space="preserve">Capacity to innovate</w:t>
      </w:r>
      <w:r>
        <w:t xml:space="preserve"> </w:t>
      </w:r>
      <w:r>
        <w:t xml:space="preserve">There are two ways that the Grids Package will increase the capacity to innovate.</w:t>
      </w:r>
      <w:r>
        <w:t xml:space="preserve"> </w:t>
      </w:r>
      <w:r>
        <w:t xml:space="preserve">First, EU’s ambitions to accelerate the roll-out of renewables are based on a set of plans to guide</w:t>
      </w:r>
      <w:r>
        <w:t xml:space="preserve"> </w:t>
      </w:r>
      <w:r>
        <w:t xml:space="preserve">these endeavours, such as the NECP, TYNDP, ONDP, Non-Binding Agreements. These plans</w:t>
      </w:r>
      <w:r>
        <w:t xml:space="preserve"> </w:t>
      </w:r>
      <w:r>
        <w:t xml:space="preserve">also set the stage for a more predictable and transparent framework for short-term and long-term</w:t>
      </w:r>
      <w:r>
        <w:t xml:space="preserve"> </w:t>
      </w:r>
      <w:r>
        <w:t xml:space="preserve">grid investments. Such a framework is also conducive for related R&amp;I investments, be it among</w:t>
      </w:r>
      <w:r>
        <w:t xml:space="preserve"> </w:t>
      </w:r>
      <w:r>
        <w:t xml:space="preserve">project developers, suppliers or research institutions. For instance, a resilient and reliable grid</w:t>
      </w:r>
      <w:r>
        <w:t xml:space="preserve"> </w:t>
      </w:r>
      <w:r>
        <w:t xml:space="preserve">must be based on digital solutions and Artificial Intelligence.</w:t>
      </w:r>
      <w:r>
        <w:br/>
      </w:r>
      <w:r>
        <w:t xml:space="preserve">This will require technology development and competencies to ensure that state of the art</w:t>
      </w:r>
      <w:r>
        <w:t xml:space="preserve"> </w:t>
      </w:r>
      <w:r>
        <w:t xml:space="preserve">solutions will be deployed going forward. Such R&amp;I efforts need sustained funding. Hence, by</w:t>
      </w:r>
      <w:r>
        <w:t xml:space="preserve"> </w:t>
      </w:r>
      <w:r>
        <w:t xml:space="preserve">providing a more predictable policy framework, the grids package will provide a strong incentive</w:t>
      </w:r>
      <w:r>
        <w:t xml:space="preserve"> </w:t>
      </w:r>
      <w:r>
        <w:t xml:space="preserve">for capacity building in both the industry and the research community.</w:t>
      </w:r>
      <w:r>
        <w:br/>
      </w:r>
      <w:r>
        <w:t xml:space="preserve">Second, the transparency and predictability described above will improve demand certainty for</w:t>
      </w:r>
      <w:r>
        <w:t xml:space="preserve"> </w:t>
      </w:r>
      <w:r>
        <w:t xml:space="preserve">the various players in the grids supply chain. Demand certainty tends to spur competition and</w:t>
      </w:r>
      <w:r>
        <w:t xml:space="preserve"> </w:t>
      </w:r>
      <w:r>
        <w:t xml:space="preserve">hence innovation, including new goods and services, as well as novel manufacturing and business</w:t>
      </w:r>
      <w:r>
        <w:t xml:space="preserve"> </w:t>
      </w:r>
      <w:r>
        <w:t xml:space="preserve">processes. The latter includes distribution, marketing and after-sales.</w:t>
      </w:r>
    </w:p>
    <w:p>
      <w:pPr>
        <w:pStyle w:val="BodyText"/>
      </w:pPr>
      <w:r>
        <w:t xml:space="preserve">SME competitiveness</w:t>
      </w:r>
      <w:r>
        <w:t xml:space="preserve"> </w:t>
      </w:r>
      <w:r>
        <w:t xml:space="preserve">This initiative is not expected to have specific implications on SME competitiveness in addition</w:t>
      </w:r>
      <w:r>
        <w:t xml:space="preserve"> </w:t>
      </w:r>
      <w:r>
        <w:t xml:space="preserve">to the above considerations on competitiveness.</w:t>
      </w:r>
    </w:p>
    <w:p>
      <w:pPr>
        <w:pStyle w:val="Compact"/>
        <w:numPr>
          <w:ilvl w:val="0"/>
          <w:numId w:val="1018"/>
        </w:numPr>
      </w:pPr>
      <w:r>
        <w:t xml:space="preserve">COMPETITIVE POSITION OF THE MOST AFFECTED SECTORS</w:t>
      </w:r>
      <w:r>
        <w:t xml:space="preserve"> </w:t>
      </w:r>
      <w:r>
        <w:t xml:space="preserve">Apart from being an enabler for the renewable energy sector and underpinning the hard-to-abate</w:t>
      </w:r>
      <w:r>
        <w:t xml:space="preserve"> </w:t>
      </w:r>
      <w:r>
        <w:t xml:space="preserve">and energy intensive sectors mentioned above, improved access to a modernised transmission</w:t>
      </w:r>
      <w:r>
        <w:t xml:space="preserve"> </w:t>
      </w:r>
      <w:r>
        <w:t xml:space="preserve">and distribution grid will contribute to strengthen the competitive position of other industries.</w:t>
      </w:r>
    </w:p>
    <w:p>
      <w:pPr>
        <w:pStyle w:val="FirstParagraph"/>
      </w:pPr>
      <w:r>
        <w:t xml:space="preserve">95</w:t>
      </w:r>
    </w:p>
    <w:p>
      <w:pPr>
        <w:pStyle w:val="BodyText"/>
      </w:pPr>
      <w:r>
        <w:t xml:space="preserve">Accelerating permitting procedures for recharging points will unlock faster infrastructure rollout,</w:t>
      </w:r>
      <w:r>
        <w:t xml:space="preserve"> </w:t>
      </w:r>
      <w:r>
        <w:t xml:space="preserve">which improves planning certainty, lowers costs, improves reliability, and levels the playing field</w:t>
      </w:r>
      <w:r>
        <w:t xml:space="preserve"> </w:t>
      </w:r>
      <w:r>
        <w:t xml:space="preserve">with fossil fuels, making the e-mobililty sector more competitive, sustainable, and attractive for</w:t>
      </w:r>
      <w:r>
        <w:t xml:space="preserve"> </w:t>
      </w:r>
      <w:r>
        <w:t xml:space="preserve">investment. As e-trucks are ramping up, it’s crucial to ensure a proper roll out of infrastructure,</w:t>
      </w:r>
      <w:r>
        <w:t xml:space="preserve"> </w:t>
      </w:r>
      <w:r>
        <w:t xml:space="preserve">in order to give visibility to companies and encourage them to make the switch.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ANNEX 6: EXISTING LEGAL EU FRAMEWORK</w:t>
      </w:r>
      <w:r>
        <w:br/>
      </w:r>
      <w:r>
        <w:t xml:space="preserve">A) Infrastructure planning and use</w:t>
      </w:r>
      <w:r>
        <w:t xml:space="preserve"> </w:t>
      </w:r>
      <w:r>
        <w:t xml:space="preserve">Existing legal requirements for planning of transmission and distribution network development</w:t>
      </w:r>
      <w:r>
        <w:t xml:space="preserve"> </w:t>
      </w:r>
      <w:r>
        <w:t xml:space="preserve">at EU, regional and national level are included in the Regulation (EU) 2022/869 of the European</w:t>
      </w:r>
      <w:r>
        <w:t xml:space="preserve"> </w:t>
      </w:r>
      <w:r>
        <w:t xml:space="preserve">Parliament and of the Council of 30 May 2022 on guidelines for trans-European energy</w:t>
      </w:r>
      <w:r>
        <w:t xml:space="preserve"> </w:t>
      </w:r>
      <w:r>
        <w:t xml:space="preserve">infrastructure (TEN- E Regulation), Directive (EU) 2019/944 of the European Parliament and of</w:t>
      </w:r>
      <w:r>
        <w:t xml:space="preserve"> </w:t>
      </w:r>
      <w:r>
        <w:t xml:space="preserve">the Council of 5 June 2019 on common rules for the internal market for electricity (Electricity</w:t>
      </w:r>
      <w:r>
        <w:t xml:space="preserve"> </w:t>
      </w:r>
      <w:r>
        <w:t xml:space="preserve">Directive), Regulation (EU) 2019/943 of the European Parliament and of the Council of 5 June</w:t>
      </w:r>
      <w:r>
        <w:t xml:space="preserve"> </w:t>
      </w:r>
      <w:r>
        <w:t xml:space="preserve">2019 on the internal market for electricity (Electricity Regulation) as well as the Regulation (EU)</w:t>
      </w:r>
      <w:r>
        <w:t xml:space="preserve"> </w:t>
      </w:r>
      <w:r>
        <w:t xml:space="preserve">2024/1789 of the European Parliament and of the Council of 13 June 2024 on the internal markets</w:t>
      </w:r>
      <w:r>
        <w:t xml:space="preserve"> </w:t>
      </w:r>
      <w:r>
        <w:t xml:space="preserve">for renewable gas, natural gas and hydrogen (Gas Regulation) and Directive (EU) 2024/1788 of</w:t>
      </w:r>
      <w:r>
        <w:t xml:space="preserve"> </w:t>
      </w:r>
      <w:r>
        <w:t xml:space="preserve">the European Parliament and of the Council of 13 June 2024 on common rules for the internal</w:t>
      </w:r>
      <w:r>
        <w:t xml:space="preserve"> </w:t>
      </w:r>
      <w:r>
        <w:t xml:space="preserve">markets for renewable gas, natural gas and hydrogen (Gas Directive).</w:t>
      </w:r>
      <w:r>
        <w:br/>
      </w:r>
      <w:r>
        <w:t xml:space="preserve">Planning at EU level (electricity, gas and hydrogen)</w:t>
      </w:r>
      <w:r>
        <w:br/>
      </w:r>
      <w:r>
        <w:t xml:space="preserve">Based on the requirements of the Electricity Regulation (Article 30) and Gas Regulation ENTSO-</w:t>
      </w:r>
      <w:r>
        <w:t xml:space="preserve"> </w:t>
      </w:r>
      <w:r>
        <w:t xml:space="preserve">E and ENTSO-G (and starting with 2027 ENNOH, Articles 32, 60, 61) and the TEN-E Regulation</w:t>
      </w:r>
      <w:r>
        <w:t xml:space="preserve"> </w:t>
      </w:r>
      <w:r>
        <w:t xml:space="preserve">(Article 12) adopt biennially the EU-wide Ten-Years Network Development Plan (TYNDP). It</w:t>
      </w:r>
      <w:r>
        <w:t xml:space="preserve"> </w:t>
      </w:r>
      <w:r>
        <w:t xml:space="preserve">covers the period of the next 10 years with an outlook for 2040 and 2050 and comprises a system</w:t>
      </w:r>
      <w:r>
        <w:t xml:space="preserve"> </w:t>
      </w:r>
      <w:r>
        <w:t xml:space="preserve">needs identification based on the joint scenarios, as well as projects, which are submitted by</w:t>
      </w:r>
      <w:r>
        <w:t xml:space="preserve"> </w:t>
      </w:r>
      <w:r>
        <w:t xml:space="preserve">respective TSOs and project promoters.</w:t>
      </w:r>
      <w:r>
        <w:br/>
      </w:r>
      <w:r>
        <w:t xml:space="preserve">Pursuant to Articles 26 and 60 of the Gas Regulation, TYNDPs for natural gas and for hydrogen</w:t>
      </w:r>
      <w:r>
        <w:t xml:space="preserve"> </w:t>
      </w:r>
      <w:r>
        <w:t xml:space="preserve">are of a non-binding character. As of 2026, there should be one TYNDP for natural gas and</w:t>
      </w:r>
      <w:r>
        <w:t xml:space="preserve"> </w:t>
      </w:r>
      <w:r>
        <w:t xml:space="preserve">hydrogen, with two interlinked chapters.</w:t>
      </w:r>
      <w:r>
        <w:br/>
      </w:r>
      <w:r>
        <w:t xml:space="preserve">Based on Article 12 of the TEN-E Regulation, the joint scenarios for electricity, natural gas and</w:t>
      </w:r>
      <w:r>
        <w:t xml:space="preserve"> </w:t>
      </w:r>
      <w:r>
        <w:t xml:space="preserve">hydrogen network development may take into account the NECPs and should be developed based</w:t>
      </w:r>
      <w:r>
        <w:t xml:space="preserve"> </w:t>
      </w:r>
      <w:r>
        <w:t xml:space="preserve">on Framework Guidelines delivered by ACER (which are however of non-binding nature). Plans</w:t>
      </w:r>
      <w:r>
        <w:t xml:space="preserve"> </w:t>
      </w:r>
      <w:r>
        <w:t xml:space="preserve">should also consider national plans and regional investment plans, as well as offshore non-</w:t>
      </w:r>
      <w:r>
        <w:t xml:space="preserve"> </w:t>
      </w:r>
      <w:r>
        <w:t xml:space="preserve">binding agreements pursuant to Article 14 of the TEN-E Regulation. Scenarios are approved by</w:t>
      </w:r>
      <w:r>
        <w:t xml:space="preserve"> </w:t>
      </w:r>
      <w:r>
        <w:t xml:space="preserve">the European Commission, who can also provide a reasoned opinion to ENTSO-E, ENTSO-G</w:t>
      </w:r>
      <w:r>
        <w:t xml:space="preserve"> </w:t>
      </w:r>
      <w:r>
        <w:t xml:space="preserve">and ENNOH in case it does not approve the joint scenarios report.</w:t>
      </w:r>
      <w:r>
        <w:t xml:space="preserve"> </w:t>
      </w:r>
      <w:r>
        <w:t xml:space="preserve">The infrastructure gaps report follows as a second step after the scenarios’ development. Based</w:t>
      </w:r>
      <w:r>
        <w:t xml:space="preserve"> </w:t>
      </w:r>
      <w:r>
        <w:t xml:space="preserve">on the results of the scenarios as well as projects submitted by project promoters, ENTSOs</w:t>
      </w:r>
      <w:r>
        <w:t xml:space="preserve"> </w:t>
      </w:r>
      <w:r>
        <w:t xml:space="preserve">develop infrastructure needs analysis, which should contain estimate of future infrastructure</w:t>
      </w:r>
      <w:r>
        <w:t xml:space="preserve"> </w:t>
      </w:r>
      <w:r>
        <w:t xml:space="preserve">needs for 2030, 2040 and 2050. Infrastructure needs are compared with the starting grid, which</w:t>
      </w:r>
      <w:r>
        <w:t xml:space="preserve"> </w:t>
      </w:r>
      <w:r>
        <w:t xml:space="preserve">is set based on the project collection made by ENTSOs. ENTSOs and ENNOH are obliged to</w:t>
      </w:r>
      <w:r>
        <w:t xml:space="preserve"> </w:t>
      </w:r>
      <w:r>
        <w:t xml:space="preserve">consider with priority all relevant alternatives to new infrastructure and consider energy</w:t>
      </w:r>
      <w:r>
        <w:t xml:space="preserve"> </w:t>
      </w:r>
      <w:r>
        <w:t xml:space="preserve">efficiency first principle when assessing the infrastructure gaps. With regard to timing,</w:t>
      </w:r>
      <w:r>
        <w:t xml:space="preserve"> </w:t>
      </w:r>
      <w:r>
        <w:t xml:space="preserve">infrastructure projects’ collection, including data collection on project costs and technical</w:t>
      </w:r>
      <w:r>
        <w:t xml:space="preserve"> </w:t>
      </w:r>
      <w:r>
        <w:t xml:space="preserve">parameters, starts approximately 2 years before the final TYNDP is published.</w:t>
      </w:r>
      <w:r>
        <w:br/>
      </w:r>
      <w:r>
        <w:t xml:space="preserve">TYNDP as such is then developed based on joint scenarios, considering the Energy system wide</w:t>
      </w:r>
      <w:r>
        <w:t xml:space="preserve"> </w:t>
      </w:r>
      <w:r>
        <w:t xml:space="preserve">Cost benefit analysis (CBA) methodology pursuant to Article 11 of the TEN-E Regulation. This</w:t>
      </w:r>
      <w:r>
        <w:t xml:space="preserve"> </w:t>
      </w:r>
      <w:r>
        <w:t xml:space="preserve">methodology is approved by the Commission. The ENTSOs (and in the future ENNOH) assess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the benefits of respective projects that are submitted for the TYNDP and may subsequently be</w:t>
      </w:r>
      <w:r>
        <w:t xml:space="preserve"> </w:t>
      </w:r>
      <w:r>
        <w:t xml:space="preserve">submitted as candidates to the PCI/PMI selection process. Results are published in respective</w:t>
      </w:r>
      <w:r>
        <w:t xml:space="preserve"> </w:t>
      </w:r>
      <w:r>
        <w:t xml:space="preserve">project sheets as part of the TYNDP. There is currently no comparison among the projects as part</w:t>
      </w:r>
      <w:r>
        <w:t xml:space="preserve"> </w:t>
      </w:r>
      <w:r>
        <w:t xml:space="preserve">of the TYNDP (for instance among the projects addressing the same need). There is also no link</w:t>
      </w:r>
      <w:r>
        <w:t xml:space="preserve"> </w:t>
      </w:r>
      <w:r>
        <w:t xml:space="preserve">between the starting grid for 2030 and 2040 and consequences for the needs assessment.</w:t>
      </w:r>
      <w:r>
        <w:br/>
      </w:r>
      <w:r>
        <w:t xml:space="preserve">The draft results of the TYNDP are submitted to ACER for opinion (which is of non-binding</w:t>
      </w:r>
      <w:r>
        <w:t xml:space="preserve"> </w:t>
      </w:r>
      <w:r>
        <w:t xml:space="preserve">character), there is no role for the Commission or Member States in the process. COM provides</w:t>
      </w:r>
      <w:r>
        <w:t xml:space="preserve"> </w:t>
      </w:r>
      <w:r>
        <w:t xml:space="preserve">opinion only on the infrastructure gaps report. ACER has a monitoring role on the consistency</w:t>
      </w:r>
      <w:r>
        <w:t xml:space="preserve"> </w:t>
      </w:r>
      <w:r>
        <w:t xml:space="preserve">between Union-wide TYNDP and national TNDPs and right to recommend changes in case of</w:t>
      </w:r>
      <w:r>
        <w:t xml:space="preserve"> </w:t>
      </w:r>
      <w:r>
        <w:t xml:space="preserve">inconsistencies (both for electricity and gas sectors).</w:t>
      </w:r>
      <w:r>
        <w:br/>
      </w:r>
      <w:r>
        <w:t xml:space="preserve">Most recent changes to the TEN-E Regulation (amendments of Article 11, 12 and 13), done by</w:t>
      </w:r>
      <w:r>
        <w:t xml:space="preserve"> </w:t>
      </w:r>
      <w:r>
        <w:t xml:space="preserve">the Gas Regulation recast in 2024, clarified interplay with ENNOH and the hydrogen sector when</w:t>
      </w:r>
      <w:r>
        <w:t xml:space="preserve"> </w:t>
      </w:r>
      <w:r>
        <w:t xml:space="preserve">it comes to sector methodologies and the integrated model. Sector methodologies for energy</w:t>
      </w:r>
      <w:r>
        <w:t xml:space="preserve"> </w:t>
      </w:r>
      <w:r>
        <w:t xml:space="preserve">system wide cost-benefit analysis for the PCI and PMI selection should be harmonised across the</w:t>
      </w:r>
      <w:r>
        <w:t xml:space="preserve"> </w:t>
      </w:r>
      <w:r>
        <w:t xml:space="preserve">sectors, which should be published by 1 December 2025, and should take into account</w:t>
      </w:r>
      <w:r>
        <w:t xml:space="preserve"> </w:t>
      </w:r>
      <w:r>
        <w:t xml:space="preserve">development of common energy and market model. They should be updated at least every 5 years</w:t>
      </w:r>
      <w:r>
        <w:t xml:space="preserve"> </w:t>
      </w:r>
      <w:r>
        <w:t xml:space="preserve">and duly consider the hydrogen sector. Progressively integrated model should be submitted by</w:t>
      </w:r>
      <w:r>
        <w:t xml:space="preserve"> </w:t>
      </w:r>
      <w:r>
        <w:t xml:space="preserve">31 October 2025 and should cover interlinkages at all stages of infrastructure planning,</w:t>
      </w:r>
      <w:r>
        <w:t xml:space="preserve"> </w:t>
      </w:r>
      <w:r>
        <w:t xml:space="preserve">specifically scenarios, technologies and spatial resolution, infrastructure gaps identification in</w:t>
      </w:r>
      <w:r>
        <w:t xml:space="preserve"> </w:t>
      </w:r>
      <w:r>
        <w:t xml:space="preserve">particular with respect to cross-border capacities, and projects assessment.</w:t>
      </w:r>
    </w:p>
    <w:p>
      <w:pPr>
        <w:pStyle w:val="BodyText"/>
      </w:pPr>
      <w:r>
        <w:t xml:space="preserve">Regional level planning (electricity)</w:t>
      </w:r>
      <w:r>
        <w:br/>
      </w:r>
      <w:r>
        <w:t xml:space="preserve">Article 34 of the Electricity Regulation (2019/943) requires establishing regional cooperation</w:t>
      </w:r>
      <w:r>
        <w:t xml:space="preserve"> </w:t>
      </w:r>
      <w:r>
        <w:t xml:space="preserve">under the ENTSO-E and to publish biannual regional investment plans. TSOs may consequently</w:t>
      </w:r>
      <w:r>
        <w:t xml:space="preserve"> </w:t>
      </w:r>
      <w:r>
        <w:t xml:space="preserve">take investment decisions based on the regional plan (i.e., there is no obligation to follow these).</w:t>
      </w:r>
      <w:r>
        <w:t xml:space="preserve"> </w:t>
      </w:r>
      <w:r>
        <w:t xml:space="preserve">Pursuant to the TEN-E Regulation, PCIs need to become an integral part of the regional</w:t>
      </w:r>
      <w:r>
        <w:t xml:space="preserve"> </w:t>
      </w:r>
      <w:r>
        <w:t xml:space="preserve">investment plan. In 2020 and 2022 editions of the TYNDP, these investment plans were</w:t>
      </w:r>
      <w:r>
        <w:t xml:space="preserve"> </w:t>
      </w:r>
      <w:r>
        <w:t xml:space="preserve">published together with the main TYNDP. For the 2024 edition, they were published separately.</w:t>
      </w:r>
    </w:p>
    <w:p>
      <w:pPr>
        <w:pStyle w:val="BodyText"/>
      </w:pPr>
      <w:r>
        <w:t xml:space="preserve">National level – transmission infrastructure (electricity)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Requirements for transmission network development plans (TNDP) are provided under Article</w:t>
      </w:r>
      <w:r>
        <w:t xml:space="preserve"> </w:t>
      </w:r>
      <w:r>
        <w:t xml:space="preserve">51 of the Electricity Directive. Based on its provisions, TSOs should submit TNDP at least every</w:t>
      </w:r>
      <w:r>
        <w:t xml:space="preserve"> </w:t>
      </w:r>
      <w:r>
        <w:t xml:space="preserve">two years and publish it on their website. It should fully consider potential use of demand</w:t>
      </w:r>
      <w:r>
        <w:t xml:space="preserve"> </w:t>
      </w:r>
      <w:r>
        <w:t xml:space="preserve">response, energy storage facilities or other resources as alternatives to system expansion, indicate</w:t>
      </w:r>
      <w:r>
        <w:t xml:space="preserve"> </w:t>
      </w:r>
      <w:r>
        <w:t xml:space="preserve">development of main transmission infrastructure over the next ten years and detail investments</w:t>
      </w:r>
      <w:r>
        <w:t xml:space="preserve"> </w:t>
      </w:r>
      <w:r>
        <w:t xml:space="preserve">to be done for the next three years. PCIs180 shall become integral part of the TNDP pursuant to</w:t>
      </w:r>
      <w:r>
        <w:t xml:space="preserve"> </w:t>
      </w:r>
      <w:r>
        <w:t xml:space="preserve">the TEN-E Regulation.</w:t>
      </w:r>
      <w:r>
        <w:br/>
      </w:r>
      <w:r>
        <w:t xml:space="preserve">National regulatory authorities are tasked to consult all relevant or potential system users on the</w:t>
      </w:r>
      <w:r>
        <w:t xml:space="preserve"> </w:t>
      </w:r>
      <w:r>
        <w:t xml:space="preserve">TNDP and are also responsible for checking the consistency with the union-wide TYNDP.</w:t>
      </w:r>
      <w:r>
        <w:t xml:space="preserve"> </w:t>
      </w:r>
      <w:r>
        <w:t xml:space="preserve">Moreover, competent national authorities should also check the consistency with NECP</w:t>
      </w:r>
      <w:r>
        <w:t xml:space="preserve"> </w:t>
      </w:r>
      <w:r>
        <w:t xml:space="preserve">submitted in accordance with Regulation (EU) 2018/1999. If the investments planned for the</w:t>
      </w:r>
      <w:r>
        <w:t xml:space="preserve"> </w:t>
      </w:r>
      <w:r>
        <w:t xml:space="preserve">next three years are not executed, the Electricity Directive gives the NRA right to require the</w:t>
      </w:r>
      <w:r>
        <w:t xml:space="preserve"> </w:t>
      </w:r>
      <w:r>
        <w:t xml:space="preserve">execution of investment by the TSO or to organise a tendering procedure in this regard. NRAs</w:t>
      </w:r>
      <w:r>
        <w:t xml:space="preserve"> </w:t>
      </w:r>
      <w:r>
        <w:t xml:space="preserve">are also required to monitor the implementation of the TNDP, however no specific deadlines or</w:t>
      </w:r>
      <w:r>
        <w:t xml:space="preserve"> </w:t>
      </w:r>
      <w:r>
        <w:t xml:space="preserve">frequency is currently given by the legislation framework.</w:t>
      </w:r>
      <w:r>
        <w:br/>
      </w:r>
      <w:r>
        <w:t xml:space="preserve">National level – distribution grid (electricity) – planning, as well as incentives for smart grids</w:t>
      </w:r>
      <w:r>
        <w:t xml:space="preserve"> </w:t>
      </w:r>
      <w:r>
        <w:t xml:space="preserve">and efficient allocation of grid capacity</w:t>
      </w:r>
      <w:r>
        <w:br/>
      </w:r>
      <w:r>
        <w:t xml:space="preserve">For the distribution grid level, the Article 32 of the Electricity Directive requests at least biennial</w:t>
      </w:r>
      <w:r>
        <w:t xml:space="preserve"> </w:t>
      </w:r>
      <w:r>
        <w:t xml:space="preserve">publication of the distribution network development plan (DNDP). Plans should provide an</w:t>
      </w:r>
      <w:r>
        <w:t xml:space="preserve"> </w:t>
      </w:r>
      <w:r>
        <w:t xml:space="preserve">outlook of grid development in the next 5 to 10 years, counting in flexibility needs, use of demand</w:t>
      </w:r>
      <w:r>
        <w:t xml:space="preserve"> </w:t>
      </w:r>
      <w:r>
        <w:t xml:space="preserve">response, energy efficiency, energy storage facilities or other resources that the distribution</w:t>
      </w:r>
      <w:r>
        <w:t xml:space="preserve"> </w:t>
      </w:r>
      <w:r>
        <w:t xml:space="preserve">system operator is to use as an alternative to system expansion. DNDPs should be duly consulted,</w:t>
      </w:r>
      <w:r>
        <w:t xml:space="preserve"> </w:t>
      </w:r>
      <w:r>
        <w:t xml:space="preserve">including with the TSO, and submitted to the NRA. The NRA may request amendments to the</w:t>
      </w:r>
      <w:r>
        <w:t xml:space="preserve"> </w:t>
      </w:r>
      <w:r>
        <w:t xml:space="preserve">plan. Currently, there is no monitoring role foreseen for the NRA. There are also no provisions</w:t>
      </w:r>
      <w:r>
        <w:t xml:space="preserve"> </w:t>
      </w:r>
      <w:r>
        <w:t xml:space="preserve">in case there is an inconsistency of the DNDP with the TNDP, on scenarios or assumptions used.</w:t>
      </w:r>
      <w:r>
        <w:br/>
      </w:r>
      <w:r>
        <w:t xml:space="preserve">There is a possibility to exempt DSOs with less than 100,000 customers from the planning, if</w:t>
      </w:r>
      <w:r>
        <w:t xml:space="preserve"> </w:t>
      </w:r>
      <w:r>
        <w:t xml:space="preserve">regulated on a national level. Pursuant to ACER findings9, two thirds of the DSOs in the EU are</w:t>
      </w:r>
      <w:r>
        <w:t xml:space="preserve"> </w:t>
      </w:r>
      <w:r>
        <w:t xml:space="preserve">exempted from the preparation of the DNDP. Exempted DSOs serve between 0.7 % of customers</w:t>
      </w:r>
      <w:r>
        <w:t xml:space="preserve"> </w:t>
      </w:r>
      <w:r>
        <w:t xml:space="preserve">in Latvia and around 25 % of customers in Germany. This still results in some 963 DNDPs in</w:t>
      </w:r>
      <w:r>
        <w:t xml:space="preserve"> </w:t>
      </w:r>
      <w:r>
        <w:t xml:space="preserve">Europe, which are to be published on respective DSOs websites pursuant to the Electricity</w:t>
      </w:r>
      <w:r>
        <w:t xml:space="preserve"> </w:t>
      </w:r>
      <w:r>
        <w:t xml:space="preserve">Directive.</w:t>
      </w:r>
      <w:r>
        <w:br/>
      </w:r>
      <w:r>
        <w:t xml:space="preserve">When it comes to efficient grid utilisation, the Electricity Market Regulation specifies incentives</w:t>
      </w:r>
      <w:r>
        <w:t xml:space="preserve"> </w:t>
      </w:r>
      <w:r>
        <w:t xml:space="preserve">for DSOs and TSOs in Article 18, which includes incentivising anticipatory investment, as well</w:t>
      </w:r>
      <w:r>
        <w:t xml:space="preserve"> </w:t>
      </w:r>
      <w:r>
        <w:t xml:space="preserve">as entails that the tariff methodologies should facilitate digitalisation and solutions to optimise</w:t>
      </w:r>
      <w:r>
        <w:t xml:space="preserve"> </w:t>
      </w:r>
      <w:r>
        <w:t xml:space="preserve">the existing grid, as well as and other measures fostering energy efficiency and integration of</w:t>
      </w:r>
      <w:r>
        <w:t xml:space="preserve"> </w:t>
      </w:r>
      <w:r>
        <w:t xml:space="preserve">renewable energy sources.</w:t>
      </w:r>
      <w:r>
        <w:t xml:space="preserve"> </w:t>
      </w:r>
      <w:r>
        <w:t xml:space="preserve">Further requirements on grid access, grid connections and grid hosting capacities transparency,</w:t>
      </w:r>
      <w:r>
        <w:t xml:space="preserve"> </w:t>
      </w:r>
      <w:r>
        <w:t xml:space="preserve">as well as use of flexibility in grid operation and planning are specified in Article 6, 6a and 32 of</w:t>
      </w:r>
      <w:r>
        <w:t xml:space="preserve"> </w:t>
      </w:r>
      <w:r>
        <w:t xml:space="preserve">the Electricity Market Directive, and Article 50 and 57 of the Electricity Market Regulation</w:t>
      </w:r>
      <w:r>
        <w:t xml:space="preserve"> </w:t>
      </w:r>
      <w:r>
        <w:t xml:space="preserve">(which also include notion of coordination between DSOs and TSOs).</w:t>
      </w:r>
      <w:r>
        <w:t xml:space="preserve"> </w:t>
      </w:r>
      <w:r>
        <w:t xml:space="preserve">Article 6 of the Electricity Market Directive stipulates that access to grids shall be applied</w:t>
      </w:r>
      <w:r>
        <w:t xml:space="preserve"> </w:t>
      </w:r>
      <w:r>
        <w:t xml:space="preserve">objectively and without discrimination between system users. It allows the option of refusing</w:t>
      </w:r>
    </w:p>
    <w:p>
      <w:pPr>
        <w:pStyle w:val="BodyText"/>
      </w:pPr>
      <w:r>
        <w:t xml:space="preserve">180 This does not apply to competing projects or projects that have not reached a sufficient degree of maturity.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access if the grid lacks the necessary capacity and based on objective and technically and</w:t>
      </w:r>
      <w:r>
        <w:t xml:space="preserve"> </w:t>
      </w:r>
      <w:r>
        <w:t xml:space="preserve">economically justified criteria. Article 6 hence provides flexibility for Member States to adjust</w:t>
      </w:r>
      <w:r>
        <w:t xml:space="preserve"> </w:t>
      </w:r>
      <w:r>
        <w:t xml:space="preserve">connection procedures based on specificities of their respective systems. Article 6a further</w:t>
      </w:r>
      <w:r>
        <w:t xml:space="preserve"> </w:t>
      </w:r>
      <w:r>
        <w:t xml:space="preserve">requires Member States or NRAs to set up flexible connection agreements in areas where there</w:t>
      </w:r>
      <w:r>
        <w:t xml:space="preserve"> </w:t>
      </w:r>
      <w:r>
        <w:t xml:space="preserve">is a lack of grid capacity. Article 31 of Electricity Directive stipulates transparency on grid</w:t>
      </w:r>
      <w:r>
        <w:t xml:space="preserve"> </w:t>
      </w:r>
      <w:r>
        <w:t xml:space="preserve">hosting capacities and treatment of grid connections by grid operators, including on the rejected</w:t>
      </w:r>
      <w:r>
        <w:t xml:space="preserve"> </w:t>
      </w:r>
      <w:r>
        <w:t xml:space="preserve">ones. Specifically for grid connection requests, it requires DSOs to provide an option of fully</w:t>
      </w:r>
      <w:r>
        <w:t xml:space="preserve"> </w:t>
      </w:r>
      <w:r>
        <w:t xml:space="preserve">digital connection procedure. Provisions under Articles 6a and 31 were included in the Electricity</w:t>
      </w:r>
      <w:r>
        <w:t xml:space="preserve"> </w:t>
      </w:r>
      <w:r>
        <w:t xml:space="preserve">Market Directive by 2024 reform, to tackle rising grid connection queues.</w:t>
      </w:r>
      <w:r>
        <w:t xml:space="preserve"> </w:t>
      </w:r>
      <w:r>
        <w:t xml:space="preserve">Article 32 of the Electricity Market Directive mentions that DSOs should consider, when</w:t>
      </w:r>
      <w:r>
        <w:t xml:space="preserve"> </w:t>
      </w:r>
      <w:r>
        <w:t xml:space="preserve">planning their networks, alternatives to system expansion. Article 59 tasks NRAs to monitor and</w:t>
      </w:r>
      <w:r>
        <w:t xml:space="preserve"> </w:t>
      </w:r>
      <w:r>
        <w:t xml:space="preserve">assess the performance of system operators when it comes to the development of a smart grid,</w:t>
      </w:r>
      <w:r>
        <w:t xml:space="preserve"> </w:t>
      </w:r>
      <w:r>
        <w:t xml:space="preserve">which promotes energy efficiency and integration of energy from renewable sources. These two</w:t>
      </w:r>
      <w:r>
        <w:t xml:space="preserve"> </w:t>
      </w:r>
      <w:r>
        <w:t xml:space="preserve">Articles together with Recital 51 explain that smart and digital solutions should be considered as</w:t>
      </w:r>
      <w:r>
        <w:t xml:space="preserve"> </w:t>
      </w:r>
      <w:r>
        <w:t xml:space="preserve">a way to modernise distribution networks.</w:t>
      </w:r>
      <w:r>
        <w:br/>
      </w:r>
      <w:r>
        <w:t xml:space="preserve">Currently, there is also ongoing work on the network code on demand response, which was</w:t>
      </w:r>
      <w:r>
        <w:t xml:space="preserve"> </w:t>
      </w:r>
      <w:r>
        <w:t xml:space="preserve">submitted by ACER to the Commission on 7 March 2025. Draft provisions target coordination</w:t>
      </w:r>
      <w:r>
        <w:t xml:space="preserve"> </w:t>
      </w:r>
      <w:r>
        <w:t xml:space="preserve">between TSO-DSO and DSOs, entail clarifications on methodology for planning and scenarios</w:t>
      </w:r>
      <w:r>
        <w:t xml:space="preserve"> </w:t>
      </w:r>
      <w:r>
        <w:t xml:space="preserve">and on link to flexibility needs assessment, use of local services as alternatives to grid</w:t>
      </w:r>
      <w:r>
        <w:t xml:space="preserve"> </w:t>
      </w:r>
      <w:r>
        <w:t xml:space="preserve">development, monitoring of DNDPs, more transparency on public consultation as well as on</w:t>
      </w:r>
      <w:r>
        <w:t xml:space="preserve"> </w:t>
      </w:r>
      <w:r>
        <w:t xml:space="preserve">publication of DNDPs. Comitology on the network code is planned for Q1 2026.</w:t>
      </w:r>
      <w:r>
        <w:br/>
      </w:r>
      <w:r>
        <w:t xml:space="preserve">National level – integrated network planning for natural gas and hydrogen, transmission and</w:t>
      </w:r>
      <w:r>
        <w:t xml:space="preserve"> </w:t>
      </w:r>
      <w:r>
        <w:t xml:space="preserve">distribution</w:t>
      </w:r>
      <w:r>
        <w:t xml:space="preserve"> </w:t>
      </w:r>
      <w:r>
        <w:t xml:space="preserve">For the gases sector, the new Gas Directive introduced obligations for integrated network</w:t>
      </w:r>
      <w:r>
        <w:t xml:space="preserve"> </w:t>
      </w:r>
      <w:r>
        <w:t xml:space="preserve">planning under Chapter VIII, Articles 55-57. Similarly, as in electricity, there is a requirement to</w:t>
      </w:r>
      <w:r>
        <w:t xml:space="preserve"> </w:t>
      </w:r>
      <w:r>
        <w:t xml:space="preserve">publish biennial TNDPs for natural gas and hydrogen, either jointly or separately. In either case,</w:t>
      </w:r>
      <w:r>
        <w:t xml:space="preserve"> </w:t>
      </w:r>
      <w:r>
        <w:t xml:space="preserve">modelling should be done separately for each energy carrier. However, this is complemented by</w:t>
      </w:r>
      <w:r>
        <w:t xml:space="preserve"> </w:t>
      </w:r>
      <w:r>
        <w:t xml:space="preserve">a requirement to have a joint scenario developed every two years between the relevant</w:t>
      </w:r>
      <w:r>
        <w:t xml:space="preserve"> </w:t>
      </w:r>
      <w:r>
        <w:t xml:space="preserve">infrastructure operators, including relevant DSOs, of at least natural gas, hydrogen, electricity</w:t>
      </w:r>
      <w:r>
        <w:t xml:space="preserve"> </w:t>
      </w:r>
      <w:r>
        <w:t xml:space="preserve">and, where applicable, district heating. Such scenarios shall take into account demand-side</w:t>
      </w:r>
      <w:r>
        <w:t xml:space="preserve"> </w:t>
      </w:r>
      <w:r>
        <w:t xml:space="preserve">solutions not requiring new infrastructure investments. System operators should conduct an</w:t>
      </w:r>
      <w:r>
        <w:t xml:space="preserve"> </w:t>
      </w:r>
      <w:r>
        <w:t xml:space="preserve">extensive consultation process on scenario development at an early stage of the process.</w:t>
      </w:r>
      <w:r>
        <w:t xml:space="preserve"> </w:t>
      </w:r>
      <w:r>
        <w:t xml:space="preserve">The Gas Directive introduced first requirements on cooperation and coordination between</w:t>
      </w:r>
      <w:r>
        <w:t xml:space="preserve"> </w:t>
      </w:r>
      <w:r>
        <w:t xml:space="preserve">hydrogen, gas and electricity transmission and distribution system operators, for instance in view</w:t>
      </w:r>
      <w:r>
        <w:t xml:space="preserve"> </w:t>
      </w:r>
      <w:r>
        <w:t xml:space="preserve">of location of electrolyser facilities. Pursuant to Article 55, Member States shall endeavour to</w:t>
      </w:r>
      <w:r>
        <w:t xml:space="preserve"> </w:t>
      </w:r>
      <w:r>
        <w:t xml:space="preserve">ensure coordinated planning steps of the respective ten-year network development plans for</w:t>
      </w:r>
      <w:r>
        <w:t xml:space="preserve"> </w:t>
      </w:r>
      <w:r>
        <w:t xml:space="preserve">natural gas, hydrogen and electricity. The Directive does not prescribe precise procedures for</w:t>
      </w:r>
      <w:r>
        <w:t xml:space="preserve"> </w:t>
      </w:r>
      <w:r>
        <w:t xml:space="preserve">such coordination mechanisms though, or coordination on scenarios development.</w:t>
      </w:r>
      <w:r>
        <w:t xml:space="preserve"> </w:t>
      </w:r>
      <w:r>
        <w:t xml:space="preserve">TNDPs for gases and hydrogen should cover the period of upcoming 10 years, contain</w:t>
      </w:r>
      <w:r>
        <w:t xml:space="preserve"> </w:t>
      </w:r>
      <w:r>
        <w:t xml:space="preserve">information on concrete investments to be executed in next three years, information on</w:t>
      </w:r>
      <w:r>
        <w:t xml:space="preserve"> </w:t>
      </w:r>
      <w:r>
        <w:t xml:space="preserve">decommissioning of infrastructure, and be consistent with the EU-wide TYNDP for natural gas</w:t>
      </w:r>
      <w:r>
        <w:t xml:space="preserve"> </w:t>
      </w:r>
      <w:r>
        <w:t xml:space="preserve">and hydrogen, as well as in line with the NECPs. TNDPs should take into account potential for</w:t>
      </w:r>
      <w:r>
        <w:t xml:space="preserve"> </w:t>
      </w:r>
      <w:r>
        <w:t xml:space="preserve">alternatives to system expansion such as demand response and follow energy efficiency first</w:t>
      </w:r>
      <w:r>
        <w:t xml:space="preserve"> </w:t>
      </w:r>
      <w:r>
        <w:t xml:space="preserve">principle. The whole TNDP should be consulted and submitted to the NRA, who has a right to</w:t>
      </w:r>
      <w:r>
        <w:t xml:space="preserve"> </w:t>
      </w:r>
      <w:r>
        <w:t xml:space="preserve">request amendments to the plan, as well as obligation to monitor and evaluate implementation.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Mirroring requirements of the electricity directive, NRA has a right to delegate execution of</w:t>
      </w:r>
      <w:r>
        <w:t xml:space="preserve"> </w:t>
      </w:r>
      <w:r>
        <w:t xml:space="preserve">investment in case investment plan was not duly followed.</w:t>
      </w:r>
      <w:r>
        <w:t xml:space="preserve"> </w:t>
      </w:r>
      <w:r>
        <w:t xml:space="preserve">On a distribution level, hydrogen distribution network development plan should be submitted</w:t>
      </w:r>
      <w:r>
        <w:t xml:space="preserve"> </w:t>
      </w:r>
      <w:r>
        <w:t xml:space="preserve">every four years and shall be developed in close cooperation with DSOs for natural gas and</w:t>
      </w:r>
      <w:r>
        <w:t xml:space="preserve"> </w:t>
      </w:r>
      <w:r>
        <w:t xml:space="preserve">electricity, as well as district heating and cooling operators where applicable, ensuring effective</w:t>
      </w:r>
      <w:r>
        <w:t xml:space="preserve"> </w:t>
      </w:r>
      <w:r>
        <w:t xml:space="preserve">energy system integration. There is a possibility to develop a joint plan of hydrogen and natural</w:t>
      </w:r>
      <w:r>
        <w:t xml:space="preserve"> </w:t>
      </w:r>
      <w:r>
        <w:t xml:space="preserve">gas networks, including decommissioning. Distribution network decommissioning plans should</w:t>
      </w:r>
      <w:r>
        <w:t xml:space="preserve"> </w:t>
      </w:r>
      <w:r>
        <w:t xml:space="preserve">be based on heating and cooling plans based on Article 25(6) of Directive (EU) 2023/1791. Both</w:t>
      </w:r>
      <w:r>
        <w:t xml:space="preserve"> </w:t>
      </w:r>
      <w:r>
        <w:t xml:space="preserve">plans need to be duly consulted, in line with the Union-wide TYNDP and TNDPs, as well as</w:t>
      </w:r>
      <w:r>
        <w:t xml:space="preserve"> </w:t>
      </w:r>
      <w:r>
        <w:t xml:space="preserve">NECPs. NRAs approve the DNDPs and have right to request amendments to the plans.</w:t>
      </w:r>
      <w:r>
        <w:t xml:space="preserve"> </w:t>
      </w:r>
      <w:r>
        <w:t xml:space="preserve">Table 10: summary of roles and requirements</w:t>
      </w:r>
      <w:r>
        <w:br/>
      </w:r>
      <w:r>
        <w:t xml:space="preserve">Level of planning</w:t>
      </w:r>
      <w:r>
        <w:br/>
      </w:r>
      <w:r>
        <w:t xml:space="preserve">Actors and Roles</w:t>
      </w:r>
      <w:r>
        <w:br/>
      </w:r>
      <w:r>
        <w:t xml:space="preserve">Union-wide TYNDP</w:t>
      </w:r>
      <w:r>
        <w:br/>
      </w:r>
      <w:r>
        <w:t xml:space="preserve">ENTSOs (biennial cycle)</w:t>
      </w:r>
      <w:r>
        <w:br/>
      </w:r>
      <w:r>
        <w:t xml:space="preserve">•</w:t>
      </w:r>
      <w:r>
        <w:t xml:space="preserve"> </w:t>
      </w:r>
      <w:r>
        <w:t xml:space="preserve">Developing scenarios</w:t>
      </w:r>
      <w:r>
        <w:br/>
      </w:r>
      <w:r>
        <w:t xml:space="preserve">•</w:t>
      </w:r>
      <w:r>
        <w:t xml:space="preserve"> </w:t>
      </w:r>
      <w:r>
        <w:t xml:space="preserve">Developing Infrastructure gaps report</w:t>
      </w:r>
      <w:r>
        <w:br/>
      </w:r>
      <w:r>
        <w:t xml:space="preserve">•</w:t>
      </w:r>
      <w:r>
        <w:t xml:space="preserve"> </w:t>
      </w:r>
      <w:r>
        <w:t xml:space="preserve">Developing TYNDP, based on the CBA</w:t>
      </w:r>
      <w:r>
        <w:t xml:space="preserve"> </w:t>
      </w:r>
      <w:r>
        <w:t xml:space="preserve">methodology</w:t>
      </w:r>
      <w:r>
        <w:br/>
      </w:r>
      <w:r>
        <w:t xml:space="preserve">European Commission</w:t>
      </w:r>
      <w:r>
        <w:br/>
      </w:r>
      <w:r>
        <w:t xml:space="preserve">•</w:t>
      </w:r>
      <w:r>
        <w:t xml:space="preserve"> </w:t>
      </w:r>
      <w:r>
        <w:t xml:space="preserve">Approval of scenarios for the TYNDP</w:t>
      </w:r>
      <w:r>
        <w:t xml:space="preserve"> </w:t>
      </w:r>
      <w:r>
        <w:t xml:space="preserve">(biennial)</w:t>
      </w:r>
      <w:r>
        <w:br/>
      </w:r>
      <w:r>
        <w:t xml:space="preserve">•</w:t>
      </w:r>
      <w:r>
        <w:t xml:space="preserve"> </w:t>
      </w:r>
      <w:r>
        <w:t xml:space="preserve">Approval of the CBA methodology s for</w:t>
      </w:r>
      <w:r>
        <w:t xml:space="preserve"> </w:t>
      </w:r>
      <w:r>
        <w:t xml:space="preserve">the TYNDP (before the start of the cycle)</w:t>
      </w:r>
      <w:r>
        <w:br/>
      </w:r>
      <w:r>
        <w:t xml:space="preserve">•</w:t>
      </w:r>
      <w:r>
        <w:t xml:space="preserve"> </w:t>
      </w:r>
      <w:r>
        <w:t xml:space="preserve">Non-binding opinion on the Infrastructure</w:t>
      </w:r>
      <w:r>
        <w:t xml:space="preserve"> </w:t>
      </w:r>
      <w:r>
        <w:t xml:space="preserve">gaps identification</w:t>
      </w:r>
      <w:r>
        <w:br/>
      </w:r>
      <w:r>
        <w:t xml:space="preserve">ACER</w:t>
      </w:r>
      <w:r>
        <w:br/>
      </w:r>
      <w:r>
        <w:t xml:space="preserve">•</w:t>
      </w:r>
      <w:r>
        <w:t xml:space="preserve"> </w:t>
      </w:r>
      <w:r>
        <w:t xml:space="preserve">Non-binding opinion on the scenarios</w:t>
      </w:r>
      <w:r>
        <w:br/>
      </w:r>
      <w:r>
        <w:t xml:space="preserve">•</w:t>
      </w:r>
      <w:r>
        <w:t xml:space="preserve"> </w:t>
      </w:r>
      <w:r>
        <w:t xml:space="preserve">Non-binding</w:t>
      </w:r>
      <w:r>
        <w:t xml:space="preserve"> </w:t>
      </w:r>
      <w:r>
        <w:t xml:space="preserve">opinion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CBA</w:t>
      </w:r>
      <w:r>
        <w:t xml:space="preserve"> </w:t>
      </w:r>
      <w:r>
        <w:t xml:space="preserve">methodology</w:t>
      </w:r>
      <w:r>
        <w:br/>
      </w:r>
      <w:r>
        <w:t xml:space="preserve">•</w:t>
      </w:r>
      <w:r>
        <w:t xml:space="preserve"> </w:t>
      </w:r>
      <w:r>
        <w:t xml:space="preserve">Non-binding opinion on the Infrastructure</w:t>
      </w:r>
      <w:r>
        <w:t xml:space="preserve"> </w:t>
      </w:r>
      <w:r>
        <w:t xml:space="preserve">gaps identification</w:t>
      </w:r>
      <w:r>
        <w:br/>
      </w:r>
      <w:r>
        <w:t xml:space="preserve">•</w:t>
      </w:r>
      <w:r>
        <w:t xml:space="preserve"> </w:t>
      </w:r>
      <w:r>
        <w:t xml:space="preserve">Non-binding opinion on the TYNDP</w:t>
      </w:r>
      <w:r>
        <w:br/>
      </w:r>
      <w:r>
        <w:t xml:space="preserve">•</w:t>
      </w:r>
      <w:r>
        <w:t xml:space="preserve"> </w:t>
      </w:r>
      <w:r>
        <w:t xml:space="preserve">Report on consistency of TNDP and</w:t>
      </w:r>
      <w:r>
        <w:t xml:space="preserve"> </w:t>
      </w:r>
      <w:r>
        <w:t xml:space="preserve">Union-wide TYNDP</w:t>
      </w:r>
      <w:r>
        <w:br/>
      </w:r>
      <w:r>
        <w:t xml:space="preserve">Regional investment plans - electricity</w:t>
      </w:r>
      <w:r>
        <w:br/>
      </w:r>
      <w:r>
        <w:t xml:space="preserve">TSOs</w:t>
      </w:r>
      <w:r>
        <w:br/>
      </w:r>
      <w:r>
        <w:t xml:space="preserve">•</w:t>
      </w:r>
      <w:r>
        <w:t xml:space="preserve"> </w:t>
      </w:r>
      <w:r>
        <w:t xml:space="preserve">Publishing regional investment plans</w:t>
      </w:r>
      <w:r>
        <w:t xml:space="preserve"> </w:t>
      </w:r>
      <w:r>
        <w:t xml:space="preserve">bienially</w:t>
      </w:r>
      <w:r>
        <w:br/>
      </w:r>
      <w:r>
        <w:t xml:space="preserve">TNDP - electricity</w:t>
      </w:r>
      <w:r>
        <w:br/>
      </w:r>
      <w:r>
        <w:t xml:space="preserve">TSOs</w:t>
      </w:r>
      <w:r>
        <w:br/>
      </w:r>
      <w:r>
        <w:t xml:space="preserve">•</w:t>
      </w:r>
      <w:r>
        <w:t xml:space="preserve"> </w:t>
      </w:r>
      <w:r>
        <w:t xml:space="preserve">Submit TNDP at least bienially</w:t>
      </w:r>
      <w:r>
        <w:br/>
      </w:r>
      <w:r>
        <w:t xml:space="preserve">NRAs</w:t>
      </w:r>
      <w:r>
        <w:br/>
      </w:r>
      <w:r>
        <w:t xml:space="preserve">•</w:t>
      </w:r>
      <w:r>
        <w:t xml:space="preserve"> </w:t>
      </w:r>
      <w:r>
        <w:t xml:space="preserve">Consult all relevant and potential system</w:t>
      </w:r>
      <w:r>
        <w:t xml:space="preserve"> </w:t>
      </w:r>
      <w:r>
        <w:t xml:space="preserve">users</w:t>
      </w:r>
      <w:r>
        <w:br/>
      </w:r>
      <w:r>
        <w:t xml:space="preserve">•</w:t>
      </w:r>
      <w:r>
        <w:t xml:space="preserve"> </w:t>
      </w:r>
      <w:r>
        <w:t xml:space="preserve">Right to request amendments to the plan</w:t>
      </w:r>
      <w:r>
        <w:br/>
      </w:r>
      <w:r>
        <w:t xml:space="preserve">•</w:t>
      </w:r>
      <w:r>
        <w:t xml:space="preserve"> </w:t>
      </w:r>
      <w:r>
        <w:t xml:space="preserve">Check consistency with NECPs and</w:t>
      </w:r>
      <w:r>
        <w:t xml:space="preserve"> </w:t>
      </w:r>
      <w:r>
        <w:t xml:space="preserve">Union-wide TYNDP</w:t>
      </w:r>
      <w:r>
        <w:br/>
      </w:r>
      <w:r>
        <w:t xml:space="preserve">•</w:t>
      </w:r>
      <w:r>
        <w:t xml:space="preserve"> </w:t>
      </w:r>
      <w:r>
        <w:t xml:space="preserve">Monitoring of implementation of TNDP</w:t>
      </w:r>
      <w:r>
        <w:t xml:space="preserve"> </w:t>
      </w:r>
      <w:r>
        <w:t xml:space="preserve">(without deadlines)</w:t>
      </w:r>
      <w:r>
        <w:br/>
      </w:r>
      <w:r>
        <w:t xml:space="preserve">•</w:t>
      </w:r>
      <w:r>
        <w:t xml:space="preserve"> </w:t>
      </w:r>
      <w:r>
        <w:t xml:space="preserve">Right to request investments / organise a</w:t>
      </w:r>
      <w:r>
        <w:t xml:space="preserve"> </w:t>
      </w:r>
      <w:r>
        <w:t xml:space="preserve">tender if investment fails</w:t>
      </w:r>
      <w:r>
        <w:br/>
      </w:r>
      <w:r>
        <w:t xml:space="preserve">DNDP - electricity</w:t>
      </w:r>
      <w:r>
        <w:br/>
      </w:r>
      <w:r>
        <w:t xml:space="preserve">DSOs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biennial</w:t>
      </w:r>
      <w:r>
        <w:t xml:space="preserve"> </w:t>
      </w:r>
      <w:r>
        <w:t xml:space="preserve">publication</w:t>
      </w:r>
      <w:r>
        <w:t xml:space="preserve"> </w:t>
      </w:r>
      <w:r>
        <w:t xml:space="preserve">and</w:t>
      </w:r>
      <w:r>
        <w:t xml:space="preserve"> </w:t>
      </w:r>
      <w:r>
        <w:t xml:space="preserve">submission of the DNDP</w:t>
      </w:r>
      <w:r>
        <w:br/>
      </w:r>
      <w:r>
        <w:t xml:space="preserve">•</w:t>
      </w:r>
      <w:r>
        <w:t xml:space="preserve"> </w:t>
      </w:r>
      <w:r>
        <w:t xml:space="preserve">Obligation to consult all relevant and</w:t>
      </w:r>
      <w:r>
        <w:t xml:space="preserve"> </w:t>
      </w:r>
      <w:r>
        <w:t xml:space="preserve">potential system users</w:t>
      </w:r>
      <w:r>
        <w:br/>
      </w:r>
      <w:r>
        <w:t xml:space="preserve">•</w:t>
      </w:r>
    </w:p>
    <w:p>
      <w:pPr>
        <w:pStyle w:val="BodyText"/>
      </w:pPr>
      <w:r>
        <w:t xml:space="preserve">NRAs</w:t>
      </w:r>
      <w:r>
        <w:br/>
      </w:r>
      <w:r>
        <w:t xml:space="preserve">•</w:t>
      </w:r>
      <w:r>
        <w:t xml:space="preserve"> </w:t>
      </w:r>
      <w:r>
        <w:t xml:space="preserve">Right to request amendments to the plan</w:t>
      </w:r>
    </w:p>
    <w:p>
      <w:pPr>
        <w:pStyle w:val="Compact"/>
        <w:numPr>
          <w:ilvl w:val="0"/>
          <w:numId w:val="1019"/>
        </w:numPr>
      </w:pPr>
      <w:r>
        <w:t xml:space="preserve">Hydrogen blending</w:t>
      </w:r>
      <w:r>
        <w:t xml:space="preserve"> </w:t>
      </w:r>
      <w:r>
        <w:t xml:space="preserve">The TEN-E Regulation of 2022 introduced a new infrastructure category, namely smart gas grids,</w:t>
      </w:r>
      <w:r>
        <w:t xml:space="preserve"> </w:t>
      </w:r>
      <w:r>
        <w:t xml:space="preserve">the aim of which is to support investments which integrate a plurality of low-carbon and</w:t>
      </w:r>
      <w:r>
        <w:t xml:space="preserve"> </w:t>
      </w:r>
      <w:r>
        <w:t xml:space="preserve">particularly renewable gases such as biogas, biomethane, and hydrogen, in the gas network and</w:t>
      </w:r>
      <w:r>
        <w:t xml:space="preserve"> </w:t>
      </w:r>
      <w:r>
        <w:t xml:space="preserve">help manage a resulting more complex system, building on innovative digital technologies.</w:t>
      </w:r>
      <w:r>
        <w:br/>
      </w:r>
      <w:r>
        <w:t xml:space="preserve">The category covers digital systems and components integrating ICT, control systems and sensor</w:t>
      </w:r>
      <w:r>
        <w:t xml:space="preserve"> </w:t>
      </w:r>
      <w:r>
        <w:t xml:space="preserve">technologies to enable the interactive and intelligent monitoring, metering, quality control and</w:t>
      </w:r>
      <w:r>
        <w:t xml:space="preserve"> </w:t>
      </w:r>
      <w:r>
        <w:t xml:space="preserve">management of gas production, transmission, distribution, storage and consumption within a gas</w:t>
      </w:r>
      <w:r>
        <w:t xml:space="preserve"> </w:t>
      </w:r>
      <w:r>
        <w:t xml:space="preserve">network. Furthermore, such projects may also include equipment to enable reverse flows from</w:t>
      </w:r>
      <w:r>
        <w:t xml:space="preserve"> </w:t>
      </w:r>
      <w:r>
        <w:t xml:space="preserve">the distribution to the transmission level, including the related physical upgrades if indispensable</w:t>
      </w:r>
      <w:r>
        <w:t xml:space="preserve"> </w:t>
      </w:r>
      <w:r>
        <w:t xml:space="preserve">to the functioning of the equipment and installations for integration of low-carbon and</w:t>
      </w:r>
      <w:r>
        <w:t xml:space="preserve"> </w:t>
      </w:r>
      <w:r>
        <w:t xml:space="preserve">particularly renewable gases. The focus is digitalisation to avoid investments that aim at the</w:t>
      </w:r>
      <w:r>
        <w:t xml:space="preserve"> </w:t>
      </w:r>
      <w:r>
        <w:t xml:space="preserve">maintenance, upgrade or development of the gas network, for which support was discontinued</w:t>
      </w:r>
      <w:r>
        <w:t xml:space="preserve"> </w:t>
      </w:r>
      <w:r>
        <w:t xml:space="preserve">under the 2022 TEN-E Regulation.</w:t>
      </w:r>
      <w:r>
        <w:br/>
      </w:r>
      <w:r>
        <w:t xml:space="preserve">At the same time, the TEN-E Regulation took a prudent approach to hydrogen blending,</w:t>
      </w:r>
      <w:r>
        <w:t xml:space="preserve"> </w:t>
      </w:r>
      <w:r>
        <w:t xml:space="preserve">providing in its Article 31 that hydrogen assets converted from natural gas assets falling under</w:t>
      </w:r>
      <w:r>
        <w:t xml:space="preserve"> </w:t>
      </w:r>
      <w:r>
        <w:t xml:space="preserve">the energy infrastructure category set out in point (3) of Annex II may be used for transport or</w:t>
      </w:r>
      <w:r>
        <w:t xml:space="preserve"> </w:t>
      </w:r>
      <w:r>
        <w:t xml:space="preserve">storage of a predefined blend of hydrogen with natural gas or biomethane only during a</w:t>
      </w:r>
      <w:r>
        <w:t xml:space="preserve"> </w:t>
      </w:r>
      <w:r>
        <w:t xml:space="preserve">transitional period ending on 31 December 2029 and subject to the project promoter providing</w:t>
      </w:r>
      <w:r>
        <w:t xml:space="preserve"> </w:t>
      </w:r>
      <w:r>
        <w:t xml:space="preserve">sufficient evidence, including through commercial contracts, how, by the end of the transitional</w:t>
      </w:r>
      <w:r>
        <w:t xml:space="preserve"> </w:t>
      </w:r>
      <w:r>
        <w:t xml:space="preserve">period, the assets will cease to be natural gas assets and become dedicated hydrogen assets and</w:t>
      </w:r>
      <w:r>
        <w:t xml:space="preserve"> </w:t>
      </w:r>
      <w:r>
        <w:t xml:space="preserve">how the increased use of hydrogen will be enabled during the transitional period, This Article</w:t>
      </w:r>
      <w:r>
        <w:t xml:space="preserve"> </w:t>
      </w:r>
      <w:r>
        <w:t xml:space="preserve">does not refer to the smart gas grid category, for which no explicit transitional period is</w:t>
      </w:r>
      <w:r>
        <w:t xml:space="preserve"> </w:t>
      </w:r>
      <w:r>
        <w:t xml:space="preserve">established.</w:t>
      </w:r>
      <w:r>
        <w:t xml:space="preserve"> </w:t>
      </w:r>
      <w:r>
        <w:t xml:space="preserve">After the entry into force of the TEN-E Regulation, the approach of the EU legislative framework</w:t>
      </w:r>
      <w:r>
        <w:t xml:space="preserve"> </w:t>
      </w:r>
      <w:r>
        <w:t xml:space="preserve">to hydrogen blending has become more restrictive: the Gas Regulation of 2024 explains explicitly</w:t>
      </w:r>
      <w:r>
        <w:t xml:space="preserve"> </w:t>
      </w:r>
      <w:r>
        <w:t xml:space="preserve">that the “blending of hydrogen into the natural gas system should be a last-resort solution, as it</w:t>
      </w:r>
      <w:r>
        <w:t xml:space="preserve"> </w:t>
      </w:r>
      <w:r>
        <w:t xml:space="preserve">is less efficient compared to using hydrogen in its pure form and diminishes the value of</w:t>
      </w:r>
      <w:r>
        <w:t xml:space="preserve"> </w:t>
      </w:r>
      <w:r>
        <w:t xml:space="preserve">hydrogen. It also affects the operation of natural gas infrastructure, end-user applications and the</w:t>
      </w:r>
      <w:r>
        <w:t xml:space="preserve"> </w:t>
      </w:r>
      <w:r>
        <w:t xml:space="preserve">interoperability of cross-border systems. The production and use of hydrogen in its pure form</w:t>
      </w:r>
      <w:r>
        <w:t xml:space="preserve"> </w:t>
      </w:r>
      <w:r>
        <w:t xml:space="preserve">and its transportation in the dedicated hydrogen system should therefore be prioritised” (Recital</w:t>
      </w:r>
      <w:r>
        <w:t xml:space="preserve"> </w:t>
      </w:r>
      <w:r>
        <w:t xml:space="preserve">74).</w:t>
      </w:r>
      <w:r>
        <w:br/>
      </w:r>
      <w:r>
        <w:t xml:space="preserve">Accordingly, Article 21 of the Gas Regulation established a cross-border cooperation mechanism</w:t>
      </w:r>
      <w:r>
        <w:t xml:space="preserve"> </w:t>
      </w:r>
      <w:r>
        <w:t xml:space="preserve">to address differences in gas quality liable to restrict cross-border flows differences. However,</w:t>
      </w:r>
      <w:r>
        <w:t xml:space="preserve"> </w:t>
      </w:r>
      <w:r>
        <w:t xml:space="preserve">that mechanism only applies to hydrogen blends where the hydrogen content blended into the</w:t>
      </w:r>
      <w:r>
        <w:t xml:space="preserve"> </w:t>
      </w:r>
      <w:r>
        <w:t xml:space="preserve">natural gas system is below 2% by volume. Transmission System Operators may reject cross-</w:t>
      </w:r>
      <w:r>
        <w:t xml:space="preserve"> </w:t>
      </w:r>
      <w:r>
        <w:t xml:space="preserve">border flows of natural gas with a blended hydrogen exceeding 2%.</w:t>
      </w:r>
    </w:p>
    <w:p>
      <w:pPr>
        <w:pStyle w:val="FirstParagraph"/>
      </w:pPr>
      <w:r>
        <w:t xml:space="preserve">102</w:t>
      </w:r>
    </w:p>
    <w:p>
      <w:pPr>
        <w:pStyle w:val="Compact"/>
        <w:numPr>
          <w:ilvl w:val="0"/>
          <w:numId w:val="1020"/>
        </w:numPr>
      </w:pPr>
      <w:r>
        <w:t xml:space="preserve">Permitting frameworks</w:t>
      </w:r>
      <w:r>
        <w:br/>
      </w:r>
      <w:r>
        <w:t xml:space="preserve">Renewable energy and co-located storage projects</w:t>
      </w:r>
      <w:r>
        <w:t xml:space="preserve"> </w:t>
      </w:r>
      <w:r>
        <w:t xml:space="preserve">The main vehicle is Directive (EU/2018/2001) on the promotion of the use of energy from</w:t>
      </w:r>
      <w:r>
        <w:t xml:space="preserve"> </w:t>
      </w:r>
      <w:r>
        <w:t xml:space="preserve">renewable sources (RED). The Directive was amended by Directive (EU/2023/2413) i.a. with a</w:t>
      </w:r>
      <w:r>
        <w:t xml:space="preserve"> </w:t>
      </w:r>
      <w:r>
        <w:t xml:space="preserve">view of setting comprehensive rules on permitting, by means of introducing Articles 15b to 16f.</w:t>
      </w:r>
      <w:r>
        <w:t xml:space="preserve"> </w:t>
      </w:r>
      <w:r>
        <w:t xml:space="preserve">The transposition deadline for Member States to adopt Articles 16 and Articles 16b-16f was set</w:t>
      </w:r>
      <w:r>
        <w:t xml:space="preserve"> </w:t>
      </w:r>
      <w:r>
        <w:t xml:space="preserve">for July 2024. The remainder of the provisions – mainly referring to setting the Renewable</w:t>
      </w:r>
      <w:r>
        <w:t xml:space="preserve"> </w:t>
      </w:r>
      <w:r>
        <w:t xml:space="preserve">Acceleration Areas – were mainly due to be transposed by May 2025.</w:t>
      </w:r>
      <w:r>
        <w:t xml:space="preserve"> </w:t>
      </w:r>
      <w:r>
        <w:t xml:space="preserve">The importance of permitting for RES and the barriers it faces were already identified in Directive</w:t>
      </w:r>
      <w:r>
        <w:t xml:space="preserve"> </w:t>
      </w:r>
      <w:r>
        <w:t xml:space="preserve">2001/77/EC181 of the European Parliament and of the Council, which required Member States to</w:t>
      </w:r>
      <w:r>
        <w:t xml:space="preserve"> </w:t>
      </w:r>
      <w:r>
        <w:t xml:space="preserve">evaluate the permit-granting procedures in order to reduce the regulatory and non-regulatory</w:t>
      </w:r>
      <w:r>
        <w:t xml:space="preserve"> </w:t>
      </w:r>
      <w:r>
        <w:t xml:space="preserve">barriers to the production of renewable electricity. Directive 2009/28/EC 182of the European</w:t>
      </w:r>
      <w:r>
        <w:t xml:space="preserve"> </w:t>
      </w:r>
      <w:r>
        <w:t xml:space="preserve">Parliament and of the Council introduced requirements to simplify the administrative procedures</w:t>
      </w:r>
      <w:r>
        <w:t xml:space="preserve"> </w:t>
      </w:r>
      <w:r>
        <w:t xml:space="preserve">for renewable energy developers, whereas the Directive (EU) 2018/2001 of the European</w:t>
      </w:r>
      <w:r>
        <w:t xml:space="preserve"> </w:t>
      </w:r>
      <w:r>
        <w:t xml:space="preserve">Parliament and of the Council strengthened these requirements and introduces a permitting</w:t>
      </w:r>
      <w:r>
        <w:t xml:space="preserve"> </w:t>
      </w:r>
      <w:r>
        <w:t xml:space="preserve">deadline for the first time. (transposition by June 2021)</w:t>
      </w:r>
      <w:r>
        <w:t xml:space="preserve"> </w:t>
      </w:r>
      <w:r>
        <w:t xml:space="preserve">The Directive (EU/2023/2413) was the first to introduce an integrated permitting procedure,</w:t>
      </w:r>
      <w:r>
        <w:t xml:space="preserve"> </w:t>
      </w:r>
      <w:r>
        <w:t xml:space="preserve">including environmental assessments, with specific rules simplifying processes and technology</w:t>
      </w:r>
      <w:r>
        <w:t xml:space="preserve"> </w:t>
      </w:r>
      <w:r>
        <w:t xml:space="preserve">specific deadlines. However, it is important to note that the revised RED was predated by Council</w:t>
      </w:r>
      <w:r>
        <w:t xml:space="preserve"> </w:t>
      </w:r>
      <w:r>
        <w:t xml:space="preserve">Regulation (EU/2022/2577) which set down a framework to accelerate the deployment of</w:t>
      </w:r>
      <w:r>
        <w:t xml:space="preserve"> </w:t>
      </w:r>
      <w:r>
        <w:t xml:space="preserve">renewable energy and grids, which entered into force in December 2022 due to the energy crisis</w:t>
      </w:r>
      <w:r>
        <w:t xml:space="preserve"> </w:t>
      </w:r>
      <w:r>
        <w:t xml:space="preserve">(2022-2023). Its provisions were applicable for 18 months from this date. Application of its certain</w:t>
      </w:r>
      <w:r>
        <w:t xml:space="preserve"> </w:t>
      </w:r>
      <w:r>
        <w:t xml:space="preserve">provisions, alongside minor amendments and additions, was extended until June 2025 by Council</w:t>
      </w:r>
      <w:r>
        <w:t xml:space="preserve"> </w:t>
      </w:r>
      <w:r>
        <w:t xml:space="preserve">Regulation (EU/2024/223). As from July 2025, this Regulation ceased to apply in its entirety.</w:t>
      </w:r>
      <w:r>
        <w:t xml:space="preserve"> </w:t>
      </w:r>
      <w:r>
        <w:t xml:space="preserve">Both Directive 2018/2001 amended by Directive 2023/2413 (the revised RED) and Council</w:t>
      </w:r>
      <w:r>
        <w:t xml:space="preserve"> </w:t>
      </w:r>
      <w:r>
        <w:t xml:space="preserve">Regulation 2022/2577 amended by Council Regulation 2024/223 (the Emergency Regulation)</w:t>
      </w:r>
      <w:r>
        <w:t xml:space="preserve"> </w:t>
      </w:r>
      <w:r>
        <w:t xml:space="preserve">were introduced to accelerate the permit-granting procedure to build, repower and operate</w:t>
      </w:r>
      <w:r>
        <w:t xml:space="preserve"> </w:t>
      </w:r>
      <w:r>
        <w:t xml:space="preserve">Renewable Energy Sources’ plants, their related infrastructure and co-located storage . Their</w:t>
      </w:r>
      <w:r>
        <w:t xml:space="preserve"> </w:t>
      </w:r>
      <w:r>
        <w:t xml:space="preserve">scopes, albeit overlapping to substantial extent, are not identical.</w:t>
      </w:r>
      <w:r>
        <w:t xml:space="preserve"> </w:t>
      </w:r>
      <w:r>
        <w:t xml:space="preserve">The provisions of the revised RED with July 2024 transposition deadline constitute the first</w:t>
      </w:r>
      <w:r>
        <w:t xml:space="preserve"> </w:t>
      </w:r>
      <w:r>
        <w:t xml:space="preserve">structured permanent EU legal baseline for the permit-granting procedure to build, repower and</w:t>
      </w:r>
      <w:r>
        <w:t xml:space="preserve"> </w:t>
      </w:r>
      <w:r>
        <w:t xml:space="preserve">operate Renewable Energy Sources’ plants, their related infrastructure and co-located storage. The</w:t>
      </w:r>
      <w:r>
        <w:t xml:space="preserve"> </w:t>
      </w:r>
      <w:r>
        <w:t xml:space="preserve">scope of each of the Article is the following:</w:t>
      </w:r>
      <w:r>
        <w:t xml:space="preserve"> </w:t>
      </w:r>
      <w:r>
        <w:t xml:space="preserve">➢ Article 16: Organisation and main principles of the permit-granting procedure</w:t>
      </w:r>
      <w:r>
        <w:t xml:space="preserve"> </w:t>
      </w:r>
      <w:r>
        <w:t xml:space="preserve">• Criteria for permitting process duration and validity of applications, incl. deadlines.</w:t>
      </w:r>
    </w:p>
    <w:p>
      <w:pPr>
        <w:pStyle w:val="FirstParagraph"/>
      </w:pPr>
      <w:r>
        <w:t xml:space="preserve">181 Directive 2001/77/EC of the European Parliament and of the Council of 27 September 2001 on the promotion of</w:t>
      </w:r>
      <w:r>
        <w:t xml:space="preserve"> </w:t>
      </w:r>
      <w:r>
        <w:t xml:space="preserve">electricity produced from renewable energy sources in the internal electricity market; OJ L 283, 27.10.2001, pp. 33–</w:t>
      </w:r>
      <w:r>
        <w:t xml:space="preserve"> </w:t>
      </w:r>
      <w:r>
        <w:t xml:space="preserve">40</w:t>
      </w:r>
      <w:r>
        <w:t xml:space="preserve"> </w:t>
      </w:r>
      <w:r>
        <w:t xml:space="preserve">182 Directive 2009/28/EC of the European Parliament and of the Council of 23 April 2009 on the promotion of the use</w:t>
      </w:r>
      <w:r>
        <w:t xml:space="preserve"> </w:t>
      </w:r>
      <w:r>
        <w:t xml:space="preserve">of energy from renewable sources and amending and subsequently repealing Directives 2001/77/EC and 2003/30/EC</w:t>
      </w:r>
      <w:r>
        <w:t xml:space="preserve"> </w:t>
      </w:r>
      <w:r>
        <w:t xml:space="preserve">(Text with EEA relevance), OJ L 140, 5.6.2009, pp. 16–62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• Streamlining of administrative processes.</w:t>
      </w:r>
      <w:r>
        <w:t xml:space="preserve"> </w:t>
      </w:r>
      <w:r>
        <w:t xml:space="preserve">• Designation of single contact points (OSS) and its obligations towards stakeholders.</w:t>
      </w:r>
      <w:r>
        <w:t xml:space="preserve"> </w:t>
      </w:r>
      <w:r>
        <w:t xml:space="preserve">• Provision of adequate resources to competent authorities and reskilling of staff.</w:t>
      </w:r>
      <w:r>
        <w:t xml:space="preserve"> </w:t>
      </w:r>
      <w:r>
        <w:t xml:space="preserve">• Public availability of decisions.</w:t>
      </w:r>
      <w:r>
        <w:t xml:space="preserve"> </w:t>
      </w:r>
      <w:r>
        <w:t xml:space="preserve">• Digitalisation of permit-granting procedures (by 21 November 2025).</w:t>
      </w:r>
      <w:r>
        <w:t xml:space="preserve"> </w:t>
      </w:r>
      <w:r>
        <w:t xml:space="preserve">➢ Article 16b: Permit-granting outside Renewable Acceleration Areas (“RAAs”)</w:t>
      </w:r>
      <w:r>
        <w:t xml:space="preserve"> </w:t>
      </w:r>
      <w:r>
        <w:t xml:space="preserve">• Permitting timelines: &lt;2 years, &lt;3 years for offshore, &lt;1 year for repowering, &lt;2 years for</w:t>
      </w:r>
      <w:r>
        <w:t xml:space="preserve"> </w:t>
      </w:r>
      <w:r>
        <w:t xml:space="preserve">offshore repowering.</w:t>
      </w:r>
      <w:r>
        <w:t xml:space="preserve"> </w:t>
      </w:r>
      <w:r>
        <w:t xml:space="preserve">• All relevant environmental assessments for a renewables project to be rolled into one single</w:t>
      </w:r>
      <w:r>
        <w:t xml:space="preserve"> </w:t>
      </w:r>
      <w:r>
        <w:t xml:space="preserve">procedure.</w:t>
      </w:r>
      <w:r>
        <w:t xml:space="preserve"> </w:t>
      </w:r>
      <w:r>
        <w:t xml:space="preserve">• The killing or disturbance of species protected under the Birds &amp; Habitats Directives will</w:t>
      </w:r>
      <w:r>
        <w:t xml:space="preserve"> </w:t>
      </w:r>
      <w:r>
        <w:t xml:space="preserve">not be considered ‘deliberate’ where a project has followed all necessary mitigation</w:t>
      </w:r>
      <w:r>
        <w:t xml:space="preserve"> </w:t>
      </w:r>
      <w:r>
        <w:t xml:space="preserve">measures.</w:t>
      </w:r>
      <w:r>
        <w:t xml:space="preserve"> </w:t>
      </w:r>
      <w:r>
        <w:t xml:space="preserve">➢ Article 16c: Permit-granting for repowering</w:t>
      </w:r>
      <w:r>
        <w:t xml:space="preserve"> </w:t>
      </w:r>
      <w:r>
        <w:t xml:space="preserve">• Permitting timelines: &lt;3 months for grid connections.</w:t>
      </w:r>
      <w:r>
        <w:t xml:space="preserve"> </w:t>
      </w:r>
      <w:r>
        <w:t xml:space="preserve">• Screening limited to extension of existing projects.</w:t>
      </w:r>
      <w:r>
        <w:t xml:space="preserve"> </w:t>
      </w:r>
      <w:r>
        <w:t xml:space="preserve">• Exemptions available for solar installations from screening and environmental assessments</w:t>
      </w:r>
      <w:r>
        <w:t xml:space="preserve"> </w:t>
      </w:r>
      <w:r>
        <w:t xml:space="preserve">when no extra space is required.</w:t>
      </w:r>
      <w:r>
        <w:t xml:space="preserve"> </w:t>
      </w:r>
      <w:r>
        <w:t xml:space="preserve">➢ Article 16d: Permit-granting for solar installations on artificial structures</w:t>
      </w:r>
      <w:r>
        <w:t xml:space="preserve"> </w:t>
      </w:r>
      <w:r>
        <w:t xml:space="preserve">• Permitting timelines: &lt;3 months for solar equipment on artificial surfaces and co-located</w:t>
      </w:r>
      <w:r>
        <w:t xml:space="preserve"> </w:t>
      </w:r>
      <w:r>
        <w:t xml:space="preserve">storage with possibility for applying exemptions, and &lt;1 month for solar equipment with</w:t>
      </w:r>
      <w:r>
        <w:t xml:space="preserve"> </w:t>
      </w:r>
      <w:r>
        <w:t xml:space="preserve">capacity of 100 kW or less.</w:t>
      </w:r>
      <w:r>
        <w:t xml:space="preserve"> </w:t>
      </w:r>
      <w:r>
        <w:t xml:space="preserve">• Positive silence for solar equipment with capacity of 100 kW or less.</w:t>
      </w:r>
      <w:r>
        <w:t xml:space="preserve"> </w:t>
      </w:r>
      <w:r>
        <w:t xml:space="preserve">• Exemptions available from screening and environmental assessments.</w:t>
      </w:r>
      <w:r>
        <w:t xml:space="preserve"> </w:t>
      </w:r>
      <w:r>
        <w:t xml:space="preserve">➢ Article 16e: Permit-granting procedure for heat pumps</w:t>
      </w:r>
      <w:r>
        <w:t xml:space="preserve"> </w:t>
      </w:r>
      <w:r>
        <w:t xml:space="preserve">• Permitting timelines: &lt;1 month above 50 MW, &lt;3 months for ground source heat pumps,</w:t>
      </w:r>
      <w:r>
        <w:t xml:space="preserve"> </w:t>
      </w:r>
      <w:r>
        <w:t xml:space="preserve">&lt;2 weeks for connections to the grid for lower capacity MW/self-consumers).</w:t>
      </w:r>
      <w:r>
        <w:t xml:space="preserve"> </w:t>
      </w:r>
      <w:r>
        <w:t xml:space="preserve">➢ Article 16f: Presumption of overriding public interest (OPI)</w:t>
      </w:r>
    </w:p>
    <w:p>
      <w:pPr>
        <w:pStyle w:val="BodyText"/>
      </w:pPr>
      <w:r>
        <w:t xml:space="preserve">Permitting, planning, construction and operation of RES plants, their related infrastructure and</w:t>
      </w:r>
      <w:r>
        <w:t xml:space="preserve"> </w:t>
      </w:r>
      <w:r>
        <w:t xml:space="preserve">storage assets must be presumed to be in the OPI for the purpose of the application of certain</w:t>
      </w:r>
      <w:r>
        <w:t xml:space="preserve"> </w:t>
      </w:r>
      <w:r>
        <w:t xml:space="preserve">exemptions regulated in certain environmental directives.</w:t>
      </w:r>
      <w:r>
        <w:br/>
      </w:r>
      <w:r>
        <w:t xml:space="preserve">As already mentioned, the scope of the Emergency Regulation was to wide extent similar, with</w:t>
      </w:r>
      <w:r>
        <w:t xml:space="preserve"> </w:t>
      </w:r>
      <w:r>
        <w:t xml:space="preserve">two main measures going beyond what has been laid down in the Revised RED:</w:t>
      </w:r>
      <w:r>
        <w:t xml:space="preserve"> </w:t>
      </w:r>
      <w:r>
        <w:t xml:space="preserve">➢ Article 3(2): Priority to be given to renewable energy plants and the related grid infrastructure,</w:t>
      </w:r>
      <w:r>
        <w:t xml:space="preserve"> </w:t>
      </w:r>
      <w:r>
        <w:t xml:space="preserve">when balancing legal interests in the individual case, at least for projects which are recognised</w:t>
      </w:r>
      <w:r>
        <w:t xml:space="preserve"> </w:t>
      </w:r>
      <w:r>
        <w:t xml:space="preserve">as being of OPI</w:t>
      </w:r>
      <w:r>
        <w:br/>
      </w:r>
      <w:r>
        <w:t xml:space="preserve">➢ Article 3a: Binding guidance on the assessment of alternatives to the projects and possibility</w:t>
      </w:r>
      <w:r>
        <w:t xml:space="preserve"> </w:t>
      </w:r>
      <w:r>
        <w:t xml:space="preserve">to advance with projects in parallel to introducing compensatory measures.</w:t>
      </w:r>
    </w:p>
    <w:p>
      <w:pPr>
        <w:pStyle w:val="BodyText"/>
      </w:pPr>
      <w:r>
        <w:t xml:space="preserve">Hydrogen projects</w:t>
      </w:r>
      <w:r>
        <w:t xml:space="preserve"> </w:t>
      </w:r>
      <w:r>
        <w:t xml:space="preserve">The baseline for permitting of hydrogen infrastructure permitting, the main baseline has been</w:t>
      </w:r>
      <w:r>
        <w:t xml:space="preserve"> </w:t>
      </w:r>
      <w:r>
        <w:t xml:space="preserve">established in Article 8 of the Gases Directive, but where assets fall under the scope of Article 15</w:t>
      </w:r>
      <w:r>
        <w:t xml:space="preserve"> </w:t>
      </w:r>
      <w:r>
        <w:t xml:space="preserve">and Articles 15b to 17 of the revised RED that regime shall apply.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• Article 8(5) of the Gases Directive establishes a 2-year maximum duration for</w:t>
      </w:r>
      <w:r>
        <w:t xml:space="preserve"> </w:t>
      </w:r>
      <w:r>
        <w:t xml:space="preserve">authorisation procedures183 for the construction or operation of hydrogen production</w:t>
      </w:r>
      <w:r>
        <w:t xml:space="preserve"> </w:t>
      </w:r>
      <w:r>
        <w:t xml:space="preserve">facilities and hydrogen infrastructure, including pipelines or associated equipment.</w:t>
      </w:r>
      <w:r>
        <w:t xml:space="preserve"> </w:t>
      </w:r>
      <w:r>
        <w:t xml:space="preserve">However, this does not include the time required for Environmental Impact Assessments</w:t>
      </w:r>
      <w:r>
        <w:t xml:space="preserve"> </w:t>
      </w:r>
      <w:r>
        <w:t xml:space="preserve">required under Directive 2011/92/EU.</w:t>
      </w:r>
      <w:r>
        <w:br/>
      </w:r>
      <w:r>
        <w:t xml:space="preserve">• Article 8(8) of the Gases Directive requires Member States to establish one or more</w:t>
      </w:r>
      <w:r>
        <w:t xml:space="preserve"> </w:t>
      </w:r>
      <w:r>
        <w:t xml:space="preserve">contact points that shall, upon request from an applicant, facilitate and guide the</w:t>
      </w:r>
      <w:r>
        <w:t xml:space="preserve"> </w:t>
      </w:r>
      <w:r>
        <w:t xml:space="preserve">applicants through the authorisation procedure, until a decision is rendered by the</w:t>
      </w:r>
      <w:r>
        <w:t xml:space="preserve"> </w:t>
      </w:r>
      <w:r>
        <w:t xml:space="preserve">responsible authorities. This authority shall act as a single point of contact, with the</w:t>
      </w:r>
      <w:r>
        <w:t xml:space="preserve"> </w:t>
      </w:r>
      <w:r>
        <w:t xml:space="preserve">applicant not being required to contact other contact points for the entire process.</w:t>
      </w:r>
      <w:r>
        <w:br/>
      </w:r>
      <w:r>
        <w:t xml:space="preserve">• Article 8(9) of the Gases Directive, requires Member States to ensure that authorisations</w:t>
      </w:r>
      <w:r>
        <w:t xml:space="preserve"> </w:t>
      </w:r>
      <w:r>
        <w:t xml:space="preserve">for the construction and operation of natural gas system infrastructure also apply to</w:t>
      </w:r>
      <w:r>
        <w:t xml:space="preserve"> </w:t>
      </w:r>
      <w:r>
        <w:t xml:space="preserve">hydrogen system infrastructure, to the extent they comply with technical safety rules.</w:t>
      </w:r>
      <w:r>
        <w:t xml:space="preserve"> </w:t>
      </w:r>
      <w:r>
        <w:t xml:space="preserve">Further, Article 8(10) provides that Member States shall ensure that existing land-use</w:t>
      </w:r>
      <w:r>
        <w:t xml:space="preserve"> </w:t>
      </w:r>
      <w:r>
        <w:t xml:space="preserve">rights for the construction and operation of natural gas pipelines and other network assets</w:t>
      </w:r>
      <w:r>
        <w:t xml:space="preserve"> </w:t>
      </w:r>
      <w:r>
        <w:t xml:space="preserve">is also applied to pipelines and other network assets for the transport of hydrogen.</w:t>
      </w:r>
      <w:r>
        <w:t xml:space="preserve"> </w:t>
      </w:r>
      <w:r>
        <w:t xml:space="preserve">Projects of common interest and projects of mutual interest</w:t>
      </w:r>
      <w:r>
        <w:t xml:space="preserve"> </w:t>
      </w:r>
      <w:r>
        <w:t xml:space="preserve">Projects of common and mutual interest benefit from a dedicated permitting regime under chapter</w:t>
      </w:r>
      <w:r>
        <w:t xml:space="preserve"> </w:t>
      </w:r>
      <w:r>
        <w:t xml:space="preserve">III of the TEN-E Regulation. This regime is flexible and leaves space for diverse implementation</w:t>
      </w:r>
      <w:r>
        <w:t xml:space="preserve"> </w:t>
      </w:r>
      <w:r>
        <w:t xml:space="preserve">by Member States depending on the pre-existing organisation of the national systems</w:t>
      </w:r>
      <w:r>
        <w:br/>
      </w:r>
      <w:r>
        <w:t xml:space="preserve">• Article 7 of the TEN-E Regulation requires PCIs and PMIs are considered as being</w:t>
      </w:r>
      <w:r>
        <w:t xml:space="preserve"> </w:t>
      </w:r>
      <w:r>
        <w:t xml:space="preserve">necessary from an energy and climate policy perspective and granted the status of the</w:t>
      </w:r>
      <w:r>
        <w:t xml:space="preserve"> </w:t>
      </w:r>
      <w:r>
        <w:t xml:space="preserve">highest national significance in any decisions issued in the permitting granting process.</w:t>
      </w:r>
      <w:r>
        <w:t xml:space="preserve"> </w:t>
      </w:r>
      <w:r>
        <w:t xml:space="preserve">In that sense project promoters and all authorities concerned are required to ensure that</w:t>
      </w:r>
      <w:r>
        <w:t xml:space="preserve"> </w:t>
      </w:r>
      <w:r>
        <w:t xml:space="preserve">permitting files are treated in the most rapid way possible in administrative and judicial</w:t>
      </w:r>
      <w:r>
        <w:t xml:space="preserve"> </w:t>
      </w:r>
      <w:r>
        <w:t xml:space="preserve">procedures.</w:t>
      </w:r>
      <w:r>
        <w:t xml:space="preserve"> </w:t>
      </w:r>
      <w:r>
        <w:t xml:space="preserve">• Article 8 of the TEN-E Regulation requires Member States to designate a single national</w:t>
      </w:r>
      <w:r>
        <w:t xml:space="preserve"> </w:t>
      </w:r>
      <w:r>
        <w:t xml:space="preserve">competent authority responsible for facilitating and coordinating the permit granting</w:t>
      </w:r>
      <w:r>
        <w:t xml:space="preserve"> </w:t>
      </w:r>
      <w:r>
        <w:t xml:space="preserve">process for PCIs and PMIs in line with the competences and responsibilities afforded to</w:t>
      </w:r>
      <w:r>
        <w:t xml:space="preserve"> </w:t>
      </w:r>
      <w:r>
        <w:t xml:space="preserve">them under the scheme selected by the Member State out of the options provided in the</w:t>
      </w:r>
      <w:r>
        <w:t xml:space="preserve"> </w:t>
      </w:r>
      <w:r>
        <w:t xml:space="preserve">Regulation:</w:t>
      </w:r>
      <w:r>
        <w:t xml:space="preserve"> </w:t>
      </w:r>
      <w:r>
        <w:t xml:space="preserve">o Integrated Scheme – Comprehensive permitting decision is issued by the national</w:t>
      </w:r>
      <w:r>
        <w:t xml:space="preserve"> </w:t>
      </w:r>
      <w:r>
        <w:t xml:space="preserve">competent authority and shall be the sole legally binding decision arising from the</w:t>
      </w:r>
      <w:r>
        <w:t xml:space="preserve"> </w:t>
      </w:r>
      <w:r>
        <w:t xml:space="preserve">permit granting procedure. Other authorities concerned may, in accordance with</w:t>
      </w:r>
      <w:r>
        <w:t xml:space="preserve"> </w:t>
      </w:r>
      <w:r>
        <w:t xml:space="preserve">national law, give their opinion as input to the procedure</w:t>
      </w:r>
      <w:r>
        <w:t xml:space="preserve"> </w:t>
      </w:r>
      <w:r>
        <w:t xml:space="preserve">o Coordinated Scheme – Comprehensive permitting decision comprised of multiple</w:t>
      </w:r>
      <w:r>
        <w:t xml:space="preserve"> </w:t>
      </w:r>
      <w:r>
        <w:t xml:space="preserve">individuals legally binding decisions issued by several authorities concerned,</w:t>
      </w:r>
      <w:r>
        <w:t xml:space="preserve"> </w:t>
      </w:r>
      <w:r>
        <w:t xml:space="preserve">which are coordinated by the national competent authority. National competent</w:t>
      </w:r>
      <w:r>
        <w:t xml:space="preserve"> </w:t>
      </w:r>
      <w:r>
        <w:t xml:space="preserve">authority may take decisions on behalf of other authorities concerned if it</w:t>
      </w:r>
      <w:r>
        <w:t xml:space="preserve"> </w:t>
      </w:r>
      <w:r>
        <w:t xml:space="preserve">considers that has either not decided in time limit or it considers that it is not</w:t>
      </w:r>
      <w:r>
        <w:t xml:space="preserve"> </w:t>
      </w:r>
      <w:r>
        <w:t xml:space="preserve">sufficiently substantiated.</w:t>
      </w:r>
      <w:r>
        <w:br/>
      </w:r>
      <w:r>
        <w:t xml:space="preserve">o Collaborative scheme – Comprehensive decision comprised of multiple</w:t>
      </w:r>
      <w:r>
        <w:t xml:space="preserve"> </w:t>
      </w:r>
      <w:r>
        <w:t xml:space="preserve">individual legally binding decisions issued by several authorities concerned.</w:t>
      </w:r>
    </w:p>
    <w:p>
      <w:pPr>
        <w:pStyle w:val="BodyText"/>
      </w:pPr>
      <w:r>
        <w:t xml:space="preserve">183 Be it a licence, permission, concession, consent or approval.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National competent authority coordinates the process, establishing time limit for</w:t>
      </w:r>
      <w:r>
        <w:t xml:space="preserve"> </w:t>
      </w:r>
      <w:r>
        <w:t xml:space="preserve">individual decisions of concerned in line with the time limits set by TEN-E, and</w:t>
      </w:r>
      <w:r>
        <w:t xml:space="preserve"> </w:t>
      </w:r>
      <w:r>
        <w:t xml:space="preserve">monitoring their conformity.</w:t>
      </w:r>
      <w:r>
        <w:br/>
      </w:r>
      <w:r>
        <w:t xml:space="preserve">• Article 9 of the TEN-E Regulation establishes the baseline in terms of public participation</w:t>
      </w:r>
      <w:r>
        <w:t xml:space="preserve"> </w:t>
      </w:r>
      <w:r>
        <w:t xml:space="preserve">during the permitting procedures, requiring early public consultation, before the project</w:t>
      </w:r>
      <w:r>
        <w:t xml:space="preserve"> </w:t>
      </w:r>
      <w:r>
        <w:t xml:space="preserve">promoter submits the final and complete application file to the national competent</w:t>
      </w:r>
      <w:r>
        <w:t xml:space="preserve"> </w:t>
      </w:r>
      <w:r>
        <w:t xml:space="preserve">authority. It requires that a report summarising the results of public participation activities</w:t>
      </w:r>
      <w:r>
        <w:t xml:space="preserve"> </w:t>
      </w:r>
      <w:r>
        <w:t xml:space="preserve">and a report explaining how the opinions expressed in the public consultations were</w:t>
      </w:r>
      <w:r>
        <w:t xml:space="preserve"> </w:t>
      </w:r>
      <w:r>
        <w:t xml:space="preserve">considered, are submitted alongside the application file.</w:t>
      </w:r>
      <w:r>
        <w:t xml:space="preserve"> </w:t>
      </w:r>
      <w:r>
        <w:t xml:space="preserve">• Article 10 of the TEN-E Regulation establishes rules on the dedicated permit granting</w:t>
      </w:r>
      <w:r>
        <w:t xml:space="preserve"> </w:t>
      </w:r>
      <w:r>
        <w:t xml:space="preserve">process and its duration, providing for:</w:t>
      </w:r>
      <w:r>
        <w:t xml:space="preserve"> </w:t>
      </w:r>
      <w:r>
        <w:t xml:space="preserve">o a flexible two steps approach, characterised by a pre-application phase and a</w:t>
      </w:r>
      <w:r>
        <w:t xml:space="preserve"> </w:t>
      </w:r>
      <w:r>
        <w:t xml:space="preserve">statutory permit granting phase, to be set in place for the permitting of PCIs and</w:t>
      </w:r>
      <w:r>
        <w:t xml:space="preserve"> </w:t>
      </w:r>
      <w:r>
        <w:t xml:space="preserve">PMIs.</w:t>
      </w:r>
      <w:r>
        <w:t xml:space="preserve"> </w:t>
      </w:r>
      <w:r>
        <w:t xml:space="preserve">o A maximum duration of 42 months for the procedure, which may be extended by</w:t>
      </w:r>
      <w:r>
        <w:t xml:space="preserve"> </w:t>
      </w:r>
      <w:r>
        <w:t xml:space="preserve">national competent authorities, on a case-by-case basis, in 9 months when the</w:t>
      </w:r>
      <w:r>
        <w:t xml:space="preserve"> </w:t>
      </w:r>
      <w:r>
        <w:t xml:space="preserve">procedure requires longer in exceptional circumstances.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ANNEX 7: IMPLEMENTATION REPORTS</w:t>
      </w:r>
      <w:r>
        <w:t xml:space="preserve"> </w:t>
      </w:r>
      <w:r>
        <w:t xml:space="preserve">I.</w:t>
      </w:r>
      <w:r>
        <w:t xml:space="preserve"> </w:t>
      </w:r>
      <w:r>
        <w:t xml:space="preserve">IMPLEMENTATION REPORT ON THE TRANS-EUROPEAN NETWORKS FOR ENERGY</w:t>
      </w:r>
      <w:r>
        <w:t xml:space="preserve"> </w:t>
      </w:r>
      <w:r>
        <w:t xml:space="preserve">REGULATION</w:t>
      </w:r>
      <w:r>
        <w:t xml:space="preserve"> </w:t>
      </w:r>
      <w:r>
        <w:t xml:space="preserve">The revised Regulation (EU/2022/869) on Trans-European Networks for Energy (TEN-E</w:t>
      </w:r>
      <w:r>
        <w:t xml:space="preserve"> </w:t>
      </w:r>
      <w:r>
        <w:t xml:space="preserve">Regulation)184 entered into force in June 2022. This revision aimed to fully align the scope of the</w:t>
      </w:r>
      <w:r>
        <w:t xml:space="preserve"> </w:t>
      </w:r>
      <w:r>
        <w:t xml:space="preserve">TEN-E Regulation with the European Green Deal, to make Europe a climate neutral continent</w:t>
      </w:r>
      <w:r>
        <w:t xml:space="preserve"> </w:t>
      </w:r>
      <w:r>
        <w:t xml:space="preserve">by 2050. Furthermore, in line with the evolution of the Union’s infrastructure needs and its</w:t>
      </w:r>
      <w:r>
        <w:t xml:space="preserve"> </w:t>
      </w:r>
      <w:r>
        <w:t xml:space="preserve">decarbonisation goals, sustainability became one of the essential requirements employed across</w:t>
      </w:r>
      <w:r>
        <w:t xml:space="preserve"> </w:t>
      </w:r>
      <w:r>
        <w:t xml:space="preserve">the selection of all priority infrastructure projects. The TEN-E Regulation lays down rules for the</w:t>
      </w:r>
      <w:r>
        <w:t xml:space="preserve"> </w:t>
      </w:r>
      <w:r>
        <w:t xml:space="preserve">timely development and interoperability of trans-European energy networks in order to achieve</w:t>
      </w:r>
      <w:r>
        <w:t xml:space="preserve"> </w:t>
      </w:r>
      <w:r>
        <w:t xml:space="preserve">the energy policy objectives of the Treaty on the Functioning of the European Union (TFEU) to</w:t>
      </w:r>
      <w:r>
        <w:t xml:space="preserve"> </w:t>
      </w:r>
      <w:r>
        <w:t xml:space="preserve">ensure the functioning of the internal energy market and security of supply in the Union, to</w:t>
      </w:r>
      <w:r>
        <w:t xml:space="preserve"> </w:t>
      </w:r>
      <w:r>
        <w:t xml:space="preserve">promote energy efficiency and energy saving and the development of new and renewable forms</w:t>
      </w:r>
      <w:r>
        <w:t xml:space="preserve"> </w:t>
      </w:r>
      <w:r>
        <w:t xml:space="preserve">of energy, and to promote the interconnection of energy networks.</w:t>
      </w:r>
      <w:r>
        <w:br/>
      </w:r>
      <w:r>
        <w:t xml:space="preserve">1. AIM OF THE REPORT AND RESEARCH METHOD</w:t>
      </w:r>
    </w:p>
    <w:p>
      <w:pPr>
        <w:pStyle w:val="BodyText"/>
      </w:pPr>
      <w:r>
        <w:t xml:space="preserve">The targeted amendment (revision) of the TEN-E Regulation under the European Grids Package,</w:t>
      </w:r>
      <w:r>
        <w:t xml:space="preserve"> </w:t>
      </w:r>
      <w:r>
        <w:t xml:space="preserve">as announced by the Action Plan for Affordable Energy185, aims to keep the above stated general</w:t>
      </w:r>
      <w:r>
        <w:t xml:space="preserve"> </w:t>
      </w:r>
      <w:r>
        <w:t xml:space="preserve">objectives of the TEN-E Regulation and ensure that greater efficiency is achieved when planning</w:t>
      </w:r>
      <w:r>
        <w:t xml:space="preserve"> </w:t>
      </w:r>
      <w:r>
        <w:t xml:space="preserve">and deploying energy infrastructure (electricity and hydrogen). To this end, the package aims to</w:t>
      </w:r>
      <w:r>
        <w:t xml:space="preserve"> </w:t>
      </w:r>
      <w:r>
        <w:t xml:space="preserve">strengthen certain elements linked to infrastructure categories and network planning, cost-benefit</w:t>
      </w:r>
      <w:r>
        <w:t xml:space="preserve"> </w:t>
      </w:r>
      <w:r>
        <w:t xml:space="preserve">sharing, permitting processes and infrastructure security and resilience. Given the targeted</w:t>
      </w:r>
      <w:r>
        <w:t xml:space="preserve"> </w:t>
      </w:r>
      <w:r>
        <w:t xml:space="preserve">character of this revision and how soon it takes place after the entry into force of the TEN-E</w:t>
      </w:r>
      <w:r>
        <w:t xml:space="preserve"> </w:t>
      </w:r>
      <w:r>
        <w:t xml:space="preserve">Regulation this “Implementation Report” focuses on the performance of the specific provisions</w:t>
      </w:r>
      <w:r>
        <w:t xml:space="preserve"> </w:t>
      </w:r>
      <w:r>
        <w:t xml:space="preserve">introduced and revised as part of the 2022 TEN-E Regulation revision. The Implementation Report</w:t>
      </w:r>
      <w:r>
        <w:t xml:space="preserve"> </w:t>
      </w:r>
      <w:r>
        <w:t xml:space="preserve">replaces a full evaluation which would only be expected as part of the review of the TEN-E</w:t>
      </w:r>
      <w:r>
        <w:t xml:space="preserve"> </w:t>
      </w:r>
      <w:r>
        <w:t xml:space="preserve">Regulation due in 2027186. An evaluation was previously conducted between January 2019 and</w:t>
      </w:r>
      <w:r>
        <w:t xml:space="preserve"> </w:t>
      </w:r>
      <w:r>
        <w:t xml:space="preserve">September 2020, in context of the 2022 TEN-E Regulation revision.187</w:t>
      </w:r>
    </w:p>
    <w:p>
      <w:pPr>
        <w:pStyle w:val="BodyText"/>
      </w:pPr>
      <w:r>
        <w:t xml:space="preserve">184 Regulation (EU) 2022/869 to the European Parliament and the Council of 30 May 2022 on guidelines for trans-</w:t>
      </w:r>
      <w:r>
        <w:t xml:space="preserve"> </w:t>
      </w:r>
      <w:r>
        <w:t xml:space="preserve">European energy infrastructure, amending Regulations (EC) No 715/2009, (EU) 2019/942 and (EU) 2019/943 and</w:t>
      </w:r>
      <w:r>
        <w:t xml:space="preserve"> </w:t>
      </w:r>
      <w:r>
        <w:t xml:space="preserve">Directives 2009/73/EC and (EU) 2019/944, and repealing Regulation (EU) No 347/2013; OJ L 152, 3.6.2022, p. 45)</w:t>
      </w:r>
      <w:r>
        <w:t xml:space="preserve"> </w:t>
      </w:r>
      <w:r>
        <w:t xml:space="preserve">June 2022. Available here: Regulation - 2022/869 - EN - EUR-Lex</w:t>
      </w:r>
      <w:r>
        <w:t xml:space="preserve"> </w:t>
      </w:r>
      <w:r>
        <w:t xml:space="preserve">185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Regions: Action Plan for Affordable Energy: Unlocking the true value</w:t>
      </w:r>
      <w:r>
        <w:t xml:space="preserve"> </w:t>
      </w:r>
      <w:r>
        <w:t xml:space="preserve">of our Energy Union to secure affordable, efficient and clean energy for all Europeans. COM/2025/79 final</w:t>
      </w:r>
      <w:r>
        <w:t xml:space="preserve"> </w:t>
      </w:r>
      <w:r>
        <w:t xml:space="preserve">186 See Article 22 of the TEN-E Regulation.</w:t>
      </w:r>
      <w:r>
        <w:t xml:space="preserve"> </w:t>
      </w:r>
      <w:r>
        <w:t xml:space="preserve">187 European Commission: Directorate-General for Energy, ECORYS, Ramboll, REKK, Shepherd and Wedderburn,</w:t>
      </w:r>
      <w:r>
        <w:t xml:space="preserve"> </w:t>
      </w:r>
      <w:r>
        <w:t xml:space="preserve">Akkermans, F., Le Den, X., Heidecke, L., Jansen, L., Juárez, V., Kácsor, E., Mezősi, A., Nigohosyan, D., Nguyen,</w:t>
      </w:r>
      <w:r>
        <w:t xml:space="preserve"> </w:t>
      </w:r>
      <w:r>
        <w:t xml:space="preserve">N., Rodger, S., Selei, A., Takácsné Tóth, B., Møller Thomsen, S., Til, H. v.Yagafarova, A., Support to the evaluation</w:t>
      </w:r>
      <w:r>
        <w:t xml:space="preserve"> </w:t>
      </w:r>
      <w:r>
        <w:t xml:space="preserve">of Regulation (EU) No 347/2013 on guidelines for trans-European energy infrastructure – Final report, Publications</w:t>
      </w:r>
      <w:r>
        <w:t xml:space="preserve"> </w:t>
      </w:r>
      <w:r>
        <w:t xml:space="preserve">Office, 2021, https://data.europa.eu/doi/10.2833/154438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The report, to the extent possible, addresses the effectiveness, efficiency and coherence of the</w:t>
      </w:r>
      <w:r>
        <w:t xml:space="preserve"> </w:t>
      </w:r>
      <w:r>
        <w:t xml:space="preserve">TEN-E framework as in force since 2022, as well as its EU added value and relevance. The report</w:t>
      </w:r>
      <w:r>
        <w:t xml:space="preserve"> </w:t>
      </w:r>
      <w:r>
        <w:t xml:space="preserve">provides an overview of the main outputs linked to the implementation of the new framework per</w:t>
      </w:r>
      <w:r>
        <w:t xml:space="preserve"> </w:t>
      </w:r>
      <w:r>
        <w:t xml:space="preserve">topic. Specifically, it assesses the extent to which these elements achieved the stated objectives of</w:t>
      </w:r>
      <w:r>
        <w:t xml:space="preserve"> </w:t>
      </w:r>
      <w:r>
        <w:t xml:space="preserve">the framework, including their contribution to the European Green Deal and to reaching climate</w:t>
      </w:r>
      <w:r>
        <w:t xml:space="preserve"> </w:t>
      </w:r>
      <w:r>
        <w:t xml:space="preserve">neutrality by 2050.</w:t>
      </w:r>
      <w:r>
        <w:br/>
      </w:r>
      <w:r>
        <w:t xml:space="preserve">A desk-based legal and policy analysis has been conducted for the preparation of this</w:t>
      </w:r>
      <w:r>
        <w:t xml:space="preserve"> </w:t>
      </w:r>
      <w:r>
        <w:t xml:space="preserve">Implementation Report. The Commission carried out this analysis using different information</w:t>
      </w:r>
      <w:r>
        <w:t xml:space="preserve"> </w:t>
      </w:r>
      <w:r>
        <w:t xml:space="preserve">channels. In addition to the relevant legislative documents, the primary source of information was</w:t>
      </w:r>
      <w:r>
        <w:t xml:space="preserve"> </w:t>
      </w:r>
      <w:r>
        <w:t xml:space="preserve">the Commission’s experience in the implementation of the TEN-E Regulation, including the</w:t>
      </w:r>
      <w:r>
        <w:t xml:space="preserve"> </w:t>
      </w:r>
      <w:r>
        <w:t xml:space="preserve">assessment process for the selection of projects of common interest (PCI) and projects of mutual</w:t>
      </w:r>
      <w:r>
        <w:t xml:space="preserve"> </w:t>
      </w:r>
      <w:r>
        <w:t xml:space="preserve">interest (PMI), as well as the assessment and inclusion of energy infrastructure projects in the</w:t>
      </w:r>
      <w:r>
        <w:t xml:space="preserve"> </w:t>
      </w:r>
      <w:r>
        <w:t xml:space="preserve">relevant Ten-Year Network Development Plan (TYNDP). It also considers Member States’ and</w:t>
      </w:r>
      <w:r>
        <w:t xml:space="preserve"> </w:t>
      </w:r>
      <w:r>
        <w:t xml:space="preserve">stakeholders experiences of implementing the provisions related to permitting introduced by the</w:t>
      </w:r>
      <w:r>
        <w:t xml:space="preserve"> </w:t>
      </w:r>
      <w:r>
        <w:t xml:space="preserve">TEN-E Regulation, collected through a dedicated study as well as information collected in a draft</w:t>
      </w:r>
      <w:r>
        <w:t xml:space="preserve"> </w:t>
      </w:r>
      <w:r>
        <w:t xml:space="preserve">interim report for the support study for the assessment of the framework on European Grids.</w:t>
      </w:r>
      <w:r>
        <w:t xml:space="preserve"> </w:t>
      </w:r>
      <w:r>
        <w:t xml:space="preserve">2. ANALYSIS</w:t>
      </w:r>
    </w:p>
    <w:p>
      <w:pPr>
        <w:pStyle w:val="BodyText"/>
      </w:pPr>
      <w:r>
        <w:t xml:space="preserve">Update and Introduction of New Infrastructure Categories</w:t>
      </w:r>
    </w:p>
    <w:p>
      <w:pPr>
        <w:pStyle w:val="BodyText"/>
      </w:pPr>
      <w:r>
        <w:t xml:space="preserve">The 2022 revision of the TEN-E Regulation introduced a number of important policy changes,</w:t>
      </w:r>
      <w:r>
        <w:t xml:space="preserve"> </w:t>
      </w:r>
      <w:r>
        <w:t xml:space="preserve">primarily reflected in the introduction of I) new and updated energy infrastructure categories</w:t>
      </w:r>
      <w:r>
        <w:t xml:space="preserve"> </w:t>
      </w:r>
      <w:r>
        <w:t xml:space="preserve">and II) a reconfiguration of priority corridors and areas. Projects with third countries, or PMIs,</w:t>
      </w:r>
      <w:r>
        <w:t xml:space="preserve"> </w:t>
      </w:r>
      <w:r>
        <w:t xml:space="preserve">were included in the scope of the TEN-E Regulation. The eligibility for the status of PCI and PMI</w:t>
      </w:r>
      <w:r>
        <w:t xml:space="preserve"> </w:t>
      </w:r>
      <w:r>
        <w:t xml:space="preserve">was brought in line with the European Green Deal. The 2022 TEN-E Regulation revision</w:t>
      </w:r>
      <w:r>
        <w:t xml:space="preserve"> </w:t>
      </w:r>
      <w:r>
        <w:t xml:space="preserve">presented a paradigm shift away from fossil fuels, with natural gas infrastructure and oil pipelines</w:t>
      </w:r>
      <w:r>
        <w:t xml:space="preserve"> </w:t>
      </w:r>
      <w:r>
        <w:t xml:space="preserve">removed as infrastructure categories eligible for priority status. New categories including</w:t>
      </w:r>
      <w:r>
        <w:t xml:space="preserve"> </w:t>
      </w:r>
      <w:r>
        <w:t xml:space="preserve">hydrogen infrastructure, electrolysers and smart gas grids were added to the scope of the TEN-E</w:t>
      </w:r>
      <w:r>
        <w:t xml:space="preserve"> </w:t>
      </w:r>
      <w:r>
        <w:t xml:space="preserve">Regulation, as per revised Article 4(3) and Annex II.</w:t>
      </w:r>
      <w:r>
        <w:t xml:space="preserve"> </w:t>
      </w:r>
      <w:r>
        <w:t xml:space="preserve">The 2022 revision also saw an update of the existing categories. The electricity infrastructure</w:t>
      </w:r>
      <w:r>
        <w:t xml:space="preserve"> </w:t>
      </w:r>
      <w:r>
        <w:t xml:space="preserve">category was extended to offshore projects, both hybrids and radials. The carbon dioxide</w:t>
      </w:r>
      <w:r>
        <w:t xml:space="preserve"> </w:t>
      </w:r>
      <w:r>
        <w:t xml:space="preserve">infrastructure category was expanded to allow for surface and injection facilities associated with</w:t>
      </w:r>
      <w:r>
        <w:t xml:space="preserve"> </w:t>
      </w:r>
      <w:r>
        <w:t xml:space="preserve">permanent storage. The scope of the smart electricity grids infrastructure category was expanded</w:t>
      </w:r>
      <w:r>
        <w:t xml:space="preserve"> </w:t>
      </w:r>
      <w:r>
        <w:t xml:space="preserve">(and criteria streamlined) to encourage development of more projects. Among the more substantial</w:t>
      </w:r>
      <w:r>
        <w:t xml:space="preserve"> </w:t>
      </w:r>
      <w:r>
        <w:t xml:space="preserve">changes, its scope was expanded to investments in islands and island systems aimed to decrease</w:t>
      </w:r>
      <w:r>
        <w:t xml:space="preserve"> </w:t>
      </w:r>
      <w:r>
        <w:t xml:space="preserve">their energy isolation, as well as to the projects which do not involve a physical common border.</w:t>
      </w:r>
      <w:r>
        <w:t xml:space="preserve"> </w:t>
      </w:r>
      <w:r>
        <w:t xml:space="preserve">Moreover, it created further possibilities for grid operators to propose projects188.</w:t>
      </w:r>
      <w:r>
        <w:br/>
      </w:r>
      <w:r>
        <w:t xml:space="preserve">The revised TEN-E Regulation strengthened sustainability, in terms of the integration of</w:t>
      </w:r>
      <w:r>
        <w:t xml:space="preserve"> </w:t>
      </w:r>
      <w:r>
        <w:t xml:space="preserve">renewable energy sources into the energy networks and the reduction of greenhouse gas emissions,</w:t>
      </w:r>
      <w:r>
        <w:t xml:space="preserve"> </w:t>
      </w:r>
      <w:r>
        <w:t xml:space="preserve">as an overarching specific criterion to be used in the selection of priority infrastructure projects in</w:t>
      </w:r>
    </w:p>
    <w:p>
      <w:pPr>
        <w:pStyle w:val="BodyText"/>
      </w:pPr>
      <w:r>
        <w:t xml:space="preserve">188 Under the TEN-E Regulation, this includes TSOs, TSOs and DSOs, or DSOs from at least two Member States</w:t>
      </w:r>
      <w:r>
        <w:t xml:space="preserve"> </w:t>
      </w:r>
      <w:r>
        <w:t xml:space="preserve">under certain conditions. Under the previous Regulation (EU/347/2013), these needed to be TSOs and DSOs from at</w:t>
      </w:r>
      <w:r>
        <w:t xml:space="preserve"> </w:t>
      </w:r>
      <w:r>
        <w:t xml:space="preserve">least two Member States.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all categories. This made the implementation of the sustainability criterion much stricter compared</w:t>
      </w:r>
      <w:r>
        <w:t xml:space="preserve"> </w:t>
      </w:r>
      <w:r>
        <w:t xml:space="preserve">to the previous Regulation (EU/347/2013), where sustainability was not a mandatory criterion.</w:t>
      </w:r>
      <w:r>
        <w:t xml:space="preserve"> </w:t>
      </w:r>
      <w:r>
        <w:t xml:space="preserve">The first list of PCIs and PMIs, fully in line with the European Green Deal, entered into force in</w:t>
      </w:r>
      <w:r>
        <w:t xml:space="preserve"> </w:t>
      </w:r>
      <w:r>
        <w:t xml:space="preserve">April 2024. This was also the first list in which all the selected projects were required to</w:t>
      </w:r>
      <w:r>
        <w:t xml:space="preserve"> </w:t>
      </w:r>
      <w:r>
        <w:t xml:space="preserve">demonstrate fulfilment of the criteria of significant contribution to sustainability. Out of 301</w:t>
      </w:r>
      <w:r>
        <w:t xml:space="preserve"> </w:t>
      </w:r>
      <w:r>
        <w:t xml:space="preserve">candidate projects, 166 were selected as PCIs and PMIs. Over half (85) were electricity, offshore</w:t>
      </w:r>
      <w:r>
        <w:t xml:space="preserve"> </w:t>
      </w:r>
      <w:r>
        <w:t xml:space="preserve">and smart electricity grid projects. For the first time, hydrogen and electrolyser projects (65) were</w:t>
      </w:r>
      <w:r>
        <w:t xml:space="preserve"> </w:t>
      </w:r>
      <w:r>
        <w:t xml:space="preserve">included. The first PCI/PMI list also included 14 CO2 network projects, with the goal to create a</w:t>
      </w:r>
      <w:r>
        <w:t xml:space="preserve"> </w:t>
      </w:r>
      <w:r>
        <w:t xml:space="preserve">market for carbon capture and storage. No smart gas grid projects were included on the list. A</w:t>
      </w:r>
      <w:r>
        <w:t xml:space="preserve"> </w:t>
      </w:r>
      <w:r>
        <w:t xml:space="preserve">call for application to project promoters to submit their projects was again opened in September</w:t>
      </w:r>
      <w:r>
        <w:t xml:space="preserve"> </w:t>
      </w:r>
      <w:r>
        <w:t xml:space="preserve">2024, initiating the second PCI/PMI process under the revised Regulation. In total, 340 candidate</w:t>
      </w:r>
      <w:r>
        <w:t xml:space="preserve"> </w:t>
      </w:r>
      <w:r>
        <w:t xml:space="preserve">projects were submitted. Following the meeting in June 2025 of the decision-making body</w:t>
      </w:r>
      <w:r>
        <w:t xml:space="preserve"> </w:t>
      </w:r>
      <w:r>
        <w:t xml:space="preserve">composed of Member States representatives at technical level, in July 2025, a draft second</w:t>
      </w:r>
      <w:r>
        <w:t xml:space="preserve"> </w:t>
      </w:r>
      <w:r>
        <w:t xml:space="preserve">PCI/PMI list was sent to Agency for the Cooperation of Energy Regulators (ACER) for its opinion.</w:t>
      </w:r>
      <w:r>
        <w:t xml:space="preserve"> </w:t>
      </w:r>
      <w:r>
        <w:t xml:space="preserve">In line with the TEN-E Regulation, the adoption of the final list is planned for November 2025.</w:t>
      </w:r>
      <w:r>
        <w:t xml:space="preserve"> </w:t>
      </w:r>
      <w:r>
        <w:t xml:space="preserve">Additional information pertaining to the number of candidate and selected projects, per</w:t>
      </w:r>
      <w:r>
        <w:t xml:space="preserve"> </w:t>
      </w:r>
      <w:r>
        <w:t xml:space="preserve">infrastructure category is presented in dedicated sections from 1.1 – 1.3.</w:t>
      </w:r>
      <w:r>
        <w:t xml:space="preserve"> </w:t>
      </w:r>
      <w:r>
        <w:t xml:space="preserve">Table 11: Number of selected projects per infrastructure category on the Union lists</w:t>
      </w:r>
      <w:r>
        <w:br/>
      </w:r>
      <w:r>
        <w:t xml:space="preserve">Infrastructure</w:t>
      </w:r>
      <w:r>
        <w:t xml:space="preserve"> </w:t>
      </w:r>
      <w:r>
        <w:t xml:space="preserve">category</w:t>
      </w:r>
      <w:r>
        <w:t xml:space="preserve"> </w:t>
      </w:r>
      <w:r>
        <w:t xml:space="preserve">Fifth PCI list</w:t>
      </w:r>
      <w:r>
        <w:t xml:space="preserve"> </w:t>
      </w:r>
      <w:r>
        <w:t xml:space="preserve">Per repealed Regulation</w:t>
      </w:r>
      <w:r>
        <w:t xml:space="preserve"> </w:t>
      </w:r>
      <w:r>
        <w:t xml:space="preserve">(EU) 347/2013</w:t>
      </w:r>
      <w:r>
        <w:t xml:space="preserve"> </w:t>
      </w:r>
      <w:r>
        <w:t xml:space="preserve">First PCI/PMI list</w:t>
      </w:r>
      <w:r>
        <w:t xml:space="preserve"> </w:t>
      </w:r>
      <w:r>
        <w:t xml:space="preserve">Draft</w:t>
      </w:r>
      <w:r>
        <w:t xml:space="preserve"> </w:t>
      </w:r>
      <w:r>
        <w:t xml:space="preserve">Second</w:t>
      </w:r>
      <w:r>
        <w:t xml:space="preserve"> </w:t>
      </w:r>
      <w:r>
        <w:t xml:space="preserve">PCI/PMI list</w:t>
      </w:r>
      <w:r>
        <w:t xml:space="preserve"> </w:t>
      </w:r>
      <w:r>
        <w:t xml:space="preserve">Per TEN-E Regulation</w:t>
      </w:r>
      <w:r>
        <w:t xml:space="preserve"> </w:t>
      </w:r>
      <w:r>
        <w:t xml:space="preserve">Electricity</w:t>
      </w:r>
      <w:r>
        <w:t xml:space="preserve"> </w:t>
      </w:r>
      <w:r>
        <w:t xml:space="preserve">67</w:t>
      </w:r>
      <w:r>
        <w:t xml:space="preserve"> </w:t>
      </w:r>
      <w:r>
        <w:t xml:space="preserve">80</w:t>
      </w:r>
      <w:r>
        <w:t xml:space="preserve"> </w:t>
      </w:r>
      <w:r>
        <w:t xml:space="preserve">(including</w:t>
      </w:r>
      <w:r>
        <w:t xml:space="preserve"> </w:t>
      </w:r>
      <w:r>
        <w:t xml:space="preserve">12</w:t>
      </w:r>
      <w:r>
        <w:t xml:space="preserve"> </w:t>
      </w:r>
      <w:r>
        <w:t xml:space="preserve">energy storage and 12</w:t>
      </w:r>
      <w:r>
        <w:t xml:space="preserve"> </w:t>
      </w:r>
      <w:r>
        <w:t xml:space="preserve">offshore projects)</w:t>
      </w:r>
      <w:r>
        <w:t xml:space="preserve"> </w:t>
      </w:r>
      <w:r>
        <w:t xml:space="preserve">94</w:t>
      </w:r>
      <w:r>
        <w:t xml:space="preserve"> </w:t>
      </w:r>
      <w:r>
        <w:t xml:space="preserve">(including</w:t>
      </w:r>
      <w:r>
        <w:t xml:space="preserve"> </w:t>
      </w:r>
      <w:r>
        <w:t xml:space="preserve">22</w:t>
      </w:r>
      <w:r>
        <w:t xml:space="preserve"> </w:t>
      </w:r>
      <w:r>
        <w:t xml:space="preserve">energy storage and 19</w:t>
      </w:r>
      <w:r>
        <w:t xml:space="preserve"> </w:t>
      </w:r>
      <w:r>
        <w:t xml:space="preserve">offshore projects)</w:t>
      </w:r>
      <w:r>
        <w:t xml:space="preserve"> </w:t>
      </w:r>
      <w:r>
        <w:t xml:space="preserve">Smart electricity</w:t>
      </w:r>
      <w:r>
        <w:t xml:space="preserve"> </w:t>
      </w:r>
      <w:r>
        <w:t xml:space="preserve">grid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Gas</w:t>
      </w:r>
      <w:r>
        <w:t xml:space="preserve"> </w:t>
      </w:r>
      <w:r>
        <w:t xml:space="preserve">20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Hydrogen</w:t>
      </w:r>
      <w:r>
        <w:t xml:space="preserve"> </w:t>
      </w:r>
      <w:r>
        <w:t xml:space="preserve">/</w:t>
      </w:r>
      <w:r>
        <w:t xml:space="preserve"> </w:t>
      </w:r>
      <w:r>
        <w:t xml:space="preserve">48</w:t>
      </w:r>
      <w:r>
        <w:t xml:space="preserve"> </w:t>
      </w:r>
      <w:r>
        <w:t xml:space="preserve">(including</w:t>
      </w:r>
      <w:r>
        <w:t xml:space="preserve"> </w:t>
      </w:r>
      <w:r>
        <w:t xml:space="preserve">10</w:t>
      </w:r>
      <w:r>
        <w:t xml:space="preserve"> </w:t>
      </w:r>
      <w:r>
        <w:t xml:space="preserve">reception</w:t>
      </w:r>
      <w:r>
        <w:t xml:space="preserve"> </w:t>
      </w:r>
      <w:r>
        <w:t xml:space="preserve">and</w:t>
      </w:r>
      <w:r>
        <w:t xml:space="preserve"> </w:t>
      </w:r>
      <w:r>
        <w:t xml:space="preserve">7</w:t>
      </w:r>
      <w:r>
        <w:t xml:space="preserve"> </w:t>
      </w:r>
      <w:r>
        <w:t xml:space="preserve">storage facilities)</w:t>
      </w:r>
      <w:r>
        <w:t xml:space="preserve"> </w:t>
      </w:r>
      <w:r>
        <w:t xml:space="preserve">85</w:t>
      </w:r>
      <w:r>
        <w:t xml:space="preserve"> </w:t>
      </w:r>
      <w:r>
        <w:t xml:space="preserve">(including</w:t>
      </w:r>
      <w:r>
        <w:t xml:space="preserve"> </w:t>
      </w:r>
      <w:r>
        <w:t xml:space="preserve">9</w:t>
      </w:r>
      <w:r>
        <w:t xml:space="preserve"> </w:t>
      </w:r>
      <w:r>
        <w:t xml:space="preserve">reception</w:t>
      </w:r>
      <w:r>
        <w:t xml:space="preserve"> </w:t>
      </w:r>
      <w:r>
        <w:t xml:space="preserve">and</w:t>
      </w:r>
      <w:r>
        <w:t xml:space="preserve"> </w:t>
      </w:r>
      <w:r>
        <w:t xml:space="preserve">19</w:t>
      </w:r>
      <w:r>
        <w:t xml:space="preserve"> </w:t>
      </w:r>
      <w:r>
        <w:t xml:space="preserve">storage facilities)</w:t>
      </w:r>
      <w:r>
        <w:t xml:space="preserve"> </w:t>
      </w:r>
      <w:r>
        <w:t xml:space="preserve">Electrolysers</w:t>
      </w:r>
      <w:r>
        <w:t xml:space="preserve"> </w:t>
      </w:r>
      <w:r>
        <w:t xml:space="preserve">/</w:t>
      </w:r>
      <w:r>
        <w:t xml:space="preserve"> </w:t>
      </w:r>
      <w:r>
        <w:t xml:space="preserve">17</w:t>
      </w:r>
      <w:r>
        <w:t xml:space="preserve"> </w:t>
      </w:r>
      <w:r>
        <w:t xml:space="preserve">25</w:t>
      </w:r>
      <w:r>
        <w:t xml:space="preserve"> </w:t>
      </w:r>
      <w:r>
        <w:t xml:space="preserve">Smart gas grids</w:t>
      </w:r>
      <w:r>
        <w:t xml:space="preserve"> </w:t>
      </w:r>
      <w:r>
        <w:t xml:space="preserve">/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Oil</w:t>
      </w:r>
      <w:r>
        <w:t xml:space="preserve"> </w:t>
      </w:r>
      <w:r>
        <w:t xml:space="preserve">0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  <w:r>
        <w:t xml:space="preserve"> </w:t>
      </w:r>
      <w:r>
        <w:t xml:space="preserve">Carbon dioxide</w:t>
      </w:r>
      <w:r>
        <w:t xml:space="preserve"> </w:t>
      </w:r>
      <w:r>
        <w:t xml:space="preserve">6</w:t>
      </w:r>
      <w:r>
        <w:t xml:space="preserve"> </w:t>
      </w:r>
      <w:r>
        <w:t xml:space="preserve">14</w:t>
      </w:r>
      <w:r>
        <w:t xml:space="preserve"> </w:t>
      </w:r>
      <w:r>
        <w:t xml:space="preserve">17</w:t>
      </w:r>
      <w:r>
        <w:t xml:space="preserve"> </w:t>
      </w:r>
      <w:r>
        <w:t xml:space="preserve">Note: Number of projects was influenced by the changes and updates to infrastructure categories in the TEN-E</w:t>
      </w:r>
      <w:r>
        <w:t xml:space="preserve"> </w:t>
      </w:r>
      <w:r>
        <w:t xml:space="preserve">Regulation, as well as the introduction of PMIs in addition to PCIs.</w:t>
      </w:r>
      <w:r>
        <w:br/>
      </w:r>
      <w:r>
        <w:t xml:space="preserve">Source: European Commission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The TEN-E Regulation identifies energy infrastructure priorities, based on strategic geographical</w:t>
      </w:r>
      <w:r>
        <w:t xml:space="preserve"> </w:t>
      </w:r>
      <w:r>
        <w:t xml:space="preserve">priority corridors (11) and Union-wide priority areas (3). These were reconfigured as part of the</w:t>
      </w:r>
      <w:r>
        <w:t xml:space="preserve"> </w:t>
      </w:r>
      <w:r>
        <w:t xml:space="preserve">2022 TEN-E Regulation revision and are further discussed in section 5.</w:t>
      </w:r>
    </w:p>
    <w:p>
      <w:pPr>
        <w:pStyle w:val="BodyText"/>
      </w:pPr>
      <w:r>
        <w:t xml:space="preserve">2.2 Electricity and Smart Electricity Grids Infrastructure Categories</w:t>
      </w:r>
      <w:r>
        <w:t xml:space="preserve"> </w:t>
      </w:r>
      <w:r>
        <w:t xml:space="preserve">In the first PCI/PMI list which entered into force in April 2024, 80 electricity189 and 5 smart</w:t>
      </w:r>
      <w:r>
        <w:t xml:space="preserve"> </w:t>
      </w:r>
      <w:r>
        <w:t xml:space="preserve">electricity grids projects were selected as PCI/PMIs, following 93 and 6 project candidate</w:t>
      </w:r>
      <w:r>
        <w:t xml:space="preserve"> </w:t>
      </w:r>
      <w:r>
        <w:t xml:space="preserve">applications, respectively. The number of candidate projects in the second PCI/PMI process</w:t>
      </w:r>
      <w:r>
        <w:t xml:space="preserve"> </w:t>
      </w:r>
      <w:r>
        <w:t xml:space="preserve">remained the same for smart electricity grids (6), while for electricity grids it increased to 114.</w:t>
      </w:r>
      <w:r>
        <w:t xml:space="preserve"> </w:t>
      </w:r>
      <w:r>
        <w:t xml:space="preserve">Electricity grid candidate projects included 46 interconnection projects, 14 internal lines190, 30</w:t>
      </w:r>
      <w:r>
        <w:t xml:space="preserve"> </w:t>
      </w:r>
      <w:r>
        <w:t xml:space="preserve">electricity storage and 24 offshore projects.</w:t>
      </w:r>
      <w:r>
        <w:br/>
      </w:r>
      <w:r>
        <w:t xml:space="preserve">The number of projects included in the second draft PCI/PMI list is 94 for electricity and 6 for</w:t>
      </w:r>
      <w:r>
        <w:t xml:space="preserve"> </w:t>
      </w:r>
      <w:r>
        <w:t xml:space="preserve">smart electricity grids. The offshore electricity infrastructure related provisions and their</w:t>
      </w:r>
      <w:r>
        <w:t xml:space="preserve"> </w:t>
      </w:r>
      <w:r>
        <w:t xml:space="preserve">implementation is discussed in the dedicated chapter 4.</w:t>
      </w:r>
      <w:r>
        <w:t xml:space="preserve"> </w:t>
      </w:r>
      <w:r>
        <w:t xml:space="preserve">2.3 Hydrogen, Electrolyser and Smart Gas Grid Infrastructure Categories</w:t>
      </w:r>
    </w:p>
    <w:p>
      <w:pPr>
        <w:pStyle w:val="BodyText"/>
      </w:pPr>
      <w:r>
        <w:t xml:space="preserve">In the first PCI/PMI list which entered into force in April 2024, 65 hydrogen and electrolyser PCI</w:t>
      </w:r>
      <w:r>
        <w:t xml:space="preserve"> </w:t>
      </w:r>
      <w:r>
        <w:t xml:space="preserve">and PMI projects were selected, following 180 project candidate applications. The number of</w:t>
      </w:r>
      <w:r>
        <w:t xml:space="preserve"> </w:t>
      </w:r>
      <w:r>
        <w:t xml:space="preserve">candidate projects increased to 199 in the second PCI/PMI process launched in September 2024.</w:t>
      </w:r>
      <w:r>
        <w:t xml:space="preserve"> </w:t>
      </w:r>
      <w:r>
        <w:t xml:space="preserve">The number of projects included in the draft second PCI/PMI list is 105. The distribution of</w:t>
      </w:r>
      <w:r>
        <w:t xml:space="preserve"> </w:t>
      </w:r>
      <w:r>
        <w:t xml:space="preserve">projects per hydrogen infrastructure category or electrolyser is presented in Figure 11.</w:t>
      </w:r>
      <w:r>
        <w:br/>
      </w:r>
      <w:r>
        <w:t xml:space="preserve">In the first and second PCI/PMI processes, 19 out of 25 and 25 out of 68 submitted projects,</w:t>
      </w:r>
      <w:r>
        <w:t xml:space="preserve"> </w:t>
      </w:r>
      <w:r>
        <w:t xml:space="preserve">respectively, had a capacity of more than 500 MW, reflecting a trend toward larger-scale</w:t>
      </w:r>
      <w:r>
        <w:t xml:space="preserve"> </w:t>
      </w:r>
      <w:r>
        <w:t xml:space="preserve">developments. However, the majority of these —43 out of 68 in the second round— were focused</w:t>
      </w:r>
      <w:r>
        <w:t xml:space="preserve"> </w:t>
      </w:r>
      <w:r>
        <w:t xml:space="preserve">on serving local demand without a cross-border dimension.</w:t>
      </w:r>
    </w:p>
    <w:p>
      <w:pPr>
        <w:pStyle w:val="BodyText"/>
      </w:pPr>
      <w:r>
        <w:t xml:space="preserve">189 The infrastructure category includes offshore electricity projects, which covered in a dedicated section.</w:t>
      </w:r>
      <w:r>
        <w:t xml:space="preserve"> </w:t>
      </w:r>
      <w:r>
        <w:t xml:space="preserve">190 Internal lines account for 23% of candidate electricity projects (when excluding offshore and storage electricity</w:t>
      </w:r>
      <w:r>
        <w:t xml:space="preserve"> </w:t>
      </w:r>
      <w:r>
        <w:t xml:space="preserve">projects).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Figure 11: Distribution of projects, per Hydrogen infrastructure and Electrolyser</w:t>
      </w:r>
      <w:r>
        <w:t xml:space="preserve"> </w:t>
      </w:r>
      <w:r>
        <w:t xml:space="preserve">categories, as included in the draft191 second PCI/PMI list based on infrastructure type</w:t>
      </w:r>
    </w:p>
    <w:p>
      <w:pPr>
        <w:pStyle w:val="BodyText"/>
      </w:pPr>
      <w:r>
        <w:t xml:space="preserve">Source: European Commission</w:t>
      </w:r>
      <w:r>
        <w:t xml:space="preserve"> </w:t>
      </w:r>
      <w:r>
        <w:t xml:space="preserve">Smart gas grids was introduced as a new infrastructure category in the revision of the TEN-E</w:t>
      </w:r>
      <w:r>
        <w:t xml:space="preserve"> </w:t>
      </w:r>
      <w:r>
        <w:t xml:space="preserve">Regulation, with the intention to support investments smartening the gas grids so as to allow the</w:t>
      </w:r>
      <w:r>
        <w:t xml:space="preserve"> </w:t>
      </w:r>
      <w:r>
        <w:t xml:space="preserve">integration of a plurality of low-carbon and particularly renewable gases such as biogas,</w:t>
      </w:r>
      <w:r>
        <w:t xml:space="preserve"> </w:t>
      </w:r>
      <w:r>
        <w:t xml:space="preserve">biomethane, and hydrogen, in the gas network and help manage a resulting more complex system,</w:t>
      </w:r>
      <w:r>
        <w:t xml:space="preserve"> </w:t>
      </w:r>
      <w:r>
        <w:t xml:space="preserve">building on innovative digital technologies. However, PCI applications were very limited. In the</w:t>
      </w:r>
      <w:r>
        <w:t xml:space="preserve"> </w:t>
      </w:r>
      <w:r>
        <w:t xml:space="preserve">first PCI/PMI selection process, only 4 candidate projects applied, but none were able to meet the</w:t>
      </w:r>
      <w:r>
        <w:t xml:space="preserve"> </w:t>
      </w:r>
      <w:r>
        <w:t xml:space="preserve">eligibility conditions defined in the TEN-E Regulation. In the second PCI/PMI selection process,</w:t>
      </w:r>
      <w:r>
        <w:t xml:space="preserve"> </w:t>
      </w:r>
      <w:r>
        <w:t xml:space="preserve">3 projects applied. They were all found eligible, but a with a reduced number of investments than</w:t>
      </w:r>
      <w:r>
        <w:t xml:space="preserve"> </w:t>
      </w:r>
      <w:r>
        <w:t xml:space="preserve">those proposed due to eligibility requirements. All three projects were included on the draft second</w:t>
      </w:r>
      <w:r>
        <w:t xml:space="preserve"> </w:t>
      </w:r>
      <w:r>
        <w:t xml:space="preserve">PCI/PMI list that was sent to ACER.</w:t>
      </w:r>
      <w:r>
        <w:br/>
      </w:r>
      <w:r>
        <w:t xml:space="preserve">2.4 The Carbon Dioxide Infrastructure Category</w:t>
      </w:r>
    </w:p>
    <w:p>
      <w:pPr>
        <w:pStyle w:val="BodyText"/>
      </w:pPr>
      <w:r>
        <w:t xml:space="preserve">The revised TEN-E Regulation broadened the scope of projects for which project promoters can</w:t>
      </w:r>
      <w:r>
        <w:t xml:space="preserve"> </w:t>
      </w:r>
      <w:r>
        <w:t xml:space="preserve">apply to receive the PCI and PMI status. As previously explained, the change related to</w:t>
      </w:r>
      <w:r>
        <w:t xml:space="preserve"> </w:t>
      </w:r>
      <w:r>
        <w:t xml:space="preserve">introduction of surface and injection facilities associated with permanent storage.</w:t>
      </w:r>
      <w:r>
        <w:t xml:space="preserve"> </w:t>
      </w:r>
      <w:r>
        <w:t xml:space="preserve">The first PCI/PMI list included 14 carbon capture and storage infrastructure projects, following</w:t>
      </w:r>
      <w:r>
        <w:t xml:space="preserve"> </w:t>
      </w:r>
      <w:r>
        <w:t xml:space="preserve">18 applications, while the second draft PCI/PMI list includes 17 projects after 19 applications. All</w:t>
      </w:r>
      <w:r>
        <w:t xml:space="preserve"> </w:t>
      </w:r>
      <w:r>
        <w:t xml:space="preserve">the projects included in the draft second PCI/PMI list, aimed at carbon dioxide storage (14),</w:t>
      </w:r>
      <w:r>
        <w:t xml:space="preserve"> </w:t>
      </w:r>
      <w:r>
        <w:t xml:space="preserve">included also surface and injection facilities.</w:t>
      </w:r>
      <w:r>
        <w:t xml:space="preserve"> </w:t>
      </w:r>
      <w:r>
        <w:t xml:space="preserve">Effectiveness:</w:t>
      </w:r>
    </w:p>
    <w:p>
      <w:pPr>
        <w:pStyle w:val="BodyText"/>
      </w:pPr>
      <w:r>
        <w:t xml:space="preserve">191 The exact list of infrastructure projects and project data is conditional to the validation of the second Union</w:t>
      </w:r>
      <w:r>
        <w:t xml:space="preserve"> </w:t>
      </w:r>
      <w:r>
        <w:t xml:space="preserve">PCI/PMI list. The statistics provided do not pre-empt the outcomes of the High-Level Decision-making Body meeting,</w:t>
      </w:r>
      <w:r>
        <w:t xml:space="preserve"> </w:t>
      </w:r>
      <w:r>
        <w:t xml:space="preserve">nor the outcomes of the co-legislators’ scrutiny of the delegated act defining the second Union PCI/PMI list.</w:t>
      </w:r>
      <w:r>
        <w:t xml:space="preserve"> </w:t>
      </w:r>
      <w:r>
        <w:t xml:space="preserve">Electrolyser; 25</w:t>
      </w:r>
      <w:r>
        <w:t xml:space="preserve"> </w:t>
      </w:r>
      <w:r>
        <w:t xml:space="preserve">Pipeline; 52</w:t>
      </w:r>
      <w:r>
        <w:t xml:space="preserve"> </w:t>
      </w:r>
      <w:r>
        <w:t xml:space="preserve">Reception facility; 9</w:t>
      </w:r>
      <w:r>
        <w:t xml:space="preserve"> </w:t>
      </w:r>
      <w:r>
        <w:t xml:space="preserve">Storage; 19</w:t>
      </w:r>
      <w:r>
        <w:t xml:space="preserve"> </w:t>
      </w:r>
      <w:r>
        <w:t xml:space="preserve">Electrolyser</w:t>
      </w:r>
      <w:r>
        <w:t xml:space="preserve"> </w:t>
      </w:r>
      <w:r>
        <w:t xml:space="preserve">Pipeline</w:t>
      </w:r>
      <w:r>
        <w:t xml:space="preserve"> </w:t>
      </w:r>
      <w:r>
        <w:t xml:space="preserve">Reception facility</w:t>
      </w:r>
      <w:r>
        <w:t xml:space="preserve"> </w:t>
      </w:r>
      <w:r>
        <w:t xml:space="preserve">Storage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Across the first and the second PCI/PMI selection process, there has been an increasing number</w:t>
      </w:r>
      <w:r>
        <w:t xml:space="preserve"> </w:t>
      </w:r>
      <w:r>
        <w:t xml:space="preserve">of candidate and selected infrastructure projects. This trend was observed across most of the</w:t>
      </w:r>
      <w:r>
        <w:t xml:space="preserve"> </w:t>
      </w:r>
      <w:r>
        <w:t xml:space="preserve">categories, including electricity, hydrogen, electrolysers and carbon dioxide infrastructure.</w:t>
      </w:r>
      <w:r>
        <w:t xml:space="preserve"> </w:t>
      </w:r>
      <w:r>
        <w:t xml:space="preserve">Comparatively a lower number of candidate applications was received for the smart electricity</w:t>
      </w:r>
      <w:r>
        <w:t xml:space="preserve"> </w:t>
      </w:r>
      <w:r>
        <w:t xml:space="preserve">grid category. The smart gas grid category has seen very few applications and has encountered</w:t>
      </w:r>
      <w:r>
        <w:t xml:space="preserve"> </w:t>
      </w:r>
      <w:r>
        <w:t xml:space="preserve">significant issues as regards eligibility either of the applications in their entirety or of the assets</w:t>
      </w:r>
      <w:r>
        <w:t xml:space="preserve"> </w:t>
      </w:r>
      <w:r>
        <w:t xml:space="preserve">included in the proposals. Still, taken together, these trends suggests that the TEN-E Regulation</w:t>
      </w:r>
      <w:r>
        <w:t xml:space="preserve"> </w:t>
      </w:r>
      <w:r>
        <w:t xml:space="preserve">offers an attractive tool to identify and accelerate energy infrastructure projects with cross-</w:t>
      </w:r>
      <w:r>
        <w:t xml:space="preserve"> </w:t>
      </w:r>
      <w:r>
        <w:t xml:space="preserve">border relevance.</w:t>
      </w:r>
    </w:p>
    <w:p>
      <w:pPr>
        <w:pStyle w:val="BodyText"/>
      </w:pPr>
      <w:r>
        <w:t xml:space="preserve">In the electricity infrastructure category, internal lines represented 23 % of the total number of</w:t>
      </w:r>
      <w:r>
        <w:t xml:space="preserve"> </w:t>
      </w:r>
      <w:r>
        <w:t xml:space="preserve">candidate projects (excluding offshore and storage projects). Given the fact that internal</w:t>
      </w:r>
      <w:r>
        <w:t xml:space="preserve"> </w:t>
      </w:r>
      <w:r>
        <w:t xml:space="preserve">electricity lines are crucial for fully enabling cross-border flows, this raises some doubts on the</w:t>
      </w:r>
      <w:r>
        <w:t xml:space="preserve"> </w:t>
      </w:r>
      <w:r>
        <w:t xml:space="preserve">effectiveness of the set threshold for cross-border impact (at 500 MW) for achieving the goals</w:t>
      </w:r>
      <w:r>
        <w:t xml:space="preserve"> </w:t>
      </w:r>
      <w:r>
        <w:t xml:space="preserve">of the TEN-E Regulation, concretely to ensure market integration.</w:t>
      </w:r>
    </w:p>
    <w:p>
      <w:pPr>
        <w:pStyle w:val="BodyText"/>
      </w:pPr>
      <w:r>
        <w:t xml:space="preserve">In the smart electricity grids infrastructure category, the majority of the projects concerned</w:t>
      </w:r>
      <w:r>
        <w:t xml:space="preserve"> </w:t>
      </w:r>
      <w:r>
        <w:t xml:space="preserve">distribution networks, displaying certain limitation in the current design of the categories, as</w:t>
      </w:r>
      <w:r>
        <w:t xml:space="preserve"> </w:t>
      </w:r>
      <w:r>
        <w:t xml:space="preserve">smart grid projects are also needed at the level of transmission networks.</w:t>
      </w:r>
    </w:p>
    <w:p>
      <w:pPr>
        <w:pStyle w:val="BodyText"/>
      </w:pPr>
      <w:r>
        <w:t xml:space="preserve">Efficiency:</w:t>
      </w:r>
      <w:r>
        <w:br/>
      </w:r>
      <w:r>
        <w:t xml:space="preserve">The design of the electricity infrastructure categories, as well as the smart grids category are</w:t>
      </w:r>
      <w:r>
        <w:t xml:space="preserve"> </w:t>
      </w:r>
      <w:r>
        <w:t xml:space="preserve">mostly fit for purpose, allowing for efficient assessment, as demonstrated by high rates of</w:t>
      </w:r>
      <w:r>
        <w:t xml:space="preserve"> </w:t>
      </w:r>
      <w:r>
        <w:t xml:space="preserve">eligibility among these projects.</w:t>
      </w:r>
    </w:p>
    <w:p>
      <w:pPr>
        <w:pStyle w:val="BodyText"/>
      </w:pPr>
      <w:r>
        <w:t xml:space="preserve">With regard to the electrolyser infrastructure category, there has been a significant increase in</w:t>
      </w:r>
      <w:r>
        <w:t xml:space="preserve"> </w:t>
      </w:r>
      <w:r>
        <w:t xml:space="preserve">candidate projects from first to the second PCI/PMI process (from 25 to 68). However, most</w:t>
      </w:r>
      <w:r>
        <w:t xml:space="preserve"> </w:t>
      </w:r>
      <w:r>
        <w:t xml:space="preserve">electrolyser projects applying in the second PCI/PMI process were aimed to serve local</w:t>
      </w:r>
      <w:r>
        <w:t xml:space="preserve"> </w:t>
      </w:r>
      <w:r>
        <w:t xml:space="preserve">demand.</w:t>
      </w:r>
    </w:p>
    <w:p>
      <w:pPr>
        <w:pStyle w:val="BodyText"/>
      </w:pPr>
      <w:r>
        <w:t xml:space="preserve">The number of applications for the smart gas grids infrastructure category remains very low.</w:t>
      </w:r>
      <w:r>
        <w:br/>
      </w:r>
      <w:r>
        <w:t xml:space="preserve">While the eligibility rate improved, issues arose regarding the scope of some of the assets</w:t>
      </w:r>
      <w:r>
        <w:t xml:space="preserve"> </w:t>
      </w:r>
      <w:r>
        <w:t xml:space="preserve">included for the candidate projects. Whilst the category is aimed at investment in digital</w:t>
      </w:r>
      <w:r>
        <w:t xml:space="preserve"> </w:t>
      </w:r>
      <w:r>
        <w:t xml:space="preserve">equipment and digital installations with a view to smartening the natural gas network for the</w:t>
      </w:r>
      <w:r>
        <w:t xml:space="preserve"> </w:t>
      </w:r>
      <w:r>
        <w:t xml:space="preserve">purpose of enabling the integration of renewable and low-carbon gases, candidate projects</w:t>
      </w:r>
      <w:r>
        <w:t xml:space="preserve"> </w:t>
      </w:r>
      <w:r>
        <w:t xml:space="preserve">included upgrades of the natural gas network.</w:t>
      </w:r>
      <w:r>
        <w:t xml:space="preserve"> </w:t>
      </w:r>
      <w:r>
        <w:t xml:space="preserve">Coherence:</w:t>
      </w:r>
      <w:r>
        <w:t xml:space="preserve"> </w:t>
      </w:r>
      <w:r>
        <w:t xml:space="preserve">The outcomes of the first and ongoing second PCI/PMI selection processes have proven to be</w:t>
      </w:r>
      <w:r>
        <w:t xml:space="preserve"> </w:t>
      </w:r>
      <w:r>
        <w:t xml:space="preserve">mostly coherent with the objectives of the European Green Deal. Selected priority infrastructure</w:t>
      </w:r>
      <w:r>
        <w:t xml:space="preserve"> </w:t>
      </w:r>
      <w:r>
        <w:t xml:space="preserve">projects comply with the sustainability requirement.</w:t>
      </w:r>
    </w:p>
    <w:p>
      <w:pPr>
        <w:pStyle w:val="BodyText"/>
      </w:pPr>
      <w:r>
        <w:t xml:space="preserve">Two out of the three smart gas grid projects which applied under the second PCI/PMI selection</w:t>
      </w:r>
      <w:r>
        <w:t xml:space="preserve"> </w:t>
      </w:r>
      <w:r>
        <w:t xml:space="preserve">process were aimed at facilitating certain levels of hydrogen blending. This raised consistency</w:t>
      </w:r>
      <w:r>
        <w:t xml:space="preserve"> </w:t>
      </w:r>
      <w:r>
        <w:t xml:space="preserve">issues with the latest EU policy developments and as regards their interaction with Article 31</w:t>
      </w:r>
      <w:r>
        <w:t xml:space="preserve"> </w:t>
      </w:r>
      <w:r>
        <w:t xml:space="preserve">of the TEN-E Regulation (limited exemption concerning blending projects) and the risk or</w:t>
      </w:r>
      <w:r>
        <w:t xml:space="preserve"> </w:t>
      </w:r>
      <w:r>
        <w:t xml:space="preserve">circumventing the conditions for allowing blending projects set in this Article.</w:t>
      </w:r>
    </w:p>
    <w:p>
      <w:pPr>
        <w:pStyle w:val="BodyText"/>
      </w:pPr>
      <w:r>
        <w:t xml:space="preserve">112</w:t>
      </w:r>
    </w:p>
    <w:p>
      <w:pPr>
        <w:pStyle w:val="Compact"/>
        <w:numPr>
          <w:ilvl w:val="0"/>
          <w:numId w:val="1021"/>
        </w:numPr>
      </w:pPr>
      <w:r>
        <w:t xml:space="preserve">Energy Infrastructure Financing Under the Connecting Europe Facility for Energy</w:t>
      </w:r>
    </w:p>
    <w:p>
      <w:pPr>
        <w:pStyle w:val="FirstParagraph"/>
      </w:pPr>
      <w:r>
        <w:t xml:space="preserve">Projects selected as PCIs and PMIs can automatically benefit from many advantages stemming</w:t>
      </w:r>
      <w:r>
        <w:t xml:space="preserve"> </w:t>
      </w:r>
      <w:r>
        <w:t xml:space="preserve">from the TEN-E Regulation, including an accelerated permit granting and improved regulatory</w:t>
      </w:r>
      <w:r>
        <w:t xml:space="preserve"> </w:t>
      </w:r>
      <w:r>
        <w:t xml:space="preserve">treatment. Projects on the list are eligible, under certain conditions, to apply for financial support</w:t>
      </w:r>
      <w:r>
        <w:t xml:space="preserve"> </w:t>
      </w:r>
      <w:r>
        <w:t xml:space="preserve">for construction works and studies, under the Connecting Europe Facility Energy (CEF-E)</w:t>
      </w:r>
      <w:r>
        <w:t xml:space="preserve"> </w:t>
      </w:r>
      <w:r>
        <w:t xml:space="preserve">programme, which was established in 2013 and continued under the current multiannual financial</w:t>
      </w:r>
      <w:r>
        <w:t xml:space="preserve"> </w:t>
      </w:r>
      <w:r>
        <w:t xml:space="preserve">framework (2021-2027). CEF-E has a grant budget of EUR 5.84 billion for the period 2021-2027.</w:t>
      </w:r>
      <w:r>
        <w:t xml:space="preserve"> </w:t>
      </w:r>
      <w:r>
        <w:t xml:space="preserve">The scope of eligible infrastructure financing under CEF was directly influenced by the updated</w:t>
      </w:r>
      <w:r>
        <w:t xml:space="preserve"> </w:t>
      </w:r>
      <w:r>
        <w:t xml:space="preserve">and new infrastructure categories under the TEN-E Regulation. In addition, Article 18(2) of the</w:t>
      </w:r>
      <w:r>
        <w:t xml:space="preserve"> </w:t>
      </w:r>
      <w:r>
        <w:t xml:space="preserve">revised TEN-E Regulation which determines the scope of infrastructure eligible to receive grants</w:t>
      </w:r>
      <w:r>
        <w:t xml:space="preserve"> </w:t>
      </w:r>
      <w:r>
        <w:t xml:space="preserve">for works, was expanded to cover also hydro-pumped energy storage (under the electricity</w:t>
      </w:r>
      <w:r>
        <w:t xml:space="preserve"> </w:t>
      </w:r>
      <w:r>
        <w:t xml:space="preserve">infrastructure category).</w:t>
      </w:r>
      <w:r>
        <w:br/>
      </w:r>
      <w:r>
        <w:t xml:space="preserve">The first annual CEF-E call for PCI and PMI projects selected as part of the first PCI/PMI list</w:t>
      </w:r>
      <w:r>
        <w:t xml:space="preserve"> </w:t>
      </w:r>
      <w:r>
        <w:t xml:space="preserve">under the revised TEN-E Regulation was launched in April 2024. It resulted in awarding EUR</w:t>
      </w:r>
      <w:r>
        <w:t xml:space="preserve"> </w:t>
      </w:r>
      <w:r>
        <w:t xml:space="preserve">1.25 billion in grants to 41 cross-border energy infrastructure projects in January 2025192. This is</w:t>
      </w:r>
      <w:r>
        <w:t xml:space="preserve"> </w:t>
      </w:r>
      <w:r>
        <w:t xml:space="preserve">the largest amount awarded by any single CEF-E call to date. Overall, the funding was allocated</w:t>
      </w:r>
      <w:r>
        <w:t xml:space="preserve"> </w:t>
      </w:r>
      <w:r>
        <w:t xml:space="preserve">for 5 works proposals (EUR 865 million) and for 36 studies (EUR 385 million). In April 2025, a</w:t>
      </w:r>
      <w:r>
        <w:t xml:space="preserve"> </w:t>
      </w:r>
      <w:r>
        <w:t xml:space="preserve">new call for proposals for PCI and PMI projects under CEF-E was launched, with a budget of</w:t>
      </w:r>
      <w:r>
        <w:t xml:space="preserve"> </w:t>
      </w:r>
      <w:r>
        <w:t xml:space="preserve">EUR 600 million.</w:t>
      </w:r>
      <w:r>
        <w:br/>
      </w:r>
      <w:r>
        <w:t xml:space="preserve">4. Projects of Mutual Interest</w:t>
      </w:r>
    </w:p>
    <w:p>
      <w:pPr>
        <w:pStyle w:val="BodyText"/>
      </w:pPr>
      <w:r>
        <w:t xml:space="preserve">The revised TEN-E Regulation introduced the PMI category for projects involving Member States</w:t>
      </w:r>
      <w:r>
        <w:t xml:space="preserve"> </w:t>
      </w:r>
      <w:r>
        <w:t xml:space="preserve">and third countries. Among the 166 projects included in the first PCI/PMI list, 12 projects were</w:t>
      </w:r>
      <w:r>
        <w:t xml:space="preserve"> </w:t>
      </w:r>
      <w:r>
        <w:t xml:space="preserve">PMIs (8 for electricity, 2 for hydrogen and 2 for carbon dioxide infrastructures). No PMIs were</w:t>
      </w:r>
      <w:r>
        <w:t xml:space="preserve"> </w:t>
      </w:r>
      <w:r>
        <w:t xml:space="preserve">awarded grants funding following the 2024 CEF-E call.</w:t>
      </w:r>
      <w:r>
        <w:t xml:space="preserve"> </w:t>
      </w:r>
      <w:r>
        <w:t xml:space="preserve">The draft second PCI/PMI list included 25 projects, with the large majority being electricity</w:t>
      </w:r>
      <w:r>
        <w:t xml:space="preserve"> </w:t>
      </w:r>
      <w:r>
        <w:t xml:space="preserve">infrastructure projects (16), as seen in Figure 12.</w:t>
      </w:r>
    </w:p>
    <w:p>
      <w:pPr>
        <w:pStyle w:val="BodyText"/>
      </w:pPr>
      <w:r>
        <w:t xml:space="preserve">192 Additional information, including the list of beneficiaries is available online: EU invests over €1.2 billion in cross-</w:t>
      </w:r>
      <w:r>
        <w:t xml:space="preserve"> </w:t>
      </w:r>
      <w:r>
        <w:t xml:space="preserve">border infrastructure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Figure 12: Distribution of PMIs in the draft second PCI/PMI list, per infrastructure category</w:t>
      </w:r>
    </w:p>
    <w:p>
      <w:pPr>
        <w:pStyle w:val="BodyText"/>
      </w:pPr>
      <w:r>
        <w:t xml:space="preserve">Source: European Commission</w:t>
      </w:r>
      <w:r>
        <w:t xml:space="preserve"> </w:t>
      </w:r>
      <w:r>
        <w:t xml:space="preserve">In addition to their contribution to achieving sustainability and climate neutrality, PMIs are</w:t>
      </w:r>
      <w:r>
        <w:t xml:space="preserve"> </w:t>
      </w:r>
      <w:r>
        <w:t xml:space="preserve">required to comply with a number of criteria as laid out in Article 4(2) of the TEN-E Regulation.</w:t>
      </w:r>
      <w:r>
        <w:t xml:space="preserve"> </w:t>
      </w:r>
      <w:r>
        <w:t xml:space="preserve">Notably, PMIs should demonstrate significant benefits at Union level, outweighing their cost</w:t>
      </w:r>
      <w:r>
        <w:t xml:space="preserve"> </w:t>
      </w:r>
      <w:r>
        <w:t xml:space="preserve">within the Union. Between the first and second PCI/PMI selection process, the number of</w:t>
      </w:r>
      <w:r>
        <w:t xml:space="preserve"> </w:t>
      </w:r>
      <w:r>
        <w:t xml:space="preserve">candidate PMI projects increased from 42 to 46. Among the 25 electricity projects which applied</w:t>
      </w:r>
      <w:r>
        <w:t xml:space="preserve"> </w:t>
      </w:r>
      <w:r>
        <w:t xml:space="preserve">for the PMI status, in the second PCI/PMI selection process, most candidate projects submitted</w:t>
      </w:r>
      <w:r>
        <w:t xml:space="preserve"> </w:t>
      </w:r>
      <w:r>
        <w:t xml:space="preserve">were with the UK (9), the Energy Community Contracting Parties (8) and Northern African</w:t>
      </w:r>
      <w:r>
        <w:t xml:space="preserve"> </w:t>
      </w:r>
      <w:r>
        <w:t xml:space="preserve">countries (6) as seen in Figure 13. Most hydrogen PMI applications, were with the Energy</w:t>
      </w:r>
      <w:r>
        <w:t xml:space="preserve"> </w:t>
      </w:r>
      <w:r>
        <w:t xml:space="preserve">Community Contracting Parties (7), followed by North African countries and the UK (2 each), as</w:t>
      </w:r>
      <w:r>
        <w:t xml:space="preserve"> </w:t>
      </w:r>
      <w:r>
        <w:t xml:space="preserve">seen in Figure 14. Regarding carbon dioxide infrastructures, five projects applied for a PMI status</w:t>
      </w:r>
      <w:r>
        <w:t xml:space="preserve"> </w:t>
      </w:r>
      <w:r>
        <w:t xml:space="preserve">in the second PCI/PMI process, a majority of which involved Norway (3), while one project</w:t>
      </w:r>
      <w:r>
        <w:t xml:space="preserve"> </w:t>
      </w:r>
      <w:r>
        <w:t xml:space="preserve">involved Switzerland and one project the UK.</w:t>
      </w:r>
      <w:r>
        <w:t xml:space="preserve"> </w:t>
      </w:r>
      <w:r>
        <w:t xml:space="preserve">Figure 13: Distribution of electricity PMI candidate projects for the second Union list, per</w:t>
      </w:r>
      <w:r>
        <w:t xml:space="preserve"> </w:t>
      </w:r>
      <w:r>
        <w:t xml:space="preserve">region</w:t>
      </w:r>
    </w:p>
    <w:p>
      <w:pPr>
        <w:pStyle w:val="BodyText"/>
      </w:pPr>
      <w:r>
        <w:t xml:space="preserve">Carbon dioxyde</w:t>
      </w:r>
      <w:r>
        <w:t xml:space="preserve"> </w:t>
      </w:r>
      <w:r>
        <w:t xml:space="preserve">infrastructure; 5</w:t>
      </w:r>
      <w:r>
        <w:t xml:space="preserve"> </w:t>
      </w:r>
      <w:r>
        <w:t xml:space="preserve">Hydrogen; 4</w:t>
      </w:r>
      <w:r>
        <w:t xml:space="preserve"> </w:t>
      </w:r>
      <w:r>
        <w:t xml:space="preserve">Electricity; 16</w:t>
      </w:r>
      <w:r>
        <w:t xml:space="preserve"> </w:t>
      </w:r>
      <w:r>
        <w:t xml:space="preserve">Carbon dioxyde infrastructure</w:t>
      </w:r>
      <w:r>
        <w:t xml:space="preserve"> </w:t>
      </w:r>
      <w:r>
        <w:t xml:space="preserve">Hydrogen</w:t>
      </w:r>
      <w:r>
        <w:t xml:space="preserve"> </w:t>
      </w:r>
      <w:r>
        <w:t xml:space="preserve">Electricity</w:t>
      </w:r>
      <w:r>
        <w:t xml:space="preserve"> </w:t>
      </w:r>
      <w:r>
        <w:t xml:space="preserve">North Africa; 6</w:t>
      </w:r>
      <w:r>
        <w:t xml:space="preserve"> </w:t>
      </w:r>
      <w:r>
        <w:t xml:space="preserve">UK ; 9</w:t>
      </w:r>
      <w:r>
        <w:t xml:space="preserve"> </w:t>
      </w:r>
      <w:r>
        <w:t xml:space="preserve">Israel; 1</w:t>
      </w:r>
      <w:r>
        <w:t xml:space="preserve"> </w:t>
      </w:r>
      <w:r>
        <w:t xml:space="preserve">Energy Community</w:t>
      </w:r>
      <w:r>
        <w:t xml:space="preserve"> </w:t>
      </w:r>
      <w:r>
        <w:t xml:space="preserve">Contracting Parties ;</w:t>
      </w:r>
      <w:r>
        <w:t xml:space="preserve"> </w:t>
      </w:r>
      <w:r>
        <w:t xml:space="preserve">8</w:t>
      </w:r>
      <w:r>
        <w:t xml:space="preserve"> </w:t>
      </w:r>
      <w:r>
        <w:t xml:space="preserve">Norway; 1</w:t>
      </w:r>
      <w:r>
        <w:t xml:space="preserve"> </w:t>
      </w:r>
      <w:r>
        <w:t xml:space="preserve">North Africa</w:t>
      </w:r>
      <w:r>
        <w:t xml:space="preserve"> </w:t>
      </w:r>
      <w:r>
        <w:t xml:space="preserve">UK</w:t>
      </w:r>
      <w:r>
        <w:t xml:space="preserve"> </w:t>
      </w:r>
      <w:r>
        <w:t xml:space="preserve">Israel</w:t>
      </w:r>
      <w:r>
        <w:t xml:space="preserve"> </w:t>
      </w:r>
      <w:r>
        <w:t xml:space="preserve">Energy Community Contracting Parties</w:t>
      </w:r>
      <w:r>
        <w:t xml:space="preserve"> </w:t>
      </w:r>
      <w:r>
        <w:t xml:space="preserve">Norway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Source: European Commission</w:t>
      </w:r>
      <w:r>
        <w:t xml:space="preserve"> </w:t>
      </w:r>
      <w:r>
        <w:t xml:space="preserve">Figure 14: Distribution of hydrogen and electrolyser, PMI candidate projects for the second</w:t>
      </w:r>
      <w:r>
        <w:t xml:space="preserve"> </w:t>
      </w:r>
      <w:r>
        <w:t xml:space="preserve">Union list, per region</w:t>
      </w:r>
    </w:p>
    <w:p>
      <w:pPr>
        <w:pStyle w:val="BodyText"/>
      </w:pPr>
      <w:r>
        <w:t xml:space="preserve">Source: European Commission</w:t>
      </w:r>
      <w:r>
        <w:t xml:space="preserve"> </w:t>
      </w:r>
      <w:r>
        <w:t xml:space="preserve">Figure 15: Evolution of the number of PMI projects, per infrastructure category</w:t>
      </w:r>
      <w:r>
        <w:t xml:space="preserve"> </w:t>
      </w:r>
      <w:r>
        <w:t xml:space="preserve">Note:</w:t>
      </w:r>
      <w:r>
        <w:br/>
      </w:r>
      <w:r>
        <w:t xml:space="preserve">The categories of smart electricity grids and smart gas grids are not available for PMI status.</w:t>
      </w:r>
      <w:r>
        <w:br/>
      </w:r>
      <w:r>
        <w:t xml:space="preserve">Source: European Commission</w:t>
      </w:r>
    </w:p>
    <w:p>
      <w:pPr>
        <w:pStyle w:val="BodyText"/>
      </w:pPr>
      <w:r>
        <w:t xml:space="preserve">Effectiveness: Increasing the number of candidate PMIs shows that the introduction of this</w:t>
      </w:r>
      <w:r>
        <w:t xml:space="preserve"> </w:t>
      </w:r>
      <w:r>
        <w:t xml:space="preserve">category of projects is in line with the growing interest in infrastructure projects with</w:t>
      </w:r>
      <w:r>
        <w:t xml:space="preserve"> </w:t>
      </w:r>
      <w:r>
        <w:t xml:space="preserve">neighbouring countries, and brings environmental and market benefits for the EU.</w:t>
      </w:r>
      <w:r>
        <w:br/>
      </w:r>
      <w:r>
        <w:t xml:space="preserve">Efficiency: The high number of ineligible electricity and, particularly, hydrogen PMI</w:t>
      </w:r>
      <w:r>
        <w:t xml:space="preserve"> </w:t>
      </w:r>
      <w:r>
        <w:t xml:space="preserve">candidates indicates that the proposed provisions are not fully efficient in setting a clear</w:t>
      </w:r>
      <w:r>
        <w:t xml:space="preserve"> </w:t>
      </w:r>
      <w:r>
        <w:t xml:space="preserve">framework for PMIs. Concretely, the scope of the PMI category would deserve further</w:t>
      </w:r>
      <w:r>
        <w:t xml:space="preserve"> </w:t>
      </w:r>
      <w:r>
        <w:t xml:space="preserve">clarification (some ineligible projects related to insufficiently clear project scope). The</w:t>
      </w:r>
      <w:r>
        <w:t xml:space="preserve"> </w:t>
      </w:r>
      <w:r>
        <w:t xml:space="preserve">criterion requiring demonstration of significant benefits at Union level proved to be efficient</w:t>
      </w:r>
      <w:r>
        <w:t xml:space="preserve"> </w:t>
      </w:r>
      <w:r>
        <w:t xml:space="preserve">Energy Community</w:t>
      </w:r>
      <w:r>
        <w:t xml:space="preserve"> </w:t>
      </w:r>
      <w:r>
        <w:t xml:space="preserve">Contracting Parties, 7</w:t>
      </w:r>
      <w:r>
        <w:t xml:space="preserve"> </w:t>
      </w:r>
      <w:r>
        <w:t xml:space="preserve">North</w:t>
      </w:r>
      <w:r>
        <w:t xml:space="preserve"> </w:t>
      </w:r>
      <w:r>
        <w:t xml:space="preserve">Africa, 2</w:t>
      </w:r>
      <w:r>
        <w:t xml:space="preserve"> </w:t>
      </w:r>
      <w:r>
        <w:t xml:space="preserve">UK, 2</w:t>
      </w:r>
      <w:r>
        <w:t xml:space="preserve"> </w:t>
      </w:r>
      <w:r>
        <w:t xml:space="preserve">Switzerland, 1</w:t>
      </w:r>
      <w:r>
        <w:t xml:space="preserve"> </w:t>
      </w:r>
      <w:r>
        <w:t xml:space="preserve">Energy Community Contracting Parties</w:t>
      </w:r>
      <w:r>
        <w:t xml:space="preserve"> </w:t>
      </w:r>
      <w:r>
        <w:t xml:space="preserve">North Africa</w:t>
      </w:r>
      <w:r>
        <w:t xml:space="preserve"> </w:t>
      </w:r>
      <w:r>
        <w:t xml:space="preserve">UK</w:t>
      </w:r>
      <w:r>
        <w:t xml:space="preserve"> </w:t>
      </w:r>
      <w:r>
        <w:t xml:space="preserve">Switzerland</w:t>
      </w:r>
      <w:r>
        <w:t xml:space="preserve"> </w:t>
      </w:r>
      <w:r>
        <w:t xml:space="preserve">19</w:t>
      </w:r>
      <w:r>
        <w:t xml:space="preserve"> </w:t>
      </w:r>
      <w:r>
        <w:t xml:space="preserve">8</w:t>
      </w:r>
      <w:r>
        <w:t xml:space="preserve"> </w:t>
      </w:r>
      <w:r>
        <w:t xml:space="preserve">25</w:t>
      </w:r>
      <w:r>
        <w:t xml:space="preserve"> </w:t>
      </w:r>
      <w:r>
        <w:t xml:space="preserve">16</w:t>
      </w:r>
      <w:r>
        <w:t xml:space="preserve"> </w:t>
      </w:r>
      <w:r>
        <w:t xml:space="preserve">16</w:t>
      </w:r>
      <w:r>
        <w:t xml:space="preserve"> </w:t>
      </w:r>
      <w:r>
        <w:t xml:space="preserve">2</w:t>
      </w:r>
      <w:r>
        <w:t xml:space="preserve"> </w:t>
      </w:r>
      <w:r>
        <w:t xml:space="preserve">12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First list PMI candidates</w:t>
      </w:r>
      <w:r>
        <w:t xml:space="preserve"> </w:t>
      </w:r>
      <w:r>
        <w:t xml:space="preserve">First list selected PMIs</w:t>
      </w:r>
      <w:r>
        <w:t xml:space="preserve"> </w:t>
      </w:r>
      <w:r>
        <w:t xml:space="preserve">Second list PMI candidates</w:t>
      </w:r>
      <w:r>
        <w:t xml:space="preserve"> </w:t>
      </w:r>
      <w:r>
        <w:t xml:space="preserve">Second list PMI selected</w:t>
      </w:r>
      <w:r>
        <w:t xml:space="preserve"> </w:t>
      </w:r>
      <w:r>
        <w:t xml:space="preserve">Electricity</w:t>
      </w:r>
      <w:r>
        <w:t xml:space="preserve"> </w:t>
      </w:r>
      <w:r>
        <w:t xml:space="preserve">Hydrogen</w:t>
      </w:r>
      <w:r>
        <w:t xml:space="preserve"> </w:t>
      </w:r>
      <w:r>
        <w:t xml:space="preserve">CO2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in the project assessment, especially for projects under consideration. Projects with very low</w:t>
      </w:r>
      <w:r>
        <w:t xml:space="preserve"> </w:t>
      </w:r>
      <w:r>
        <w:t xml:space="preserve">benefits for the Union have not passed the threshold for inclusion on the PCI/PMI list. Lastly,</w:t>
      </w:r>
      <w:r>
        <w:t xml:space="preserve"> </w:t>
      </w:r>
      <w:r>
        <w:t xml:space="preserve">the PMI provisions have also led to some inefficiencies in the selection process as the</w:t>
      </w:r>
      <w:r>
        <w:t xml:space="preserve"> </w:t>
      </w:r>
      <w:r>
        <w:t xml:space="preserve">assessment of PMI projects meeting the TEN-E Regulation objectives has proven to be resource</w:t>
      </w:r>
      <w:r>
        <w:t xml:space="preserve"> </w:t>
      </w:r>
      <w:r>
        <w:t xml:space="preserve">intensive and burdensome for both project promoters and the Commission.</w:t>
      </w:r>
      <w:r>
        <w:t xml:space="preserve"> </w:t>
      </w:r>
      <w:r>
        <w:t xml:space="preserve">Coherence: The inclusion of projects with third countries is coherent with the EU</w:t>
      </w:r>
      <w:r>
        <w:t xml:space="preserve"> </w:t>
      </w:r>
      <w:r>
        <w:t xml:space="preserve">Neighbourhood Policy, and work in energy cooperation with third countries, linked also to</w:t>
      </w:r>
      <w:r>
        <w:t xml:space="preserve"> </w:t>
      </w:r>
      <w:r>
        <w:t xml:space="preserve">their market liberalisation. Furthermore, it supports alignment with the EU policy framework</w:t>
      </w:r>
      <w:r>
        <w:t xml:space="preserve"> </w:t>
      </w:r>
      <w:r>
        <w:t xml:space="preserve">especially with the Energy Community Contracting Parties, and countries involved in the</w:t>
      </w:r>
      <w:r>
        <w:t xml:space="preserve"> </w:t>
      </w:r>
      <w:r>
        <w:t xml:space="preserve">accession process. However, the criterion requiring demonstration of significant benefits at</w:t>
      </w:r>
      <w:r>
        <w:t xml:space="preserve"> </w:t>
      </w:r>
      <w:r>
        <w:t xml:space="preserve">Union level for PMIs, has led to non-inclusion of several projects with Energy Community</w:t>
      </w:r>
      <w:r>
        <w:t xml:space="preserve"> </w:t>
      </w:r>
      <w:r>
        <w:t xml:space="preserve">Contracting Parties. Interconnections with the Energy Community Contracting Parties,</w:t>
      </w:r>
      <w:r>
        <w:t xml:space="preserve"> </w:t>
      </w:r>
      <w:r>
        <w:t xml:space="preserve">despite low socio-economic benefits for the EU, are de facto directly impacting the electricity</w:t>
      </w:r>
      <w:r>
        <w:t xml:space="preserve"> </w:t>
      </w:r>
      <w:r>
        <w:t xml:space="preserve">market of the Union (as well as EU’s security of supply) due to the inclusion of the Energy</w:t>
      </w:r>
      <w:r>
        <w:t xml:space="preserve"> </w:t>
      </w:r>
      <w:r>
        <w:t xml:space="preserve">Community Contracting Parties in the Continental Europe Synchronous Area. Furthermore,</w:t>
      </w:r>
      <w:r>
        <w:t xml:space="preserve"> </w:t>
      </w:r>
      <w:r>
        <w:t xml:space="preserve">practical implementation of the PMI category showed some limits in terms of coherence with</w:t>
      </w:r>
      <w:r>
        <w:t xml:space="preserve"> </w:t>
      </w:r>
      <w:r>
        <w:t xml:space="preserve">climate and energy goals, as in some cases it was difficult to assess how projects contribute</w:t>
      </w:r>
      <w:r>
        <w:t xml:space="preserve"> </w:t>
      </w:r>
      <w:r>
        <w:t xml:space="preserve">(or would not hinder) the possibility of a given country to phase-out fossil fuels, or how the</w:t>
      </w:r>
      <w:r>
        <w:t xml:space="preserve"> </w:t>
      </w:r>
      <w:r>
        <w:t xml:space="preserve">country concretely ensured market convergence and contributed to climate targets.</w:t>
      </w:r>
    </w:p>
    <w:p>
      <w:pPr>
        <w:pStyle w:val="Compact"/>
        <w:numPr>
          <w:ilvl w:val="0"/>
          <w:numId w:val="1022"/>
        </w:numPr>
      </w:pPr>
      <w:r>
        <w:t xml:space="preserve">Offshore Renewable Energy</w:t>
      </w:r>
    </w:p>
    <w:p>
      <w:pPr>
        <w:pStyle w:val="FirstParagraph"/>
      </w:pPr>
      <w:r>
        <w:t xml:space="preserve">The revised TEN-E Regulation introduced new provisions to support the upscale of offshore</w:t>
      </w:r>
      <w:r>
        <w:t xml:space="preserve"> </w:t>
      </w:r>
      <w:r>
        <w:t xml:space="preserve">renewable energy in the EU. This includes five dedicated offshore priority corridors around</w:t>
      </w:r>
      <w:r>
        <w:t xml:space="preserve"> </w:t>
      </w:r>
      <w:r>
        <w:t xml:space="preserve">Europe’s sea-basins (Annex I), with the possibility for offshore projects, including hybrids and</w:t>
      </w:r>
      <w:r>
        <w:t xml:space="preserve"> </w:t>
      </w:r>
      <w:r>
        <w:t xml:space="preserve">radials, to be selected as PCI or PMI under the electricity infrastructure category (Annex II).</w:t>
      </w:r>
      <w:r>
        <w:t xml:space="preserve"> </w:t>
      </w:r>
      <w:r>
        <w:t xml:space="preserve">Furthermore, a specific chapter on offshore grids for renewable integration (Chapter 5) was</w:t>
      </w:r>
      <w:r>
        <w:t xml:space="preserve"> </w:t>
      </w:r>
      <w:r>
        <w:t xml:space="preserve">included, with provisions to support the coordinated long-term offshore grid planning (Article 14)</w:t>
      </w:r>
      <w:r>
        <w:t xml:space="preserve"> </w:t>
      </w:r>
      <w:r>
        <w:t xml:space="preserve">and related cross-border cost sharing (Article 15).</w:t>
      </w:r>
      <w:r>
        <w:br/>
      </w:r>
      <w:r>
        <w:t xml:space="preserve">5.1 Offshore Electricity Infrastructure Projects</w:t>
      </w:r>
    </w:p>
    <w:p>
      <w:pPr>
        <w:pStyle w:val="BodyText"/>
      </w:pPr>
      <w:r>
        <w:t xml:space="preserve">In the first PCI/PMI list, out of 80 projects in the electricity infrastructure category, 12 were</w:t>
      </w:r>
      <w:r>
        <w:t xml:space="preserve"> </w:t>
      </w:r>
      <w:r>
        <w:t xml:space="preserve">offshore grid projects, including 9 radial links and 3 hybrid projects. Amongst the different</w:t>
      </w:r>
      <w:r>
        <w:t xml:space="preserve"> </w:t>
      </w:r>
      <w:r>
        <w:t xml:space="preserve">offshore grid priority corridors, the Northern Seas offshore grids (NSOG) priority corridor had the</w:t>
      </w:r>
      <w:r>
        <w:t xml:space="preserve"> </w:t>
      </w:r>
      <w:r>
        <w:t xml:space="preserve">highest number of selected projects (with 6 projects). For other corridors, 2 projects were selected</w:t>
      </w:r>
      <w:r>
        <w:t xml:space="preserve"> </w:t>
      </w:r>
      <w:r>
        <w:t xml:space="preserve">each, except for the South and East offshore grids (SE offshore), which had no projects submitted.</w:t>
      </w:r>
      <w:r>
        <w:t xml:space="preserve"> </w:t>
      </w:r>
      <w:r>
        <w:t xml:space="preserve">Between the first and second PCI/PMI selection process under the revised TEN-E Regulation, the</w:t>
      </w:r>
      <w:r>
        <w:t xml:space="preserve"> </w:t>
      </w:r>
      <w:r>
        <w:t xml:space="preserve">number of candidate projects increased from 13 to 24. 19 offshore electricity projects were</w:t>
      </w:r>
      <w:r>
        <w:t xml:space="preserve"> </w:t>
      </w:r>
      <w:r>
        <w:t xml:space="preserve">included in the draft second PCI/PMI list, with the majority again being radial links (14) compared</w:t>
      </w:r>
      <w:r>
        <w:t xml:space="preserve"> </w:t>
      </w:r>
      <w:r>
        <w:t xml:space="preserve">to hybrid projects (5). Most projects were selected again in the NSOG corridor (9), followed by</w:t>
      </w:r>
      <w:r>
        <w:t xml:space="preserve"> </w:t>
      </w:r>
      <w:r>
        <w:t xml:space="preserve">Atlantic offshore grids (5), as shown in Figure 16.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Figure 16: Distribution of offshore grids projects included in the draft second PCI/PMI list</w:t>
      </w:r>
      <w:r>
        <w:t xml:space="preserve"> </w:t>
      </w:r>
      <w:r>
        <w:t xml:space="preserve">per offshore grid corridor</w:t>
      </w:r>
    </w:p>
    <w:p>
      <w:pPr>
        <w:pStyle w:val="BodyText"/>
      </w:pPr>
      <w:r>
        <w:t xml:space="preserve">Note: No applications in the SEE offshore corridor were received.</w:t>
      </w:r>
      <w:r>
        <w:t xml:space="preserve"> </w:t>
      </w:r>
      <w:r>
        <w:t xml:space="preserve">Source: European Commission</w:t>
      </w:r>
    </w:p>
    <w:p>
      <w:pPr>
        <w:pStyle w:val="BodyText"/>
      </w:pPr>
      <w:r>
        <w:t xml:space="preserve">Effectiveness: The increasing number of offshore electricity priority infrastructure projects</w:t>
      </w:r>
      <w:r>
        <w:t xml:space="preserve"> </w:t>
      </w:r>
      <w:r>
        <w:t xml:space="preserve">indicates a positive trend and demonstrates the effectiveness of the framework for harnessing</w:t>
      </w:r>
      <w:r>
        <w:t xml:space="preserve"> </w:t>
      </w:r>
      <w:r>
        <w:t xml:space="preserve">the potential of offshore renewable energy.</w:t>
      </w:r>
      <w:r>
        <w:t xml:space="preserve"> </w:t>
      </w:r>
      <w:r>
        <w:t xml:space="preserve">Efficiency: The offshore electricity infrastructure category efficiently enables the</w:t>
      </w:r>
      <w:r>
        <w:t xml:space="preserve"> </w:t>
      </w:r>
      <w:r>
        <w:t xml:space="preserve">identification of cross-border energy infrastructure projects. However, the number of project</w:t>
      </w:r>
      <w:r>
        <w:t xml:space="preserve"> </w:t>
      </w:r>
      <w:r>
        <w:t xml:space="preserve">proposals involving radial links has been much higher compared to hybrid projects, indicating</w:t>
      </w:r>
      <w:r>
        <w:t xml:space="preserve"> </w:t>
      </w:r>
      <w:r>
        <w:t xml:space="preserve">that the full potential of the latter to efficiently unlock offshore energy resources across</w:t>
      </w:r>
      <w:r>
        <w:t xml:space="preserve"> </w:t>
      </w:r>
      <w:r>
        <w:t xml:space="preserve">Member States and to enhance security of supply, market integration, and decarbonization by</w:t>
      </w:r>
      <w:r>
        <w:t xml:space="preserve"> </w:t>
      </w:r>
      <w:r>
        <w:t xml:space="preserve">enabling interconnections between Member States alongside the simultaneous integration of</w:t>
      </w:r>
      <w:r>
        <w:t xml:space="preserve"> </w:t>
      </w:r>
      <w:r>
        <w:t xml:space="preserve">offshore renewable energy has not been fully tapped, in the current framework.</w:t>
      </w:r>
    </w:p>
    <w:p>
      <w:pPr>
        <w:pStyle w:val="BodyText"/>
      </w:pPr>
      <w:r>
        <w:t xml:space="preserve">5.2 Offshore Grid Planning Provisions</w:t>
      </w:r>
    </w:p>
    <w:p>
      <w:pPr>
        <w:pStyle w:val="BodyText"/>
      </w:pPr>
      <w:r>
        <w:t xml:space="preserve">In line with Article 14(1), Member States, with the support of the Commission, were tasked to</w:t>
      </w:r>
      <w:r>
        <w:t xml:space="preserve"> </w:t>
      </w:r>
      <w:r>
        <w:t xml:space="preserve">agree, at regional level, on goals for offshore renewable generation to be deployed within each of</w:t>
      </w:r>
      <w:r>
        <w:t xml:space="preserve"> </w:t>
      </w:r>
      <w:r>
        <w:t xml:space="preserve">the 5 sea basins by 2050, with intermediate steps in 2030 and 2040. The respective non-binding</w:t>
      </w:r>
      <w:r>
        <w:t xml:space="preserve"> </w:t>
      </w:r>
      <w:r>
        <w:t xml:space="preserve">agreements were first adopted in January 2023 by Member States. As foreseen under Article</w:t>
      </w:r>
      <w:r>
        <w:t xml:space="preserve"> </w:t>
      </w:r>
      <w:r>
        <w:t xml:space="preserve">14(1), Member States had to update these regional agreements by December 2024. The ambition</w:t>
      </w:r>
      <w:r>
        <w:t xml:space="preserve"> </w:t>
      </w:r>
      <w:r>
        <w:t xml:space="preserve">included in the updated agreements remained relatively stable, resulting in cumulative EU</w:t>
      </w:r>
      <w:r>
        <w:t xml:space="preserve"> </w:t>
      </w:r>
      <w:r>
        <w:t xml:space="preserve">NSOG; 9</w:t>
      </w:r>
      <w:r>
        <w:t xml:space="preserve"> </w:t>
      </w:r>
      <w:r>
        <w:t xml:space="preserve">BEMIP offshore; 2</w:t>
      </w:r>
      <w:r>
        <w:t xml:space="preserve"> </w:t>
      </w:r>
      <w:r>
        <w:t xml:space="preserve">SW offshore; 3</w:t>
      </w:r>
      <w:r>
        <w:t xml:space="preserve"> </w:t>
      </w:r>
      <w:r>
        <w:t xml:space="preserve">Atlantic offshore; 5</w:t>
      </w:r>
      <w:r>
        <w:t xml:space="preserve"> </w:t>
      </w:r>
      <w:r>
        <w:t xml:space="preserve">NSOG</w:t>
      </w:r>
      <w:r>
        <w:t xml:space="preserve"> </w:t>
      </w:r>
      <w:r>
        <w:t xml:space="preserve">BEMIP offshore</w:t>
      </w:r>
      <w:r>
        <w:t xml:space="preserve"> </w:t>
      </w:r>
      <w:r>
        <w:t xml:space="preserve">SW offshore</w:t>
      </w:r>
      <w:r>
        <w:t xml:space="preserve"> </w:t>
      </w:r>
      <w:r>
        <w:t xml:space="preserve">Atlantic offshore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offshore goals of the following ranges193: 86-89 GW by 2030, 259-261 GW by 2040, and 356-366</w:t>
      </w:r>
      <w:r>
        <w:t xml:space="preserve"> </w:t>
      </w:r>
      <w:r>
        <w:t xml:space="preserve">GW by 2050.</w:t>
      </w:r>
    </w:p>
    <w:p>
      <w:pPr>
        <w:pStyle w:val="BodyText"/>
      </w:pPr>
      <w:r>
        <w:t xml:space="preserve">Map 1: Member States updated regional non-binding agreements for offshore renewable</w:t>
      </w:r>
      <w:r>
        <w:t xml:space="preserve"> </w:t>
      </w:r>
      <w:r>
        <w:t xml:space="preserve">generation</w:t>
      </w:r>
    </w:p>
    <w:p>
      <w:pPr>
        <w:pStyle w:val="BodyText"/>
      </w:pPr>
      <w:r>
        <w:t xml:space="preserve">Source: European Commission</w:t>
      </w:r>
      <w:r>
        <w:t xml:space="preserve"> </w:t>
      </w:r>
      <w:r>
        <w:t xml:space="preserve">Furthermore, in line with Article 14(2), ENTSO-E was tasked to develop an Offshore network</w:t>
      </w:r>
      <w:r>
        <w:t xml:space="preserve"> </w:t>
      </w:r>
      <w:r>
        <w:t xml:space="preserve">development plans (ONDPs) for each of the EU sea basins. These plans provide high-level</w:t>
      </w:r>
      <w:r>
        <w:t xml:space="preserve"> </w:t>
      </w:r>
      <w:r>
        <w:t xml:space="preserve">information on the infrastructure that would be needed to achieve the goals of Member States.</w:t>
      </w:r>
      <w:r>
        <w:t xml:space="preserve"> </w:t>
      </w:r>
      <w:r>
        <w:t xml:space="preserve">With the involvement of the relevant transmission system operators (TSOs), the national</w:t>
      </w:r>
      <w:r>
        <w:t xml:space="preserve"> </w:t>
      </w:r>
      <w:r>
        <w:t xml:space="preserve">regulatory authorities (NRAs), the Member States and the Commission, ENTSO-E published the</w:t>
      </w:r>
      <w:r>
        <w:t xml:space="preserve"> </w:t>
      </w:r>
      <w:r>
        <w:t xml:space="preserve">first ONDPs in January 2024. Those plans will be updated following the update of the non-binding</w:t>
      </w:r>
      <w:r>
        <w:t xml:space="preserve"> </w:t>
      </w:r>
      <w:r>
        <w:t xml:space="preserve">agreements by Member States.</w:t>
      </w:r>
      <w:r>
        <w:t xml:space="preserve"> </w:t>
      </w:r>
      <w:r>
        <w:t xml:space="preserve">A third consecutive offshore related requirement, set out in Article 15(1), concerns the non-</w:t>
      </w:r>
      <w:r>
        <w:t xml:space="preserve"> </w:t>
      </w:r>
      <w:r>
        <w:t xml:space="preserve">binding sea-basin cross-border cost-benefit sharing assessment for the development of the</w:t>
      </w:r>
      <w:r>
        <w:t xml:space="preserve"> </w:t>
      </w:r>
      <w:r>
        <w:t xml:space="preserve">ONDPs, which ENTSO-E was required to present by June 2025. To support this process, the</w:t>
      </w:r>
      <w:r>
        <w:t xml:space="preserve"> </w:t>
      </w:r>
      <w:r>
        <w:t xml:space="preserve">Commission developed guidance as foreseen under the TEN-E Regulation194. This included</w:t>
      </w:r>
      <w:r>
        <w:t xml:space="preserve"> </w:t>
      </w:r>
      <w:r>
        <w:t xml:space="preserve">methodological elements for ENTSO-E’s assessment at sea-basin level as well as additional</w:t>
      </w:r>
      <w:r>
        <w:t xml:space="preserve"> </w:t>
      </w:r>
      <w:r>
        <w:t xml:space="preserve">considerations to facilitate investment for cross-border offshore grid and renewable projects. The</w:t>
      </w:r>
      <w:r>
        <w:t xml:space="preserve"> </w:t>
      </w:r>
      <w:r>
        <w:t xml:space="preserve">results of ENTSO-E’s assessment were presented to the TEN-E priority offshore corridors in a</w:t>
      </w:r>
      <w:r>
        <w:t xml:space="preserve"> </w:t>
      </w:r>
      <w:r>
        <w:t xml:space="preserve">cross-regional meeting on 4 July 2025. The objective of both this guidance and cross-border cost-</w:t>
      </w:r>
    </w:p>
    <w:p>
      <w:pPr>
        <w:pStyle w:val="BodyText"/>
      </w:pPr>
      <w:r>
        <w:t xml:space="preserve">193 In some cases, the national goals are expressed as ranges, partially reflecting on-going national discussions and/or</w:t>
      </w:r>
      <w:r>
        <w:t xml:space="preserve"> </w:t>
      </w:r>
      <w:r>
        <w:t xml:space="preserve">a degree of uncertainty associated with the level of future development of offshore renewable energy, especially</w:t>
      </w:r>
      <w:r>
        <w:t xml:space="preserve"> </w:t>
      </w:r>
      <w:r>
        <w:t xml:space="preserve">within the 2040/2050 timeframes. As a result, the cumulative EU offshore goals have been expressed in ranges.</w:t>
      </w:r>
      <w:r>
        <w:t xml:space="preserve"> </w:t>
      </w:r>
      <w:r>
        <w:t xml:space="preserve">194 Accessible online: Guidance on collaborative investment frameworks for offshore energy projects - European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benefit sharing assessment at sea-basin level was to provide non-binding information to support</w:t>
      </w:r>
      <w:r>
        <w:t xml:space="preserve"> </w:t>
      </w:r>
      <w:r>
        <w:t xml:space="preserve">Member States NRAs and TSOs to kick-start cost-sharing discussions for offshore projects.</w:t>
      </w:r>
      <w:r>
        <w:t xml:space="preserve"> </w:t>
      </w:r>
      <w:r>
        <w:t xml:space="preserve">Effectiveness: The Member States regional non-binding agreements on goals for offshore</w:t>
      </w:r>
      <w:r>
        <w:t xml:space="preserve"> </w:t>
      </w:r>
      <w:r>
        <w:t xml:space="preserve">renewable generation provided an important political signal and increased visibility for the</w:t>
      </w:r>
      <w:r>
        <w:t xml:space="preserve"> </w:t>
      </w:r>
      <w:r>
        <w:t xml:space="preserve">sector. They also enabled the establishment of top-down planning at the sea-basin level within</w:t>
      </w:r>
      <w:r>
        <w:t xml:space="preserve"> </w:t>
      </w:r>
      <w:r>
        <w:t xml:space="preserve">the context of the ONDPs. In turn, the ONDPs offered important information on sea-basin</w:t>
      </w:r>
      <w:r>
        <w:t xml:space="preserve"> </w:t>
      </w:r>
      <w:r>
        <w:t xml:space="preserve">infrastructure needs and associated costs to achieve Member States’ goals, facilitating some</w:t>
      </w:r>
      <w:r>
        <w:t xml:space="preserve"> </w:t>
      </w:r>
      <w:r>
        <w:t xml:space="preserve">regional planning discussions on concrete projects. For example, the Offshore Transmission</w:t>
      </w:r>
      <w:r>
        <w:t xml:space="preserve"> </w:t>
      </w:r>
      <w:r>
        <w:t xml:space="preserve">Coalition (OTC) in the North Sea is currently exploring regional planning for a set of projects.</w:t>
      </w:r>
      <w:r>
        <w:t xml:space="preserve"> </w:t>
      </w:r>
      <w:r>
        <w:t xml:space="preserve">Additionally, the first non-binding sea-basin cross-border cost-benefit sharing assessment,</w:t>
      </w:r>
      <w:r>
        <w:t xml:space="preserve"> </w:t>
      </w:r>
      <w:r>
        <w:t xml:space="preserve">performed by ENTSO-E, is expected to support such discussions; however, the relation</w:t>
      </w:r>
      <w:r>
        <w:t xml:space="preserve"> </w:t>
      </w:r>
      <w:r>
        <w:t xml:space="preserve">between the process carried out by ENTSO-E on the TEN-E Regulation and the above-</w:t>
      </w:r>
      <w:r>
        <w:t xml:space="preserve"> </w:t>
      </w:r>
      <w:r>
        <w:t xml:space="preserve">mentioned initiative of OTC remains to a certain extent unclear.</w:t>
      </w:r>
      <w:r>
        <w:t xml:space="preserve"> </w:t>
      </w:r>
      <w:r>
        <w:t xml:space="preserve">Efficiency: The Member States’ non-binding goals and the ONDPs have been proven to be an</w:t>
      </w:r>
      <w:r>
        <w:t xml:space="preserve"> </w:t>
      </w:r>
      <w:r>
        <w:t xml:space="preserve">important building block from which to start offshore planning. This ensures that needs are</w:t>
      </w:r>
      <w:r>
        <w:t xml:space="preserve"> </w:t>
      </w:r>
      <w:r>
        <w:t xml:space="preserve">derived from Member States’ objectives and builds on existing scenarios and modelling tools.</w:t>
      </w:r>
      <w:r>
        <w:t xml:space="preserve"> </w:t>
      </w:r>
      <w:r>
        <w:t xml:space="preserve">Furthermore, the upcoming integration of ONDP products into the TYNDP 2026 will promote</w:t>
      </w:r>
      <w:r>
        <w:t xml:space="preserve"> </w:t>
      </w:r>
      <w:r>
        <w:t xml:space="preserve">a more optimized and integrated approach to both offshore and onshore planning. Ultimately,</w:t>
      </w:r>
      <w:r>
        <w:t xml:space="preserve"> </w:t>
      </w:r>
      <w:r>
        <w:t xml:space="preserve">this supports a more efficient approach to planning overall. However, these processes so far</w:t>
      </w:r>
      <w:r>
        <w:t xml:space="preserve"> </w:t>
      </w:r>
      <w:r>
        <w:t xml:space="preserve">have not led to the identification and realisation of concrete cooperation projects.</w:t>
      </w:r>
      <w:r>
        <w:t xml:space="preserve"> </w:t>
      </w:r>
      <w:r>
        <w:t xml:space="preserve">Coherence: The TEN-E Regulation offshore planning provisions proved to provide a coherent</w:t>
      </w:r>
      <w:r>
        <w:t xml:space="preserve"> </w:t>
      </w:r>
      <w:r>
        <w:t xml:space="preserve">support for offshore development in line with the EU offshore renewable energy policy, and</w:t>
      </w:r>
      <w:r>
        <w:t xml:space="preserve"> </w:t>
      </w:r>
      <w:r>
        <w:t xml:space="preserve">notably the EU Offshore Strategy and the Communication on delivering on the offshore</w:t>
      </w:r>
      <w:r>
        <w:t xml:space="preserve"> </w:t>
      </w:r>
      <w:r>
        <w:t xml:space="preserve">renewable energy ambitions.</w:t>
      </w:r>
    </w:p>
    <w:p>
      <w:pPr>
        <w:pStyle w:val="Compact"/>
        <w:numPr>
          <w:ilvl w:val="0"/>
          <w:numId w:val="1023"/>
        </w:numPr>
      </w:pPr>
      <w:r>
        <w:t xml:space="preserve">Reconfiguration of the priority corridors and areas</w:t>
      </w:r>
    </w:p>
    <w:p>
      <w:pPr>
        <w:pStyle w:val="FirstParagraph"/>
      </w:pPr>
      <w:r>
        <w:t xml:space="preserve">As previously explained, the TEN-E Regulation revision brought upon a reconfiguration of</w:t>
      </w:r>
      <w:r>
        <w:t xml:space="preserve"> </w:t>
      </w:r>
      <w:r>
        <w:t xml:space="preserve">priority infrastructure corridors and areas.</w:t>
      </w:r>
      <w:r>
        <w:t xml:space="preserve"> </w:t>
      </w:r>
      <w:r>
        <w:t xml:space="preserve">Table 12: Distribution of projects per priority geographical infrastructure corridor and</w:t>
      </w:r>
      <w:r>
        <w:t xml:space="preserve"> </w:t>
      </w:r>
      <w:r>
        <w:t xml:space="preserve">priority thematic area on the Union lists of PCIs and PMIs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First</w:t>
      </w:r>
      <w:r>
        <w:t xml:space="preserve"> </w:t>
      </w:r>
      <w:r>
        <w:t xml:space="preserve">PCI/PMI</w:t>
      </w:r>
      <w:r>
        <w:t xml:space="preserve"> </w:t>
      </w:r>
      <w:r>
        <w:t xml:space="preserve">list</w:t>
      </w:r>
      <w:r>
        <w:t xml:space="preserve"> </w:t>
      </w:r>
      <w:r>
        <w:t xml:space="preserve">Draft</w:t>
      </w:r>
      <w:r>
        <w:t xml:space="preserve"> </w:t>
      </w:r>
      <w:r>
        <w:t xml:space="preserve">second</w:t>
      </w:r>
      <w:r>
        <w:t xml:space="preserve"> </w:t>
      </w:r>
      <w:r>
        <w:t xml:space="preserve">PCI/PMI list</w:t>
      </w:r>
      <w:r>
        <w:t xml:space="preserve"> </w:t>
      </w:r>
      <w:r>
        <w:t xml:space="preserve">Per TEN-E Regulation</w:t>
      </w:r>
      <w:r>
        <w:t xml:space="preserve"> </w:t>
      </w:r>
      <w:r>
        <w:t xml:space="preserve">Priority geographical corridors</w:t>
      </w:r>
      <w:r>
        <w:t xml:space="preserve"> </w:t>
      </w:r>
      <w:r>
        <w:t xml:space="preserve">Electricity corridor</w:t>
      </w:r>
      <w:r>
        <w:t xml:space="preserve"> </w:t>
      </w:r>
      <w:r>
        <w:t xml:space="preserve">North-South electricity interconnections in Western</w:t>
      </w:r>
      <w:r>
        <w:t xml:space="preserve"> </w:t>
      </w:r>
      <w:r>
        <w:t xml:space="preserve">Europe - NSI West Electricity</w:t>
      </w:r>
      <w:r>
        <w:t xml:space="preserve"> </w:t>
      </w:r>
      <w:r>
        <w:t xml:space="preserve">24</w:t>
      </w:r>
      <w:r>
        <w:t xml:space="preserve"> </w:t>
      </w:r>
      <w:r>
        <w:t xml:space="preserve">37</w:t>
      </w:r>
      <w:r>
        <w:t xml:space="preserve"> </w:t>
      </w:r>
      <w:r>
        <w:t xml:space="preserve">North-South electricity interconnections in Central</w:t>
      </w:r>
      <w:r>
        <w:t xml:space="preserve"> </w:t>
      </w:r>
      <w:r>
        <w:t xml:space="preserve">Eastern and South Eastern Europe - NSI East</w:t>
      </w:r>
      <w:r>
        <w:t xml:space="preserve"> </w:t>
      </w:r>
      <w:r>
        <w:t xml:space="preserve">Electricity</w:t>
      </w:r>
      <w:r>
        <w:t xml:space="preserve"> </w:t>
      </w:r>
      <w:r>
        <w:t xml:space="preserve">23</w:t>
      </w:r>
      <w:r>
        <w:t xml:space="preserve"> </w:t>
      </w:r>
      <w:r>
        <w:t xml:space="preserve">30</w:t>
      </w:r>
      <w:r>
        <w:t xml:space="preserve"> </w:t>
      </w:r>
      <w:r>
        <w:t xml:space="preserve">Baltic Energy Market Interconnection Plan in</w:t>
      </w:r>
      <w:r>
        <w:t xml:space="preserve"> </w:t>
      </w:r>
      <w:r>
        <w:t xml:space="preserve">electricity - BEMIP Electricity</w:t>
      </w:r>
      <w:r>
        <w:t xml:space="preserve"> </w:t>
      </w:r>
      <w:r>
        <w:t xml:space="preserve">21</w:t>
      </w:r>
      <w:r>
        <w:t xml:space="preserve"> </w:t>
      </w:r>
      <w:r>
        <w:t xml:space="preserve">8</w:t>
      </w:r>
      <w:r>
        <w:t xml:space="preserve"> </w:t>
      </w:r>
      <w:r>
        <w:t xml:space="preserve">Offshore grid corridors</w:t>
      </w:r>
      <w:r>
        <w:t xml:space="preserve"> </w:t>
      </w:r>
      <w:r>
        <w:t xml:space="preserve">Northern Seas offshore grids - NSOG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Baltic Energy Market Interconnection Plan offshore</w:t>
      </w:r>
      <w:r>
        <w:t xml:space="preserve"> </w:t>
      </w:r>
      <w:r>
        <w:t xml:space="preserve">grids - BEMIP offshore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South and West offshore grids - SW offshore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South and East offshore grids - SE offshore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Atlantic offshore grids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Corridors for Hydrogen and Electrolysers</w:t>
      </w:r>
      <w:r>
        <w:t xml:space="preserve"> </w:t>
      </w:r>
      <w:r>
        <w:t xml:space="preserve">Hydrogen interconnections in Western Europe - HI</w:t>
      </w:r>
      <w:r>
        <w:t xml:space="preserve"> </w:t>
      </w:r>
      <w:r>
        <w:t xml:space="preserve">West</w:t>
      </w:r>
      <w:r>
        <w:t xml:space="preserve"> </w:t>
      </w:r>
      <w:r>
        <w:t xml:space="preserve">53</w:t>
      </w:r>
      <w:r>
        <w:t xml:space="preserve"> </w:t>
      </w:r>
      <w:r>
        <w:t xml:space="preserve">74</w:t>
      </w:r>
      <w:r>
        <w:t xml:space="preserve"> </w:t>
      </w:r>
      <w:r>
        <w:t xml:space="preserve">Hydrogen interconnections in Central Eastern and</w:t>
      </w:r>
      <w:r>
        <w:t xml:space="preserve"> </w:t>
      </w:r>
      <w:r>
        <w:t xml:space="preserve">South Eastern Europe - HI East</w:t>
      </w:r>
      <w:r>
        <w:t xml:space="preserve"> </w:t>
      </w:r>
      <w:r>
        <w:t xml:space="preserve">9</w:t>
      </w:r>
      <w:r>
        <w:t xml:space="preserve"> </w:t>
      </w:r>
      <w:r>
        <w:t xml:space="preserve">21</w:t>
      </w:r>
      <w:r>
        <w:t xml:space="preserve"> </w:t>
      </w:r>
      <w:r>
        <w:t xml:space="preserve">Baltic Energy Market Interconnection Plan in</w:t>
      </w:r>
      <w:r>
        <w:t xml:space="preserve"> </w:t>
      </w:r>
      <w:r>
        <w:t xml:space="preserve">hydrogen - BEMIP Hydrogen</w:t>
      </w:r>
      <w:r>
        <w:t xml:space="preserve"> </w:t>
      </w:r>
      <w:r>
        <w:t xml:space="preserve">3</w:t>
      </w:r>
      <w:r>
        <w:t xml:space="preserve"> </w:t>
      </w:r>
      <w:r>
        <w:t xml:space="preserve">15</w:t>
      </w:r>
      <w:r>
        <w:t xml:space="preserve"> </w:t>
      </w:r>
      <w:r>
        <w:t xml:space="preserve">Priority Thematic Area</w:t>
      </w:r>
      <w:r>
        <w:t xml:space="preserve"> </w:t>
      </w:r>
      <w:r>
        <w:t xml:space="preserve">Smart electricity grids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Cross-border carbon dioxide network</w:t>
      </w:r>
      <w:r>
        <w:t xml:space="preserve"> </w:t>
      </w:r>
      <w:r>
        <w:t xml:space="preserve">14</w:t>
      </w:r>
      <w:r>
        <w:t xml:space="preserve"> </w:t>
      </w:r>
      <w:r>
        <w:t xml:space="preserve">17</w:t>
      </w:r>
      <w:r>
        <w:t xml:space="preserve"> </w:t>
      </w:r>
      <w:r>
        <w:t xml:space="preserve">Smart gas grids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Note: the two PCI/PMI lists contain, by way of exception, two gas projects that aim to connect the isolated islands</w:t>
      </w:r>
      <w:r>
        <w:t xml:space="preserve"> </w:t>
      </w:r>
      <w:r>
        <w:t xml:space="preserve">Cyprus and Malta, in line with the Article 24 of the TEN-E Regulation.</w:t>
      </w:r>
      <w:r>
        <w:t xml:space="preserve"> </w:t>
      </w:r>
      <w:r>
        <w:t xml:space="preserve">Source: European Commission</w:t>
      </w:r>
    </w:p>
    <w:p>
      <w:pPr>
        <w:pStyle w:val="BodyText"/>
      </w:pPr>
      <w:r>
        <w:t xml:space="preserve">Effectiveness: The selection of projects, along the reconfigured, priority infrastructure</w:t>
      </w:r>
      <w:r>
        <w:t xml:space="preserve"> </w:t>
      </w:r>
      <w:r>
        <w:t xml:space="preserve">corridors and thematic areas delivered broadly on the goals, as set out in Annex I of the TEN-</w:t>
      </w:r>
      <w:r>
        <w:t xml:space="preserve"> </w:t>
      </w:r>
      <w:r>
        <w:t xml:space="preserve">E Regulation. Multiple projects were selected across all the infrastructure corridors and</w:t>
      </w:r>
      <w:r>
        <w:t xml:space="preserve"> </w:t>
      </w:r>
      <w:r>
        <w:t xml:space="preserve">groups, with exception of SE offshore.</w:t>
      </w:r>
    </w:p>
    <w:p>
      <w:pPr>
        <w:pStyle w:val="Compact"/>
        <w:numPr>
          <w:ilvl w:val="0"/>
          <w:numId w:val="1024"/>
        </w:numPr>
      </w:pPr>
      <w:r>
        <w:t xml:space="preserve">Reinforced Permitting Provisions</w:t>
      </w:r>
    </w:p>
    <w:p>
      <w:pPr>
        <w:pStyle w:val="FirstParagraph"/>
      </w:pPr>
      <w:r>
        <w:t xml:space="preserve">The revised TEN-E Regulation also reinforced permitting provisions, with the aim to accelerate</w:t>
      </w:r>
      <w:r>
        <w:t xml:space="preserve"> </w:t>
      </w:r>
      <w:r>
        <w:t xml:space="preserve">the implementation of PCI and PMI projects. Still, as identified in the 2025 Study on national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permit granting processes applicable to energy transmission infrastructure projects195,</w:t>
      </w:r>
      <w:r>
        <w:t xml:space="preserve"> </w:t>
      </w:r>
      <w:r>
        <w:t xml:space="preserve">commissioned by the European Commission, there are discrepancies across Member States in the</w:t>
      </w:r>
      <w:r>
        <w:t xml:space="preserve"> </w:t>
      </w:r>
      <w:r>
        <w:t xml:space="preserve">adoption of certain permitting provisions stemming from the TEN-E Regulation. Moreover, in</w:t>
      </w:r>
      <w:r>
        <w:t xml:space="preserve"> </w:t>
      </w:r>
      <w:r>
        <w:t xml:space="preserve">line with the experience of the Commission in discussions concerning project implementation</w:t>
      </w:r>
      <w:r>
        <w:t xml:space="preserve"> </w:t>
      </w:r>
      <w:r>
        <w:t xml:space="preserve">within the regional groups and the informal platform of national competent authorities in charge</w:t>
      </w:r>
      <w:r>
        <w:t xml:space="preserve"> </w:t>
      </w:r>
      <w:r>
        <w:t xml:space="preserve">with permitting, a series of miss-conceptions and unclarities persist regarding the permitting</w:t>
      </w:r>
      <w:r>
        <w:t xml:space="preserve"> </w:t>
      </w:r>
      <w:r>
        <w:t xml:space="preserve">provisions in the TEN-E Regulation, e.g. the nature and scope of the pre-application procedure,</w:t>
      </w:r>
      <w:r>
        <w:t xml:space="preserve"> </w:t>
      </w:r>
      <w:r>
        <w:t xml:space="preserve">the nature of the 3.5 years deadline, the scope of the comprehensive decision and that of the early</w:t>
      </w:r>
      <w:r>
        <w:t xml:space="preserve"> </w:t>
      </w:r>
      <w:r>
        <w:t xml:space="preserve">public consultation. If these discrepancies and need for clarifications are addressed, Member</w:t>
      </w:r>
      <w:r>
        <w:t xml:space="preserve"> </w:t>
      </w:r>
      <w:r>
        <w:t xml:space="preserve">States could strengthen their respective permitting frameworks, enable timely delivery of critical</w:t>
      </w:r>
      <w:r>
        <w:t xml:space="preserve"> </w:t>
      </w:r>
      <w:r>
        <w:t xml:space="preserve">energy infrastructure projects, and advance on the EU’s energy transition and climate targets.</w:t>
      </w:r>
    </w:p>
    <w:p>
      <w:pPr>
        <w:pStyle w:val="BodyText"/>
      </w:pPr>
      <w:r>
        <w:t xml:space="preserve">195 Accessible online: Study on national permit granting process applicable to energy transmission infrastructure</w:t>
      </w:r>
      <w:r>
        <w:t xml:space="preserve"> </w:t>
      </w:r>
      <w:r>
        <w:t xml:space="preserve">projects with a focus on projects of common interest and projects of mutual interest under Chapter III of Regulation</w:t>
      </w:r>
      <w:r>
        <w:t xml:space="preserve"> </w:t>
      </w:r>
      <w:r>
        <w:t xml:space="preserve">(EU) 2022/869 - Publications Office of the EU. The study evaluated compliance with the provisions of Chapter III of</w:t>
      </w:r>
      <w:r>
        <w:t xml:space="preserve"> </w:t>
      </w:r>
      <w:r>
        <w:t xml:space="preserve">the revised TEN-E Regulation that produced legal obligations, including those introduced and amended in the</w:t>
      </w:r>
      <w:r>
        <w:t xml:space="preserve"> </w:t>
      </w:r>
      <w:r>
        <w:t xml:space="preserve">revision.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Table 13: Implementation of provisions introduced in Chapter III on Permit granting and</w:t>
      </w:r>
      <w:r>
        <w:t xml:space="preserve"> </w:t>
      </w:r>
      <w:r>
        <w:t xml:space="preserve">public participation</w:t>
      </w:r>
      <w:r>
        <w:t xml:space="preserve"> </w:t>
      </w:r>
      <w:r>
        <w:t xml:space="preserve">Article reference</w:t>
      </w:r>
      <w:r>
        <w:t xml:space="preserve"> </w:t>
      </w:r>
      <w:r>
        <w:t xml:space="preserve">Summary of Member State implementation</w:t>
      </w:r>
      <w:r>
        <w:t xml:space="preserve"> </w:t>
      </w:r>
      <w:r>
        <w:t xml:space="preserve">Article</w:t>
      </w:r>
      <w:r>
        <w:t xml:space="preserve"> </w:t>
      </w:r>
      <w:r>
        <w:t xml:space="preserve">7(4)</w:t>
      </w:r>
      <w:r>
        <w:t xml:space="preserve"> </w:t>
      </w:r>
      <w:r>
        <w:t xml:space="preserve">on</w:t>
      </w:r>
      <w:r>
        <w:t xml:space="preserve"> </w:t>
      </w:r>
      <w:r>
        <w:t xml:space="preserve">“dispute</w:t>
      </w:r>
      <w:r>
        <w:t xml:space="preserve"> </w:t>
      </w:r>
      <w:r>
        <w:t xml:space="preserve">and</w:t>
      </w:r>
      <w:r>
        <w:t xml:space="preserve"> </w:t>
      </w:r>
      <w:r>
        <w:t xml:space="preserve">judicial resolution</w:t>
      </w:r>
      <w:r>
        <w:t xml:space="preserve"> </w:t>
      </w:r>
      <w:r>
        <w:t xml:space="preserve">procedures”</w:t>
      </w:r>
      <w:r>
        <w:t xml:space="preserve"> </w:t>
      </w:r>
      <w:r>
        <w:t xml:space="preserve">In terms of implementation, 7 Member States (MSs) are compliant,</w:t>
      </w:r>
      <w:r>
        <w:t xml:space="preserve"> </w:t>
      </w:r>
      <w:r>
        <w:t xml:space="preserve">11 MSs are partially compliant, while no measures were identified in</w:t>
      </w:r>
      <w:r>
        <w:t xml:space="preserve"> </w:t>
      </w:r>
      <w:r>
        <w:t xml:space="preserve">9 MSs.</w:t>
      </w:r>
      <w:r>
        <w:t xml:space="preserve"> </w:t>
      </w:r>
      <w:r>
        <w:t xml:space="preserve">In 7 MSs, PCI/PMIs automatically benefit from urgent judicial</w:t>
      </w:r>
      <w:r>
        <w:t xml:space="preserve"> </w:t>
      </w:r>
      <w:r>
        <w:t xml:space="preserve">procedures;</w:t>
      </w:r>
      <w:r>
        <w:t xml:space="preserve"> </w:t>
      </w:r>
      <w:r>
        <w:t xml:space="preserve">In 7 MSs, PCI/PMIs can benefit from the procedures if certain criteria</w:t>
      </w:r>
      <w:r>
        <w:t xml:space="preserve"> </w:t>
      </w:r>
      <w:r>
        <w:t xml:space="preserve">are met;</w:t>
      </w:r>
      <w:r>
        <w:br/>
      </w:r>
      <w:r>
        <w:t xml:space="preserve">In 4 MSs the application of procedures is determined on case-by-case</w:t>
      </w:r>
      <w:r>
        <w:t xml:space="preserve"> </w:t>
      </w:r>
      <w:r>
        <w:t xml:space="preserve">basis;</w:t>
      </w:r>
      <w:r>
        <w:br/>
      </w:r>
      <w:r>
        <w:t xml:space="preserve">In 9 MSs, no specific urgent judicial procedures exist in general or are</w:t>
      </w:r>
      <w:r>
        <w:t xml:space="preserve"> </w:t>
      </w:r>
      <w:r>
        <w:t xml:space="preserve">not applicable to energy infrastructure projects.</w:t>
      </w:r>
      <w:r>
        <w:t xml:space="preserve"> </w:t>
      </w:r>
      <w:r>
        <w:t xml:space="preserve">Article</w:t>
      </w:r>
      <w:r>
        <w:t xml:space="preserve"> </w:t>
      </w:r>
      <w:r>
        <w:t xml:space="preserve">7(5)</w:t>
      </w:r>
      <w:r>
        <w:t xml:space="preserve"> </w:t>
      </w:r>
      <w:r>
        <w:t xml:space="preserve">on</w:t>
      </w:r>
      <w:r>
        <w:t xml:space="preserve"> </w:t>
      </w:r>
      <w:r>
        <w:t xml:space="preserve">“streamlining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assessment</w:t>
      </w:r>
      <w:r>
        <w:t xml:space="preserve"> </w:t>
      </w:r>
      <w:r>
        <w:t xml:space="preserve">procedures”</w:t>
      </w:r>
      <w:r>
        <w:t xml:space="preserve"> </w:t>
      </w:r>
      <w:r>
        <w:t xml:space="preserve">In</w:t>
      </w:r>
      <w:r>
        <w:t xml:space="preserve"> </w:t>
      </w:r>
      <w:r>
        <w:t xml:space="preserve">23</w:t>
      </w:r>
      <w:r>
        <w:t xml:space="preserve"> </w:t>
      </w:r>
      <w:r>
        <w:t xml:space="preserve">Member</w:t>
      </w:r>
      <w:r>
        <w:t xml:space="preserve"> </w:t>
      </w:r>
      <w:r>
        <w:t xml:space="preserve">States,</w:t>
      </w:r>
      <w:r>
        <w:t xml:space="preserve"> </w:t>
      </w:r>
      <w:r>
        <w:t xml:space="preserve">relevant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streamline</w:t>
      </w:r>
      <w:r>
        <w:t xml:space="preserve"> </w:t>
      </w:r>
      <w:r>
        <w:t xml:space="preserve">environmental assessment procedures were identified.</w:t>
      </w:r>
      <w:r>
        <w:br/>
      </w:r>
      <w:r>
        <w:t xml:space="preserve">In 14 MSs, rules for conducting an integrated environmental assessment</w:t>
      </w:r>
      <w:r>
        <w:t xml:space="preserve"> </w:t>
      </w:r>
      <w:r>
        <w:t xml:space="preserve">are in place. Environmental Impact Assessment (EIA) has been linked</w:t>
      </w:r>
      <w:r>
        <w:t xml:space="preserve"> </w:t>
      </w:r>
      <w:r>
        <w:t xml:space="preserve">with Strategic Environmental Assessment (SEA) in 3 MSs, while in 2</w:t>
      </w:r>
      <w:r>
        <w:t xml:space="preserve"> </w:t>
      </w:r>
      <w:r>
        <w:t xml:space="preserve">MSs, this has been done with the procedures required under the Habitats</w:t>
      </w:r>
      <w:r>
        <w:t xml:space="preserve"> </w:t>
      </w:r>
      <w:r>
        <w:t xml:space="preserve">Directive and Birds Directive. All of these procedures are linked, in the</w:t>
      </w:r>
      <w:r>
        <w:t xml:space="preserve"> </w:t>
      </w:r>
      <w:r>
        <w:t xml:space="preserve">case of 8 MSs. A number of additional supporting legislative measures</w:t>
      </w:r>
      <w:r>
        <w:t xml:space="preserve"> </w:t>
      </w:r>
      <w:r>
        <w:t xml:space="preserve">have also been implemented by a number of MSs.</w:t>
      </w:r>
      <w:r>
        <w:t xml:space="preserve"> </w:t>
      </w:r>
      <w:r>
        <w:t xml:space="preserve">Note: Additional provisions on permitting were introduced as part of the TEN-E Regulation revision in Chapter III</w:t>
      </w:r>
      <w:r>
        <w:t xml:space="preserve"> </w:t>
      </w:r>
      <w:r>
        <w:t xml:space="preserve">but were not covered by the study. These include. Article 8(6) on “designation of a point of contact for project</w:t>
      </w:r>
      <w:r>
        <w:t xml:space="preserve"> </w:t>
      </w:r>
      <w:r>
        <w:t xml:space="preserve">belonging to an offshore grid corridor” and Articles 10(3) &amp; 10(4) on “clarification on the start of the permitting</w:t>
      </w:r>
      <w:r>
        <w:t xml:space="preserve"> </w:t>
      </w:r>
      <w:r>
        <w:t xml:space="preserve">process” and “use of existing studies”.</w:t>
      </w:r>
      <w:r>
        <w:t xml:space="preserve"> </w:t>
      </w:r>
      <w:r>
        <w:t xml:space="preserve">Source: European Commission (2025). Study on national permit granting process applicable to energy transmission</w:t>
      </w:r>
      <w:r>
        <w:t xml:space="preserve"> </w:t>
      </w:r>
      <w:r>
        <w:t xml:space="preserve">infrastructure projects with a focus on projects of common interest and projects of mutual interest under Chapter III</w:t>
      </w:r>
      <w:r>
        <w:t xml:space="preserve"> </w:t>
      </w:r>
      <w:r>
        <w:t xml:space="preserve">of Regulation (EU) 2022/869</w:t>
      </w:r>
    </w:p>
    <w:p>
      <w:pPr>
        <w:pStyle w:val="BodyText"/>
      </w:pPr>
      <w:r>
        <w:t xml:space="preserve">Effectiveness: The amendments generally achieved their aim to increase the clarity and</w:t>
      </w:r>
      <w:r>
        <w:t xml:space="preserve"> </w:t>
      </w:r>
      <w:r>
        <w:t xml:space="preserve">flexibility of procedures. Specifically, in what concerns the new provision on dispute resolution,</w:t>
      </w:r>
      <w:r>
        <w:t xml:space="preserve"> </w:t>
      </w:r>
      <w:r>
        <w:t xml:space="preserve">impacts where significantly hampered by the fact that 9 Member States do not have such</w:t>
      </w:r>
      <w:r>
        <w:t xml:space="preserve"> </w:t>
      </w:r>
      <w:r>
        <w:t xml:space="preserve">procedures under national law and projects only benefit automatically from the procedure in</w:t>
      </w:r>
      <w:r>
        <w:t xml:space="preserve"> </w:t>
      </w:r>
      <w:r>
        <w:t xml:space="preserve">7 Member States. The changes introduced to Article 10, improved clarity on the need to take</w:t>
      </w:r>
      <w:r>
        <w:t xml:space="preserve"> </w:t>
      </w:r>
      <w:r>
        <w:t xml:space="preserve">into account pre-existing studies and assessments when evaluating permit applications but did</w:t>
      </w:r>
      <w:r>
        <w:t xml:space="preserve"> </w:t>
      </w:r>
      <w:r>
        <w:t xml:space="preserve">not succeed in harmonising the understanding of what is the start of the permitting process</w:t>
      </w:r>
      <w:r>
        <w:t xml:space="preserve"> </w:t>
      </w:r>
      <w:r>
        <w:t xml:space="preserve">across Member States, as confirmed by national authorities.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Efficiency: The provisions introduced did not significantly increase the efficiency of the</w:t>
      </w:r>
      <w:r>
        <w:t xml:space="preserve"> </w:t>
      </w:r>
      <w:r>
        <w:t xml:space="preserve">permitting procedures as their average duration has even increased between 2023-2025196.</w:t>
      </w:r>
      <w:r>
        <w:t xml:space="preserve"> </w:t>
      </w:r>
      <w:r>
        <w:t xml:space="preserve">Most Member States have complied with the obligation to streamline environmental</w:t>
      </w:r>
      <w:r>
        <w:t xml:space="preserve"> </w:t>
      </w:r>
      <w:r>
        <w:t xml:space="preserve">assessments. However, these are still estimated to average at a duration of 20.6 months197. In</w:t>
      </w:r>
      <w:r>
        <w:t xml:space="preserve"> </w:t>
      </w:r>
      <w:r>
        <w:t xml:space="preserve">what concerns the accelerated permitting of offshore projects through the designation of</w:t>
      </w:r>
      <w:r>
        <w:t xml:space="preserve"> </w:t>
      </w:r>
      <w:r>
        <w:t xml:space="preserve">offshore single points of contact, exchanges with stakeholders indicate that the uptake of this</w:t>
      </w:r>
      <w:r>
        <w:t xml:space="preserve"> </w:t>
      </w:r>
      <w:r>
        <w:t xml:space="preserve">provision has been limited so far with the processes relying on ad hoc coordination between</w:t>
      </w:r>
      <w:r>
        <w:t xml:space="preserve"> </w:t>
      </w:r>
      <w:r>
        <w:t xml:space="preserve">relevant Member States, which does not accelerate procedures.</w:t>
      </w:r>
      <w:r>
        <w:t xml:space="preserve"> </w:t>
      </w:r>
      <w:r>
        <w:t xml:space="preserve">Coherence: At the time of its enactment, in 2013, the previous Regulation (EU/347/2013)</w:t>
      </w:r>
      <w:r>
        <w:t xml:space="preserve"> </w:t>
      </w:r>
      <w:r>
        <w:t xml:space="preserve">established the first accelerated permit granting framework with a binding maximum duration,</w:t>
      </w:r>
      <w:r>
        <w:t xml:space="preserve"> </w:t>
      </w:r>
      <w:r>
        <w:t xml:space="preserve">which was applicable only to PCIs and PMIs. Thus, when the revisions were tabled in 2021,</w:t>
      </w:r>
      <w:r>
        <w:t xml:space="preserve"> </w:t>
      </w:r>
      <w:r>
        <w:t xml:space="preserve">the changes introduced were simply aimed at improving the accelerated procedure already in</w:t>
      </w:r>
      <w:r>
        <w:t xml:space="preserve"> </w:t>
      </w:r>
      <w:r>
        <w:t xml:space="preserve">place (not amend it significantly). However, since then (and mainly in 2022 following the</w:t>
      </w:r>
      <w:r>
        <w:t xml:space="preserve"> </w:t>
      </w:r>
      <w:r>
        <w:t xml:space="preserve">REPowerEU plan) new accelerated permitting frameworks for energy projects were</w:t>
      </w:r>
      <w:r>
        <w:t xml:space="preserve"> </w:t>
      </w:r>
      <w:r>
        <w:t xml:space="preserve">established under the: Renewable Energy Directive, the Gases Directive and the Net Zero</w:t>
      </w:r>
      <w:r>
        <w:t xml:space="preserve"> </w:t>
      </w:r>
      <w:r>
        <w:t xml:space="preserve">Industry Act. Due to these changes, when compared to renewable energy projects, certain CO2</w:t>
      </w:r>
      <w:r>
        <w:t xml:space="preserve"> </w:t>
      </w:r>
      <w:r>
        <w:t xml:space="preserve">and hydrogen projects covered by the new provisions, PCIs and PMIs no longer benefit from</w:t>
      </w:r>
      <w:r>
        <w:t xml:space="preserve"> </w:t>
      </w:r>
      <w:r>
        <w:t xml:space="preserve">the best and most urgent treatment. Since these projects are selected as being of European</w:t>
      </w:r>
      <w:r>
        <w:t xml:space="preserve"> </w:t>
      </w:r>
      <w:r>
        <w:t xml:space="preserve">interest, this situation must be rectified by accelerating their treatment in permitting</w:t>
      </w:r>
      <w:r>
        <w:t xml:space="preserve"> </w:t>
      </w:r>
      <w:r>
        <w:t xml:space="preserve">procedures.</w:t>
      </w:r>
    </w:p>
    <w:p>
      <w:pPr>
        <w:pStyle w:val="Compact"/>
        <w:numPr>
          <w:ilvl w:val="0"/>
          <w:numId w:val="1025"/>
        </w:numPr>
      </w:pPr>
      <w:r>
        <w:t xml:space="preserve">Strengthened Cross-Sectoral Infrastructure Planning Provisions</w:t>
      </w:r>
    </w:p>
    <w:p>
      <w:pPr>
        <w:pStyle w:val="FirstParagraph"/>
      </w:pPr>
      <w:r>
        <w:t xml:space="preserve">The revised TEN-E Regulation aimed at strengthening cross-sectoral infrastructure planning</w:t>
      </w:r>
      <w:r>
        <w:t xml:space="preserve"> </w:t>
      </w:r>
      <w:r>
        <w:t xml:space="preserve">through several dedicated means.</w:t>
      </w:r>
      <w:r>
        <w:br/>
      </w:r>
      <w:r>
        <w:t xml:space="preserve">It promoted the application of the energy efficiency first principle as part of the process of</w:t>
      </w:r>
      <w:r>
        <w:t xml:space="preserve"> </w:t>
      </w:r>
      <w:r>
        <w:t xml:space="preserve">preparing the TYNDP. The ENTSOs were obliged to align their joint scenarios to be used for the</w:t>
      </w:r>
      <w:r>
        <w:t xml:space="preserve"> </w:t>
      </w:r>
      <w:r>
        <w:t xml:space="preserve">Union-wide TYNDPs with the energy efficiency first principle and to take into account the latest</w:t>
      </w:r>
      <w:r>
        <w:t xml:space="preserve"> </w:t>
      </w:r>
      <w:r>
        <w:t xml:space="preserve">available Commission scenarios, as well as, when relevant, the national energy and climate plans</w:t>
      </w:r>
      <w:r>
        <w:t xml:space="preserve"> </w:t>
      </w:r>
      <w:r>
        <w:t xml:space="preserve">(Article 12(1)). Also, the ENTSOs were mandated to implement the energy efficiency first</w:t>
      </w:r>
      <w:r>
        <w:t xml:space="preserve"> </w:t>
      </w:r>
      <w:r>
        <w:t xml:space="preserve">principle during the infrastructure gaps identification process (Article 13(1)), while regional</w:t>
      </w:r>
      <w:r>
        <w:t xml:space="preserve"> </w:t>
      </w:r>
      <w:r>
        <w:t xml:space="preserve">groups had to consider it when establishing the regional lists of proposed PCI and PMIs.</w:t>
      </w:r>
      <w:r>
        <w:t xml:space="preserve"> </w:t>
      </w:r>
      <w:r>
        <w:t xml:space="preserve">Requirements for a more extensive consultation process with Member States, stakeholders</w:t>
      </w:r>
      <w:r>
        <w:t xml:space="preserve"> </w:t>
      </w:r>
      <w:r>
        <w:t xml:space="preserve">identified in the TEN-E Regulation, and the European Scientific Advisory Board on Climate</w:t>
      </w:r>
      <w:r>
        <w:t xml:space="preserve"> </w:t>
      </w:r>
      <w:r>
        <w:t xml:space="preserve">Change (ESABCC) were introduced, during the preparation of single sector draft methodologies</w:t>
      </w:r>
      <w:r>
        <w:t xml:space="preserve"> </w:t>
      </w:r>
      <w:r>
        <w:t xml:space="preserve">for a harmonised energy system-wide cost-benefit analysis (CBA) (Article 11), joint scenarios to</w:t>
      </w:r>
      <w:r>
        <w:t xml:space="preserve"> </w:t>
      </w:r>
      <w:r>
        <w:t xml:space="preserve">be used for the Union-wide TYNDPs (Article 12) and infrastructure gaps reports (Article 13).</w:t>
      </w:r>
      <w:r>
        <w:t xml:space="preserve"> </w:t>
      </w:r>
      <w:r>
        <w:t xml:space="preserve">The revised TEN-E Regulation mandated consistency between the single sector methodologies,</w:t>
      </w:r>
      <w:r>
        <w:t xml:space="preserve"> </w:t>
      </w:r>
      <w:r>
        <w:t xml:space="preserve">for harmonised energy system-wide CBAs, performed respectively by the ENTSOs (Article 11(1))</w:t>
      </w:r>
    </w:p>
    <w:p>
      <w:pPr>
        <w:pStyle w:val="BodyText"/>
      </w:pPr>
      <w:r>
        <w:t xml:space="preserve">196 Collection of information and data on the implementation of the revised Environmental Impact Assessment (EIA)</w:t>
      </w:r>
      <w:r>
        <w:t xml:space="preserve"> </w:t>
      </w:r>
      <w:r>
        <w:t xml:space="preserve">Directive (2011/92/EU) as amended by 2014/52/EU), final report, page 25.</w:t>
      </w:r>
      <w:r>
        <w:br/>
      </w:r>
      <w:r>
        <w:t xml:space="preserve">197 Accessible online: Monitoring of projects of common interest and of mutual interest - 2025 | www.acer.europa.eu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and the Commission (Article 11(8)). Also, the Commission was given authority to approve joint</w:t>
      </w:r>
      <w:r>
        <w:t xml:space="preserve"> </w:t>
      </w:r>
      <w:r>
        <w:t xml:space="preserve">scenarios to be used for the Union-wide TYNDPs (Article 12(6)), while the ACER was mandated</w:t>
      </w:r>
      <w:r>
        <w:t xml:space="preserve"> </w:t>
      </w:r>
      <w:r>
        <w:t xml:space="preserve">to provide an opinion on its draft 12(5)198. Provisions on cross-sectorial planning were further</w:t>
      </w:r>
      <w:r>
        <w:t xml:space="preserve"> </w:t>
      </w:r>
      <w:r>
        <w:t xml:space="preserve">strengthened with the Decarbonised Gases package in 2024, notably by the inclusion of hydrogen</w:t>
      </w:r>
      <w:r>
        <w:t xml:space="preserve"> </w:t>
      </w:r>
      <w:r>
        <w:t xml:space="preserve">and ENNOH in the planning exercise.</w:t>
      </w:r>
      <w:r>
        <w:t xml:space="preserve"> </w:t>
      </w:r>
      <w:r>
        <w:t xml:space="preserve">8.1 Energy System Wide Cost-Benefit Analysis</w:t>
      </w:r>
    </w:p>
    <w:p>
      <w:pPr>
        <w:pStyle w:val="BodyText"/>
      </w:pPr>
      <w:r>
        <w:t xml:space="preserve">As previously indicated, the Article 11 of the revised TEN-E Regulation outlined the need for the</w:t>
      </w:r>
      <w:r>
        <w:t xml:space="preserve"> </w:t>
      </w:r>
      <w:r>
        <w:t xml:space="preserve">development of the consistent single sector methodologies and for a harmonised energy system-</w:t>
      </w:r>
      <w:r>
        <w:t xml:space="preserve"> </w:t>
      </w:r>
      <w:r>
        <w:t xml:space="preserve">wide CBA at Union level for projects falling under different energy infrastructure categories.</w:t>
      </w:r>
      <w:r>
        <w:t xml:space="preserve"> </w:t>
      </w:r>
      <w:r>
        <w:t xml:space="preserve">Pursuant to Article 11(1), ENTSO-E was tasked to draft the methodology for harmonised energy</w:t>
      </w:r>
      <w:r>
        <w:t xml:space="preserve"> </w:t>
      </w:r>
      <w:r>
        <w:t xml:space="preserve">system-wide CBA for electricity, while ENTSOG, for gases and hydrogen until the ENNOH</w:t>
      </w:r>
      <w:r>
        <w:t xml:space="preserve"> </w:t>
      </w:r>
      <w:r>
        <w:t xml:space="preserve">would be able to take over. In line Article 11(8), the Commission was tasked to draft</w:t>
      </w:r>
      <w:r>
        <w:t xml:space="preserve"> </w:t>
      </w:r>
      <w:r>
        <w:t xml:space="preserve">methodologies for the harmonised energy system-wide CBAs for the following new or updated</w:t>
      </w:r>
      <w:r>
        <w:t xml:space="preserve"> </w:t>
      </w:r>
      <w:r>
        <w:t xml:space="preserve">infrastructure categories: electrolysers, smart gas grids, smart electricity grids, CO2 networks and</w:t>
      </w:r>
      <w:r>
        <w:t xml:space="preserve"> </w:t>
      </w:r>
      <w:r>
        <w:t xml:space="preserve">energy storage.</w:t>
      </w:r>
      <w:r>
        <w:br/>
      </w:r>
      <w:r>
        <w:t xml:space="preserve">ENTSO-E and ENTSOG published and submitted for comments to Member States, the</w:t>
      </w:r>
      <w:r>
        <w:t xml:space="preserve"> </w:t>
      </w:r>
      <w:r>
        <w:t xml:space="preserve">Commission and ACER, their draft single sector methodologies on 23 April 2023 and 30 June</w:t>
      </w:r>
      <w:r>
        <w:t xml:space="preserve"> </w:t>
      </w:r>
      <w:r>
        <w:t xml:space="preserve">2023, respectively. The ENTSOs performed extensive consultations envisaged by Articles 11(2)</w:t>
      </w:r>
      <w:r>
        <w:t xml:space="preserve"> </w:t>
      </w:r>
      <w:r>
        <w:t xml:space="preserve">and 11(5), receiving also ACER’s opinions on the two methodologies. The ENTSOs then</w:t>
      </w:r>
      <w:r>
        <w:t xml:space="preserve"> </w:t>
      </w:r>
      <w:r>
        <w:t xml:space="preserve">submitted the revised methodologies to the Commission. Following its approval, the ENTSOs</w:t>
      </w:r>
      <w:r>
        <w:t xml:space="preserve"> </w:t>
      </w:r>
      <w:r>
        <w:t xml:space="preserve">published their revised methodologies.</w:t>
      </w:r>
      <w:r>
        <w:t xml:space="preserve"> </w:t>
      </w:r>
      <w:r>
        <w:t xml:space="preserve">Pursuant to Article 11(8), on 7 October 2022 and, respectively, on 15 November 2022, the</w:t>
      </w:r>
      <w:r>
        <w:t xml:space="preserve"> </w:t>
      </w:r>
      <w:r>
        <w:t xml:space="preserve">Commission published for consultation six single sector methodologies for harmonised energy</w:t>
      </w:r>
      <w:r>
        <w:t xml:space="preserve"> </w:t>
      </w:r>
      <w:r>
        <w:t xml:space="preserve">system-wide CBAs. The final versions were published in May 2023. In addition to the five</w:t>
      </w:r>
      <w:r>
        <w:t xml:space="preserve"> </w:t>
      </w:r>
      <w:r>
        <w:t xml:space="preserve">categories outlined above, the Commission also adopted a methodology for hydrogen, as a</w:t>
      </w:r>
      <w:r>
        <w:t xml:space="preserve"> </w:t>
      </w:r>
      <w:r>
        <w:t xml:space="preserve">temporary instrument before ENTSOG’s methodology entered into force.</w:t>
      </w:r>
    </w:p>
    <w:p>
      <w:pPr>
        <w:pStyle w:val="BodyText"/>
      </w:pPr>
      <w:r>
        <w:t xml:space="preserve">198 The Commission’s authority to approve the single sector draft methodologies for a harmonised energy system-</w:t>
      </w:r>
      <w:r>
        <w:t xml:space="preserve"> </w:t>
      </w:r>
      <w:r>
        <w:t xml:space="preserve">wide CBA developed by the ENTSOs (Article 11(5)), as well as ACER’s authority to provide an opinion on the draft</w:t>
      </w:r>
      <w:r>
        <w:t xml:space="preserve"> </w:t>
      </w:r>
      <w:r>
        <w:t xml:space="preserve">(Article 11(3)) were already introduced with the previous Regulation (EU/347/2013).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Table 14: Overview of methodologies for a harmonised system-wide CBA published</w:t>
      </w:r>
      <w:r>
        <w:t xml:space="preserve"> </w:t>
      </w:r>
      <w:r>
        <w:t xml:space="preserve">following the adoption of the revised TEN-E Regulation</w:t>
      </w:r>
      <w:r>
        <w:br/>
      </w:r>
      <w:r>
        <w:t xml:space="preserve">Infrastructure categories as</w:t>
      </w:r>
      <w:r>
        <w:t xml:space="preserve"> </w:t>
      </w:r>
      <w:r>
        <w:t xml:space="preserve">set out in Annex II</w:t>
      </w:r>
      <w:r>
        <w:t xml:space="preserve"> </w:t>
      </w:r>
      <w:r>
        <w:t xml:space="preserve">Name of the document</w:t>
      </w:r>
      <w:r>
        <w:t xml:space="preserve"> </w:t>
      </w:r>
      <w:r>
        <w:t xml:space="preserve">Published:</w:t>
      </w:r>
      <w:r>
        <w:t xml:space="preserve"> </w:t>
      </w:r>
      <w:r>
        <w:t xml:space="preserve">Concerning electricity, points</w:t>
      </w:r>
      <w:r>
        <w:t xml:space="preserve"> </w:t>
      </w:r>
      <w:r>
        <w:t xml:space="preserve">(1)(a), (b), (d) and (f).</w:t>
      </w:r>
      <w:r>
        <w:t xml:space="preserve"> </w:t>
      </w:r>
      <w:r>
        <w:t xml:space="preserve">4th ENTSO-E Guideline for cost-benefit</w:t>
      </w:r>
      <w:r>
        <w:t xml:space="preserve"> </w:t>
      </w:r>
      <w:r>
        <w:t xml:space="preserve">analysis of grid development projects199</w:t>
      </w:r>
      <w:r>
        <w:t xml:space="preserve"> </w:t>
      </w:r>
      <w:r>
        <w:t xml:space="preserve">April 2024</w:t>
      </w:r>
      <w:r>
        <w:t xml:space="preserve"> </w:t>
      </w:r>
      <w:r>
        <w:t xml:space="preserve">Concerning smart electricity</w:t>
      </w:r>
      <w:r>
        <w:t xml:space="preserve"> </w:t>
      </w:r>
      <w:r>
        <w:t xml:space="preserve">grids, point (1)(e)</w:t>
      </w:r>
      <w:r>
        <w:t xml:space="preserve"> </w:t>
      </w:r>
      <w:r>
        <w:t xml:space="preserve">Harmonised system-wide cost-benefit analysis</w:t>
      </w:r>
      <w:r>
        <w:t xml:space="preserve"> </w:t>
      </w:r>
      <w:r>
        <w:t xml:space="preserve">for candidate smart electricity projects200</w:t>
      </w:r>
      <w:r>
        <w:t xml:space="preserve"> </w:t>
      </w:r>
      <w:r>
        <w:t xml:space="preserve">May 2023</w:t>
      </w:r>
      <w:r>
        <w:t xml:space="preserve"> </w:t>
      </w:r>
      <w:r>
        <w:t xml:space="preserve">Concerning energy storage</w:t>
      </w:r>
      <w:r>
        <w:t xml:space="preserve"> </w:t>
      </w:r>
      <w:r>
        <w:t xml:space="preserve">facilities, point (1)(c)</w:t>
      </w:r>
      <w:r>
        <w:t xml:space="preserve"> </w:t>
      </w:r>
      <w:r>
        <w:t xml:space="preserve">Harmonised system-wide cost-benefit analysis</w:t>
      </w:r>
      <w:r>
        <w:t xml:space="preserve"> </w:t>
      </w:r>
      <w:r>
        <w:t xml:space="preserve">for candidate energy storage projects201</w:t>
      </w:r>
      <w:r>
        <w:t xml:space="preserve"> </w:t>
      </w:r>
      <w:r>
        <w:t xml:space="preserve">May 2023</w:t>
      </w:r>
      <w:r>
        <w:t xml:space="preserve"> </w:t>
      </w:r>
      <w:r>
        <w:t xml:space="preserve">Concerning smart gas grids,</w:t>
      </w:r>
      <w:r>
        <w:t xml:space="preserve"> </w:t>
      </w:r>
      <w:r>
        <w:t xml:space="preserve">point (2)</w:t>
      </w:r>
      <w:r>
        <w:t xml:space="preserve"> </w:t>
      </w:r>
      <w:r>
        <w:t xml:space="preserve">Harmonised system-wide cost-benefit analysis</w:t>
      </w:r>
      <w:r>
        <w:t xml:space="preserve"> </w:t>
      </w:r>
      <w:r>
        <w:t xml:space="preserve">for candidate smart gas grids projects202</w:t>
      </w:r>
      <w:r>
        <w:t xml:space="preserve"> </w:t>
      </w:r>
      <w:r>
        <w:t xml:space="preserve">May 2023</w:t>
      </w:r>
      <w:r>
        <w:t xml:space="preserve"> </w:t>
      </w:r>
      <w:r>
        <w:t xml:space="preserve">Concerning hydrogen, point</w:t>
      </w:r>
      <w:r>
        <w:t xml:space="preserve"> </w:t>
      </w:r>
      <w:r>
        <w:t xml:space="preserve">(3)</w:t>
      </w:r>
      <w:r>
        <w:t xml:space="preserve"> </w:t>
      </w:r>
      <w:r>
        <w:t xml:space="preserve">ENTSO-G</w:t>
      </w:r>
      <w:r>
        <w:t xml:space="preserve"> </w:t>
      </w:r>
      <w:r>
        <w:t xml:space="preserve">Methodology</w:t>
      </w:r>
      <w:r>
        <w:t xml:space="preserve"> </w:t>
      </w:r>
      <w:r>
        <w:t xml:space="preserve">for</w:t>
      </w:r>
      <w:r>
        <w:t xml:space="preserve"> </w:t>
      </w:r>
      <w:r>
        <w:t xml:space="preserve">Cost-Benefit</w:t>
      </w:r>
      <w:r>
        <w:t xml:space="preserve"> </w:t>
      </w:r>
      <w:r>
        <w:t xml:space="preserve">Analyses of Hydrogen Infrastructure Project203</w:t>
      </w:r>
      <w:r>
        <w:t xml:space="preserve"> </w:t>
      </w:r>
      <w:r>
        <w:t xml:space="preserve">February</w:t>
      </w:r>
      <w:r>
        <w:t xml:space="preserve"> </w:t>
      </w:r>
      <w:r>
        <w:t xml:space="preserve">2025</w:t>
      </w:r>
      <w:r>
        <w:t xml:space="preserve"> </w:t>
      </w:r>
      <w:r>
        <w:t xml:space="preserve">Concerning hydrogen, point</w:t>
      </w:r>
      <w:r>
        <w:t xml:space="preserve"> </w:t>
      </w:r>
      <w:r>
        <w:t xml:space="preserve">(3)</w:t>
      </w:r>
      <w:r>
        <w:t xml:space="preserve"> </w:t>
      </w:r>
      <w:r>
        <w:t xml:space="preserve">Harmonised system-wide cost-benefit analysis</w:t>
      </w:r>
      <w:r>
        <w:t xml:space="preserve"> </w:t>
      </w:r>
      <w:r>
        <w:t xml:space="preserve">for candidate hydrogen projects204 (replaced by</w:t>
      </w:r>
      <w:r>
        <w:t xml:space="preserve"> </w:t>
      </w:r>
      <w:r>
        <w:t xml:space="preserve">the 2023 CBA Methodology of ENTSO-G)</w:t>
      </w:r>
      <w:r>
        <w:t xml:space="preserve"> </w:t>
      </w:r>
      <w:r>
        <w:t xml:space="preserve">May 2023</w:t>
      </w:r>
      <w:r>
        <w:t xml:space="preserve"> </w:t>
      </w:r>
      <w:r>
        <w:t xml:space="preserve">Concerning</w:t>
      </w:r>
      <w:r>
        <w:t xml:space="preserve"> </w:t>
      </w:r>
      <w:r>
        <w:t xml:space="preserve">electrolyser</w:t>
      </w:r>
      <w:r>
        <w:t xml:space="preserve"> </w:t>
      </w:r>
      <w:r>
        <w:t xml:space="preserve">facilities, point (4)</w:t>
      </w:r>
      <w:r>
        <w:t xml:space="preserve"> </w:t>
      </w:r>
      <w:r>
        <w:t xml:space="preserve">Harmonised system-wide cost-benefit analysis</w:t>
      </w:r>
      <w:r>
        <w:t xml:space="preserve"> </w:t>
      </w:r>
      <w:r>
        <w:t xml:space="preserve">for electrolyser projects205</w:t>
      </w:r>
      <w:r>
        <w:t xml:space="preserve"> </w:t>
      </w:r>
      <w:r>
        <w:t xml:space="preserve">May 2023</w:t>
      </w:r>
      <w:r>
        <w:t xml:space="preserve"> </w:t>
      </w:r>
      <w:r>
        <w:t xml:space="preserve">Concerning carbon dioxide,</w:t>
      </w:r>
      <w:r>
        <w:t xml:space="preserve"> </w:t>
      </w:r>
      <w:r>
        <w:t xml:space="preserve">point (5)</w:t>
      </w:r>
      <w:r>
        <w:t xml:space="preserve"> </w:t>
      </w:r>
      <w:r>
        <w:t xml:space="preserve">Harmonised system-wide cost-benefit analysis</w:t>
      </w:r>
      <w:r>
        <w:t xml:space="preserve"> </w:t>
      </w:r>
      <w:r>
        <w:t xml:space="preserve">for candidate cross-border carbon dioxide</w:t>
      </w:r>
      <w:r>
        <w:t xml:space="preserve"> </w:t>
      </w:r>
      <w:r>
        <w:t xml:space="preserve">network projects206</w:t>
      </w:r>
      <w:r>
        <w:t xml:space="preserve"> </w:t>
      </w:r>
      <w:r>
        <w:t xml:space="preserve">May 2023</w:t>
      </w:r>
      <w:r>
        <w:t xml:space="preserve"> </w:t>
      </w:r>
      <w:r>
        <w:t xml:space="preserve">Source: European Commission</w:t>
      </w:r>
      <w:r>
        <w:t xml:space="preserve"> </w:t>
      </w:r>
      <w:r>
        <w:t xml:space="preserve">Pursuant to Article 11(9), ACER was tasked to establish and publish a set of indicators and</w:t>
      </w:r>
      <w:r>
        <w:t xml:space="preserve"> </w:t>
      </w:r>
      <w:r>
        <w:t xml:space="preserve">corresponding reference values for the comparison of unit investment costs of comparable projects</w:t>
      </w:r>
      <w:r>
        <w:t xml:space="preserve"> </w:t>
      </w:r>
      <w:r>
        <w:t xml:space="preserve">of the energy infrastructure categories covered by the TEN-E Regulation, every three years. On</w:t>
      </w:r>
      <w:r>
        <w:t xml:space="preserve"> </w:t>
      </w:r>
      <w:r>
        <w:t xml:space="preserve">27 July 2023, ACER published the report, together with an energy infrastructure unit investment</w:t>
      </w:r>
      <w:r>
        <w:t xml:space="preserve"> </w:t>
      </w:r>
      <w:r>
        <w:t xml:space="preserve">cost calculator, to facilitate future estimations of unit investment costs207. In line with Article</w:t>
      </w:r>
    </w:p>
    <w:p>
      <w:pPr>
        <w:pStyle w:val="BodyText"/>
      </w:pPr>
      <w:r>
        <w:t xml:space="preserve">199 Accessible online: 4th ENTSO-E Guideline for cost-benefit analysis of grid development projects</w:t>
      </w:r>
      <w:r>
        <w:t xml:space="preserve"> </w:t>
      </w:r>
      <w:r>
        <w:t xml:space="preserve">200 Accessible online: Harmonised system-wide cost-benefit analysis for candidate smart electricity projects</w:t>
      </w:r>
      <w:r>
        <w:t xml:space="preserve"> </w:t>
      </w:r>
      <w:r>
        <w:t xml:space="preserve">201 Accessible online: Harmonised system-wide cost-benefit analysis for candidate energy storage projects</w:t>
      </w:r>
      <w:r>
        <w:t xml:space="preserve"> </w:t>
      </w:r>
      <w:r>
        <w:t xml:space="preserve">202 Accessible online: Harmonised system-wide cost-benefit analysis for candidate smart gas grids projects</w:t>
      </w:r>
      <w:r>
        <w:t xml:space="preserve"> </w:t>
      </w:r>
      <w:r>
        <w:t xml:space="preserve">203 Accessible online: Methodology for Cost-Benefit Analysis of Hydrogen Infrastructure Projects</w:t>
      </w:r>
      <w:r>
        <w:t xml:space="preserve"> </w:t>
      </w:r>
      <w:r>
        <w:t xml:space="preserve">204 Accessible online: Harmonised system-wide cost-benefit analysis for candidate hydrogen projects</w:t>
      </w:r>
      <w:r>
        <w:t xml:space="preserve"> </w:t>
      </w:r>
      <w:r>
        <w:t xml:space="preserve">205 Accessible online: Harmonised system-wide cost-benefit analysis for electrolyser projects</w:t>
      </w:r>
      <w:r>
        <w:t xml:space="preserve"> </w:t>
      </w:r>
      <w:r>
        <w:t xml:space="preserve">206 Accessible online: Harmonised system-wide cost-benefit analysis for candidate cross-border carbon dioxide</w:t>
      </w:r>
      <w:r>
        <w:t xml:space="preserve"> </w:t>
      </w:r>
      <w:r>
        <w:t xml:space="preserve">network projects</w:t>
      </w:r>
      <w:r>
        <w:t xml:space="preserve"> </w:t>
      </w:r>
      <w:r>
        <w:t xml:space="preserve">207 Accessible online: ACER publishes a report on unit investment costs indicators and corresponding reference values</w:t>
      </w:r>
      <w:r>
        <w:t xml:space="preserve"> </w:t>
      </w:r>
      <w:r>
        <w:t xml:space="preserve">of European energy infrastructure | www.acer.europa.eu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11(10), ENTSO-E and ENTSOG need to jointly submit to the Commission and ACER a consistent</w:t>
      </w:r>
      <w:r>
        <w:t xml:space="preserve"> </w:t>
      </w:r>
      <w:r>
        <w:t xml:space="preserve">and progressively integrated model that will provide consistency between single sector</w:t>
      </w:r>
      <w:r>
        <w:t xml:space="preserve"> </w:t>
      </w:r>
      <w:r>
        <w:t xml:space="preserve">methodologies based on common assumptions including electricity, natural gas and hydrogen</w:t>
      </w:r>
      <w:r>
        <w:t xml:space="preserve"> </w:t>
      </w:r>
      <w:r>
        <w:t xml:space="preserve">transmission infrastructure as well as storage facilities, liquefied natural gas and electrolysers.</w:t>
      </w:r>
      <w:r>
        <w:t xml:space="preserve"> </w:t>
      </w:r>
      <w:r>
        <w:t xml:space="preserve">Towards its fulfilment, the ENTSOs published their Interlinked Model (ILM) 2024 progress report</w:t>
      </w:r>
      <w:r>
        <w:t xml:space="preserve"> </w:t>
      </w:r>
      <w:r>
        <w:t xml:space="preserve">on 7 May 2024208, providing a dual assessment methodology for electricity and hydrogen. Based</w:t>
      </w:r>
      <w:r>
        <w:t xml:space="preserve"> </w:t>
      </w:r>
      <w:r>
        <w:t xml:space="preserve">on the changes introduced by the Decarbonised Gases Package,209 the final report will be published</w:t>
      </w:r>
      <w:r>
        <w:t xml:space="preserve"> </w:t>
      </w:r>
      <w:r>
        <w:t xml:space="preserve">in October 2025, with a delay of some 4 months from the original goal in the TEN-E Regulation,</w:t>
      </w:r>
      <w:r>
        <w:t xml:space="preserve"> </w:t>
      </w:r>
      <w:r>
        <w:t xml:space="preserve">caused by procedural matters.</w:t>
      </w:r>
      <w:r>
        <w:br/>
      </w:r>
      <w:r>
        <w:t xml:space="preserve">Effectiveness: The process for developing harmonised CBA methodologies has proven to be</w:t>
      </w:r>
      <w:r>
        <w:t xml:space="preserve"> </w:t>
      </w:r>
      <w:r>
        <w:t xml:space="preserve">effective and led to development of infrastructure category specific, yet fairly consistent,</w:t>
      </w:r>
      <w:r>
        <w:t xml:space="preserve"> </w:t>
      </w:r>
      <w:r>
        <w:t xml:space="preserve">methodologies.</w:t>
      </w:r>
      <w:r>
        <w:br/>
      </w:r>
      <w:r>
        <w:t xml:space="preserve">Efficiency: Based on the Commission’s experience, the technical and data limitations have</w:t>
      </w:r>
      <w:r>
        <w:t xml:space="preserve"> </w:t>
      </w:r>
      <w:r>
        <w:t xml:space="preserve">been persisting obstacles to delivering robust CBA methodologies based on quantifiable and</w:t>
      </w:r>
      <w:r>
        <w:t xml:space="preserve"> </w:t>
      </w:r>
      <w:r>
        <w:t xml:space="preserve">monetised indicators. The control mechanisms - ACER’s opinion and the approval of the</w:t>
      </w:r>
      <w:r>
        <w:t xml:space="preserve"> </w:t>
      </w:r>
      <w:r>
        <w:t xml:space="preserve">Commission - of the CBA methodologies for electricity and hydrogen have brought some</w:t>
      </w:r>
      <w:r>
        <w:t xml:space="preserve"> </w:t>
      </w:r>
      <w:r>
        <w:t xml:space="preserve">improvements in the approach but have not been effective in addressing persisting</w:t>
      </w:r>
      <w:r>
        <w:t xml:space="preserve"> </w:t>
      </w:r>
      <w:r>
        <w:t xml:space="preserve">shortcomings, e.g. in terms of better assessment of security of supply benefits. Also, the lengthy</w:t>
      </w:r>
      <w:r>
        <w:t xml:space="preserve"> </w:t>
      </w:r>
      <w:r>
        <w:t xml:space="preserve">process for adopting opinions leads to efficiency losses.</w:t>
      </w:r>
      <w:r>
        <w:t xml:space="preserve"> </w:t>
      </w:r>
      <w:r>
        <w:t xml:space="preserve">Coherence: Related to the previous criterion, the coherence of methodologies with broader</w:t>
      </w:r>
      <w:r>
        <w:t xml:space="preserve"> </w:t>
      </w:r>
      <w:r>
        <w:t xml:space="preserve">EU objectives was ensured to a certain extent by ACER and the Commission’s opinion (with</w:t>
      </w:r>
      <w:r>
        <w:t xml:space="preserve"> </w:t>
      </w:r>
      <w:r>
        <w:t xml:space="preserve">procedural limitations due to the applicable processes).</w:t>
      </w:r>
    </w:p>
    <w:p>
      <w:pPr>
        <w:pStyle w:val="BodyText"/>
      </w:pPr>
      <w:r>
        <w:t xml:space="preserve">8.2 Scenarios for the Ten-Year Network Development Plan</w:t>
      </w:r>
    </w:p>
    <w:p>
      <w:pPr>
        <w:pStyle w:val="BodyText"/>
      </w:pPr>
      <w:r>
        <w:t xml:space="preserve">In line with the Article 12(1), ACER developed and published on 25 January 2023 the Framework</w:t>
      </w:r>
      <w:r>
        <w:t xml:space="preserve"> </w:t>
      </w:r>
      <w:r>
        <w:t xml:space="preserve">Guidelines with criteria for a transparent, non-discriminatory and robust development of the joint</w:t>
      </w:r>
      <w:r>
        <w:t xml:space="preserve"> </w:t>
      </w:r>
      <w:r>
        <w:t xml:space="preserve">scenarios to be developed by ENTSO-E and ENTSOG for their respective Union-wide</w:t>
      </w:r>
      <w:r>
        <w:t xml:space="preserve"> </w:t>
      </w:r>
      <w:r>
        <w:t xml:space="preserve">TYNDPs210, including the creation of the Stakeholder Reference Group for the scenarios’</w:t>
      </w:r>
      <w:r>
        <w:t xml:space="preserve"> </w:t>
      </w:r>
      <w:r>
        <w:t xml:space="preserve">development. Following ACER’s Framework Guidelines (Article 12(2)), and in line with the</w:t>
      </w:r>
      <w:r>
        <w:t xml:space="preserve"> </w:t>
      </w:r>
      <w:r>
        <w:t xml:space="preserve">Article 12(3)), the ENTSOs developed the draft joint scenarios report211 to be used for the TYNDP</w:t>
      </w:r>
      <w:r>
        <w:t xml:space="preserve"> </w:t>
      </w:r>
      <w:r>
        <w:t xml:space="preserve">(joint scenarios report). In line with Article 12(4), the report was submitted for the opinions of</w:t>
      </w:r>
      <w:r>
        <w:t xml:space="preserve"> </w:t>
      </w:r>
      <w:r>
        <w:t xml:space="preserve">ACER, Member States and the Commission, on 30 May 2024, some eight months after the date</w:t>
      </w:r>
      <w:r>
        <w:t xml:space="preserve"> </w:t>
      </w:r>
      <w:r>
        <w:t xml:space="preserve">initially planned by the ENTSO’s. The ESABCC, on its own initiative, provided an opinion on</w:t>
      </w:r>
      <w:r>
        <w:t xml:space="preserve"> </w:t>
      </w:r>
      <w:r>
        <w:t xml:space="preserve">the draft joint scenarios report on 27 June 2024 pursuant to the second subparagraph of Article</w:t>
      </w:r>
      <w:r>
        <w:t xml:space="preserve"> </w:t>
      </w:r>
      <w:r>
        <w:t xml:space="preserve">12(4). Among Member States, Austria submitted written comments on 1 August 2024, indicating</w:t>
      </w:r>
    </w:p>
    <w:p>
      <w:pPr>
        <w:pStyle w:val="BodyText"/>
      </w:pPr>
      <w:r>
        <w:t xml:space="preserve">208 Accessible online: ENTSOG and ENTSO-E publish their joint electricity and hydrogen Interlinked Model 2024</w:t>
      </w:r>
      <w:r>
        <w:t xml:space="preserve"> </w:t>
      </w:r>
      <w:r>
        <w:t xml:space="preserve">progress report for public consultation</w:t>
      </w:r>
      <w:r>
        <w:t xml:space="preserve"> </w:t>
      </w:r>
      <w:r>
        <w:t xml:space="preserve">209 Regulation (EU) 2024/1789 of the European Parliament and of the Council of 13 June 2024 on the internal markets</w:t>
      </w:r>
      <w:r>
        <w:t xml:space="preserve"> </w:t>
      </w:r>
      <w:r>
        <w:t xml:space="preserve">for renewable gas, natural gas and hydrogen</w:t>
      </w:r>
      <w:r>
        <w:t xml:space="preserve"> </w:t>
      </w:r>
      <w:r>
        <w:t xml:space="preserve">210 Accessible online: Framework Guidelines for the joint TYNDP scenarios to be developed by ENTSO for</w:t>
      </w:r>
      <w:r>
        <w:t xml:space="preserve"> </w:t>
      </w:r>
      <w:r>
        <w:t xml:space="preserve">Electricity and ENTSO for Gas “TYNDP Scenarios Guidelines”</w:t>
      </w:r>
      <w:r>
        <w:t xml:space="preserve"> </w:t>
      </w:r>
      <w:r>
        <w:t xml:space="preserve">211 Accessible online: ENTSO-E and ENTSOG TYNDP 2024 Draft Scenarios Report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some misalignments of the joint scenarios with their latest national projections. On 30 September,</w:t>
      </w:r>
      <w:r>
        <w:t xml:space="preserve"> </w:t>
      </w:r>
      <w:r>
        <w:t xml:space="preserve">ACER delivered its opinion212 in which it underlined that the draft joint scenarios report was not</w:t>
      </w:r>
      <w:r>
        <w:t xml:space="preserve"> </w:t>
      </w:r>
      <w:r>
        <w:t xml:space="preserve">fully compliant with the Framework Guidelines they had issued in January 2023. ACER also</w:t>
      </w:r>
      <w:r>
        <w:t xml:space="preserve"> </w:t>
      </w:r>
      <w:r>
        <w:t xml:space="preserve">provided recommendations on how to improve the report, as well as the future scenarios</w:t>
      </w:r>
      <w:r>
        <w:t xml:space="preserve"> </w:t>
      </w:r>
      <w:r>
        <w:t xml:space="preserve">development processes starting with TYNDP 2026.</w:t>
      </w:r>
      <w:r>
        <w:br/>
      </w:r>
      <w:r>
        <w:t xml:space="preserve">The Commission approved the joint scenarios report for the 2024 TYNDP on 14 January 2025.</w:t>
      </w:r>
      <w:r>
        <w:t xml:space="preserve"> </w:t>
      </w:r>
      <w:r>
        <w:t xml:space="preserve">As highlighted in the decision, the joint scenarios could not comply fully with ACER’s Framework</w:t>
      </w:r>
      <w:r>
        <w:t xml:space="preserve"> </w:t>
      </w:r>
      <w:r>
        <w:t xml:space="preserve">Guidelines, because they were published only after the ENTSOs had already launched the scenario</w:t>
      </w:r>
      <w:r>
        <w:t xml:space="preserve"> </w:t>
      </w:r>
      <w:r>
        <w:t xml:space="preserve">development process. Full compliance should be ensured for the following TYNDPs. The</w:t>
      </w:r>
      <w:r>
        <w:t xml:space="preserve"> </w:t>
      </w:r>
      <w:r>
        <w:t xml:space="preserve">Commission’s decision noted general alignment with the requirements introduced in the 2022</w:t>
      </w:r>
      <w:r>
        <w:t xml:space="preserve"> </w:t>
      </w:r>
      <w:r>
        <w:t xml:space="preserve">revision of the TEN-E Regulation. The draft joint scenarios have been widely consulted with</w:t>
      </w:r>
      <w:r>
        <w:t xml:space="preserve"> </w:t>
      </w:r>
      <w:r>
        <w:t xml:space="preserve">stakeholders (including through Scenarios Stakeholder Reference Group, which met several times</w:t>
      </w:r>
      <w:r>
        <w:t xml:space="preserve"> </w:t>
      </w:r>
      <w:r>
        <w:t xml:space="preserve">each month)213 and broadly aligned with the Union’s 2030 targets for energy and climate and its</w:t>
      </w:r>
      <w:r>
        <w:t xml:space="preserve"> </w:t>
      </w:r>
      <w:r>
        <w:t xml:space="preserve">2050 climate neutrality objectives. Furthermore, the energy efficiency first principle was</w:t>
      </w:r>
      <w:r>
        <w:t xml:space="preserve"> </w:t>
      </w:r>
      <w:r>
        <w:t xml:space="preserve">considered through alignment with the energy efficiency targets, as well as latest available</w:t>
      </w:r>
      <w:r>
        <w:t xml:space="preserve"> </w:t>
      </w:r>
      <w:r>
        <w:t xml:space="preserve">Commission scenarios (Fit-for-55 and REPowerEU scenarios) to the extent possible.</w:t>
      </w:r>
      <w:r>
        <w:t xml:space="preserve"> </w:t>
      </w:r>
      <w:r>
        <w:t xml:space="preserve">Following the Commission’s approval, the report on joint scenarios was finalised by the ENTSOs.</w:t>
      </w:r>
      <w:r>
        <w:t xml:space="preserve"> </w:t>
      </w:r>
      <w:r>
        <w:t xml:space="preserve">The update performed took into account updates to the carbon budget calculations, as per feedback</w:t>
      </w:r>
      <w:r>
        <w:t xml:space="preserve"> </w:t>
      </w:r>
      <w:r>
        <w:t xml:space="preserve">provided by the ESABCC. The report was published on 29 January 2025.</w:t>
      </w:r>
      <w:r>
        <w:t xml:space="preserve"> </w:t>
      </w:r>
      <w:r>
        <w:t xml:space="preserve">Effectiveness: Assessing the effectiveness of the implementation of TEN-E Regulation</w:t>
      </w:r>
      <w:r>
        <w:t xml:space="preserve"> </w:t>
      </w:r>
      <w:r>
        <w:t xml:space="preserve">provisions on the scenarios in terms of reaching the TEN-E Regulation objectives has certain</w:t>
      </w:r>
      <w:r>
        <w:t xml:space="preserve"> </w:t>
      </w:r>
      <w:r>
        <w:t xml:space="preserve">limitations. Scenarios fully compliant with all the requirements of the TEN-E Regulation have</w:t>
      </w:r>
      <w:r>
        <w:t xml:space="preserve"> </w:t>
      </w:r>
      <w:r>
        <w:t xml:space="preserve">not yet fully materialised due to the timeline of the scenarios’ development. The application of</w:t>
      </w:r>
      <w:r>
        <w:t xml:space="preserve"> </w:t>
      </w:r>
      <w:r>
        <w:t xml:space="preserve">the ACER Framework Guidelines will only have impacts in the TYNDP 2026 process, where</w:t>
      </w:r>
      <w:r>
        <w:t xml:space="preserve"> </w:t>
      </w:r>
      <w:r>
        <w:t xml:space="preserve">one central scenario and two economic variants will be developed. The creation of the</w:t>
      </w:r>
      <w:r>
        <w:t xml:space="preserve"> </w:t>
      </w:r>
      <w:r>
        <w:t xml:space="preserve">Stakeholder Reference Group has led to better involvement of stakeholders in the scenario</w:t>
      </w:r>
      <w:r>
        <w:t xml:space="preserve"> </w:t>
      </w:r>
      <w:r>
        <w:t xml:space="preserve">building and more effective exchange of expertise and information. However, the</w:t>
      </w:r>
      <w:r>
        <w:t xml:space="preserve"> </w:t>
      </w:r>
      <w:r>
        <w:t xml:space="preserve">implementation of the group’s recommendations is still something to be followed up given the</w:t>
      </w:r>
      <w:r>
        <w:t xml:space="preserve"> </w:t>
      </w:r>
      <w:r>
        <w:t xml:space="preserve">limited scope of adjustment to the scenario building process within the first two-year</w:t>
      </w:r>
      <w:r>
        <w:t xml:space="preserve"> </w:t>
      </w:r>
      <w:r>
        <w:t xml:space="preserve">development cycle. Hence, involvement of stakeholders via the Scenarios Stakeholder</w:t>
      </w:r>
      <w:r>
        <w:t xml:space="preserve"> </w:t>
      </w:r>
      <w:r>
        <w:t xml:space="preserve">Reference Group could be assessed as efficient in terms of meeting the TEN-E Regulation goals</w:t>
      </w:r>
      <w:r>
        <w:t xml:space="preserve"> </w:t>
      </w:r>
      <w:r>
        <w:t xml:space="preserve">on stakeholder transparency.</w:t>
      </w:r>
      <w:r>
        <w:t xml:space="preserve"> </w:t>
      </w:r>
      <w:r>
        <w:t xml:space="preserve">When it comes to consideration of the NECPs in the scenarios, the existing approach showed</w:t>
      </w:r>
      <w:r>
        <w:t xml:space="preserve"> </w:t>
      </w:r>
      <w:r>
        <w:t xml:space="preserve">several shortcomings. The new TEN-E Regulation provisions have not proven, so far, to be</w:t>
      </w:r>
      <w:r>
        <w:t xml:space="preserve"> </w:t>
      </w:r>
      <w:r>
        <w:t xml:space="preserve">effective in ensuring alignment with the NECPs while ensuring a timely development of the</w:t>
      </w:r>
      <w:r>
        <w:t xml:space="preserve"> </w:t>
      </w:r>
      <w:r>
        <w:t xml:space="preserve">scenarios. Data collection for the scenarios remains a bottleneck and a timely, burdensome</w:t>
      </w:r>
      <w:r>
        <w:t xml:space="preserve"> </w:t>
      </w:r>
      <w:r>
        <w:t xml:space="preserve">process, where ENTSOs struggle to get good quality data on time. The alignment with NECPs</w:t>
      </w:r>
      <w:r>
        <w:t xml:space="preserve"> </w:t>
      </w:r>
      <w:r>
        <w:t xml:space="preserve">is also challenging because of the late delivery and quality of the plans. Concretely, NECPs</w:t>
      </w:r>
      <w:r>
        <w:t xml:space="preserve"> </w:t>
      </w:r>
      <w:r>
        <w:t xml:space="preserve">are not always sufficiently detailed and do not encompass all the sectors (for instance the</w:t>
      </w:r>
    </w:p>
    <w:p>
      <w:pPr>
        <w:pStyle w:val="BodyText"/>
      </w:pPr>
      <w:r>
        <w:t xml:space="preserve">212 Accessible online: ACER Opinion 05-2024 on ENTSO-E and ENTSOG Scenarios for TYNDP 2024 and</w:t>
      </w:r>
      <w:r>
        <w:t xml:space="preserve"> </w:t>
      </w:r>
      <w:r>
        <w:t xml:space="preserve">Guidelines</w:t>
      </w:r>
      <w:r>
        <w:t xml:space="preserve"> </w:t>
      </w:r>
      <w:r>
        <w:t xml:space="preserve">213 Accessible online: ENTSOs TYNDP Scenarios: Stakeholder Reference Group (SRG)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heating and cooling sector or electromobility). All these put a strain on the already tight</w:t>
      </w:r>
      <w:r>
        <w:t xml:space="preserve"> </w:t>
      </w:r>
      <w:r>
        <w:t xml:space="preserve">development timeline of the scenarios.</w:t>
      </w:r>
      <w:r>
        <w:t xml:space="preserve"> </w:t>
      </w:r>
      <w:r>
        <w:t xml:space="preserve">The late delivery of the scenarios in the TYNDP cycle leads to delays of other TYNDP</w:t>
      </w:r>
      <w:r>
        <w:t xml:space="preserve"> </w:t>
      </w:r>
      <w:r>
        <w:t xml:space="preserve">deliverables (needs assessment and projects’ CBA). Furthermore, the ex-post control</w:t>
      </w:r>
      <w:r>
        <w:t xml:space="preserve"> </w:t>
      </w:r>
      <w:r>
        <w:t xml:space="preserve">mechanisms (the ACER opinion and the Commission’s approval) are not effective in ensuring</w:t>
      </w:r>
      <w:r>
        <w:t xml:space="preserve"> </w:t>
      </w:r>
      <w:r>
        <w:t xml:space="preserve">any changes in the ongoing process because they come too late. Any adjustments to the</w:t>
      </w:r>
      <w:r>
        <w:t xml:space="preserve"> </w:t>
      </w:r>
      <w:r>
        <w:t xml:space="preserve">scenarios could only be made in the following scenario development cycle. In particular, the</w:t>
      </w:r>
      <w:r>
        <w:t xml:space="preserve"> </w:t>
      </w:r>
      <w:r>
        <w:t xml:space="preserve">Commission’s decision has been an inadequate tool since a potential rejection of the scenarios</w:t>
      </w:r>
      <w:r>
        <w:t xml:space="preserve"> </w:t>
      </w:r>
      <w:r>
        <w:t xml:space="preserve">would basically derail the completion of the TYNDP and the PCI/PMI process. The decision</w:t>
      </w:r>
      <w:r>
        <w:t xml:space="preserve"> </w:t>
      </w:r>
      <w:r>
        <w:t xml:space="preserve">can only act as an emergency instrument to stop significantly incorrect scenarios without</w:t>
      </w:r>
      <w:r>
        <w:t xml:space="preserve"> </w:t>
      </w:r>
      <w:r>
        <w:t xml:space="preserve">giving the Commission the right means to affect the scenario development. The formal and</w:t>
      </w:r>
      <w:r>
        <w:t xml:space="preserve"> </w:t>
      </w:r>
      <w:r>
        <w:t xml:space="preserve">heavy Commission decision adoption process is also disproportionate for what can be achieved</w:t>
      </w:r>
      <w:r>
        <w:t xml:space="preserve"> </w:t>
      </w:r>
      <w:r>
        <w:t xml:space="preserve">via this decision. In summary, the scenario building process seems not to be effective in meeting</w:t>
      </w:r>
      <w:r>
        <w:t xml:space="preserve"> </w:t>
      </w:r>
      <w:r>
        <w:t xml:space="preserve">the TEN-E Regulation goals as it currently stands.</w:t>
      </w:r>
      <w:r>
        <w:t xml:space="preserve"> </w:t>
      </w:r>
      <w:r>
        <w:t xml:space="preserve">Efficiency: While the objective of the 2022 TEN-E Regulation revision was, among others, to</w:t>
      </w:r>
      <w:r>
        <w:t xml:space="preserve"> </w:t>
      </w:r>
      <w:r>
        <w:t xml:space="preserve">accelerate and streamline the scenario development process, this does not seem to have</w:t>
      </w:r>
      <w:r>
        <w:t xml:space="preserve"> </w:t>
      </w:r>
      <w:r>
        <w:t xml:space="preserve">materialised. The 2024 scenarios were significantly delayed, as illustrated above. For the</w:t>
      </w:r>
      <w:r>
        <w:t xml:space="preserve"> </w:t>
      </w:r>
      <w:r>
        <w:t xml:space="preserve">TYNDP 2026, based on the current timeline214, the scenarios are expected to be delayed by 4-</w:t>
      </w:r>
      <w:r>
        <w:t xml:space="preserve"> </w:t>
      </w:r>
      <w:r>
        <w:t xml:space="preserve">6 months, which, inter alia, leads to issues not only for the PCI/PMI assessment process, but</w:t>
      </w:r>
      <w:r>
        <w:t xml:space="preserve"> </w:t>
      </w:r>
      <w:r>
        <w:t xml:space="preserve">also for the Projects of Energy Community Interest process steered by the Energy Community</w:t>
      </w:r>
      <w:r>
        <w:t xml:space="preserve"> </w:t>
      </w:r>
      <w:r>
        <w:t xml:space="preserve">Secretariat. As illustrated in the previous section, opinions come late in the process, which is</w:t>
      </w:r>
      <w:r>
        <w:t xml:space="preserve"> </w:t>
      </w:r>
      <w:r>
        <w:t xml:space="preserve">not efficient from an administrative and cost perspective (FTEs spent on opinion drafting, even</w:t>
      </w:r>
      <w:r>
        <w:t xml:space="preserve"> </w:t>
      </w:r>
      <w:r>
        <w:t xml:space="preserve">if they cannot substantially influence the process anymore).</w:t>
      </w:r>
      <w:r>
        <w:t xml:space="preserve"> </w:t>
      </w:r>
      <w:r>
        <w:t xml:space="preserve">Coherence: While the existing process of scenario building proved to be more coherent with</w:t>
      </w:r>
      <w:r>
        <w:t xml:space="preserve"> </w:t>
      </w:r>
      <w:r>
        <w:t xml:space="preserve">EU climate and energy targets as under the previous Regulation (EU/347/2013) (inter alia by</w:t>
      </w:r>
      <w:r>
        <w:t xml:space="preserve"> </w:t>
      </w:r>
      <w:r>
        <w:t xml:space="preserve">requiring stakeholder transparency and early involvement in the process, as well as the</w:t>
      </w:r>
      <w:r>
        <w:t xml:space="preserve"> </w:t>
      </w:r>
      <w:r>
        <w:t xml:space="preserve">mandatory link with NECPs), there are still significant gaps due to data quality and</w:t>
      </w:r>
      <w:r>
        <w:t xml:space="preserve"> </w:t>
      </w:r>
      <w:r>
        <w:t xml:space="preserve">availability, as well as the granularity of information available from NECPs.</w:t>
      </w:r>
    </w:p>
    <w:p>
      <w:pPr>
        <w:pStyle w:val="BodyText"/>
      </w:pPr>
      <w:r>
        <w:t xml:space="preserve">8.3 Infrastructure Gaps Identification and TYNDP Project Collection</w:t>
      </w:r>
    </w:p>
    <w:p>
      <w:pPr>
        <w:pStyle w:val="BodyText"/>
      </w:pPr>
      <w:r>
        <w:t xml:space="preserve">Pursuant to the requirement of the Article 13(1), ENTSO-E and ENTSOG are mandated to publish</w:t>
      </w:r>
      <w:r>
        <w:t xml:space="preserve"> </w:t>
      </w:r>
      <w:r>
        <w:t xml:space="preserve">the infrastructure gap reports under the TYNDP framework within six months following the</w:t>
      </w:r>
      <w:r>
        <w:t xml:space="preserve"> </w:t>
      </w:r>
      <w:r>
        <w:t xml:space="preserve">publication of the joint scenarios reports (Article 12), and every two years thereafter. ENTSOG</w:t>
      </w:r>
      <w:r>
        <w:t xml:space="preserve"> </w:t>
      </w:r>
      <w:r>
        <w:t xml:space="preserve">published for public consultation its draft Infrastructure Gaps Report215 on 18 December 2024,</w:t>
      </w:r>
      <w:r>
        <w:t xml:space="preserve"> </w:t>
      </w:r>
      <w:r>
        <w:t xml:space="preserve">while ENTSO-E published its own draft report216 on 31 January 2025, some six months later than</w:t>
      </w:r>
      <w:r>
        <w:t xml:space="preserve"> </w:t>
      </w:r>
      <w:r>
        <w:t xml:space="preserve">the targeted date set in ENTSO-E’s work programme. Pursuant to Article 13(3), ACER published</w:t>
      </w:r>
      <w:r>
        <w:t xml:space="preserve"> </w:t>
      </w:r>
      <w:r>
        <w:t xml:space="preserve">its opinions on the gaps reports on 27 May 2025 for ENTSOG’s draft report and 26 May 2025 for</w:t>
      </w:r>
    </w:p>
    <w:p>
      <w:pPr>
        <w:pStyle w:val="BodyText"/>
      </w:pPr>
      <w:r>
        <w:t xml:space="preserve">214 State of play as of 28 July 2025.</w:t>
      </w:r>
      <w:r>
        <w:t xml:space="preserve"> </w:t>
      </w:r>
      <w:r>
        <w:t xml:space="preserve">215 Accessible online: Hydrogen Infrastructure Gaps Identification Report | TYNDP 2024</w:t>
      </w:r>
      <w:r>
        <w:t xml:space="preserve"> </w:t>
      </w:r>
      <w:r>
        <w:t xml:space="preserve">216 Accessible online: Opinion No 05/2025 of ACER of 27 May 2025 on ENTSOG Draft Hydrogen Infrastructure</w:t>
      </w:r>
      <w:r>
        <w:t xml:space="preserve"> </w:t>
      </w:r>
      <w:r>
        <w:t xml:space="preserve">Gaps Identification Report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ENTSO-E’s draft report217. The assessment on the draft reports by the Commission, pursuant to</w:t>
      </w:r>
      <w:r>
        <w:t xml:space="preserve"> </w:t>
      </w:r>
      <w:r>
        <w:t xml:space="preserve">Article 13(4) is currently ongoing and will result in opinions addressed to the ENTSOs, towards</w:t>
      </w:r>
      <w:r>
        <w:t xml:space="preserve"> </w:t>
      </w:r>
      <w:r>
        <w:t xml:space="preserve">drafting their final Infrastructure Gap Reports.</w:t>
      </w:r>
      <w:r>
        <w:t xml:space="preserve"> </w:t>
      </w:r>
      <w:r>
        <w:t xml:space="preserve">For the electricity sector there seem to be some discrepancies in terms of timeline, the interlink of</w:t>
      </w:r>
      <w:r>
        <w:t xml:space="preserve"> </w:t>
      </w:r>
      <w:r>
        <w:t xml:space="preserve">the TYNDP project collection for the PCI/PMI assessment process and the Infrastructure Gaps</w:t>
      </w:r>
      <w:r>
        <w:t xml:space="preserve"> </w:t>
      </w:r>
      <w:r>
        <w:t xml:space="preserve">Report.</w:t>
      </w:r>
      <w:r>
        <w:br/>
      </w:r>
      <w:r>
        <w:t xml:space="preserve">Project collection for the 2026 TYNDP started in mid-April 2025 and lasted for one month, until</w:t>
      </w:r>
      <w:r>
        <w:t xml:space="preserve"> </w:t>
      </w:r>
      <w:r>
        <w:t xml:space="preserve">mid-May 2025. During autumn 2025, there will be an opportunity to submit additional, non-</w:t>
      </w:r>
      <w:r>
        <w:t xml:space="preserve"> </w:t>
      </w:r>
      <w:r>
        <w:t xml:space="preserve">mature projects (with project status “under consideration”).218</w:t>
      </w:r>
      <w:r>
        <w:t xml:space="preserve"> </w:t>
      </w:r>
      <w:r>
        <w:t xml:space="preserve">Based on the 2026 TYNDP FAQ219, the provisional list of projects admitted to the TYNDP 2026</w:t>
      </w:r>
      <w:r>
        <w:t xml:space="preserve"> </w:t>
      </w:r>
      <w:r>
        <w:t xml:space="preserve">is to be published in January 2026. The updated list is to be released for public consultation only</w:t>
      </w:r>
      <w:r>
        <w:t xml:space="preserve"> </w:t>
      </w:r>
      <w:r>
        <w:t xml:space="preserve">in October 2026. CBA results as well as the draft infrastructure gaps identification (system needs</w:t>
      </w:r>
      <w:r>
        <w:t xml:space="preserve"> </w:t>
      </w:r>
      <w:r>
        <w:t xml:space="preserve">study) are expected to be published for public consultation in Q4 2026.220 At the same time, the</w:t>
      </w:r>
      <w:r>
        <w:t xml:space="preserve"> </w:t>
      </w:r>
      <w:r>
        <w:t xml:space="preserve">3rd PCI/PMI assessment process is set to start earlier, in early autumn 2026. There is thus a risk</w:t>
      </w:r>
      <w:r>
        <w:t xml:space="preserve"> </w:t>
      </w:r>
      <w:r>
        <w:t xml:space="preserve">that projects which would not be accepted for the final TYNDP 2026 would apply for PCI/PMI</w:t>
      </w:r>
      <w:r>
        <w:t xml:space="preserve"> </w:t>
      </w:r>
      <w:r>
        <w:t xml:space="preserve">process. At the time, such projects may still need to be assessed by the regional groups in the</w:t>
      </w:r>
      <w:r>
        <w:t xml:space="preserve"> </w:t>
      </w:r>
      <w:r>
        <w:t xml:space="preserve">PCI/PMI selection process to ensure a non-discriminatory approach. This leads to inefficiencies</w:t>
      </w:r>
      <w:r>
        <w:t xml:space="preserve"> </w:t>
      </w:r>
      <w:r>
        <w:t xml:space="preserve">and administrative burden. Also, the timeline as presented earlier raises questions on alignment of</w:t>
      </w:r>
      <w:r>
        <w:t xml:space="preserve"> </w:t>
      </w:r>
      <w:r>
        <w:t xml:space="preserve">candidate projects with the needs identified, especially in light of the January 2026 provisional</w:t>
      </w:r>
      <w:r>
        <w:t xml:space="preserve"> </w:t>
      </w:r>
      <w:r>
        <w:t xml:space="preserve">list.</w:t>
      </w:r>
      <w:r>
        <w:t xml:space="preserve"> </w:t>
      </w:r>
      <w:r>
        <w:t xml:space="preserve">Effectiveness: Throughout the past two TYNDP processes (2024 and expected timeline for</w:t>
      </w:r>
      <w:r>
        <w:t xml:space="preserve"> </w:t>
      </w:r>
      <w:r>
        <w:t xml:space="preserve">2026 TYNDP), it has become evident that the Commission’s opinion comes too late to affect</w:t>
      </w:r>
      <w:r>
        <w:t xml:space="preserve"> </w:t>
      </w:r>
      <w:r>
        <w:t xml:space="preserve">the Infrastructure Gap Report. What is more, some of the elements of the opinion would come</w:t>
      </w:r>
      <w:r>
        <w:t xml:space="preserve"> </w:t>
      </w:r>
      <w:r>
        <w:t xml:space="preserve">too late to be addressed even in the following TYNDP cycle e.g. the reference grid</w:t>
      </w:r>
      <w:r>
        <w:t xml:space="preserve"> </w:t>
      </w:r>
      <w:r>
        <w:t xml:space="preserve">configuration. Hence, this ex-post control mechanism does not seem very effective, and the</w:t>
      </w:r>
      <w:r>
        <w:t xml:space="preserve"> </w:t>
      </w:r>
      <w:r>
        <w:t xml:space="preserve">formal adoption procedure could be deemed as disproportionate to the impacts the opinion</w:t>
      </w:r>
      <w:r>
        <w:t xml:space="preserve"> </w:t>
      </w:r>
      <w:r>
        <w:t xml:space="preserve">could bring. Furthermore, it has become evident that ACER and the Commission have little</w:t>
      </w:r>
      <w:r>
        <w:t xml:space="preserve"> </w:t>
      </w:r>
      <w:r>
        <w:t xml:space="preserve">means to steer the gaps identification process in the desired direction and make it more</w:t>
      </w:r>
      <w:r>
        <w:t xml:space="preserve"> </w:t>
      </w:r>
      <w:r>
        <w:t xml:space="preserve">relevant for the identification of the key projects for the Union. There is currently no</w:t>
      </w:r>
      <w:r>
        <w:t xml:space="preserve"> </w:t>
      </w:r>
      <w:r>
        <w:t xml:space="preserve">mechanism to be applied in case projects do not fully meet addressed needs (this was also</w:t>
      </w:r>
      <w:r>
        <w:t xml:space="preserve"> </w:t>
      </w:r>
      <w:r>
        <w:t xml:space="preserve">raised by ACER in their 2024 Infrastructure Market Monitoring Report).221 Moreover, the</w:t>
      </w:r>
      <w:r>
        <w:t xml:space="preserve"> </w:t>
      </w:r>
      <w:r>
        <w:t xml:space="preserve">timeline raises questions on whether the projects, if collected 1.5 year earlier than the results</w:t>
      </w:r>
      <w:r>
        <w:t xml:space="preserve"> </w:t>
      </w:r>
      <w:r>
        <w:t xml:space="preserve">of the Infrastructure Gaps Report, are effectively addressing the needs, and if their alignment</w:t>
      </w:r>
      <w:r>
        <w:t xml:space="preserve"> </w:t>
      </w:r>
      <w:r>
        <w:t xml:space="preserve">with the needs can be ensured. The publication of the final report a mere half a year before the</w:t>
      </w:r>
      <w:r>
        <w:t xml:space="preserve"> </w:t>
      </w:r>
      <w:r>
        <w:t xml:space="preserve">collection for the next cycle starts also questions its effectiveness in terms of steering the project</w:t>
      </w:r>
      <w:r>
        <w:t xml:space="preserve"> </w:t>
      </w:r>
      <w:r>
        <w:t xml:space="preserve">development for the next cycle (as half a year is not long enough to agree on new cross-border</w:t>
      </w:r>
      <w:r>
        <w:t xml:space="preserve"> </w:t>
      </w:r>
      <w:r>
        <w:t xml:space="preserve">or even internal projects, not to mention inclusion in national network development plans, if</w:t>
      </w:r>
    </w:p>
    <w:p>
      <w:pPr>
        <w:pStyle w:val="BodyText"/>
      </w:pPr>
      <w:r>
        <w:t xml:space="preserve">217 Accessible online: Opinion No 04/2025 of ACER of 26 May 2025 on ENTSO-E’s Draft TYNDP 2024 and on</w:t>
      </w:r>
      <w:r>
        <w:t xml:space="preserve"> </w:t>
      </w:r>
      <w:r>
        <w:t xml:space="preserve">ENTSO-E’s draft Infrastructure Gaps Report 2024</w:t>
      </w:r>
      <w:r>
        <w:t xml:space="preserve"> </w:t>
      </w:r>
      <w:r>
        <w:t xml:space="preserve">218 Accessible online: Promoters corner | ENTSO-E TYNDP</w:t>
      </w:r>
      <w:r>
        <w:t xml:space="preserve"> </w:t>
      </w:r>
      <w:r>
        <w:t xml:space="preserve">219 Accessible online: 250207_TYNDP2026_FAQ_ProjectPromoters_Final.pdf</w:t>
      </w:r>
      <w:r>
        <w:t xml:space="preserve"> </w:t>
      </w:r>
      <w:r>
        <w:t xml:space="preserve">220 Accessible online: Entso-e | Explore the TYNDP</w:t>
      </w:r>
      <w:r>
        <w:t xml:space="preserve"> </w:t>
      </w:r>
      <w:r>
        <w:t xml:space="preserve">221 Accessible online: Electricity infrastructure development to support a competitive and sustainable energy system</w:t>
      </w:r>
      <w:r>
        <w:t xml:space="preserve"> </w:t>
      </w:r>
      <w:r>
        <w:t xml:space="preserve">| www.acer.europa.eu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necessary). As a consequence, under the current approach, the gaps identification report is</w:t>
      </w:r>
      <w:r>
        <w:t xml:space="preserve"> </w:t>
      </w:r>
      <w:r>
        <w:t xml:space="preserve">more a self-standing deliverable than a sufficiently strong steer toward concrete project</w:t>
      </w:r>
      <w:r>
        <w:t xml:space="preserve"> </w:t>
      </w:r>
      <w:r>
        <w:t xml:space="preserve">development.</w:t>
      </w:r>
      <w:r>
        <w:br/>
      </w:r>
      <w:r>
        <w:t xml:space="preserve">Efficiency: The process and its timeline, as it stands currently, cannot ensure an efficient</w:t>
      </w:r>
      <w:r>
        <w:t xml:space="preserve"> </w:t>
      </w:r>
      <w:r>
        <w:t xml:space="preserve">TYNDP and PCI/PMI selection process, as the TYNDP process selection results, the CBA</w:t>
      </w:r>
      <w:r>
        <w:t xml:space="preserve"> </w:t>
      </w:r>
      <w:r>
        <w:t xml:space="preserve">results and the Infrastructure Gaps Report are not published early enough to directly feed into</w:t>
      </w:r>
      <w:r>
        <w:t xml:space="preserve"> </w:t>
      </w:r>
      <w:r>
        <w:t xml:space="preserve">the PCI/PMI process (in terms of filtering project applications). This leads to inefficiencies in</w:t>
      </w:r>
      <w:r>
        <w:t xml:space="preserve"> </w:t>
      </w:r>
      <w:r>
        <w:t xml:space="preserve">the process, resulting in the assessment of projects which consequently may not be matching</w:t>
      </w:r>
      <w:r>
        <w:t xml:space="preserve"> </w:t>
      </w:r>
      <w:r>
        <w:t xml:space="preserve">the infrastructure needs identified.</w:t>
      </w:r>
      <w:r>
        <w:br/>
      </w:r>
      <w:r>
        <w:t xml:space="preserve">Coherence: The existing process proved not to be fully coherent with the climate and energy</w:t>
      </w:r>
      <w:r>
        <w:t xml:space="preserve"> </w:t>
      </w:r>
      <w:r>
        <w:t xml:space="preserve">goals, due to timeline issues, but also due to the impossibility to take into account the</w:t>
      </w:r>
      <w:r>
        <w:t xml:space="preserve"> </w:t>
      </w:r>
      <w:r>
        <w:t xml:space="preserve">Commission’s opinion due to its very late delivery in the process (de facto after the decision of</w:t>
      </w:r>
      <w:r>
        <w:t xml:space="preserve"> </w:t>
      </w:r>
      <w:r>
        <w:t xml:space="preserve">the Technical decision-making body on the draft PCI/PMI list).</w:t>
      </w:r>
    </w:p>
    <w:p>
      <w:pPr>
        <w:pStyle w:val="Compact"/>
        <w:numPr>
          <w:ilvl w:val="0"/>
          <w:numId w:val="1026"/>
        </w:numPr>
      </w:pPr>
      <w:r>
        <w:t xml:space="preserve">Cross-Border Cost Allocation</w:t>
      </w:r>
    </w:p>
    <w:p>
      <w:pPr>
        <w:pStyle w:val="FirstParagraph"/>
      </w:pPr>
      <w:r>
        <w:t xml:space="preserve">The TEN-E Regulation revision in 2022 has not materially changed the rules governing the cross-</w:t>
      </w:r>
      <w:r>
        <w:t xml:space="preserve"> </w:t>
      </w:r>
      <w:r>
        <w:t xml:space="preserve">border cost-allocation framework compared to previous Regulation (EU/347/2013). However, in</w:t>
      </w:r>
      <w:r>
        <w:t xml:space="preserve"> </w:t>
      </w:r>
      <w:r>
        <w:t xml:space="preserve">June 2023, ACER updated its recommendation on good practices for the treatment of the</w:t>
      </w:r>
      <w:r>
        <w:t xml:space="preserve"> </w:t>
      </w:r>
      <w:r>
        <w:t xml:space="preserve">investment requests including Cross Border Cost Allocation (CBCA) requests, for PCIs, as</w:t>
      </w:r>
      <w:r>
        <w:t xml:space="preserve"> </w:t>
      </w:r>
      <w:r>
        <w:t xml:space="preserve">foreseen under Article 16(11) of the Regulation. This updated recommendation provides further</w:t>
      </w:r>
      <w:r>
        <w:t xml:space="preserve"> </w:t>
      </w:r>
      <w:r>
        <w:t xml:space="preserve">indications, for instance, regarding the recommended threshold when allocating costs and the</w:t>
      </w:r>
      <w:r>
        <w:t xml:space="preserve"> </w:t>
      </w:r>
      <w:r>
        <w:t xml:space="preserve">treatment of uncertainty.</w:t>
      </w:r>
      <w:r>
        <w:t xml:space="preserve"> </w:t>
      </w:r>
      <w:r>
        <w:t xml:space="preserve">According to ACER’s report on cross-border cost allocation decisions222, the number of CBCA</w:t>
      </w:r>
      <w:r>
        <w:t xml:space="preserve"> </w:t>
      </w:r>
      <w:r>
        <w:t xml:space="preserve">decisions for electricity PCI and PMI projects has decreased over time, while hydrogen projects</w:t>
      </w:r>
      <w:r>
        <w:t xml:space="preserve"> </w:t>
      </w:r>
      <w:r>
        <w:t xml:space="preserve">have not received any CBCA decisions yet as projects are not mature enough to initiate an</w:t>
      </w:r>
      <w:r>
        <w:t xml:space="preserve"> </w:t>
      </w:r>
      <w:r>
        <w:t xml:space="preserve">investment request including a CBCA or are not yet captured by the regulated regime. For</w:t>
      </w:r>
      <w:r>
        <w:t xml:space="preserve"> </w:t>
      </w:r>
      <w:r>
        <w:t xml:space="preserve">electricity PCI and PMIs, 14 CBCA decisions were granted over the period 2014-2019 (June),</w:t>
      </w:r>
      <w:r>
        <w:t xml:space="preserve"> </w:t>
      </w:r>
      <w:r>
        <w:t xml:space="preserve">while only 5 CBCA decisions were issued between (June) 2019 and 2024.</w:t>
      </w:r>
      <w:r>
        <w:br/>
      </w:r>
      <w:r>
        <w:t xml:space="preserve">In recent years, there have been very few new CBCA decisions. Because of this, only a small</w:t>
      </w:r>
      <w:r>
        <w:t xml:space="preserve"> </w:t>
      </w:r>
      <w:r>
        <w:t xml:space="preserve">number of projects on the latest PCI/PMI list have received a CBCA decision (either a new CBCA</w:t>
      </w:r>
      <w:r>
        <w:t xml:space="preserve"> </w:t>
      </w:r>
      <w:r>
        <w:t xml:space="preserve">or a CBCA carried over from previous lists). Out of the 80 projects on the first PCI/PMI Union</w:t>
      </w:r>
      <w:r>
        <w:t xml:space="preserve"> </w:t>
      </w:r>
      <w:r>
        <w:t xml:space="preserve">list, only 19 are covered by CBCA decisions, and just 2 of those are new projects.</w:t>
      </w:r>
      <w:r>
        <w:t xml:space="preserve"> </w:t>
      </w:r>
      <w:r>
        <w:t xml:space="preserve">Additionally, only a limited number of CBCA decisions include a transfer of costs across borders/</w:t>
      </w:r>
      <w:r>
        <w:t xml:space="preserve"> </w:t>
      </w:r>
      <w:r>
        <w:t xml:space="preserve">to non-hosting countries (3 out of 50 CBCA decisions for the period 2014-2024), all of which</w:t>
      </w:r>
      <w:r>
        <w:t xml:space="preserve"> </w:t>
      </w:r>
      <w:r>
        <w:t xml:space="preserve">were in the gas sector so not relevant any more under the revised TEN-E Regulation.</w:t>
      </w:r>
    </w:p>
    <w:p>
      <w:pPr>
        <w:pStyle w:val="BodyText"/>
      </w:pPr>
      <w:r>
        <w:t xml:space="preserve">222 Accessible online: ACER CBCA Report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Lastly, there is a strong link between the establishment of a CBCA and the CEF application. The</w:t>
      </w:r>
      <w:r>
        <w:t xml:space="preserve"> </w:t>
      </w:r>
      <w:r>
        <w:t xml:space="preserve">project promoter(s) of all 50 investment requests expressed an intention to apply for CEF funding</w:t>
      </w:r>
      <w:r>
        <w:t xml:space="preserve"> </w:t>
      </w:r>
      <w:r>
        <w:t xml:space="preserve">for works.</w:t>
      </w:r>
      <w:r>
        <w:t xml:space="preserve"> </w:t>
      </w:r>
      <w:r>
        <w:t xml:space="preserve">Effectiveness: The current CBCA provisions have facilitated the allocation of investment costs</w:t>
      </w:r>
      <w:r>
        <w:t xml:space="preserve"> </w:t>
      </w:r>
      <w:r>
        <w:t xml:space="preserve">for PCI/PMIs in the gas and electricity sectors, primarily to support CEF applications for</w:t>
      </w:r>
      <w:r>
        <w:t xml:space="preserve"> </w:t>
      </w:r>
      <w:r>
        <w:t xml:space="preserve">works. Within this framework, the TEN-E Regulation has effectively ensured that projects</w:t>
      </w:r>
      <w:r>
        <w:t xml:space="preserve"> </w:t>
      </w:r>
      <w:r>
        <w:t xml:space="preserve">submitting CEF funding applications are based on well-founded investment requests and</w:t>
      </w:r>
      <w:r>
        <w:t xml:space="preserve"> </w:t>
      </w:r>
      <w:r>
        <w:t xml:space="preserve">demonstrate sufficient maturity. However, there have been very few instances of involvement</w:t>
      </w:r>
      <w:r>
        <w:t xml:space="preserve"> </w:t>
      </w:r>
      <w:r>
        <w:t xml:space="preserve">by non-hosting countries in CBCA decisions, and none in the electricity sector. Provisions have</w:t>
      </w:r>
      <w:r>
        <w:t xml:space="preserve"> </w:t>
      </w:r>
      <w:r>
        <w:t xml:space="preserve">therefore had limited effectiveness in triggering additional investments from non-hosting</w:t>
      </w:r>
      <w:r>
        <w:t xml:space="preserve"> </w:t>
      </w:r>
      <w:r>
        <w:t xml:space="preserve">countries that may benefit from the projects.</w:t>
      </w:r>
      <w:r>
        <w:br/>
      </w:r>
      <w:r>
        <w:t xml:space="preserve">Efficiency: The existing CBCA framework has enabled the allocation of CEF grants, helping</w:t>
      </w:r>
      <w:r>
        <w:t xml:space="preserve"> </w:t>
      </w:r>
      <w:r>
        <w:t xml:space="preserve">to close the financing gap for some PCI/PMI projects, and has been relatively efficient</w:t>
      </w:r>
      <w:r>
        <w:t xml:space="preserve"> </w:t>
      </w:r>
      <w:r>
        <w:t xml:space="preserve">compared to the resources required to establish such CBCAs. However, its efficiency has been</w:t>
      </w:r>
      <w:r>
        <w:t xml:space="preserve"> </w:t>
      </w:r>
      <w:r>
        <w:t xml:space="preserve">relatively limited when considering its ability to trigger contributions from across borders and,</w:t>
      </w:r>
      <w:r>
        <w:t xml:space="preserve"> </w:t>
      </w:r>
      <w:r>
        <w:t xml:space="preserve">thus, truly unlocking financing opportunities outside of Union grants.</w:t>
      </w:r>
      <w:r>
        <w:t xml:space="preserve"> </w:t>
      </w:r>
      <w:r>
        <w:t xml:space="preserve">Coherence: These provisions proved to be coherent with broader EU energy policy objectives,</w:t>
      </w:r>
      <w:r>
        <w:t xml:space="preserve"> </w:t>
      </w:r>
      <w:r>
        <w:t xml:space="preserve">as they aim to facilitate the implementation of regulated cross-border energy infrastructure</w:t>
      </w:r>
      <w:r>
        <w:t xml:space="preserve"> </w:t>
      </w:r>
      <w:r>
        <w:t xml:space="preserve">projects, thereby increasing interconnectivity between Member States and promoting</w:t>
      </w:r>
      <w:r>
        <w:t xml:space="preserve"> </w:t>
      </w:r>
      <w:r>
        <w:t xml:space="preserve">electrification, for example, by unlocking the offshore renewable energy potential.</w:t>
      </w:r>
    </w:p>
    <w:p>
      <w:pPr>
        <w:pStyle w:val="Compact"/>
        <w:numPr>
          <w:ilvl w:val="0"/>
          <w:numId w:val="1027"/>
        </w:numPr>
      </w:pPr>
      <w:r>
        <w:t xml:space="preserve">Conclusions</w:t>
      </w:r>
    </w:p>
    <w:p>
      <w:pPr>
        <w:pStyle w:val="FirstParagraph"/>
      </w:pPr>
      <w:r>
        <w:t xml:space="preserve">In terms of coherence, the revision of the TEN-E Regulation in 2022 brought its scope in line with</w:t>
      </w:r>
      <w:r>
        <w:t xml:space="preserve"> </w:t>
      </w:r>
      <w:r>
        <w:t xml:space="preserve">the objectives of the European Green Deal and with achieving climate neutrality by 2050. Its</w:t>
      </w:r>
      <w:r>
        <w:t xml:space="preserve"> </w:t>
      </w:r>
      <w:r>
        <w:t xml:space="preserve">implementation provided evidence of the need for further improvements, namely when it comes</w:t>
      </w:r>
      <w:r>
        <w:t xml:space="preserve"> </w:t>
      </w:r>
      <w:r>
        <w:t xml:space="preserve">to scenario development, infrastructure needs identification and consequent TYNDP, PCI/PMI</w:t>
      </w:r>
      <w:r>
        <w:t xml:space="preserve"> </w:t>
      </w:r>
      <w:r>
        <w:t xml:space="preserve">project selection and assessment, as well as CBCA and permitting frameworks.</w:t>
      </w:r>
      <w:r>
        <w:t xml:space="preserve"> </w:t>
      </w:r>
      <w:r>
        <w:t xml:space="preserve">The first and the second PCI/PMI lists reflected the substantial policy changes made as part of</w:t>
      </w:r>
      <w:r>
        <w:t xml:space="preserve"> </w:t>
      </w:r>
      <w:r>
        <w:t xml:space="preserve">2022 TEN-E Regulation revision. Fossil fuel infrastructure stopped being eligible to benefit from</w:t>
      </w:r>
      <w:r>
        <w:t xml:space="preserve"> </w:t>
      </w:r>
      <w:r>
        <w:t xml:space="preserve">the TEN-E policy framework. However, there is a risk associated with the smart gas grids project</w:t>
      </w:r>
      <w:r>
        <w:t xml:space="preserve"> </w:t>
      </w:r>
      <w:r>
        <w:t xml:space="preserve">category with regard to possible indirect support of natural gas infrastructure, as shown in the</w:t>
      </w:r>
      <w:r>
        <w:t xml:space="preserve"> </w:t>
      </w:r>
      <w:r>
        <w:t xml:space="preserve">second PCI/PMI selection process. The introduction of hydrogen and electrolyser infrastructure</w:t>
      </w:r>
      <w:r>
        <w:t xml:space="preserve"> </w:t>
      </w:r>
      <w:r>
        <w:t xml:space="preserve">categories was very effective, in the sense that it led to a significant number of (successful)</w:t>
      </w:r>
      <w:r>
        <w:t xml:space="preserve"> </w:t>
      </w:r>
      <w:r>
        <w:t xml:space="preserve">candidate projects, which also substantially increased from first to second PCI and PMI selection</w:t>
      </w:r>
      <w:r>
        <w:t xml:space="preserve"> </w:t>
      </w:r>
      <w:r>
        <w:t xml:space="preserve">process. It remains to be seen how many of these projects will reach implementation stage.</w:t>
      </w:r>
      <w:r>
        <w:t xml:space="preserve"> </w:t>
      </w:r>
      <w:r>
        <w:t xml:space="preserve">Moreover, many of the applied electrolyser projects were rather limited in size, raising questions</w:t>
      </w:r>
      <w:r>
        <w:t xml:space="preserve"> </w:t>
      </w:r>
      <w:r>
        <w:t xml:space="preserve">about their added value, in terms of cross-border impact. In the electricity infrastructure category,</w:t>
      </w:r>
      <w:r>
        <w:t xml:space="preserve"> </w:t>
      </w:r>
      <w:r>
        <w:t xml:space="preserve">there were also a significant number of candidate projects. The scope of the category was</w:t>
      </w:r>
      <w:r>
        <w:t xml:space="preserve"> </w:t>
      </w:r>
      <w:r>
        <w:t xml:space="preserve">expanded to accommodate offshore infrastructure needs of Member States. However, the number</w:t>
      </w:r>
      <w:r>
        <w:t xml:space="preserve"> </w:t>
      </w:r>
      <w:r>
        <w:t xml:space="preserve">of the proposed radial links compared to hybrid projects was noticeably larger, despite the latter’s</w:t>
      </w:r>
      <w:r>
        <w:t xml:space="preserve"> </w:t>
      </w:r>
      <w:r>
        <w:t xml:space="preserve">higher potential to, inter alia, efficiently unlock offshore energy resources across Member States.</w:t>
      </w:r>
      <w:r>
        <w:t xml:space="preserve"> </w:t>
      </w:r>
      <w:r>
        <w:t xml:space="preserve">It is also visible that the number of internal electricity (onshore) lines remains limited compared</w:t>
      </w:r>
      <w:r>
        <w:t xml:space="preserve"> </w:t>
      </w:r>
      <w:r>
        <w:t xml:space="preserve">to interconnections. On the other hand, the revision in the scope of smart electricity grids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infrastructure category, and the introduction of new category for smart gas grids projects, did not</w:t>
      </w:r>
      <w:r>
        <w:t xml:space="preserve"> </w:t>
      </w:r>
      <w:r>
        <w:t xml:space="preserve">bring about the intended uptake of projects falling under their scope.</w:t>
      </w:r>
      <w:r>
        <w:t xml:space="preserve"> </w:t>
      </w:r>
      <w:r>
        <w:t xml:space="preserve">In the two PCI/PMI selections processes, a growing interest in the infrastructure projects with</w:t>
      </w:r>
      <w:r>
        <w:t xml:space="preserve"> </w:t>
      </w:r>
      <w:r>
        <w:t xml:space="preserve">third-country networks was observed. While it supports the alignment of the EU policy framework</w:t>
      </w:r>
      <w:r>
        <w:t xml:space="preserve"> </w:t>
      </w:r>
      <w:r>
        <w:t xml:space="preserve">with the Energy Community (and especially EU accession) countries, and despite the impact these</w:t>
      </w:r>
      <w:r>
        <w:t xml:space="preserve"> </w:t>
      </w:r>
      <w:r>
        <w:t xml:space="preserve">countries have on the internal EU energy market and security of supply due to existing</w:t>
      </w:r>
      <w:r>
        <w:t xml:space="preserve"> </w:t>
      </w:r>
      <w:r>
        <w:t xml:space="preserve">interconnections, the current framework only considers benefits for the EU, resulting in some</w:t>
      </w:r>
      <w:r>
        <w:t xml:space="preserve"> </w:t>
      </w:r>
      <w:r>
        <w:t xml:space="preserve">candidate PMIs with the Energy Community Contracting Parties not succeeding in the selection</w:t>
      </w:r>
      <w:r>
        <w:t xml:space="preserve"> </w:t>
      </w:r>
      <w:r>
        <w:t xml:space="preserve">procedure, although they might contribute significantly to the EU’s policy objectives.</w:t>
      </w:r>
      <w:r>
        <w:br/>
      </w:r>
      <w:r>
        <w:t xml:space="preserve">The offshore grid planning provisions resulted in the adoption of non-binding goals and the</w:t>
      </w:r>
      <w:r>
        <w:t xml:space="preserve"> </w:t>
      </w:r>
      <w:r>
        <w:t xml:space="preserve">ONDPs, which are important building blocks from which to start offshore planning. The upcoming</w:t>
      </w:r>
      <w:r>
        <w:t xml:space="preserve"> </w:t>
      </w:r>
      <w:r>
        <w:t xml:space="preserve">integration of the ONDPs into the TYNDP 2026 will promote an even more efficient approach to</w:t>
      </w:r>
      <w:r>
        <w:t xml:space="preserve"> </w:t>
      </w:r>
      <w:r>
        <w:t xml:space="preserve">planning overall. However, these processes so far have not led to the identification and realisation</w:t>
      </w:r>
      <w:r>
        <w:t xml:space="preserve"> </w:t>
      </w:r>
      <w:r>
        <w:t xml:space="preserve">of concrete cooperation projects.</w:t>
      </w:r>
      <w:r>
        <w:t xml:space="preserve"> </w:t>
      </w:r>
      <w:r>
        <w:t xml:space="preserve">The permitting amendments introduced by the TEN-E Regulation revision in 2022 generally</w:t>
      </w:r>
      <w:r>
        <w:t xml:space="preserve"> </w:t>
      </w:r>
      <w:r>
        <w:t xml:space="preserve">achieved their intended goal to increase the clarity and flexibility of procedures. Still, further</w:t>
      </w:r>
      <w:r>
        <w:t xml:space="preserve"> </w:t>
      </w:r>
      <w:r>
        <w:t xml:space="preserve">improvements could be made to support the acceleration of procedures, contributing to the</w:t>
      </w:r>
      <w:r>
        <w:t xml:space="preserve"> </w:t>
      </w:r>
      <w:r>
        <w:t xml:space="preserve">process’s overall efficiency.</w:t>
      </w:r>
      <w:r>
        <w:br/>
      </w:r>
      <w:r>
        <w:t xml:space="preserve">The provisions on cross-sectoral infrastructure planning were also subject to substantial revisions.</w:t>
      </w:r>
      <w:r>
        <w:t xml:space="preserve"> </w:t>
      </w:r>
      <w:r>
        <w:t xml:space="preserve">While the harmonised CBA methodologies were delivered, and proven effective, technical and</w:t>
      </w:r>
      <w:r>
        <w:t xml:space="preserve"> </w:t>
      </w:r>
      <w:r>
        <w:t xml:space="preserve">data limitations in their development influenced their robustness. The scenario development</w:t>
      </w:r>
      <w:r>
        <w:t xml:space="preserve"> </w:t>
      </w:r>
      <w:r>
        <w:t xml:space="preserve">process, as it stands now, is faced with multiple drawbacks driven largely by delays and, hence,</w:t>
      </w:r>
      <w:r>
        <w:t xml:space="preserve"> </w:t>
      </w:r>
      <w:r>
        <w:t xml:space="preserve">not fully effective in meeting the TEN-E Regulation goals. Similar issues hamper the gaps</w:t>
      </w:r>
      <w:r>
        <w:t xml:space="preserve"> </w:t>
      </w:r>
      <w:r>
        <w:t xml:space="preserve">identification process. In addition, the Commission and ACER have little means to steer the</w:t>
      </w:r>
      <w:r>
        <w:t xml:space="preserve"> </w:t>
      </w:r>
      <w:r>
        <w:t xml:space="preserve">process towards identification of the key projects for the Union. Moreover, there is no mechanism</w:t>
      </w:r>
      <w:r>
        <w:t xml:space="preserve"> </w:t>
      </w:r>
      <w:r>
        <w:t xml:space="preserve">to be used in case the projects proposed do not fully meet the addressed needs.</w:t>
      </w:r>
      <w:r>
        <w:t xml:space="preserve"> </w:t>
      </w:r>
      <w:r>
        <w:t xml:space="preserve">With regard to the cross-border cost allocation, the TEN-E Regulation provisions have efficiently</w:t>
      </w:r>
      <w:r>
        <w:t xml:space="preserve"> </w:t>
      </w:r>
      <w:r>
        <w:t xml:space="preserve">and effectively facilitated the allocation of investment costs for PCI/PMIs in the electricity (and</w:t>
      </w:r>
      <w:r>
        <w:t xml:space="preserve"> </w:t>
      </w:r>
      <w:r>
        <w:t xml:space="preserve">in the past in the gas) sector, primarily to support CEF applications for works. However, there</w:t>
      </w:r>
      <w:r>
        <w:t xml:space="preserve"> </w:t>
      </w:r>
      <w:r>
        <w:t xml:space="preserve">have been very few instances of involvement of non-hosting countries in CBCA decisions, and</w:t>
      </w:r>
      <w:r>
        <w:t xml:space="preserve"> </w:t>
      </w:r>
      <w:r>
        <w:t xml:space="preserve">none in the electricity sector. Provisions have therefore had limited effectiveness in triggering</w:t>
      </w:r>
      <w:r>
        <w:t xml:space="preserve"> </w:t>
      </w:r>
      <w:r>
        <w:t xml:space="preserve">additional investments from non-hosting countries that may otherwise significantly benefit from</w:t>
      </w:r>
      <w:r>
        <w:t xml:space="preserve"> </w:t>
      </w:r>
      <w:r>
        <w:t xml:space="preserve">the projects.</w:t>
      </w:r>
    </w:p>
    <w:p>
      <w:pPr>
        <w:pStyle w:val="Compact"/>
        <w:numPr>
          <w:ilvl w:val="0"/>
          <w:numId w:val="1028"/>
        </w:numPr>
      </w:pPr>
      <w:r>
        <w:t xml:space="preserve">IMPLEMENTATION REPORT ON THE RENEWABLE ENERGY DIRECTIVE LEGAL</w:t>
      </w:r>
      <w:r>
        <w:t xml:space="preserve"> </w:t>
      </w:r>
      <w:r>
        <w:t xml:space="preserve">FRAMEWORK REGULATING PERMIT-GRANTING</w:t>
      </w:r>
      <w:r>
        <w:t xml:space="preserve"> </w:t>
      </w:r>
      <w:r>
        <w:t xml:space="preserve">The report focuses on the implementation to date of the legal framework regulating the permit-</w:t>
      </w:r>
      <w:r>
        <w:t xml:space="preserve"> </w:t>
      </w:r>
      <w:r>
        <w:t xml:space="preserve">granting procedure to build, repower and operate renewable energy’ plants and their related</w:t>
      </w:r>
      <w:r>
        <w:t xml:space="preserve"> </w:t>
      </w:r>
      <w:r>
        <w:t xml:space="preserve">infrastructure (hereinafter: “permitting”), as set out in Directive (EU) 2018/2001 on the promotion</w:t>
      </w:r>
    </w:p>
    <w:p>
      <w:pPr>
        <w:pStyle w:val="FirstParagraph"/>
      </w:pPr>
      <w:r>
        <w:t xml:space="preserve">132</w:t>
      </w:r>
    </w:p>
    <w:p>
      <w:pPr>
        <w:pStyle w:val="BodyText"/>
      </w:pPr>
      <w:r>
        <w:t xml:space="preserve">of the use of energy from renewable sources223 (hereinafter: “RED”). The importance of</w:t>
      </w:r>
      <w:r>
        <w:t xml:space="preserve"> </w:t>
      </w:r>
      <w:r>
        <w:t xml:space="preserve">permitting for RES and the barriers it faces were already identified in Directive 2001/77/EC224 of</w:t>
      </w:r>
      <w:r>
        <w:t xml:space="preserve"> </w:t>
      </w:r>
      <w:r>
        <w:t xml:space="preserve">the European Parliament and of the Council, which required Member States to evaluate the permit-</w:t>
      </w:r>
      <w:r>
        <w:t xml:space="preserve"> </w:t>
      </w:r>
      <w:r>
        <w:t xml:space="preserve">granting procedures in order to reduce the regulatory and non-regulatory barriers to the production</w:t>
      </w:r>
      <w:r>
        <w:t xml:space="preserve"> </w:t>
      </w:r>
      <w:r>
        <w:t xml:space="preserve">of renewable electricity. Directive 2009/28/EC225 of the European Parliament and of the Council</w:t>
      </w:r>
      <w:r>
        <w:t xml:space="preserve"> </w:t>
      </w:r>
      <w:r>
        <w:t xml:space="preserve">introduced requirements to simplify the administrative procedures for renewable energy</w:t>
      </w:r>
      <w:r>
        <w:t xml:space="preserve"> </w:t>
      </w:r>
      <w:r>
        <w:t xml:space="preserve">developers, whereas Directive (EU) 2018/2001 of the European Parliament and of the Council</w:t>
      </w:r>
      <w:r>
        <w:t xml:space="preserve"> </w:t>
      </w:r>
      <w:r>
        <w:t xml:space="preserve">strengthens these requirements and introduces a permitting deadline for the first time</w:t>
      </w:r>
      <w:r>
        <w:t xml:space="preserve"> </w:t>
      </w:r>
      <w:r>
        <w:t xml:space="preserve">(transposition by June 2021).</w:t>
      </w:r>
      <w:r>
        <w:t xml:space="preserve"> </w:t>
      </w:r>
      <w:r>
        <w:t xml:space="preserve">Following the Russian aggression against Ukraine and the adoption of REPowerEU, which</w:t>
      </w:r>
      <w:r>
        <w:t xml:space="preserve"> </w:t>
      </w:r>
      <w:r>
        <w:t xml:space="preserve">highlighted the need for more and faster RES deployment in order to reduce dependency on</w:t>
      </w:r>
      <w:r>
        <w:t xml:space="preserve"> </w:t>
      </w:r>
      <w:r>
        <w:t xml:space="preserve">Russian gas, Council Regulation (EU) 2022/2577 (the ‘Emergency Regulation’) laying down a</w:t>
      </w:r>
      <w:r>
        <w:t xml:space="preserve"> </w:t>
      </w:r>
      <w:r>
        <w:t xml:space="preserve">framework to accelerate the deployment of renewable energy226 and entered into force in</w:t>
      </w:r>
      <w:r>
        <w:t xml:space="preserve"> </w:t>
      </w:r>
      <w:r>
        <w:t xml:space="preserve">December 2022. Its provisions were applicable for 18 months from this date. Application of</w:t>
      </w:r>
      <w:r>
        <w:t xml:space="preserve"> </w:t>
      </w:r>
      <w:r>
        <w:t xml:space="preserve">certain of its provisions, alongside minor amendments, was extended until June 2025 by Council</w:t>
      </w:r>
      <w:r>
        <w:t xml:space="preserve"> </w:t>
      </w:r>
      <w:r>
        <w:t xml:space="preserve">Regulation (EU) 2024/223227 The extension was effectuated based on the findings of the</w:t>
      </w:r>
      <w:r>
        <w:t xml:space="preserve"> </w:t>
      </w:r>
      <w:r>
        <w:t xml:space="preserve">Commission’s Report of 28 November 2023 on the review of Council Regulation (EU) 2022/2577</w:t>
      </w:r>
      <w:r>
        <w:t xml:space="preserve"> </w:t>
      </w:r>
      <w:r>
        <w:t xml:space="preserve">of 22 December 2022 laying down a framework to accelerate the deployment of renewable energy.</w:t>
      </w:r>
      <w:r>
        <w:t xml:space="preserve"> </w:t>
      </w:r>
      <w:r>
        <w:t xml:space="preserve">In the Report, the Commission found that the conditions for the prolongation of the validity of</w:t>
      </w:r>
      <w:r>
        <w:t xml:space="preserve"> </w:t>
      </w:r>
      <w:r>
        <w:t xml:space="preserve">Regulation (EU) 2022/2577 were met and proposed to prolong selected measures that had the</w:t>
      </w:r>
      <w:r>
        <w:t xml:space="preserve"> </w:t>
      </w:r>
      <w:r>
        <w:t xml:space="preserve">greatest potential for the acceleration of the deployment of renewables, which were not included</w:t>
      </w:r>
      <w:r>
        <w:t xml:space="preserve"> </w:t>
      </w:r>
      <w:r>
        <w:t xml:space="preserve">in Directive (EU) 2018/2001, and which appear to bring about an important acceleration in the</w:t>
      </w:r>
      <w:r>
        <w:t xml:space="preserve"> </w:t>
      </w:r>
      <w:r>
        <w:t xml:space="preserve">permit-granting process of renewable energy and for related grid infrastructure projects or which</w:t>
      </w:r>
      <w:r>
        <w:t xml:space="preserve"> </w:t>
      </w:r>
      <w:r>
        <w:t xml:space="preserve">have the significant potential to do so.</w:t>
      </w:r>
      <w:r>
        <w:t xml:space="preserve"> </w:t>
      </w:r>
      <w:r>
        <w:t xml:space="preserve">In parallel, RED was amended by Directive (EU) 2023/2413 (hereinafter: ‘the revised RED’),228</w:t>
      </w:r>
      <w:r>
        <w:t xml:space="preserve"> </w:t>
      </w:r>
      <w:r>
        <w:t xml:space="preserve">which introduced an enabling framework to accelerate the deployment of renewable energy</w:t>
      </w:r>
      <w:r>
        <w:t xml:space="preserve"> </w:t>
      </w:r>
      <w:r>
        <w:t xml:space="preserve">projects by simplifying and streamlining their permit-granting procedures, introducing new</w:t>
      </w:r>
    </w:p>
    <w:p>
      <w:pPr>
        <w:pStyle w:val="BodyText"/>
      </w:pPr>
      <w:r>
        <w:t xml:space="preserve">223 Directive (EU) 2018/2001 of the European Parliament and of the Council of 11 December 2018 on the promotion</w:t>
      </w:r>
      <w:r>
        <w:t xml:space="preserve"> </w:t>
      </w:r>
      <w:r>
        <w:t xml:space="preserve">of the use of energy from renewable sources (recast); OJ L 328 21.12.2018, p. 82.</w:t>
      </w:r>
      <w:r>
        <w:t xml:space="preserve"> </w:t>
      </w:r>
      <w:r>
        <w:t xml:space="preserve">224 Directive 2001/77/EC of the European Parliament and of the Council of 27 September 2001 on the promotion of</w:t>
      </w:r>
      <w:r>
        <w:t xml:space="preserve"> </w:t>
      </w:r>
      <w:r>
        <w:t xml:space="preserve">electricity produced from renewable energy sources in the internal electricity market; OJ L 283, 27.10.2001, pp. 33–</w:t>
      </w:r>
      <w:r>
        <w:t xml:space="preserve"> </w:t>
      </w:r>
      <w:r>
        <w:t xml:space="preserve">40.</w:t>
      </w:r>
      <w:r>
        <w:t xml:space="preserve"> </w:t>
      </w:r>
      <w:r>
        <w:t xml:space="preserve">225 Directive 2009/28/EC of the European Parliament and of the Council of 23 April 2009 on the promotion of the use</w:t>
      </w:r>
      <w:r>
        <w:t xml:space="preserve"> </w:t>
      </w:r>
      <w:r>
        <w:t xml:space="preserve">of energy from renewable sources and amending and subsequently repealing Directives 2001/77/EC and 2003/30/EC</w:t>
      </w:r>
      <w:r>
        <w:t xml:space="preserve"> </w:t>
      </w:r>
      <w:r>
        <w:t xml:space="preserve">(Text with EEA relevance), OJ L 140, 5.6.2009, pp. 16–62.</w:t>
      </w:r>
      <w:r>
        <w:t xml:space="preserve"> </w:t>
      </w:r>
      <w:r>
        <w:t xml:space="preserve">226 Council Regulation (EU) 2022/2577 of 22 December 2022 laying down a framework to accelerate the deployment</w:t>
      </w:r>
      <w:r>
        <w:t xml:space="preserve"> </w:t>
      </w:r>
      <w:r>
        <w:t xml:space="preserve">of renewable energy; OJ L 335 29.12.2022, p. 36.</w:t>
      </w:r>
      <w:r>
        <w:t xml:space="preserve"> </w:t>
      </w:r>
      <w:r>
        <w:t xml:space="preserve">227 Council Regulation (EU) 2024/223 of 22 December 2023 amending Regulation (EU) 2022/2577 laying down a</w:t>
      </w:r>
      <w:r>
        <w:t xml:space="preserve"> </w:t>
      </w:r>
      <w:r>
        <w:t xml:space="preserve">framework to accelerate the deployment of renewable energy; OJ L, 2024/223, 10.1.2024.</w:t>
      </w:r>
      <w:r>
        <w:t xml:space="preserve"> </w:t>
      </w:r>
      <w:r>
        <w:t xml:space="preserve">228 Directive (EU) 2023/2413 of the European Parliament and of the Council of 18 October 2023 amending Directive</w:t>
      </w:r>
      <w:r>
        <w:t xml:space="preserve"> </w:t>
      </w:r>
      <w:r>
        <w:t xml:space="preserve">(EU) 2018/2001, Regulation (EU) 2018/1999 and Directive 98/70/EC as regards the promotion of energy from</w:t>
      </w:r>
      <w:r>
        <w:t xml:space="preserve"> </w:t>
      </w:r>
      <w:r>
        <w:t xml:space="preserve">renewable sources, and repealing Council Directive (EU) 2015/65; OJ L, 2023/2413, 31.10.2023.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elements related to spatial planning and made permanent some important elements introduced by</w:t>
      </w:r>
      <w:r>
        <w:t xml:space="preserve"> </w:t>
      </w:r>
      <w:r>
        <w:t xml:space="preserve">the Emergency Regulation. The deadline for Member States to transpose the planning and</w:t>
      </w:r>
      <w:r>
        <w:t xml:space="preserve"> </w:t>
      </w:r>
      <w:r>
        <w:t xml:space="preserve">permitting-related provisions of this Directive was set mostly by July 2024, but also by May 2025</w:t>
      </w:r>
      <w:r>
        <w:t xml:space="preserve"> </w:t>
      </w:r>
      <w:r>
        <w:t xml:space="preserve">(Articles 15b and 15c). Directive 2018/2001 as amended by the revised RED and Council</w:t>
      </w:r>
      <w:r>
        <w:t xml:space="preserve"> </w:t>
      </w:r>
      <w:r>
        <w:t xml:space="preserve">Regulation 2022/2577 amended by Council Regulation 2024/223 were introduced to accelerate</w:t>
      </w:r>
      <w:r>
        <w:t xml:space="preserve"> </w:t>
      </w:r>
      <w:r>
        <w:t xml:space="preserve">the permit-granting procedure to build, repower and operate renewable energy’ plants and their</w:t>
      </w:r>
      <w:r>
        <w:t xml:space="preserve"> </w:t>
      </w:r>
      <w:r>
        <w:t xml:space="preserve">related infrastructure.</w:t>
      </w:r>
      <w:r>
        <w:t xml:space="preserve"> </w:t>
      </w:r>
      <w:r>
        <w:t xml:space="preserve">The targeted amendment (revision) of the RED under the European Grids Package, as announced</w:t>
      </w:r>
      <w:r>
        <w:t xml:space="preserve"> </w:t>
      </w:r>
      <w:r>
        <w:t xml:space="preserve">by the Action Plan for Affordable Energy, aims to ensure that greater and faster deployment for</w:t>
      </w:r>
      <w:r>
        <w:t xml:space="preserve"> </w:t>
      </w:r>
      <w:r>
        <w:t xml:space="preserve">RES is achieved as well as setting permitting rules for storage and recharging station assets that</w:t>
      </w:r>
      <w:r>
        <w:t xml:space="preserve"> </w:t>
      </w:r>
      <w:r>
        <w:t xml:space="preserve">facilitate the integration of renewables.</w:t>
      </w:r>
      <w:r>
        <w:t xml:space="preserve"> </w:t>
      </w:r>
      <w:r>
        <w:t xml:space="preserve">In view of the recent last revision of the RED and its recent transposition deadlines, the</w:t>
      </w:r>
      <w:r>
        <w:t xml:space="preserve"> </w:t>
      </w:r>
      <w:r>
        <w:t xml:space="preserve">Commission opted for an “Implementation Report”, focused on the performance of the specific</w:t>
      </w:r>
      <w:r>
        <w:t xml:space="preserve"> </w:t>
      </w:r>
      <w:r>
        <w:t xml:space="preserve">provisions under the permitting-related provision of the revised RED to address the effectiveness</w:t>
      </w:r>
      <w:r>
        <w:t xml:space="preserve"> </w:t>
      </w:r>
      <w:r>
        <w:t xml:space="preserve">of the existing permitting rules as well as their EU added value and relevance. The report provides</w:t>
      </w:r>
      <w:r>
        <w:t xml:space="preserve"> </w:t>
      </w:r>
      <w:r>
        <w:t xml:space="preserve">an overview of the main outputs, linked to the implementation of the new framework, per topic.</w:t>
      </w:r>
      <w:r>
        <w:t xml:space="preserve"> </w:t>
      </w:r>
      <w:r>
        <w:t xml:space="preserve">Specifically, it assesses in a retrospective manner the extent to which these elements have</w:t>
      </w:r>
      <w:r>
        <w:t xml:space="preserve"> </w:t>
      </w:r>
      <w:r>
        <w:t xml:space="preserve">performed so far in achieving its stated objective of contribution to the European Green Deal and</w:t>
      </w:r>
      <w:r>
        <w:t xml:space="preserve"> </w:t>
      </w:r>
      <w:r>
        <w:t xml:space="preserve">reaching climate neutrality by 2050.</w:t>
      </w:r>
      <w:r>
        <w:t xml:space="preserve"> </w:t>
      </w:r>
      <w:r>
        <w:t xml:space="preserve">1. METHODOLOGY AND DATA AVAILABILITY</w:t>
      </w:r>
      <w:r>
        <w:t xml:space="preserve"> </w:t>
      </w:r>
      <w:r>
        <w:t xml:space="preserve">1.2. General remarks</w:t>
      </w:r>
      <w:r>
        <w:t xml:space="preserve"> </w:t>
      </w:r>
      <w:r>
        <w:t xml:space="preserve">In general, it is substantiated that a comprehensive application of the EU framework for permitting</w:t>
      </w:r>
      <w:r>
        <w:t xml:space="preserve"> </w:t>
      </w:r>
      <w:r>
        <w:t xml:space="preserve">brings an acceleration in terms of renewable energy deployment. However, the following elements</w:t>
      </w:r>
      <w:r>
        <w:t xml:space="preserve"> </w:t>
      </w:r>
      <w:r>
        <w:t xml:space="preserve">should be considered:</w:t>
      </w:r>
      <w:r>
        <w:t xml:space="preserve"> </w:t>
      </w:r>
      <w:r>
        <w:t xml:space="preserve">-</w:t>
      </w:r>
      <w:r>
        <w:t xml:space="preserve"> </w:t>
      </w:r>
      <w:r>
        <w:t xml:space="preserve">the permitting procedures of renewable energy plants and their related infrastructure vary</w:t>
      </w:r>
      <w:r>
        <w:t xml:space="preserve"> </w:t>
      </w:r>
      <w:r>
        <w:t xml:space="preserve">significantly from one Member State to another, with country-specific national solutions</w:t>
      </w:r>
      <w:r>
        <w:t xml:space="preserve"> </w:t>
      </w:r>
      <w:r>
        <w:t xml:space="preserve">coupled or intertwined with the obligations stemming from other EU or national legal</w:t>
      </w:r>
      <w:r>
        <w:t xml:space="preserve"> </w:t>
      </w:r>
      <w:r>
        <w:t xml:space="preserve">bases. It is relevant, in this respect, to point out that, as the main EU permitting</w:t>
      </w:r>
      <w:r>
        <w:t xml:space="preserve"> </w:t>
      </w:r>
      <w:r>
        <w:t xml:space="preserve">requirements are set in a Directive (the revised RED), Member States have a certain</w:t>
      </w:r>
      <w:r>
        <w:t xml:space="preserve"> </w:t>
      </w:r>
      <w:r>
        <w:t xml:space="preserve">flexibility as to how they transpose its provisions into their national legal order.</w:t>
      </w:r>
      <w:r>
        <w:t xml:space="preserve"> </w:t>
      </w:r>
      <w:r>
        <w:t xml:space="preserve">-</w:t>
      </w:r>
      <w:r>
        <w:t xml:space="preserve"> </w:t>
      </w:r>
      <w:r>
        <w:t xml:space="preserve">factors other than permitting can delay or halt RES projects, including the lack of grid</w:t>
      </w:r>
      <w:r>
        <w:t xml:space="preserve"> </w:t>
      </w:r>
      <w:r>
        <w:t xml:space="preserve">capacity, cost and investment issues, demand, supply chain issues, etc.</w:t>
      </w:r>
      <w:r>
        <w:br/>
      </w:r>
      <w:r>
        <w:t xml:space="preserve">-</w:t>
      </w:r>
      <w:r>
        <w:t xml:space="preserve"> </w:t>
      </w:r>
      <w:r>
        <w:t xml:space="preserve">as per the ongoing study “Monitoring progress of measures to streamline permit-granting</w:t>
      </w:r>
      <w:r>
        <w:t xml:space="preserve"> </w:t>
      </w:r>
      <w:r>
        <w:t xml:space="preserve">procedures under revised RED and Emergency Regulation and development of permitting-</w:t>
      </w:r>
      <w:r>
        <w:t xml:space="preserve"> </w:t>
      </w:r>
      <w:r>
        <w:t xml:space="preserve">related KPIs”, and its First Interim Report received by the Commission in July 2025, many</w:t>
      </w:r>
      <w:r>
        <w:t xml:space="preserve"> </w:t>
      </w:r>
      <w:r>
        <w:t xml:space="preserve">Member States do not collect the data on renewable energy permitting procedures (average</w:t>
      </w:r>
      <w:r>
        <w:t xml:space="preserve"> </w:t>
      </w:r>
      <w:r>
        <w:t xml:space="preserve">duration, reasons for delays etc.) being initiated and/or concluded, and there is no common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European format of such data or principles of their collection229. While progress has been</w:t>
      </w:r>
      <w:r>
        <w:t xml:space="preserve"> </w:t>
      </w:r>
      <w:r>
        <w:t xml:space="preserve">made in some Member States on specific aspects, the monitoring of data remains</w:t>
      </w:r>
      <w:r>
        <w:t xml:space="preserve"> </w:t>
      </w:r>
      <w:r>
        <w:t xml:space="preserve">fragmented, Thus, it is not always possible to directly link an increase of RES installed</w:t>
      </w:r>
      <w:r>
        <w:t xml:space="preserve"> </w:t>
      </w:r>
      <w:r>
        <w:t xml:space="preserve">capacity in a Member States with the implementation of the EU rules on permitting.230</w:t>
      </w:r>
      <w:r>
        <w:br/>
      </w:r>
      <w:r>
        <w:t xml:space="preserve">The Emergency Regulation has ceased to be applicable in its entirety since 30 June 2025.</w:t>
      </w:r>
      <w:r>
        <w:t xml:space="preserve"> </w:t>
      </w:r>
      <w:r>
        <w:t xml:space="preserve">Nevertheless, a mock-up matrix linking the overarching topics with the specific provisions of both</w:t>
      </w:r>
      <w:r>
        <w:t xml:space="preserve"> </w:t>
      </w:r>
      <w:r>
        <w:t xml:space="preserve">the revised RED and the Emergency Regulation is presented in this Report. A high-level summary</w:t>
      </w:r>
      <w:r>
        <w:t xml:space="preserve"> </w:t>
      </w:r>
      <w:r>
        <w:t xml:space="preserve">of the revised RED permitting provisions is also set out.</w:t>
      </w:r>
      <w:r>
        <w:t xml:space="preserve"> </w:t>
      </w:r>
      <w:r>
        <w:t xml:space="preserve">To facilitate the assessment of their implementation, this Report groups the renewable energy</w:t>
      </w:r>
      <w:r>
        <w:t xml:space="preserve"> </w:t>
      </w:r>
      <w:r>
        <w:t xml:space="preserve">permitting provisions in 3 overarching clusters, which reflect the major changes in the current</w:t>
      </w:r>
      <w:r>
        <w:t xml:space="preserve"> </w:t>
      </w:r>
      <w:r>
        <w:t xml:space="preserve">permitting-granting framework. These are the Overriding Public Interest (“OPI”), the Single</w:t>
      </w:r>
      <w:r>
        <w:t xml:space="preserve"> </w:t>
      </w:r>
      <w:r>
        <w:t xml:space="preserve">Contact Point231 and the technology-related rules.</w:t>
      </w:r>
      <w:r>
        <w:t xml:space="preserve"> </w:t>
      </w:r>
      <w:r>
        <w:t xml:space="preserve">co</w:t>
      </w:r>
      <w:r>
        <w:t xml:space="preserve"> </w:t>
      </w:r>
      <w:r>
        <w:t xml:space="preserve">2. ANALYSIS</w:t>
      </w:r>
      <w:r>
        <w:t xml:space="preserve"> </w:t>
      </w:r>
      <w:r>
        <w:t xml:space="preserve">2.1 Overview of the legal basis</w:t>
      </w:r>
      <w:r>
        <w:t xml:space="preserve"> </w:t>
      </w:r>
      <w:r>
        <w:t xml:space="preserve">The provisions of the revised RED with a July 2024 transposition deadline constitute a structured</w:t>
      </w:r>
      <w:r>
        <w:t xml:space="preserve"> </w:t>
      </w:r>
      <w:r>
        <w:t xml:space="preserve">EU legal basis for the permit-granting procedures to build, repower and operate Renewable Energy</w:t>
      </w:r>
      <w:r>
        <w:t xml:space="preserve"> </w:t>
      </w:r>
      <w:r>
        <w:t xml:space="preserve">Sources’ plants and their related infrastructure. The scope of each of the Article is the following:</w:t>
      </w:r>
      <w:r>
        <w:t xml:space="preserve"> </w:t>
      </w:r>
      <w:r>
        <w:t xml:space="preserve">➢ Article 16: Organisation and main principles of the permit-granting procedure</w:t>
      </w:r>
      <w:r>
        <w:t xml:space="preserve"> </w:t>
      </w:r>
      <w:r>
        <w:t xml:space="preserve">• Criteria for permitting process duration and validity of applications.</w:t>
      </w:r>
      <w:r>
        <w:t xml:space="preserve"> </w:t>
      </w:r>
      <w:r>
        <w:t xml:space="preserve">• Streamlining of administrative processes.</w:t>
      </w:r>
      <w:r>
        <w:t xml:space="preserve"> </w:t>
      </w:r>
      <w:r>
        <w:t xml:space="preserve">• Designation of single contact points.</w:t>
      </w:r>
      <w:r>
        <w:t xml:space="preserve"> </w:t>
      </w:r>
      <w:r>
        <w:t xml:space="preserve">• Provision of adequate resources to competent authorities and reskilling of staff.</w:t>
      </w:r>
      <w:r>
        <w:t xml:space="preserve"> </w:t>
      </w:r>
      <w:r>
        <w:t xml:space="preserve">• Digitalisation of permit-granting procedures (by 21 November 2025).</w:t>
      </w:r>
      <w:r>
        <w:t xml:space="preserve"> </w:t>
      </w:r>
      <w:r>
        <w:t xml:space="preserve">• Public availability of decisions</w:t>
      </w:r>
      <w:r>
        <w:t xml:space="preserve"> </w:t>
      </w:r>
      <w:r>
        <w:t xml:space="preserve">➢ Article 16b: Permit-granting outside renewable acceleration areas (“RAAs”)</w:t>
      </w:r>
      <w:r>
        <w:t xml:space="preserve"> </w:t>
      </w:r>
      <w:r>
        <w:t xml:space="preserve">• Permitting timelines: &lt;2 years, but &lt;3 years for offshore, and &lt;1 year for repowering, &lt;2</w:t>
      </w:r>
      <w:r>
        <w:t xml:space="preserve"> </w:t>
      </w:r>
      <w:r>
        <w:t xml:space="preserve">years for offshore repowering.</w:t>
      </w:r>
    </w:p>
    <w:p>
      <w:pPr>
        <w:pStyle w:val="BodyText"/>
      </w:pPr>
      <w:r>
        <w:t xml:space="preserve">229 The overview of the state of play of the RES permitting data collection in individual Member States is provided in</w:t>
      </w:r>
      <w:r>
        <w:t xml:space="preserve"> </w:t>
      </w:r>
      <w:r>
        <w:t xml:space="preserve">the following section.</w:t>
      </w:r>
      <w:r>
        <w:t xml:space="preserve"> </w:t>
      </w:r>
      <w:r>
        <w:t xml:space="preserve">230 Especially given that a successfully concluded permitting process of the renewable energy plant would be reflected</w:t>
      </w:r>
      <w:r>
        <w:t xml:space="preserve"> </w:t>
      </w:r>
      <w:r>
        <w:t xml:space="preserve">only in the future statistics on e.g. installed RES capacity, which, moreover, are not always available at the same</w:t>
      </w:r>
      <w:r>
        <w:t xml:space="preserve"> </w:t>
      </w:r>
      <w:r>
        <w:t xml:space="preserve">breakdown of details across all Member States.</w:t>
      </w:r>
      <w:r>
        <w:t xml:space="preserve"> </w:t>
      </w:r>
      <w:r>
        <w:t xml:space="preserve">231 Which existed already in the Directive (EU)2018/2001 but in simpler form.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• All relevant environmental assessments for a renewables project to be rolled into one single</w:t>
      </w:r>
      <w:r>
        <w:t xml:space="preserve"> </w:t>
      </w:r>
      <w:r>
        <w:t xml:space="preserve">procedure.</w:t>
      </w:r>
      <w:r>
        <w:t xml:space="preserve"> </w:t>
      </w:r>
      <w:r>
        <w:t xml:space="preserve">• The killing or disturbance of species protected under the Birds &amp; Habitats Directives must</w:t>
      </w:r>
      <w:r>
        <w:t xml:space="preserve"> </w:t>
      </w:r>
      <w:r>
        <w:t xml:space="preserve">not be considered ‘deliberate’ where a project has followed all necessary mitigation</w:t>
      </w:r>
      <w:r>
        <w:t xml:space="preserve"> </w:t>
      </w:r>
      <w:r>
        <w:t xml:space="preserve">measures.</w:t>
      </w:r>
      <w:r>
        <w:t xml:space="preserve"> </w:t>
      </w:r>
      <w:r>
        <w:t xml:space="preserve">➢ Article 16c: Permit-granting for repowering</w:t>
      </w:r>
      <w:r>
        <w:t xml:space="preserve"> </w:t>
      </w:r>
      <w:r>
        <w:t xml:space="preserve">• Permitting timelines: &lt;3 months for grid connections.</w:t>
      </w:r>
      <w:r>
        <w:t xml:space="preserve"> </w:t>
      </w:r>
      <w:r>
        <w:t xml:space="preserve">• Screening limited to extension of existing projects.</w:t>
      </w:r>
      <w:r>
        <w:t xml:space="preserve"> </w:t>
      </w:r>
      <w:r>
        <w:t xml:space="preserve">• Exemptions available for solar installations from screening and environmental assessments</w:t>
      </w:r>
      <w:r>
        <w:t xml:space="preserve"> </w:t>
      </w:r>
      <w:r>
        <w:t xml:space="preserve">when no additional space is required compared to the original project.</w:t>
      </w:r>
      <w:r>
        <w:t xml:space="preserve"> </w:t>
      </w:r>
      <w:r>
        <w:t xml:space="preserve">➢ Article 16d: Permit-granting for solar installations on artificial structures</w:t>
      </w:r>
      <w:r>
        <w:t xml:space="preserve"> </w:t>
      </w:r>
      <w:r>
        <w:t xml:space="preserve">• Permitting timelines: &lt;3 months for solar equipment and co-located storage with</w:t>
      </w:r>
      <w:r>
        <w:t xml:space="preserve"> </w:t>
      </w:r>
      <w:r>
        <w:t xml:space="preserve">possibility for applying exemptions, and &lt;1 month for solar equipment with capacity of</w:t>
      </w:r>
      <w:r>
        <w:t xml:space="preserve"> </w:t>
      </w:r>
      <w:r>
        <w:t xml:space="preserve">100 kW or less.</w:t>
      </w:r>
      <w:r>
        <w:t xml:space="preserve"> </w:t>
      </w:r>
      <w:r>
        <w:t xml:space="preserve">• Positive silence for solar equipment with capacity of 100 kW or less.</w:t>
      </w:r>
      <w:r>
        <w:t xml:space="preserve"> </w:t>
      </w:r>
      <w:r>
        <w:t xml:space="preserve">• Exemptions available from screening and environmental assessments.</w:t>
      </w:r>
      <w:r>
        <w:t xml:space="preserve"> </w:t>
      </w:r>
      <w:r>
        <w:t xml:space="preserve">➢ Article 16e: Permit-granting procedure for heat pumps</w:t>
      </w:r>
      <w:r>
        <w:t xml:space="preserve"> </w:t>
      </w:r>
      <w:r>
        <w:t xml:space="preserve">• Permitting timelines: &lt;1 month above 50 MW, but &lt;3 months for ground source heat</w:t>
      </w:r>
      <w:r>
        <w:t xml:space="preserve"> </w:t>
      </w:r>
      <w:r>
        <w:t xml:space="preserve">pumps, &lt;2 weeks for connections to the grid for lower capacity MW/self-consumers).</w:t>
      </w:r>
      <w:r>
        <w:t xml:space="preserve"> </w:t>
      </w:r>
      <w:r>
        <w:t xml:space="preserve">➢ Article 16f: Presumption of overriding public interest (OPI)</w:t>
      </w:r>
      <w:r>
        <w:t xml:space="preserve"> </w:t>
      </w:r>
      <w:r>
        <w:t xml:space="preserve">• Permitting, planning, construction and operation of renewable plants must be presumed to</w:t>
      </w:r>
      <w:r>
        <w:t xml:space="preserve"> </w:t>
      </w:r>
      <w:r>
        <w:t xml:space="preserve">be in the OPI for the purpose of the application of certain exemptions regulated in certain</w:t>
      </w:r>
      <w:r>
        <w:t xml:space="preserve"> </w:t>
      </w:r>
      <w:r>
        <w:t xml:space="preserve">environmental directives.</w:t>
      </w:r>
      <w:r>
        <w:t xml:space="preserve"> </w:t>
      </w:r>
      <w:r>
        <w:t xml:space="preserve">As mentioned already, some RES permitting provisions were already introduced by the</w:t>
      </w:r>
      <w:r>
        <w:t xml:space="preserve"> </w:t>
      </w:r>
      <w:r>
        <w:t xml:space="preserve">Emergency Regulation, which was amended one time and ceased to apply in its entirety on 30</w:t>
      </w:r>
      <w:r>
        <w:t xml:space="preserve"> </w:t>
      </w:r>
      <w:r>
        <w:t xml:space="preserve">June 2025. The matrix of the revised RED and the Emergency Regulation provisions with the</w:t>
      </w:r>
      <w:r>
        <w:t xml:space="preserve"> </w:t>
      </w:r>
      <w:r>
        <w:t xml:space="preserve">overarching topics’ clusters could be visualised as follows:</w:t>
      </w:r>
      <w:r>
        <w:t xml:space="preserve"> </w:t>
      </w:r>
      <w:r>
        <w:t xml:space="preserve">Table 15: Permitting overarching topics EU legal basis:232</w:t>
      </w:r>
      <w:r>
        <w:t xml:space="preserve"> </w:t>
      </w:r>
      <w:r>
        <w:t xml:space="preserve">Overarching</w:t>
      </w:r>
      <w:r>
        <w:t xml:space="preserve"> </w:t>
      </w:r>
      <w:r>
        <w:t xml:space="preserve">topic</w:t>
      </w:r>
      <w:r>
        <w:t xml:space="preserve"> </w:t>
      </w:r>
      <w:r>
        <w:t xml:space="preserve">Detailed description</w:t>
      </w:r>
      <w:r>
        <w:t xml:space="preserve"> </w:t>
      </w:r>
      <w:r>
        <w:t xml:space="preserve">Art.</w:t>
      </w:r>
      <w:r>
        <w:t xml:space="preserve"> </w:t>
      </w:r>
      <w:r>
        <w:t xml:space="preserve">ER</w:t>
      </w:r>
      <w:r>
        <w:t xml:space="preserve"> </w:t>
      </w:r>
      <w:r>
        <w:t xml:space="preserve">Prolongation ER</w:t>
      </w:r>
      <w:r>
        <w:t xml:space="preserve"> </w:t>
      </w:r>
      <w:r>
        <w:t xml:space="preserve">Art. RED</w:t>
      </w:r>
      <w:r>
        <w:t xml:space="preserve"> </w:t>
      </w:r>
      <w:r>
        <w:t xml:space="preserve">Overriding</w:t>
      </w:r>
      <w:r>
        <w:t xml:space="preserve"> </w:t>
      </w:r>
      <w:r>
        <w:t xml:space="preserve">public interest</w:t>
      </w:r>
      <w:r>
        <w:t xml:space="preserve"> </w:t>
      </w:r>
      <w:r>
        <w:t xml:space="preserve">(OPI)</w:t>
      </w:r>
      <w:r>
        <w:t xml:space="preserve"> </w:t>
      </w:r>
      <w:r>
        <w:t xml:space="preserve">Several aspects of renewable energy projects are OPI,</w:t>
      </w:r>
      <w:r>
        <w:t xml:space="preserve"> </w:t>
      </w:r>
      <w:r>
        <w:t xml:space="preserve">namely with respect to conservation of natural habitats</w:t>
      </w:r>
      <w:r>
        <w:t xml:space="preserve"> </w:t>
      </w:r>
      <w:r>
        <w:t xml:space="preserve">and wild fauna, water policy, conservation of wild birds</w:t>
      </w:r>
      <w:r>
        <w:t xml:space="preserve"> </w:t>
      </w:r>
      <w:r>
        <w:t xml:space="preserve">3(1)</w:t>
      </w:r>
      <w:r>
        <w:t xml:space="preserve"> </w:t>
      </w:r>
      <w:r>
        <w:t xml:space="preserve">Prolonged until</w:t>
      </w:r>
      <w:r>
        <w:t xml:space="preserve"> </w:t>
      </w:r>
      <w:r>
        <w:t xml:space="preserve">June 2025</w:t>
      </w:r>
      <w:r>
        <w:t xml:space="preserve"> </w:t>
      </w:r>
      <w:r>
        <w:t xml:space="preserve">16f with adjustments, namely,</w:t>
      </w:r>
      <w:r>
        <w:t xml:space="preserve"> </w:t>
      </w:r>
      <w:r>
        <w:t xml:space="preserve">to duly justify in case this</w:t>
      </w:r>
      <w:r>
        <w:t xml:space="preserve"> </w:t>
      </w:r>
      <w:r>
        <w:t xml:space="preserve">article is not applied</w:t>
      </w:r>
    </w:p>
    <w:p>
      <w:pPr>
        <w:pStyle w:val="BodyText"/>
      </w:pPr>
      <w:r>
        <w:t xml:space="preserve">232 First Interim Report “Monitoring progress of measures to streamline permit-granting procedures under revised</w:t>
      </w:r>
      <w:r>
        <w:t xml:space="preserve"> </w:t>
      </w:r>
      <w:r>
        <w:t xml:space="preserve">RED and Emergency Regulation and development of permitting-related KPIs”, July 2025.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Overarching</w:t>
      </w:r>
      <w:r>
        <w:t xml:space="preserve"> </w:t>
      </w:r>
      <w:r>
        <w:t xml:space="preserve">topic</w:t>
      </w:r>
      <w:r>
        <w:t xml:space="preserve"> </w:t>
      </w:r>
      <w:r>
        <w:t xml:space="preserve">Detailed description</w:t>
      </w:r>
      <w:r>
        <w:t xml:space="preserve"> </w:t>
      </w:r>
      <w:r>
        <w:t xml:space="preserve">Art.</w:t>
      </w:r>
      <w:r>
        <w:t xml:space="preserve"> </w:t>
      </w:r>
      <w:r>
        <w:t xml:space="preserve">ER</w:t>
      </w:r>
      <w:r>
        <w:t xml:space="preserve"> </w:t>
      </w:r>
      <w:r>
        <w:t xml:space="preserve">Prolongation ER</w:t>
      </w:r>
      <w:r>
        <w:t xml:space="preserve"> </w:t>
      </w:r>
      <w:r>
        <w:t xml:space="preserve">Art. RED</w:t>
      </w:r>
      <w:r>
        <w:t xml:space="preserve"> </w:t>
      </w:r>
      <w:r>
        <w:t xml:space="preserve">Construction and operation of plants and related</w:t>
      </w:r>
      <w:r>
        <w:t xml:space="preserve"> </w:t>
      </w:r>
      <w:r>
        <w:t xml:space="preserve">infrastructure which are OPI are given priority when</w:t>
      </w:r>
      <w:r>
        <w:t xml:space="preserve"> </w:t>
      </w:r>
      <w:r>
        <w:t xml:space="preserve">balancing legal interests beyond environmental matters</w:t>
      </w:r>
      <w:r>
        <w:t xml:space="preserve"> </w:t>
      </w:r>
      <w:r>
        <w:t xml:space="preserve">3(2)</w:t>
      </w:r>
      <w:r>
        <w:t xml:space="preserve"> </w:t>
      </w:r>
      <w:r>
        <w:t xml:space="preserve">Prolonged until</w:t>
      </w:r>
      <w:r>
        <w:t xml:space="preserve"> </w:t>
      </w:r>
      <w:r>
        <w:t xml:space="preserve">June 2025 with</w:t>
      </w:r>
      <w:r>
        <w:t xml:space="preserve"> </w:t>
      </w:r>
      <w:r>
        <w:t xml:space="preserve">small changes</w:t>
      </w:r>
      <w:r>
        <w:t xml:space="preserve"> </w:t>
      </w:r>
      <w:r>
        <w:t xml:space="preserve">-</w:t>
      </w:r>
      <w:r>
        <w:t xml:space="preserve"> </w:t>
      </w:r>
      <w:r>
        <w:t xml:space="preserve">Simplification of compensatory measures</w:t>
      </w:r>
      <w:r>
        <w:t xml:space="preserve"> </w:t>
      </w:r>
      <w:r>
        <w:t xml:space="preserve">Art.</w:t>
      </w:r>
      <w:r>
        <w:t xml:space="preserve"> </w:t>
      </w:r>
      <w:r>
        <w:t xml:space="preserve">3a</w:t>
      </w:r>
      <w:r>
        <w:t xml:space="preserve"> </w:t>
      </w:r>
      <w:r>
        <w:t xml:space="preserve">Introduced in</w:t>
      </w:r>
      <w:r>
        <w:t xml:space="preserve"> </w:t>
      </w:r>
      <w:r>
        <w:t xml:space="preserve">2023and in force</w:t>
      </w:r>
      <w:r>
        <w:t xml:space="preserve"> </w:t>
      </w:r>
      <w:r>
        <w:t xml:space="preserve">until June 2025)</w:t>
      </w:r>
      <w:r>
        <w:t xml:space="preserve"> </w:t>
      </w:r>
      <w:r>
        <w:t xml:space="preserve">-</w:t>
      </w:r>
      <w:r>
        <w:t xml:space="preserve"> </w:t>
      </w:r>
      <w:r>
        <w:t xml:space="preserve">One Stop Shop</w:t>
      </w:r>
      <w:r>
        <w:t xml:space="preserve"> </w:t>
      </w:r>
      <w:r>
        <w:t xml:space="preserve">(OSS)</w:t>
      </w:r>
      <w:r>
        <w:t xml:space="preserve"> </w:t>
      </w:r>
      <w:r>
        <w:t xml:space="preserve">One-stop-shop (Single Contact Point) and digitalisation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16(3)</w:t>
      </w:r>
      <w:r>
        <w:t xml:space="preserve"> </w:t>
      </w:r>
      <w:r>
        <w:t xml:space="preserve">Technology-</w:t>
      </w:r>
      <w:r>
        <w:t xml:space="preserve"> </w:t>
      </w:r>
      <w:r>
        <w:t xml:space="preserve">specific</w:t>
      </w:r>
      <w:r>
        <w:t xml:space="preserve"> </w:t>
      </w:r>
      <w:r>
        <w:t xml:space="preserve">provisions,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repowering</w:t>
      </w:r>
      <w:r>
        <w:t xml:space="preserve"> </w:t>
      </w:r>
      <w:r>
        <w:t xml:space="preserve">Small Solar up to 50 kW, sometimes lowered to 10.8</w:t>
      </w:r>
      <w:r>
        <w:t xml:space="preserve"> </w:t>
      </w:r>
      <w:r>
        <w:t xml:space="preserve">kW; permits to be granted within maximum 3 months</w:t>
      </w:r>
      <w:r>
        <w:t xml:space="preserve"> </w:t>
      </w:r>
      <w:r>
        <w:t xml:space="preserve">4</w:t>
      </w:r>
      <w:r>
        <w:t xml:space="preserve"> </w:t>
      </w:r>
      <w:r>
        <w:t xml:space="preserve">-</w:t>
      </w:r>
      <w:r>
        <w:t xml:space="preserve"> </w:t>
      </w:r>
      <w:r>
        <w:t xml:space="preserve">16d with adjustments, namely</w:t>
      </w:r>
      <w:r>
        <w:t xml:space="preserve"> </w:t>
      </w:r>
      <w:r>
        <w:t xml:space="preserve">an increase of the limit to 100</w:t>
      </w:r>
      <w:r>
        <w:t xml:space="preserve"> </w:t>
      </w:r>
      <w:r>
        <w:t xml:space="preserve">kW</w:t>
      </w:r>
      <w:r>
        <w:t xml:space="preserve"> </w:t>
      </w:r>
      <w:r>
        <w:t xml:space="preserve">Repower existing RES facilities, permits to be granted</w:t>
      </w:r>
      <w:r>
        <w:t xml:space="preserve"> </w:t>
      </w:r>
      <w:r>
        <w:t xml:space="preserve">within 6 months</w:t>
      </w:r>
      <w:r>
        <w:t xml:space="preserve"> </w:t>
      </w:r>
      <w:r>
        <w:t xml:space="preserve">5(1)</w:t>
      </w:r>
      <w:r>
        <w:t xml:space="preserve"> </w:t>
      </w:r>
      <w:r>
        <w:t xml:space="preserve">Prolonged until</w:t>
      </w:r>
      <w:r>
        <w:t xml:space="preserve"> </w:t>
      </w:r>
      <w:r>
        <w:t xml:space="preserve">June 2025, with</w:t>
      </w:r>
      <w:r>
        <w:t xml:space="preserve"> </w:t>
      </w:r>
      <w:r>
        <w:t xml:space="preserve">small changes</w:t>
      </w:r>
      <w:r>
        <w:t xml:space="preserve"> </w:t>
      </w:r>
      <w:r>
        <w:t xml:space="preserve">-</w:t>
      </w:r>
      <w:r>
        <w:t xml:space="preserve"> </w:t>
      </w:r>
      <w:r>
        <w:t xml:space="preserve">Repower existing RES facilities, with capacity increase</w:t>
      </w:r>
      <w:r>
        <w:t xml:space="preserve"> </w:t>
      </w:r>
      <w:r>
        <w:t xml:space="preserve">below 15% permits to be granted within 3 months</w:t>
      </w:r>
      <w:r>
        <w:t xml:space="preserve"> </w:t>
      </w:r>
      <w:r>
        <w:t xml:space="preserve">5(2-</w:t>
      </w:r>
      <w:r>
        <w:t xml:space="preserve"> </w:t>
      </w:r>
      <w:r>
        <w:t xml:space="preserve">5)</w:t>
      </w:r>
      <w:r>
        <w:t xml:space="preserve"> </w:t>
      </w:r>
      <w:r>
        <w:t xml:space="preserve">Prolonged until</w:t>
      </w:r>
      <w:r>
        <w:t xml:space="preserve"> </w:t>
      </w:r>
      <w:r>
        <w:t xml:space="preserve">June 2025</w:t>
      </w:r>
      <w:r>
        <w:t xml:space="preserve"> </w:t>
      </w:r>
      <w:r>
        <w:t xml:space="preserve">16c with small adjustments</w:t>
      </w:r>
      <w:r>
        <w:t xml:space="preserve"> </w:t>
      </w:r>
      <w:r>
        <w:t xml:space="preserve">Exemption from environmental impact assessment</w:t>
      </w:r>
      <w:r>
        <w:t xml:space="preserve"> </w:t>
      </w:r>
      <w:r>
        <w:t xml:space="preserve">6</w:t>
      </w:r>
      <w:r>
        <w:t xml:space="preserve"> </w:t>
      </w:r>
      <w:r>
        <w:t xml:space="preserve">Prolonged until</w:t>
      </w:r>
      <w:r>
        <w:t xml:space="preserve"> </w:t>
      </w:r>
      <w:r>
        <w:t xml:space="preserve">June 2025</w:t>
      </w:r>
      <w:r>
        <w:t xml:space="preserve"> </w:t>
      </w:r>
      <w:r>
        <w:t xml:space="preserve">-</w:t>
      </w:r>
      <w:r>
        <w:t xml:space="preserve"> </w:t>
      </w:r>
      <w:r>
        <w:t xml:space="preserve">Permit-granting process for heat pumps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16e with small adjustments</w:t>
      </w:r>
      <w:r>
        <w:t xml:space="preserve"> </w:t>
      </w:r>
      <w:r>
        <w:t xml:space="preserve">Timeline exclusions</w:t>
      </w:r>
      <w:r>
        <w:t xml:space="preserve"> </w:t>
      </w:r>
      <w:r>
        <w:t xml:space="preserve">8</w:t>
      </w:r>
      <w:r>
        <w:t xml:space="preserve"> </w:t>
      </w:r>
      <w:r>
        <w:t xml:space="preserve">Prolonged until</w:t>
      </w:r>
      <w:r>
        <w:t xml:space="preserve"> </w:t>
      </w:r>
      <w:r>
        <w:t xml:space="preserve">June 2025</w:t>
      </w:r>
      <w:r>
        <w:t xml:space="preserve"> </w:t>
      </w:r>
      <w:r>
        <w:t xml:space="preserve">-</w:t>
      </w:r>
      <w:r>
        <w:t xml:space="preserve"> </w:t>
      </w:r>
      <w:r>
        <w:t xml:space="preserve">Specific deadlines for RE projects outside RAAs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16b</w:t>
      </w:r>
    </w:p>
    <w:p>
      <w:pPr>
        <w:pStyle w:val="BodyText"/>
      </w:pPr>
      <w:r>
        <w:t xml:space="preserve">This Report replicates the breakdown into overarching topics presented above.</w:t>
      </w:r>
      <w:r>
        <w:t xml:space="preserve"> </w:t>
      </w:r>
      <w:r>
        <w:t xml:space="preserve">A targeted consultation of the selected stakeholders incl. business associations under the ongoing</w:t>
      </w:r>
      <w:r>
        <w:t xml:space="preserve"> </w:t>
      </w:r>
      <w:r>
        <w:t xml:space="preserve">study “Monitoring progress of measures to streamline permit-granting procedures under revised</w:t>
      </w:r>
      <w:r>
        <w:t xml:space="preserve"> </w:t>
      </w:r>
      <w:r>
        <w:t xml:space="preserve">RED and Emergency Regulation and development of permitting-related KPIs” revealed that when</w:t>
      </w:r>
      <w:r>
        <w:t xml:space="preserve"> </w:t>
      </w:r>
      <w:r>
        <w:t xml:space="preserve">asked ‘if the current regulatory framework decreased the duration of the permitting process’ 39%</w:t>
      </w:r>
      <w:r>
        <w:t xml:space="preserve"> </w:t>
      </w:r>
      <w:r>
        <w:t xml:space="preserve">of the respondents disagreed, while 37% agreed that that timelines are shorter. This suggests that</w:t>
      </w:r>
      <w:r>
        <w:t xml:space="preserve"> </w:t>
      </w:r>
      <w:r>
        <w:t xml:space="preserve">statutory deadline provisions are beginning to take effect in some jurisdictions, yet implementation</w:t>
      </w:r>
      <w:r>
        <w:t xml:space="preserve"> </w:t>
      </w:r>
      <w:r>
        <w:t xml:space="preserve">remains patchy and highly context dependent.</w:t>
      </w:r>
      <w:r>
        <w:br/>
      </w:r>
      <w:r>
        <w:t xml:space="preserve">The same split views were given to the question ‘Has the current regulatory framework increased</w:t>
      </w:r>
      <w:r>
        <w:t xml:space="preserve"> </w:t>
      </w:r>
      <w:r>
        <w:t xml:space="preserve">the approval rate of permit applications?’, with 35% of respondents reporting higher approval</w:t>
      </w:r>
      <w:r>
        <w:t xml:space="preserve"> </w:t>
      </w:r>
      <w:r>
        <w:t xml:space="preserve">rates, 38% seeing no improvement, and 10% being neutral. Follow-up comments highlight initial</w:t>
      </w:r>
      <w:r>
        <w:t xml:space="preserve"> </w:t>
      </w:r>
      <w:r>
        <w:t xml:space="preserve">improvements related to simplified environmental screenings are already in place, but little change</w:t>
      </w:r>
      <w:r>
        <w:t xml:space="preserve"> </w:t>
      </w:r>
      <w:r>
        <w:t xml:space="preserve">to other parts of the permitting process. Lastly, the question ‘Has the current regulatory framework</w:t>
      </w:r>
      <w:r>
        <w:t xml:space="preserve"> </w:t>
      </w:r>
      <w:r>
        <w:t xml:space="preserve">enabled the faster deployment of renewable energy while reducing the workload for public</w:t>
      </w:r>
      <w:r>
        <w:t xml:space="preserve"> </w:t>
      </w:r>
      <w:r>
        <w:t xml:space="preserve">authorities?’ provoked the most scepticism, with only 25% of respondents answering ‘yes’ and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52% disagreeing. Both respondents and interviewed stakeholders cited staffing shortages and</w:t>
      </w:r>
      <w:r>
        <w:t xml:space="preserve"> </w:t>
      </w:r>
      <w:r>
        <w:t xml:space="preserve">underdeveloped digital workflows as the main reasons why the expected reduction in workload</w:t>
      </w:r>
      <w:r>
        <w:t xml:space="preserve"> </w:t>
      </w:r>
      <w:r>
        <w:t xml:space="preserve">has yet to materialise.</w:t>
      </w:r>
      <w:r>
        <w:t xml:space="preserve"> </w:t>
      </w:r>
      <w:r>
        <w:t xml:space="preserve">Stakeholders’ input was also gathered in the Implementation Dialogue with Commissioner</w:t>
      </w:r>
      <w:r>
        <w:t xml:space="preserve"> </w:t>
      </w:r>
      <w:r>
        <w:t xml:space="preserve">Jørgensen on permitting for renewable energy projects and related infrastructures, held on 11 June</w:t>
      </w:r>
      <w:r>
        <w:t xml:space="preserve"> </w:t>
      </w:r>
      <w:r>
        <w:t xml:space="preserve">2025. The discussions therein highlighted a consensus on the necessity to intensify efforts to</w:t>
      </w:r>
      <w:r>
        <w:t xml:space="preserve"> </w:t>
      </w:r>
      <w:r>
        <w:t xml:space="preserve">implement current EU legislation, in particular the revised RED, and to further simplify permitting</w:t>
      </w:r>
      <w:r>
        <w:t xml:space="preserve"> </w:t>
      </w:r>
      <w:r>
        <w:t xml:space="preserve">by reducing the regulatory burden, including by introducing exemptions to environmental</w:t>
      </w:r>
      <w:r>
        <w:t xml:space="preserve"> </w:t>
      </w:r>
      <w:r>
        <w:t xml:space="preserve">legislation and for small-scale projects. There was a call on the Commission to further foster the</w:t>
      </w:r>
      <w:r>
        <w:t xml:space="preserve"> </w:t>
      </w:r>
      <w:r>
        <w:t xml:space="preserve">exchange of best practices among Member States. Participants underlined the need to support</w:t>
      </w:r>
      <w:r>
        <w:t xml:space="preserve"> </w:t>
      </w:r>
      <w:r>
        <w:t xml:space="preserve">permitting authorities with more resources and better skills, particularly at local level. The need</w:t>
      </w:r>
      <w:r>
        <w:t xml:space="preserve"> </w:t>
      </w:r>
      <w:r>
        <w:t xml:space="preserve">for further simplifying procedures (especially for small-scale projects, storage and repowering),</w:t>
      </w:r>
      <w:r>
        <w:t xml:space="preserve"> </w:t>
      </w:r>
      <w:r>
        <w:t xml:space="preserve">extending the overriding public interest principle, targeted exemptions from specific EU</w:t>
      </w:r>
      <w:r>
        <w:t xml:space="preserve"> </w:t>
      </w:r>
      <w:r>
        <w:t xml:space="preserve">legislation, accelerating the digitalisation of permitting processes and improving data availability</w:t>
      </w:r>
      <w:r>
        <w:t xml:space="preserve"> </w:t>
      </w:r>
      <w:r>
        <w:t xml:space="preserve">was also brought to the attention of the Commission.</w:t>
      </w:r>
      <w:r>
        <w:t xml:space="preserve"> </w:t>
      </w:r>
      <w:r>
        <w:t xml:space="preserve">2.2 Overriding Public Interest (OPI)</w:t>
      </w:r>
      <w:r>
        <w:t xml:space="preserve"> </w:t>
      </w:r>
      <w:r>
        <w:t xml:space="preserve">Article 16f of the revised RED requires Member States to set a rebuttable presumption that</w:t>
      </w:r>
      <w:r>
        <w:t xml:space="preserve"> </w:t>
      </w:r>
      <w:r>
        <w:t xml:space="preserve">renewable energy installations, their related infrastructure and storage assets are in the overriding</w:t>
      </w:r>
      <w:r>
        <w:t xml:space="preserve"> </w:t>
      </w:r>
      <w:r>
        <w:t xml:space="preserve">public interest and serving public health and safety when balancing legal interests in individual</w:t>
      </w:r>
      <w:r>
        <w:t xml:space="preserve"> </w:t>
      </w:r>
      <w:r>
        <w:t xml:space="preserve">cases vis-à-vis certain EU environmental legislation, namely the Habitats Directive,233 the Water</w:t>
      </w:r>
      <w:r>
        <w:t xml:space="preserve"> </w:t>
      </w:r>
      <w:r>
        <w:t xml:space="preserve">Framework Directive234 and the Birds Directive.235 Member States may restrict the application of</w:t>
      </w:r>
      <w:r>
        <w:t xml:space="preserve"> </w:t>
      </w:r>
      <w:r>
        <w:t xml:space="preserve">the OPI provisions to certain parts of their territory, to certain types of technology or to projects</w:t>
      </w:r>
      <w:r>
        <w:t xml:space="preserve"> </w:t>
      </w:r>
      <w:r>
        <w:t xml:space="preserve">with certain technical characteristics. The Emergency Regulation, which expired in July 2025,</w:t>
      </w:r>
      <w:r>
        <w:t xml:space="preserve"> </w:t>
      </w:r>
      <w:r>
        <w:t xml:space="preserve">also allowed Member States to “give priority” to RES installations that were recognised as being</w:t>
      </w:r>
      <w:r>
        <w:t xml:space="preserve"> </w:t>
      </w:r>
      <w:r>
        <w:t xml:space="preserve">of OPI when balancing legal interests in the individual case beyond environmental matters.</w:t>
      </w:r>
      <w:r>
        <w:t xml:space="preserve"> </w:t>
      </w:r>
      <w:r>
        <w:t xml:space="preserve">As of June 2025, 9 Member States have provided information and declared full transposition with</w:t>
      </w:r>
      <w:r>
        <w:t xml:space="preserve"> </w:t>
      </w:r>
      <w:r>
        <w:t xml:space="preserve">regards Article 16f, 5 Member States have declared partial transposition, and the remaining 10</w:t>
      </w:r>
      <w:r>
        <w:t xml:space="preserve"> </w:t>
      </w:r>
      <w:r>
        <w:t xml:space="preserve">Member States have not transposed and/or have not provided relevant information. Regarding 3</w:t>
      </w:r>
      <w:r>
        <w:t xml:space="preserve"> </w:t>
      </w:r>
      <w:r>
        <w:t xml:space="preserve">Member States, the transposition of Article 16f was not analysed due to the late submission of the</w:t>
      </w:r>
      <w:r>
        <w:t xml:space="preserve"> </w:t>
      </w:r>
      <w:r>
        <w:t xml:space="preserve">required measures</w:t>
      </w:r>
      <w:r>
        <w:t xml:space="preserve"> </w:t>
      </w:r>
      <w:r>
        <w:t xml:space="preserve">A Member State which took advantage of the OPI concept enshrined in the Emergency Regulation</w:t>
      </w:r>
      <w:r>
        <w:t xml:space="preserve"> </w:t>
      </w:r>
      <w:r>
        <w:t xml:space="preserve">already from December 2022 is Germany. It has achieved substantial integration of the OPI</w:t>
      </w:r>
    </w:p>
    <w:p>
      <w:pPr>
        <w:pStyle w:val="BodyText"/>
      </w:pPr>
      <w:r>
        <w:t xml:space="preserve">233 Council Directive 92/43/EEC of 21 May 1992 on the conservation of natural habitats and of wild fauna and flora;</w:t>
      </w:r>
      <w:r>
        <w:t xml:space="preserve"> </w:t>
      </w:r>
      <w:r>
        <w:t xml:space="preserve">OJ L 206, 22.7.1992, pp. 7–50.</w:t>
      </w:r>
      <w:r>
        <w:t xml:space="preserve"> </w:t>
      </w:r>
      <w:r>
        <w:t xml:space="preserve">234 Directive 2000/60/EC of the European Parliament and of the Council of 23 October 2000 establishing a framework</w:t>
      </w:r>
      <w:r>
        <w:t xml:space="preserve"> </w:t>
      </w:r>
      <w:r>
        <w:t xml:space="preserve">for Community action in the field of water policy; OJ L 327, 22.12.2000, pp. 1–73.</w:t>
      </w:r>
      <w:r>
        <w:t xml:space="preserve"> </w:t>
      </w:r>
      <w:r>
        <w:t xml:space="preserve">235 Directive 2009/147/EC of the European Parliament and of the Council of 30 November 2009 on the conservation</w:t>
      </w:r>
      <w:r>
        <w:t xml:space="preserve"> </w:t>
      </w:r>
      <w:r>
        <w:t xml:space="preserve">of wild birds (Codified version); OJ L 20, 26.1.2010, pp. 7–25.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principle, not only limited to permitting for renewable energy installations but also enhancing</w:t>
      </w:r>
      <w:r>
        <w:t xml:space="preserve"> </w:t>
      </w:r>
      <w:r>
        <w:t xml:space="preserve">permitting efficiency by recalibrating how environmental and other concerns are weighed in</w:t>
      </w:r>
      <w:r>
        <w:t xml:space="preserve"> </w:t>
      </w:r>
      <w:r>
        <w:t xml:space="preserve">decision-making processes. The Federal Ministry for Economic Affairs and Climate Action</w:t>
      </w:r>
      <w:r>
        <w:t xml:space="preserve"> </w:t>
      </w:r>
      <w:r>
        <w:t xml:space="preserve">(BMWK) has provided clear guidance to align regional permitting authorities with national and</w:t>
      </w:r>
      <w:r>
        <w:t xml:space="preserve"> </w:t>
      </w:r>
      <w:r>
        <w:t xml:space="preserve">EU legislation, addressing uncertainties and questions from federal authorities. This consistent</w:t>
      </w:r>
      <w:r>
        <w:t xml:space="preserve"> </w:t>
      </w:r>
      <w:r>
        <w:t xml:space="preserve">support has empowered authorities to implement relevant provisions with greater confidence.</w:t>
      </w:r>
      <w:r>
        <w:t xml:space="preserve"> </w:t>
      </w:r>
      <w:r>
        <w:t xml:space="preserve">Judicial reinforcement has been equally important, with multiple court decisions upholding the</w:t>
      </w:r>
      <w:r>
        <w:t xml:space="preserve"> </w:t>
      </w:r>
      <w:r>
        <w:t xml:space="preserve">precedence of OPI for renewable energy projects.236</w:t>
      </w:r>
      <w:r>
        <w:t xml:space="preserve"> </w:t>
      </w:r>
      <w:r>
        <w:t xml:space="preserve">This approach constituted a substantial pillar in accelerating the RES permitting process in</w:t>
      </w:r>
      <w:r>
        <w:t xml:space="preserve"> </w:t>
      </w:r>
      <w:r>
        <w:t xml:space="preserve">Germany together with strong political commitment. In 2024, renewable energy generation</w:t>
      </w:r>
      <w:r>
        <w:t xml:space="preserve"> </w:t>
      </w:r>
      <w:r>
        <w:t xml:space="preserve">capacity installed in Germany increased by 19.6 GW. This is double compared to 2022 and</w:t>
      </w:r>
      <w:r>
        <w:t xml:space="preserve"> </w:t>
      </w:r>
      <w:r>
        <w:t xml:space="preserve">confirms the positive trend of 2023 (+18.6 GW). This is mainly thanks to additional solar</w:t>
      </w:r>
      <w:r>
        <w:t xml:space="preserve"> </w:t>
      </w:r>
      <w:r>
        <w:t xml:space="preserve">capacity.237 Depending on the source, granted permits for onshore wind reached 14 GW238 or 15</w:t>
      </w:r>
      <w:r>
        <w:t xml:space="preserve"> </w:t>
      </w:r>
      <w:r>
        <w:t xml:space="preserve">GW239 in 2024, meaning that permitted onshore wind capacity per year more than tripled</w:t>
      </w:r>
      <w:r>
        <w:t xml:space="preserve"> </w:t>
      </w:r>
      <w:r>
        <w:t xml:space="preserve">compared to 2022. This positive trend was confirmed in the first half of 2025, which set a new</w:t>
      </w:r>
      <w:r>
        <w:t xml:space="preserve"> </w:t>
      </w:r>
      <w:r>
        <w:t xml:space="preserve">record with 7.8 GW of wind energy capacity permitted.240</w:t>
      </w:r>
      <w:r>
        <w:t xml:space="preserve"> </w:t>
      </w:r>
      <w:r>
        <w:t xml:space="preserve">For many Member States, the OPI concept has been comprehensively implemented only in</w:t>
      </w:r>
      <w:r>
        <w:t xml:space="preserve"> </w:t>
      </w:r>
      <w:r>
        <w:t xml:space="preserve">relation to the revised RED transposition (not in relation to the Emergency Regulation), as it</w:t>
      </w:r>
      <w:r>
        <w:t xml:space="preserve"> </w:t>
      </w:r>
      <w:r>
        <w:t xml:space="preserve">required amendments to sectoral pieces of legislation. Given the transposition deadline expired</w:t>
      </w:r>
      <w:r>
        <w:t xml:space="preserve"> </w:t>
      </w:r>
      <w:r>
        <w:t xml:space="preserve">only in July 2024, it is still too early to establish a correlation of its application with the annual</w:t>
      </w:r>
      <w:r>
        <w:t xml:space="preserve"> </w:t>
      </w:r>
      <w:r>
        <w:t xml:space="preserve">RES deployment rates. However, certain positive trends seem to be emerging in some Member</w:t>
      </w:r>
      <w:r>
        <w:t xml:space="preserve"> </w:t>
      </w:r>
      <w:r>
        <w:t xml:space="preserve">States.241</w:t>
      </w:r>
      <w:r>
        <w:br/>
      </w:r>
      <w:r>
        <w:t xml:space="preserve">At the same time however, research and stakeholders’ feedback have revealed issues and</w:t>
      </w:r>
      <w:r>
        <w:t xml:space="preserve"> </w:t>
      </w:r>
      <w:r>
        <w:t xml:space="preserve">confusion in many cases with regards to the implementation of this provision. In some Member</w:t>
      </w:r>
      <w:r>
        <w:t xml:space="preserve"> </w:t>
      </w:r>
      <w:r>
        <w:t xml:space="preserve">States, implementation is hindered due to the stringent conditions under which it applies or due to</w:t>
      </w:r>
      <w:r>
        <w:t xml:space="preserve"> </w:t>
      </w:r>
      <w:r>
        <w:t xml:space="preserve">persistent veto powers, especially from cultural heritage authorities. There are also cases where</w:t>
      </w:r>
      <w:r>
        <w:t xml:space="preserve"> </w:t>
      </w:r>
      <w:r>
        <w:t xml:space="preserve">Member States continue to treat renewable energy projects as ordinary infrastructure, despite the</w:t>
      </w:r>
      <w:r>
        <w:t xml:space="preserve"> </w:t>
      </w:r>
      <w:r>
        <w:t xml:space="preserve">Regulation’s direct applicability and the Directive’s expired transposition deadline, an approach</w:t>
      </w:r>
      <w:r>
        <w:t xml:space="preserve"> </w:t>
      </w:r>
      <w:r>
        <w:t xml:space="preserve">that significantly weakens the intended effect of OPI.</w:t>
      </w:r>
    </w:p>
    <w:p>
      <w:pPr>
        <w:pStyle w:val="BodyText"/>
      </w:pPr>
      <w:r>
        <w:t xml:space="preserve">236 Notable examples include the Federal Constitutional Court’s recognition of EEG §2 in balancing wind energy</w:t>
      </w:r>
      <w:r>
        <w:t xml:space="preserve"> </w:t>
      </w:r>
      <w:r>
        <w:t xml:space="preserve">development with forest protection (BVerfG, 27.09.2022 - 1 BvR 2661/21) and the application of this principle in</w:t>
      </w:r>
      <w:r>
        <w:t xml:space="preserve"> </w:t>
      </w:r>
      <w:r>
        <w:t xml:space="preserve">heritage protection contexts by regional courts (OVG Greifswald, 07.02.2023 - 5 K 171/22).</w:t>
      </w:r>
      <w:r>
        <w:t xml:space="preserve"> </w:t>
      </w:r>
      <w:r>
        <w:t xml:space="preserve">237 Data retrieved from: Bundesnetzagentur - Erneuerbare Energien</w:t>
      </w:r>
      <w:r>
        <w:t xml:space="preserve"> </w:t>
      </w:r>
      <w:r>
        <w:t xml:space="preserve">238 Status des Windenergieausbaus an Land im Jahr 2024</w:t>
      </w:r>
      <w:r>
        <w:t xml:space="preserve"> </w:t>
      </w:r>
      <w:r>
        <w:t xml:space="preserve">239 Bundesnetzagentur - Erneuerbare Energien</w:t>
      </w:r>
      <w:r>
        <w:t xml:space="preserve"> </w:t>
      </w:r>
      <w:r>
        <w:t xml:space="preserve">240 Marburg-Biedenkopf: Boom bei neuen Windrädern?</w:t>
      </w:r>
      <w:r>
        <w:t xml:space="preserve"> </w:t>
      </w:r>
      <w:r>
        <w:t xml:space="preserve">241 First Interim Report “Monitoring progress of measures to streamline permit-granting procedures under revised</w:t>
      </w:r>
      <w:r>
        <w:t xml:space="preserve"> </w:t>
      </w:r>
      <w:r>
        <w:t xml:space="preserve">RED and Emergency Regulation and development of permitting-related KPIs”, July 2025.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2.3 Single Contact Point</w:t>
      </w:r>
      <w:r>
        <w:t xml:space="preserve"> </w:t>
      </w:r>
      <w:r>
        <w:t xml:space="preserve">According to Article 16(3) of the revised RED, Member States are required to set up one or more</w:t>
      </w:r>
      <w:r>
        <w:t xml:space="preserve"> </w:t>
      </w:r>
      <w:r>
        <w:t xml:space="preserve">contact points which shall guide and facilitate the applicant during the entire administrative</w:t>
      </w:r>
      <w:r>
        <w:t xml:space="preserve"> </w:t>
      </w:r>
      <w:r>
        <w:t xml:space="preserve">permit-application and permit-granting procedure. The applicant shall not be required to contact</w:t>
      </w:r>
      <w:r>
        <w:t xml:space="preserve"> </w:t>
      </w:r>
      <w:r>
        <w:t xml:space="preserve">more than one contact point during the entire procedure, hence the concept of “the One Stop</w:t>
      </w:r>
      <w:r>
        <w:t xml:space="preserve"> </w:t>
      </w:r>
      <w:r>
        <w:t xml:space="preserve">Shop”. It shall provide the applicant with all necessary information and involve other authorities,</w:t>
      </w:r>
      <w:r>
        <w:t xml:space="preserve"> </w:t>
      </w:r>
      <w:r>
        <w:t xml:space="preserve">were appropriate. It also has to keep track of the deadlines set out in the revised RED. According</w:t>
      </w:r>
      <w:r>
        <w:t xml:space="preserve"> </w:t>
      </w:r>
      <w:r>
        <w:t xml:space="preserve">to Article 16(4), the contact point shall make available a manual of procedures for developers of</w:t>
      </w:r>
      <w:r>
        <w:t xml:space="preserve"> </w:t>
      </w:r>
      <w:r>
        <w:t xml:space="preserve">renewable energy plants and shall provide that information online. This requirement for a manual</w:t>
      </w:r>
      <w:r>
        <w:t xml:space="preserve"> </w:t>
      </w:r>
      <w:r>
        <w:t xml:space="preserve">of procedures builds on an obligation that already existed in the RED.</w:t>
      </w:r>
      <w:r>
        <w:t xml:space="preserve"> </w:t>
      </w:r>
      <w:r>
        <w:t xml:space="preserve">While it is difficult to quantify the impact of the Single contact point on duration of the permitting</w:t>
      </w:r>
      <w:r>
        <w:t xml:space="preserve"> </w:t>
      </w:r>
      <w:r>
        <w:t xml:space="preserve">procedure or even more, on Member States deployment rate of renewable energy, its facilitating</w:t>
      </w:r>
      <w:r>
        <w:t xml:space="preserve"> </w:t>
      </w:r>
      <w:r>
        <w:t xml:space="preserve">role shall not be underestimated, especially towards market participants with less expertise such</w:t>
      </w:r>
      <w:r>
        <w:t xml:space="preserve"> </w:t>
      </w:r>
      <w:r>
        <w:t xml:space="preserve">as self-consumers, renewable energy communities or SMEs.</w:t>
      </w:r>
      <w:r>
        <w:br/>
      </w:r>
      <w:r>
        <w:t xml:space="preserve">As of June 2025, Article 16(3) is declared as fully transposed by 4 Member States but only</w:t>
      </w:r>
      <w:r>
        <w:t xml:space="preserve"> </w:t>
      </w:r>
      <w:r>
        <w:t xml:space="preserve">partially transposed by 13 MS. The remaining 7 have not transposed the provision or have not</w:t>
      </w:r>
      <w:r>
        <w:t xml:space="preserve"> </w:t>
      </w:r>
      <w:r>
        <w:t xml:space="preserve">provided relevant information. This will be assessed by the Commission. Moreover, 7 Member</w:t>
      </w:r>
      <w:r>
        <w:t xml:space="preserve"> </w:t>
      </w:r>
      <w:r>
        <w:t xml:space="preserve">States have declared full transposition of Article 16(4), while 7 declared partial transposition and</w:t>
      </w:r>
      <w:r>
        <w:t xml:space="preserve"> </w:t>
      </w:r>
      <w:r>
        <w:t xml:space="preserve">10 MS have either failed to transpose it so far or have not provided any relevant document.</w:t>
      </w:r>
      <w:r>
        <w:t xml:space="preserve"> </w:t>
      </w:r>
      <w:r>
        <w:t xml:space="preserve">Regarding the latter, 3 Member States were not analysed due to the late submission of the required</w:t>
      </w:r>
      <w:r>
        <w:t xml:space="preserve"> </w:t>
      </w:r>
      <w:r>
        <w:t xml:space="preserve">measures.</w:t>
      </w:r>
      <w:r>
        <w:t xml:space="preserve"> </w:t>
      </w:r>
      <w:r>
        <w:t xml:space="preserve">The state-of-art example in this respect is Denmark, which has a well-established concept of a</w:t>
      </w:r>
      <w:r>
        <w:t xml:space="preserve"> </w:t>
      </w:r>
      <w:r>
        <w:t xml:space="preserve">Single Contact Point for offshore wind projects, where the Danish Energy Agency has been the</w:t>
      </w:r>
      <w:r>
        <w:t xml:space="preserve"> </w:t>
      </w:r>
      <w:r>
        <w:t xml:space="preserve">single focal point throughout the whole development process, liaising with different involved</w:t>
      </w:r>
      <w:r>
        <w:t xml:space="preserve"> </w:t>
      </w:r>
      <w:r>
        <w:t xml:space="preserve">stakeholders.242 The Agency has been expanding its services in this respect, assuming also the</w:t>
      </w:r>
      <w:r>
        <w:t xml:space="preserve"> </w:t>
      </w:r>
      <w:r>
        <w:t xml:space="preserve">revised RED-compliant role of the single contact point from Article 16(3). The solution has been</w:t>
      </w:r>
      <w:r>
        <w:t xml:space="preserve"> </w:t>
      </w:r>
      <w:r>
        <w:t xml:space="preserve">widely regarded as contributing to a streamlined permitting process, including a single licensing</w:t>
      </w:r>
      <w:r>
        <w:t xml:space="preserve"> </w:t>
      </w:r>
      <w:r>
        <w:t xml:space="preserve">process, and mitigating costly delays during the construction phase.</w:t>
      </w:r>
      <w:r>
        <w:br/>
      </w:r>
      <w:r>
        <w:t xml:space="preserve">The Danish Energy Agency (“ENS”) is to be used as single point of access to assistance on issues</w:t>
      </w:r>
      <w:r>
        <w:t xml:space="preserve"> </w:t>
      </w:r>
      <w:r>
        <w:t xml:space="preserve">related to all offshore wind permitting. ENS will grant the required permits and will coordinate</w:t>
      </w:r>
      <w:r>
        <w:t xml:space="preserve"> </w:t>
      </w:r>
      <w:r>
        <w:t xml:space="preserve">these with other relevant authorities. Therefore, it is the ENS which serves the project developer</w:t>
      </w:r>
      <w:r>
        <w:t xml:space="preserve"> </w:t>
      </w:r>
      <w:r>
        <w:t xml:space="preserve">in relation to the many, often opposing, interests connected to the establishment of offshore wind</w:t>
      </w:r>
      <w:r>
        <w:t xml:space="preserve"> </w:t>
      </w:r>
      <w:r>
        <w:t xml:space="preserve">power projects, with its scope now further expanded. This means that the permits granted by ENS</w:t>
      </w:r>
      <w:r>
        <w:t xml:space="preserve"> </w:t>
      </w:r>
      <w:r>
        <w:t xml:space="preserve">also contain terms and conditions from other authorities, such as the Danish Nature Agency, the</w:t>
      </w:r>
    </w:p>
    <w:p>
      <w:pPr>
        <w:pStyle w:val="BodyText"/>
      </w:pPr>
      <w:r>
        <w:t xml:space="preserve">242 Concept visualised: https://initiatives.weforum.org/clean-power-and-electrification/casestudy1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Danish Maritime Authority, the Danish Coastal Authority, the Danish Agency for Culture, the</w:t>
      </w:r>
      <w:r>
        <w:t xml:space="preserve"> </w:t>
      </w:r>
      <w:r>
        <w:t xml:space="preserve">Ministry of Defence, etc.243</w:t>
      </w:r>
      <w:r>
        <w:t xml:space="preserve"> </w:t>
      </w:r>
      <w:r>
        <w:t xml:space="preserve">Even though very good implementation such as the above exists, the establishment of centralised</w:t>
      </w:r>
      <w:r>
        <w:t xml:space="preserve"> </w:t>
      </w:r>
      <w:r>
        <w:t xml:space="preserve">Single contact point for permitting coordination shows varied progress across Member States, with</w:t>
      </w:r>
      <w:r>
        <w:t xml:space="preserve"> </w:t>
      </w:r>
      <w:r>
        <w:t xml:space="preserve">most exhibiting partial implementation or systems under development rather than fully operational</w:t>
      </w:r>
      <w:r>
        <w:t xml:space="preserve"> </w:t>
      </w:r>
      <w:r>
        <w:t xml:space="preserve">solutions.</w:t>
      </w:r>
      <w:r>
        <w:br/>
      </w:r>
      <w:r>
        <w:t xml:space="preserve">While all Member States have established some forms of contact points, the process is rarely</w:t>
      </w:r>
      <w:r>
        <w:t xml:space="preserve"> </w:t>
      </w:r>
      <w:r>
        <w:t xml:space="preserve">unified. In quite a few cases single contact points have limited role and provide, for example, only</w:t>
      </w:r>
      <w:r>
        <w:t xml:space="preserve"> </w:t>
      </w:r>
      <w:r>
        <w:t xml:space="preserve">information or ‘guide’ the developers without more active engagement (e.g. Ireland, Poland).</w:t>
      </w:r>
      <w:r>
        <w:t xml:space="preserve"> </w:t>
      </w:r>
      <w:r>
        <w:t xml:space="preserve">While there has been an effort to streamline information around Member States’ permitting</w:t>
      </w:r>
      <w:r>
        <w:t xml:space="preserve"> </w:t>
      </w:r>
      <w:r>
        <w:t xml:space="preserve">processes, in quite few cases the role of the contact point is merely informative.244</w:t>
      </w:r>
      <w:r>
        <w:t xml:space="preserve"> </w:t>
      </w:r>
      <w:r>
        <w:t xml:space="preserve">2.4 Technology-specific provisions</w:t>
      </w:r>
      <w:r>
        <w:t xml:space="preserve"> </w:t>
      </w:r>
      <w:r>
        <w:t xml:space="preserve">The reason these provisions are grouped together for the purpose of this Report stems from another</w:t>
      </w:r>
      <w:r>
        <w:t xml:space="preserve"> </w:t>
      </w:r>
      <w:r>
        <w:t xml:space="preserve">layer of difficulty in quantitively measuring their dedicated impact on the actual length of the</w:t>
      </w:r>
      <w:r>
        <w:t xml:space="preserve"> </w:t>
      </w:r>
      <w:r>
        <w:t xml:space="preserve">permitting process or the deployment rate of specific RES technologies. This is because with the</w:t>
      </w:r>
      <w:r>
        <w:t xml:space="preserve"> </w:t>
      </w:r>
      <w:r>
        <w:t xml:space="preserve">lack of general data on the length of permitting procedure, the availability of their subsequent</w:t>
      </w:r>
      <w:r>
        <w:t xml:space="preserve"> </w:t>
      </w:r>
      <w:r>
        <w:t xml:space="preserve">breakdown into specific subsets is even more challenging.</w:t>
      </w:r>
      <w:r>
        <w:t xml:space="preserve"> </w:t>
      </w:r>
      <w:r>
        <w:t xml:space="preserve">Technology-specific provisions, as introduced in Section 1 of the analysis, encompass shorter</w:t>
      </w:r>
      <w:r>
        <w:t xml:space="preserve"> </w:t>
      </w:r>
      <w:r>
        <w:t xml:space="preserve">deadlines for all technologies. Article 16c sets rules to simplify repowering procedures. Article</w:t>
      </w:r>
      <w:r>
        <w:t xml:space="preserve"> </w:t>
      </w:r>
      <w:r>
        <w:t xml:space="preserve">16d addresses deadlines for solar installations on artificial structures, as well as small-scale solar</w:t>
      </w:r>
      <w:r>
        <w:t xml:space="preserve"> </w:t>
      </w:r>
      <w:r>
        <w:t xml:space="preserve">installations. Article 16e governs the permitting time for heat pumps.</w:t>
      </w:r>
      <w:r>
        <w:br/>
      </w:r>
      <w:r>
        <w:t xml:space="preserve">The self-declared status of Member States with regards the transposition status of these Articles</w:t>
      </w:r>
      <w:r>
        <w:t xml:space="preserve"> </w:t>
      </w:r>
      <w:r>
        <w:t xml:space="preserve">as of June 2025 is the following:</w:t>
      </w:r>
      <w:r>
        <w:t xml:space="preserve"> </w:t>
      </w:r>
      <w:r>
        <w:t xml:space="preserve">-</w:t>
      </w:r>
      <w:r>
        <w:t xml:space="preserve"> </w:t>
      </w:r>
      <w:r>
        <w:t xml:space="preserve">Article 16b is fully transposed in 2 Member States and partially transposed in 14 Member</w:t>
      </w:r>
      <w:r>
        <w:t xml:space="preserve"> </w:t>
      </w:r>
      <w:r>
        <w:t xml:space="preserve">States. Eight Member States have not transposed these provisions. The transposition of</w:t>
      </w:r>
      <w:r>
        <w:t xml:space="preserve"> </w:t>
      </w:r>
      <w:r>
        <w:t xml:space="preserve">this Article in 3 Member States has not yet been analysed due to the late submission of the</w:t>
      </w:r>
      <w:r>
        <w:t xml:space="preserve"> </w:t>
      </w:r>
      <w:r>
        <w:t xml:space="preserve">required measures.</w:t>
      </w:r>
      <w:r>
        <w:t xml:space="preserve"> </w:t>
      </w:r>
      <w:r>
        <w:t xml:space="preserve">-</w:t>
      </w:r>
      <w:r>
        <w:t xml:space="preserve"> </w:t>
      </w:r>
      <w:r>
        <w:t xml:space="preserve">Article 16c is fully transposed in 1 Member State and partially transposed in 12 Member</w:t>
      </w:r>
      <w:r>
        <w:t xml:space="preserve"> </w:t>
      </w:r>
      <w:r>
        <w:t xml:space="preserve">States. Eleven Member States have not transposed these provisions. The transposition of</w:t>
      </w:r>
    </w:p>
    <w:p>
      <w:pPr>
        <w:pStyle w:val="BodyText"/>
      </w:pPr>
      <w:r>
        <w:t xml:space="preserve">243 https://ens.dk/sites/default/files/media/documents/2024-11/offshore_wind_development_0.pdf</w:t>
      </w:r>
      <w:r>
        <w:t xml:space="preserve"> </w:t>
      </w:r>
      <w:r>
        <w:t xml:space="preserve">244 European Commission: Directorate-General for Energy, COWI, Eclareon and Prognos, Monitoring the</w:t>
      </w:r>
      <w:r>
        <w:t xml:space="preserve"> </w:t>
      </w:r>
      <w:r>
        <w:t xml:space="preserve">implementation of the Commission recommendation and guidance on speeding up permit-granting procedures for</w:t>
      </w:r>
      <w:r>
        <w:t xml:space="preserve"> </w:t>
      </w:r>
      <w:r>
        <w:t xml:space="preserve">renewable energy and related infrastructure projects – Final report, Publications Office of the European Union, 2025,</w:t>
      </w:r>
      <w:r>
        <w:t xml:space="preserve"> </w:t>
      </w:r>
      <w:r>
        <w:t xml:space="preserve">https://data.europa.eu/doi/10.2833/2257747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these Articles has not yet been analysed in 3 Member States due to their late submission</w:t>
      </w:r>
      <w:r>
        <w:t xml:space="preserve"> </w:t>
      </w:r>
      <w:r>
        <w:t xml:space="preserve">of the required measures.</w:t>
      </w:r>
      <w:r>
        <w:t xml:space="preserve"> </w:t>
      </w:r>
      <w:r>
        <w:t xml:space="preserve">-</w:t>
      </w:r>
      <w:r>
        <w:t xml:space="preserve"> </w:t>
      </w:r>
      <w:r>
        <w:t xml:space="preserve">Article 16d is fully transposed in 3 Member State and partially transposed in 13 Member</w:t>
      </w:r>
      <w:r>
        <w:t xml:space="preserve"> </w:t>
      </w:r>
      <w:r>
        <w:t xml:space="preserve">States. Eight Member States have not transposed these provisions. The transposition of</w:t>
      </w:r>
      <w:r>
        <w:t xml:space="preserve"> </w:t>
      </w:r>
      <w:r>
        <w:t xml:space="preserve">these Articles has not yet been analysed in 3 Member States due to their late submission</w:t>
      </w:r>
      <w:r>
        <w:t xml:space="preserve"> </w:t>
      </w:r>
      <w:r>
        <w:t xml:space="preserve">of the required measures.</w:t>
      </w:r>
      <w:r>
        <w:t xml:space="preserve"> </w:t>
      </w:r>
      <w:r>
        <w:t xml:space="preserve">-</w:t>
      </w:r>
      <w:r>
        <w:t xml:space="preserve"> </w:t>
      </w:r>
      <w:r>
        <w:t xml:space="preserve">Article 16e is fully transposed in 3 Member State and partially transposed in 10 Member</w:t>
      </w:r>
      <w:r>
        <w:t xml:space="preserve"> </w:t>
      </w:r>
      <w:r>
        <w:t xml:space="preserve">States. 11 Member States have not transposed these provisions. The transposition of these</w:t>
      </w:r>
      <w:r>
        <w:t xml:space="preserve"> </w:t>
      </w:r>
      <w:r>
        <w:t xml:space="preserve">Articles has not yet been analysed in 3 Member States due to their late submission of the</w:t>
      </w:r>
      <w:r>
        <w:t xml:space="preserve"> </w:t>
      </w:r>
      <w:r>
        <w:t xml:space="preserve">required measures.</w:t>
      </w:r>
      <w:r>
        <w:t xml:space="preserve"> </w:t>
      </w:r>
      <w:r>
        <w:t xml:space="preserve">The analysis of implementation in practice of the permitting provisions was prepared within the</w:t>
      </w:r>
      <w:r>
        <w:t xml:space="preserve"> </w:t>
      </w:r>
      <w:r>
        <w:t xml:space="preserve">remit of the First Interim Report “Monitoring progress of measures to streamline permit-granting</w:t>
      </w:r>
      <w:r>
        <w:t xml:space="preserve"> </w:t>
      </w:r>
      <w:r>
        <w:t xml:space="preserve">procedures under revised RED and Emergency Regulation and development of permitting-related</w:t>
      </w:r>
      <w:r>
        <w:t xml:space="preserve"> </w:t>
      </w:r>
      <w:r>
        <w:t xml:space="preserve">KPIs”. Important to note that this assessment does not necessarily correlate with the transposition</w:t>
      </w:r>
      <w:r>
        <w:t xml:space="preserve"> </w:t>
      </w:r>
      <w:r>
        <w:t xml:space="preserve">checks status presented above, as the former looks, to the extent possible, into the effective</w:t>
      </w:r>
      <w:r>
        <w:t xml:space="preserve"> </w:t>
      </w:r>
      <w:r>
        <w:t xml:space="preserve">functioning of permitting deadlines, while the latter encompasses legal assessments.</w:t>
      </w:r>
      <w:r>
        <w:br/>
      </w:r>
      <w:r>
        <w:t xml:space="preserve">To this end, permitting deadlines for renewable energy projects can be grouped into three main</w:t>
      </w:r>
      <w:r>
        <w:t xml:space="preserve"> </w:t>
      </w:r>
      <w:r>
        <w:t xml:space="preserve">categories. The first category includes Member States that have established clear deadlines which</w:t>
      </w:r>
      <w:r>
        <w:t xml:space="preserve"> </w:t>
      </w:r>
      <w:r>
        <w:t xml:space="preserve">had an impact on the permitting duration. Italy has incorporated the six-month permitting cap and</w:t>
      </w:r>
      <w:r>
        <w:t xml:space="preserve"> </w:t>
      </w:r>
      <w:r>
        <w:t xml:space="preserve">introduced streamlined procedures for small-scale solar PV projects, alongside partial exemptions</w:t>
      </w:r>
      <w:r>
        <w:t xml:space="preserve"> </w:t>
      </w:r>
      <w:r>
        <w:t xml:space="preserve">from the need to go through an EIA. Its use of tacit consent has proven instrumental in reducing</w:t>
      </w:r>
      <w:r>
        <w:t xml:space="preserve"> </w:t>
      </w:r>
      <w:r>
        <w:t xml:space="preserve">administrative inertia. The Netherlands also benefits from pre-existing national legislation with</w:t>
      </w:r>
      <w:r>
        <w:t xml:space="preserve"> </w:t>
      </w:r>
      <w:r>
        <w:t xml:space="preserve">sometimes shorter deadlines than those set by the Emergency Regulation, supported by a penalty</w:t>
      </w:r>
      <w:r>
        <w:t xml:space="preserve"> </w:t>
      </w:r>
      <w:r>
        <w:t xml:space="preserve">system for late decisions, although not aimed specifically at accelerating permit-related decisions.</w:t>
      </w:r>
      <w:r>
        <w:t xml:space="preserve"> </w:t>
      </w:r>
      <w:r>
        <w:t xml:space="preserve">The second category includes Member States that have established deadlines, but considerable</w:t>
      </w:r>
      <w:r>
        <w:t xml:space="preserve"> </w:t>
      </w:r>
      <w:r>
        <w:t xml:space="preserve">delays are observed. Germany has included the deadlines in federal law but lack of legal</w:t>
      </w:r>
      <w:r>
        <w:t xml:space="preserve"> </w:t>
      </w:r>
      <w:r>
        <w:t xml:space="preserve">consequences for missed deadlines means that projects may get delayed. In France, permitting</w:t>
      </w:r>
      <w:r>
        <w:t xml:space="preserve"> </w:t>
      </w:r>
      <w:r>
        <w:t xml:space="preserve">timelines have improved through legislative reform and digital tools, but remain inconsistent</w:t>
      </w:r>
      <w:r>
        <w:t xml:space="preserve"> </w:t>
      </w:r>
      <w:r>
        <w:t xml:space="preserve">across departments. Greece has also established deadlines and milestones, but they are not</w:t>
      </w:r>
      <w:r>
        <w:t xml:space="preserve"> </w:t>
      </w:r>
      <w:r>
        <w:t xml:space="preserve">realistically respected.</w:t>
      </w:r>
      <w:r>
        <w:t xml:space="preserve"> </w:t>
      </w:r>
      <w:r>
        <w:t xml:space="preserve">The third category includes Member States where deadlines have been partially, or not</w:t>
      </w:r>
      <w:r>
        <w:t xml:space="preserve"> </w:t>
      </w:r>
      <w:r>
        <w:t xml:space="preserve">implemented and considerable barriers remain. Poland has partially introduced shorter deadlines,</w:t>
      </w:r>
      <w:r>
        <w:t xml:space="preserve"> </w:t>
      </w:r>
      <w:r>
        <w:t xml:space="preserve">while deadlines for repowering are not yet in place. In Sweden, permitting is handled on a case-</w:t>
      </w:r>
      <w:r>
        <w:t xml:space="preserve"> </w:t>
      </w:r>
      <w:r>
        <w:t xml:space="preserve">by-case basis without binding repowering rules concerning shorter deadlines. Romania continues</w:t>
      </w:r>
      <w:r>
        <w:t xml:space="preserve"> </w:t>
      </w:r>
      <w:r>
        <w:t xml:space="preserve">to apply outdated time limits and treats repowering as equivalent to new construction, even though</w:t>
      </w:r>
      <w:r>
        <w:t xml:space="preserve"> </w:t>
      </w:r>
      <w:r>
        <w:t xml:space="preserve">legislation is in place. Spain’s fragmented legal landscape lacks a unified permitting timeline, also</w:t>
      </w:r>
      <w:r>
        <w:t xml:space="preserve"> </w:t>
      </w:r>
      <w:r>
        <w:t xml:space="preserve">due to regional authorities applying the rules differently.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To conclude, the common obstacle across most countries is that even where deadlines are legally</w:t>
      </w:r>
      <w:r>
        <w:t xml:space="preserve"> </w:t>
      </w:r>
      <w:r>
        <w:t xml:space="preserve">prescribed, they are often undermined due to lack of administrative staff and/or complex</w:t>
      </w:r>
      <w:r>
        <w:t xml:space="preserve"> </w:t>
      </w:r>
      <w:r>
        <w:t xml:space="preserve">procedures.</w:t>
      </w:r>
      <w:r>
        <w:t xml:space="preserve"> </w:t>
      </w:r>
      <w:r>
        <w:t xml:space="preserve">3. CONCLUSION</w:t>
      </w:r>
      <w:r>
        <w:t xml:space="preserve"> </w:t>
      </w:r>
      <w:r>
        <w:t xml:space="preserve">Despite challenges with dispersed data on permitting processes and some Member States not</w:t>
      </w:r>
      <w:r>
        <w:t xml:space="preserve"> </w:t>
      </w:r>
      <w:r>
        <w:t xml:space="preserve">having transposed the permitting provisions in their entirety, it still can be observed that the most</w:t>
      </w:r>
      <w:r>
        <w:t xml:space="preserve"> </w:t>
      </w:r>
      <w:r>
        <w:t xml:space="preserve">advanced Member States in their implementation are also the ones who demonstrated a substantial</w:t>
      </w:r>
      <w:r>
        <w:t xml:space="preserve"> </w:t>
      </w:r>
      <w:r>
        <w:t xml:space="preserve">acceleration of renewable deployment in the corresponding period.</w:t>
      </w:r>
      <w:r>
        <w:t xml:space="preserve"> </w:t>
      </w:r>
      <w:r>
        <w:t xml:space="preserve">In terms of effectiveness, it can be observed on the example of Germany that taking full advantage</w:t>
      </w:r>
      <w:r>
        <w:t xml:space="preserve"> </w:t>
      </w:r>
      <w:r>
        <w:t xml:space="preserve">of the solutions laid down in the Emergency Regulation and the revised RED has accelerated the</w:t>
      </w:r>
      <w:r>
        <w:t xml:space="preserve"> </w:t>
      </w:r>
      <w:r>
        <w:t xml:space="preserve">RES permitting process substantially, resulting in an exponential increase of RES deployment</w:t>
      </w:r>
      <w:r>
        <w:t xml:space="preserve"> </w:t>
      </w:r>
      <w:r>
        <w:t xml:space="preserve">rates. Some granular positive developments may also be observed in both these areas in the</w:t>
      </w:r>
      <w:r>
        <w:t xml:space="preserve"> </w:t>
      </w:r>
      <w:r>
        <w:t xml:space="preserve">Netherlands or Portugal. For the majority of the remainder of Member States, the effectiveness is</w:t>
      </w:r>
      <w:r>
        <w:t xml:space="preserve"> </w:t>
      </w:r>
      <w:r>
        <w:t xml:space="preserve">to be confirmed only once more comprehensive national framework is put in place and subject to</w:t>
      </w:r>
      <w:r>
        <w:t xml:space="preserve"> </w:t>
      </w:r>
      <w:r>
        <w:t xml:space="preserve">availability of the comprehensive data pertaining to the permitting processes. It needs to be</w:t>
      </w:r>
      <w:r>
        <w:t xml:space="preserve"> </w:t>
      </w:r>
      <w:r>
        <w:t xml:space="preserve">highlighted that stakeholders are not yet reporting many changes on the ground, indicating that</w:t>
      </w:r>
      <w:r>
        <w:t xml:space="preserve"> </w:t>
      </w:r>
      <w:r>
        <w:t xml:space="preserve">despite the ambitious framework, targeted amendments may be needed.</w:t>
      </w:r>
      <w:r>
        <w:t xml:space="preserve"> </w:t>
      </w:r>
      <w:r>
        <w:t xml:space="preserve">Similar conclusions can be drawn in relation to efficiency of the measures. An adequate</w:t>
      </w:r>
      <w:r>
        <w:t xml:space="preserve"> </w:t>
      </w:r>
      <w:r>
        <w:t xml:space="preserve">implementation of the provisions of the Emergency Regulation and revised RED results in setting</w:t>
      </w:r>
      <w:r>
        <w:t xml:space="preserve"> </w:t>
      </w:r>
      <w:r>
        <w:t xml:space="preserve">up binding deadlines for the duration of the process, hence inherently contributing to the efficiency</w:t>
      </w:r>
      <w:r>
        <w:t xml:space="preserve"> </w:t>
      </w:r>
      <w:r>
        <w:t xml:space="preserve">of the permitting of renewables and related infrastructure.</w:t>
      </w:r>
      <w:r>
        <w:t xml:space="preserve"> </w:t>
      </w:r>
      <w:r>
        <w:t xml:space="preserve">The coherence with broader EU energy and climate policy objectives is thoroughly ensured, as</w:t>
      </w:r>
      <w:r>
        <w:t xml:space="preserve"> </w:t>
      </w:r>
      <w:r>
        <w:t xml:space="preserve">renewables constitute a cornerstone for both the EU green transition and its energy independence,</w:t>
      </w:r>
      <w:r>
        <w:t xml:space="preserve"> </w:t>
      </w:r>
      <w:r>
        <w:t xml:space="preserve">which reinforces security. Any policy intervention aiming at deployment of more renewables into</w:t>
      </w:r>
      <w:r>
        <w:t xml:space="preserve"> </w:t>
      </w:r>
      <w:r>
        <w:t xml:space="preserve">the EU energy system contribute to these overarching objectives.</w:t>
      </w:r>
      <w:r>
        <w:t xml:space="preserve"> </w:t>
      </w:r>
      <w:r>
        <w:t xml:space="preserve">Thus, the current framework has resulted in improvements in terms of effectiveness, efficiency</w:t>
      </w:r>
      <w:r>
        <w:t xml:space="preserve"> </w:t>
      </w:r>
      <w:r>
        <w:t xml:space="preserve">and coherence of the renewable energy permitting in the EU, as well as it demonstrated the EU</w:t>
      </w:r>
      <w:r>
        <w:t xml:space="preserve"> </w:t>
      </w:r>
      <w:r>
        <w:t xml:space="preserve">added value and relevance. However, more comprehensive datasets would be required to measure</w:t>
      </w:r>
      <w:r>
        <w:t xml:space="preserve"> </w:t>
      </w:r>
      <w:r>
        <w:t xml:space="preserve">the impact of the permitting provisions in a structured manner.</w:t>
      </w:r>
      <w:r>
        <w:t xml:space="preserve"> </w:t>
      </w:r>
      <w:r>
        <w:t xml:space="preserve">Lastly, it is also to be noted that even though the current provisions, for renewable energy</w:t>
      </w:r>
      <w:r>
        <w:t xml:space="preserve"> </w:t>
      </w:r>
      <w:r>
        <w:t xml:space="preserve">permitting has showed some promising results, the level of renewable energy capacity that it is</w:t>
      </w:r>
      <w:r>
        <w:t xml:space="preserve"> </w:t>
      </w:r>
      <w:r>
        <w:t xml:space="preserve">needed for reaching our 2030 targets and even beyond require much faster and more renewable</w:t>
      </w:r>
      <w:r>
        <w:t xml:space="preserve"> </w:t>
      </w:r>
      <w:r>
        <w:t xml:space="preserve">energy development and therefore additional measures may contribute to their further fine-tuning.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ANNEX 8: MONITORING</w:t>
      </w:r>
      <w:r>
        <w:t xml:space="preserve"> </w:t>
      </w:r>
      <w:r>
        <w:t xml:space="preserve">The success of the preferred policy option can be measured against the following operational</w:t>
      </w:r>
      <w:r>
        <w:t xml:space="preserve"> </w:t>
      </w:r>
      <w:r>
        <w:t xml:space="preserve">objectives and set of indicators, in particular addressing:</w:t>
      </w:r>
      <w:r>
        <w:t xml:space="preserve"> </w:t>
      </w:r>
      <w:r>
        <w:t xml:space="preserve">• the extent to which projects included in network developments and selected as PCIs/PMIs</w:t>
      </w:r>
      <w:r>
        <w:t xml:space="preserve"> </w:t>
      </w:r>
      <w:r>
        <w:t xml:space="preserve">address appropriately and effectively identified infrastructure needs;</w:t>
      </w:r>
      <w:r>
        <w:br/>
      </w:r>
      <w:r>
        <w:t xml:space="preserve">• the effective and increased use of cost-sharing tools;</w:t>
      </w:r>
      <w:r>
        <w:br/>
      </w:r>
      <w:r>
        <w:t xml:space="preserve">• the simplification of permitting procedures</w:t>
      </w:r>
      <w:r>
        <w:t xml:space="preserve"> </w:t>
      </w:r>
      <w:r>
        <w:t xml:space="preserve">• shortening of permitting lead times and meeting current deadlines;</w:t>
      </w:r>
      <w:r>
        <w:t xml:space="preserve"> </w:t>
      </w:r>
      <w:r>
        <w:t xml:space="preserve">• the enhanced physical and cyber security and resilience of energy infrastructure.</w:t>
      </w:r>
      <w:r>
        <w:t xml:space="preserve"> </w:t>
      </w:r>
      <w:r>
        <w:t xml:space="preserve">1) Projects included in network development plans and selected as PCI/PMIs address</w:t>
      </w:r>
      <w:r>
        <w:t xml:space="preserve"> </w:t>
      </w:r>
      <w:r>
        <w:t xml:space="preserve">appropriately and effectively identified infrastructure needs. The achievement of this objective</w:t>
      </w:r>
      <w:r>
        <w:t xml:space="preserve"> </w:t>
      </w:r>
      <w:r>
        <w:t xml:space="preserve">will be assessed through matchmaking projects included in network development plans with the</w:t>
      </w:r>
      <w:r>
        <w:t xml:space="preserve"> </w:t>
      </w:r>
      <w:r>
        <w:t xml:space="preserve">identified needs and ensuring that selected PCI/PMIs projects are assessed and validated based</w:t>
      </w:r>
      <w:r>
        <w:t xml:space="preserve"> </w:t>
      </w:r>
      <w:r>
        <w:t xml:space="preserve">on clearly defined criteria, demonstrating that they effectively address infrastructure needs</w:t>
      </w:r>
      <w:r>
        <w:t xml:space="preserve"> </w:t>
      </w:r>
      <w:r>
        <w:t xml:space="preserve">identified. The preferred policy option should reduce the gap between the identified needs and</w:t>
      </w:r>
      <w:r>
        <w:t xml:space="preserve"> </w:t>
      </w:r>
      <w:r>
        <w:t xml:space="preserve">TYNDP and PCI/PMIs should decrease by most cost-effective solutions. The following</w:t>
      </w:r>
      <w:r>
        <w:t xml:space="preserve"> </w:t>
      </w:r>
      <w:r>
        <w:t xml:space="preserve">indicators will be used:</w:t>
      </w:r>
      <w:r>
        <w:t xml:space="preserve"> </w:t>
      </w:r>
      <w:r>
        <w:t xml:space="preserve">• the</w:t>
      </w:r>
      <w:r>
        <w:t xml:space="preserve"> </w:t>
      </w:r>
      <w:r>
        <w:t xml:space="preserve">number</w:t>
      </w:r>
      <w:r>
        <w:t xml:space="preserve"> </w:t>
      </w:r>
      <w:r>
        <w:t xml:space="preserve">and</w:t>
      </w:r>
      <w:r>
        <w:t xml:space="preserve"> </w:t>
      </w:r>
      <w:r>
        <w:t xml:space="preserve">total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interconnectors</w:t>
      </w:r>
      <w:r>
        <w:t xml:space="preserve"> </w:t>
      </w:r>
      <w:r>
        <w:t xml:space="preserve">approved/implemented;</w:t>
      </w:r>
      <w:r>
        <w:t xml:space="preserve"> </w:t>
      </w:r>
      <w:r>
        <w:t xml:space="preserve">• the extent to which identified infrastructure needs are addressed by infrastructure projects</w:t>
      </w:r>
      <w:r>
        <w:t xml:space="preserve"> </w:t>
      </w:r>
      <w:r>
        <w:t xml:space="preserve">(capacity) included in the TYNDP (planned, under construction or commissioned) or</w:t>
      </w:r>
      <w:r>
        <w:t xml:space="preserve"> </w:t>
      </w:r>
      <w:r>
        <w:t xml:space="preserve">other non-wired solutions (presence of the gap between needs and projects, and decrease</w:t>
      </w:r>
      <w:r>
        <w:t xml:space="preserve"> </w:t>
      </w:r>
      <w:r>
        <w:t xml:space="preserve">of the gap);</w:t>
      </w:r>
      <w:r>
        <w:br/>
      </w:r>
      <w:r>
        <w:t xml:space="preserve">• the uptake of non-wired solutions in terms of number of projects and respective increase</w:t>
      </w:r>
      <w:r>
        <w:t xml:space="preserve"> </w:t>
      </w:r>
      <w:r>
        <w:t xml:space="preserve">in grid capacity;</w:t>
      </w:r>
      <w:r>
        <w:t xml:space="preserve"> </w:t>
      </w:r>
      <w:r>
        <w:t xml:space="preserve">2) The more effective use of cost-sharing tools for faster deployment of cross-border</w:t>
      </w:r>
      <w:r>
        <w:t xml:space="preserve"> </w:t>
      </w:r>
      <w:r>
        <w:t xml:space="preserve">infrastructure projects. By facilitating and supporting the adoption of cost-sharing tools among</w:t>
      </w:r>
      <w:r>
        <w:t xml:space="preserve"> </w:t>
      </w:r>
      <w:r>
        <w:t xml:space="preserve">cross-border infrastructure project stakeholders, project deployment time should reduce</w:t>
      </w:r>
      <w:r>
        <w:t xml:space="preserve"> </w:t>
      </w:r>
      <w:r>
        <w:t xml:space="preserve">compared to the status quo, as tracked by deployment timelines and stakeholder feedback. It will</w:t>
      </w:r>
      <w:r>
        <w:t xml:space="preserve"> </w:t>
      </w:r>
      <w:r>
        <w:t xml:space="preserve">be monitored through:</w:t>
      </w:r>
      <w:r>
        <w:t xml:space="preserve"> </w:t>
      </w:r>
      <w:r>
        <w:t xml:space="preserve">• the number of binding cost-sharing agreements enabling the implementation cross-border</w:t>
      </w:r>
      <w:r>
        <w:t xml:space="preserve"> </w:t>
      </w:r>
      <w:r>
        <w:t xml:space="preserve">projects;</w:t>
      </w:r>
      <w:r>
        <w:br/>
      </w:r>
      <w:r>
        <w:t xml:space="preserve">• the average duration for reaching a cost-allocation agreement;</w:t>
      </w:r>
      <w:r>
        <w:t xml:space="preserve"> </w:t>
      </w:r>
      <w:r>
        <w:t xml:space="preserve">• the number of non-hosting countries contributing to cost-sharing agreements;</w:t>
      </w:r>
      <w:r>
        <w:t xml:space="preserve"> </w:t>
      </w:r>
      <w:r>
        <w:t xml:space="preserve">• the number of projects being as part of bundles being submitted for PCI/PMI status.</w:t>
      </w:r>
      <w:r>
        <w:t xml:space="preserve"> </w:t>
      </w:r>
      <w:r>
        <w:t xml:space="preserve">3) Shorter and simpler permitting procedures for energy infrastructure, renewable energy</w:t>
      </w:r>
      <w:r>
        <w:t xml:space="preserve"> </w:t>
      </w:r>
      <w:r>
        <w:t xml:space="preserve">assets, storage projects, and recharging stations. This is expected to lead to shorter lead time</w:t>
      </w:r>
      <w:r>
        <w:t xml:space="preserve"> </w:t>
      </w:r>
      <w:r>
        <w:t xml:space="preserve">to obtain the necessary permits, making it possible to meet the existing deadlines fewer permit</w:t>
      </w:r>
      <w:r>
        <w:t xml:space="preserve"> </w:t>
      </w:r>
      <w:r>
        <w:t xml:space="preserve">requirements, a reduction in documentation to be assessed in the permitting procedure, and</w:t>
      </w:r>
      <w:r>
        <w:t xml:space="preserve"> </w:t>
      </w:r>
      <w:r>
        <w:t xml:space="preserve">reducing duplication of data recorded through digitalisation and centralised recording.. As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the preferred option includes a measure on centralisation and digitalisation of the permitting</w:t>
      </w:r>
      <w:r>
        <w:t xml:space="preserve"> </w:t>
      </w:r>
      <w:r>
        <w:t xml:space="preserve">procedure in the Member States. This is specifically designed to facilitate data collection and</w:t>
      </w:r>
      <w:r>
        <w:t xml:space="preserve"> </w:t>
      </w:r>
      <w:r>
        <w:t xml:space="preserve">allow to identify the remaining bottlenecks. Together with information from stakeholders it</w:t>
      </w:r>
      <w:r>
        <w:t xml:space="preserve"> </w:t>
      </w:r>
      <w:r>
        <w:t xml:space="preserve">will be the base for a coherent monitoring using the following indicators:</w:t>
      </w:r>
      <w:r>
        <w:br/>
      </w:r>
      <w:r>
        <w:t xml:space="preserve">• the average and maximum total duration of permitting procedures in years;</w:t>
      </w:r>
      <w:r>
        <w:t xml:space="preserve"> </w:t>
      </w:r>
      <w:r>
        <w:t xml:space="preserve">• the yearly rate and average delays in the permitting procedure of projects of common and</w:t>
      </w:r>
      <w:r>
        <w:t xml:space="preserve"> </w:t>
      </w:r>
      <w:r>
        <w:t xml:space="preserve">mutual interest (in years);</w:t>
      </w:r>
      <w:r>
        <w:t xml:space="preserve"> </w:t>
      </w:r>
      <w:r>
        <w:t xml:space="preserve">• the rate of digitalisation of permitting procedures - in percentage and number of Member</w:t>
      </w:r>
      <w:r>
        <w:t xml:space="preserve"> </w:t>
      </w:r>
      <w:r>
        <w:t xml:space="preserve">States deploying digital procedures, permitting management platforms and centralised</w:t>
      </w:r>
      <w:r>
        <w:t xml:space="preserve"> </w:t>
      </w:r>
      <w:r>
        <w:t xml:space="preserve">archives for the relevant data (in a format that is easily accessible to the relevant</w:t>
      </w:r>
      <w:r>
        <w:t xml:space="preserve"> </w:t>
      </w:r>
      <w:r>
        <w:t xml:space="preserve">stakeholders);</w:t>
      </w:r>
      <w:r>
        <w:t xml:space="preserve"> </w:t>
      </w:r>
      <w:r>
        <w:t xml:space="preserve">the level of opposition faced by projects of common interest (number of written</w:t>
      </w:r>
      <w:r>
        <w:t xml:space="preserve"> </w:t>
      </w:r>
      <w:r>
        <w:t xml:space="preserve">objections during the public consultation, number of legal recourse actions).</w:t>
      </w:r>
      <w:r>
        <w:t xml:space="preserve"> </w:t>
      </w:r>
      <w:r>
        <w:t xml:space="preserve">4) Enhanced physical and cyber security and resilience of cross-border energy infrastructure</w:t>
      </w:r>
      <w:r>
        <w:t xml:space="preserve"> </w:t>
      </w:r>
      <w:r>
        <w:t xml:space="preserve">(PCIs/PMIs) which should achieved by increasing the number of protection and resilience</w:t>
      </w:r>
      <w:r>
        <w:t xml:space="preserve"> </w:t>
      </w:r>
      <w:r>
        <w:t xml:space="preserve">equipment and installations on critical network elements. The success will be monitored through</w:t>
      </w:r>
      <w:r>
        <w:t xml:space="preserve"> </w:t>
      </w:r>
      <w:r>
        <w:t xml:space="preserve">the risk assessments and resilience testing outcomes for specific infrastructure done at national</w:t>
      </w:r>
      <w:r>
        <w:t xml:space="preserve"> </w:t>
      </w:r>
      <w:r>
        <w:t xml:space="preserve">level. Following indicators will be used for monitoring:</w:t>
      </w:r>
      <w:r>
        <w:t xml:space="preserve"> </w:t>
      </w:r>
      <w:r>
        <w:t xml:space="preserve">• the number of PCIs and PMIs improving physical and cyber security of existing and new</w:t>
      </w:r>
      <w:r>
        <w:t xml:space="preserve"> </w:t>
      </w:r>
      <w:r>
        <w:t xml:space="preserve">grid infrastructure;</w:t>
      </w:r>
      <w:r>
        <w:t xml:space="preserve"> </w:t>
      </w:r>
      <w:r>
        <w:t xml:space="preserve">• number</w:t>
      </w:r>
      <w:r>
        <w:t xml:space="preserve"> </w:t>
      </w:r>
      <w:r>
        <w:t xml:space="preserve">of</w:t>
      </w:r>
      <w:r>
        <w:t xml:space="preserve"> </w:t>
      </w:r>
      <w:r>
        <w:t xml:space="preserve">critical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assets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updated</w:t>
      </w:r>
      <w:r>
        <w:t xml:space="preserve"> </w:t>
      </w:r>
      <w:r>
        <w:t xml:space="preserve">resilience/security measures;</w:t>
      </w:r>
      <w:r>
        <w:t xml:space="preserve"> </w:t>
      </w:r>
      <w:r>
        <w:t xml:space="preserve">Ultimately, the proposed policy option should lead to timely implementation of the necessary</w:t>
      </w:r>
      <w:r>
        <w:t xml:space="preserve"> </w:t>
      </w:r>
      <w:r>
        <w:t xml:space="preserve">infrastructure projects reducing the overall energy system costs and bringing sustainability,</w:t>
      </w:r>
      <w:r>
        <w:t xml:space="preserve"> </w:t>
      </w:r>
      <w:r>
        <w:t xml:space="preserve">market integration and security of supply benefits. This will be measured by looking at:</w:t>
      </w:r>
      <w:r>
        <w:br/>
      </w:r>
      <w:r>
        <w:t xml:space="preserve">• the integration of renewable energy sources and reduced greenhouse gas emissions;</w:t>
      </w:r>
      <w:r>
        <w:t xml:space="preserve"> </w:t>
      </w:r>
      <w:r>
        <w:t xml:space="preserve">• increase in grid hosting capacity;</w:t>
      </w:r>
      <w:r>
        <w:t xml:space="preserve"> </w:t>
      </w:r>
      <w:r>
        <w:t xml:space="preserve">• the interconnection level between Member States;</w:t>
      </w:r>
      <w:r>
        <w:t xml:space="preserve"> </w:t>
      </w:r>
      <w:r>
        <w:t xml:space="preserve">• change in energy system adequacy;</w:t>
      </w:r>
      <w:r>
        <w:t xml:space="preserve"> </w:t>
      </w:r>
      <w:r>
        <w:t xml:space="preserve">• number of reported major incidents or disruptions affecting critical energy infrastructure;</w:t>
      </w:r>
      <w:r>
        <w:t xml:space="preserve"> </w:t>
      </w:r>
      <w:r>
        <w:t xml:space="preserve">• assessment of evolution of energy system costs.</w:t>
      </w:r>
      <w:r>
        <w:t xml:space="preserve"> </w:t>
      </w:r>
      <w:r>
        <w:t xml:space="preserve">The achievement of the specific and operational objectives will be tracked based on existing</w:t>
      </w:r>
      <w:r>
        <w:t xml:space="preserve"> </w:t>
      </w:r>
      <w:r>
        <w:t xml:space="preserve">monitoring requirements of ACER to avoid duplication. Concretely, monitoring of the following</w:t>
      </w:r>
      <w:r>
        <w:t xml:space="preserve"> </w:t>
      </w:r>
      <w:r>
        <w:t xml:space="preserve">data will be conducted using ACER deliverables and sources of data:</w:t>
      </w:r>
      <w:r>
        <w:br/>
      </w:r>
      <w:r>
        <w:t xml:space="preserve">• Annual monitoring report on congestion management and capacity allocation, which will</w:t>
      </w:r>
      <w:r>
        <w:t xml:space="preserve"> </w:t>
      </w:r>
      <w:r>
        <w:t xml:space="preserve">assess how efficiently existing capacity is used and what the improvements have been as</w:t>
      </w:r>
      <w:r>
        <w:t xml:space="preserve"> </w:t>
      </w:r>
      <w:r>
        <w:t xml:space="preserve">a result of the initiative.</w:t>
      </w:r>
      <w:r>
        <w:t xml:space="preserve"> </w:t>
      </w:r>
      <w:r>
        <w:t xml:space="preserve">•</w:t>
      </w:r>
      <w:r>
        <w:t xml:space="preserve"> </w:t>
      </w:r>
      <w:r>
        <w:t xml:space="preserve">Biennial monitoring of consistency between the Union-wide TYNDP and national</w:t>
      </w:r>
      <w:r>
        <w:t xml:space="preserve"> </w:t>
      </w:r>
      <w:r>
        <w:t xml:space="preserve">network development plans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Annual monitoring of progress of PCI and PMI projects and permitting processes by</w:t>
      </w:r>
      <w:r>
        <w:t xml:space="preserve"> </w:t>
      </w:r>
      <w:r>
        <w:t xml:space="preserve">ACER as well as national authorities.</w:t>
      </w:r>
      <w:r>
        <w:br/>
      </w:r>
      <w:r>
        <w:t xml:space="preserve">•</w:t>
      </w:r>
      <w:r>
        <w:t xml:space="preserve"> </w:t>
      </w:r>
      <w:r>
        <w:t xml:space="preserve">Monitoring of the application of non-wired and grid enhancing technologies based on</w:t>
      </w:r>
      <w:r>
        <w:t xml:space="preserve"> </w:t>
      </w:r>
      <w:r>
        <w:t xml:space="preserve">data publicly available by the Joint Allocation Office (and used by ACER in their</w:t>
      </w:r>
      <w:r>
        <w:t xml:space="preserve"> </w:t>
      </w:r>
      <w:r>
        <w:t xml:space="preserve">monitoring reports)</w:t>
      </w:r>
      <w:r>
        <w:t xml:space="preserve"> </w:t>
      </w:r>
      <w:r>
        <w:t xml:space="preserve">•</w:t>
      </w:r>
      <w:r>
        <w:t xml:space="preserve"> </w:t>
      </w:r>
      <w:r>
        <w:t xml:space="preserve">Annual monitoring of the achievement of the interconnection target, done as part of the</w:t>
      </w:r>
      <w:r>
        <w:t xml:space="preserve"> </w:t>
      </w:r>
      <w:r>
        <w:t xml:space="preserve">European Semester assessment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ANNEX 9: DESCRIPTION OF POLICY MEASURES</w:t>
      </w:r>
      <w:r>
        <w:t xml:space="preserve"> </w:t>
      </w:r>
      <w:r>
        <w:t xml:space="preserve">Annex 9 provides a detailed description of the policy measures referred to in Section 5.2.1 of the</w:t>
      </w:r>
      <w:r>
        <w:t xml:space="preserve"> </w:t>
      </w:r>
      <w:r>
        <w:t xml:space="preserve">Impact Assessment Report.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PO</w:t>
      </w:r>
      <w:r>
        <w:t xml:space="preserve"> </w:t>
      </w:r>
      <w:r>
        <w:t xml:space="preserve">1</w:t>
      </w:r>
      <w:r>
        <w:t xml:space="preserve"> </w:t>
      </w:r>
      <w:r>
        <w:t xml:space="preserve">PO</w:t>
      </w:r>
      <w:r>
        <w:t xml:space="preserve"> </w:t>
      </w:r>
      <w:r>
        <w:t xml:space="preserve">2</w:t>
      </w:r>
      <w:r>
        <w:t xml:space="preserve"> </w:t>
      </w:r>
      <w:r>
        <w:t xml:space="preserve">PO</w:t>
      </w:r>
      <w:r>
        <w:t xml:space="preserve"> </w:t>
      </w:r>
      <w:r>
        <w:t xml:space="preserve">3</w:t>
      </w:r>
      <w:r>
        <w:t xml:space="preserve"> </w:t>
      </w:r>
      <w:r>
        <w:t xml:space="preserve">E) Infrastructure planning and project implementation</w:t>
      </w:r>
    </w:p>
    <w:p>
      <w:pPr>
        <w:pStyle w:val="BodyText"/>
      </w:pPr>
      <w:r>
        <w:t xml:space="preserve">SO1: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projects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network plans address</w:t>
      </w:r>
      <w:r>
        <w:t xml:space="preserve"> </w:t>
      </w:r>
      <w:r>
        <w:t xml:space="preserve">appropriately identified</w:t>
      </w:r>
      <w:r>
        <w:t xml:space="preserve"> </w:t>
      </w:r>
      <w:r>
        <w:t xml:space="preserve">needs</w:t>
      </w:r>
      <w:r>
        <w:t xml:space="preserve"> </w:t>
      </w:r>
      <w:r>
        <w:t xml:space="preserve">A.1</w:t>
      </w:r>
      <w:r>
        <w:t xml:space="preserve"> </w:t>
      </w:r>
      <w:r>
        <w:t xml:space="preserve">Strengthening the existing framework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A.2</w:t>
      </w:r>
      <w:r>
        <w:t xml:space="preserve"> </w:t>
      </w:r>
      <w:r>
        <w:t xml:space="preserve">Increased EU level steering and coordination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A.3</w:t>
      </w:r>
      <w:r>
        <w:t xml:space="preserve"> </w:t>
      </w:r>
      <w:r>
        <w:t xml:space="preserve">Fully centralised approach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A.4</w:t>
      </w:r>
      <w:r>
        <w:t xml:space="preserve"> </w:t>
      </w:r>
      <w:r>
        <w:t xml:space="preserve">Alignment of scope (smart gas grids/</w:t>
      </w:r>
      <w:r>
        <w:t xml:space="preserve"> </w:t>
      </w:r>
      <w:r>
        <w:t xml:space="preserve">blending, electrolysers, PMIs)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A.5</w:t>
      </w:r>
      <w:r>
        <w:t xml:space="preserve"> </w:t>
      </w:r>
      <w:r>
        <w:t xml:space="preserve">Broadening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PCI</w:t>
      </w:r>
      <w:r>
        <w:t xml:space="preserve"> </w:t>
      </w:r>
      <w:r>
        <w:t xml:space="preserve">categories</w:t>
      </w:r>
      <w:r>
        <w:t xml:space="preserve"> </w:t>
      </w:r>
      <w:r>
        <w:t xml:space="preserve">(modernisation and digitalisation)245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F) Cost and benefit sharing</w:t>
      </w:r>
    </w:p>
    <w:p>
      <w:pPr>
        <w:pStyle w:val="BodyText"/>
      </w:pPr>
      <w:r>
        <w:t xml:space="preserve">SO2: Facilitate the use of</w:t>
      </w:r>
      <w:r>
        <w:t xml:space="preserve"> </w:t>
      </w:r>
      <w:r>
        <w:t xml:space="preserve">cost-sharing tools for</w:t>
      </w:r>
      <w:r>
        <w:t xml:space="preserve"> </w:t>
      </w:r>
      <w:r>
        <w:t xml:space="preserve">faster deployment cross-</w:t>
      </w:r>
      <w:r>
        <w:t xml:space="preserve"> </w:t>
      </w:r>
      <w:r>
        <w:t xml:space="preserve">border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projects</w:t>
      </w:r>
      <w:r>
        <w:t xml:space="preserve"> </w:t>
      </w:r>
      <w:r>
        <w:t xml:space="preserve">B.1</w:t>
      </w:r>
      <w:r>
        <w:t xml:space="preserve"> </w:t>
      </w:r>
      <w:r>
        <w:t xml:space="preserve">Enhancing transparency and strengthening</w:t>
      </w:r>
      <w:r>
        <w:t xml:space="preserve"> </w:t>
      </w:r>
      <w:r>
        <w:t xml:space="preserve">EU principles for cross-border energy</w:t>
      </w:r>
      <w:r>
        <w:t xml:space="preserve"> </w:t>
      </w:r>
      <w:r>
        <w:t xml:space="preserve">infrastructure costs and benefits sharing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B.2</w:t>
      </w:r>
      <w:r>
        <w:t xml:space="preserve"> </w:t>
      </w:r>
      <w:r>
        <w:t xml:space="preserve">Use of congestion income for financing of</w:t>
      </w:r>
      <w:r>
        <w:t xml:space="preserve"> </w:t>
      </w:r>
      <w:r>
        <w:t xml:space="preserve">cross-border electricity infrastructure as an</w:t>
      </w:r>
      <w:r>
        <w:t xml:space="preserve"> </w:t>
      </w:r>
      <w:r>
        <w:t xml:space="preserve">incentive to cost-sharing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B.3</w:t>
      </w:r>
      <w:r>
        <w:br/>
      </w:r>
      <w:r>
        <w:t xml:space="preserve">Enabling framework for voluntary bundling</w:t>
      </w:r>
      <w:r>
        <w:t xml:space="preserve"> </w:t>
      </w:r>
      <w:r>
        <w:t xml:space="preserve">of projects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B.4</w:t>
      </w:r>
      <w:r>
        <w:t xml:space="preserve"> </w:t>
      </w:r>
      <w:r>
        <w:t xml:space="preserve">Mandatory offshore regional planning and</w:t>
      </w:r>
      <w:r>
        <w:t xml:space="preserve"> </w:t>
      </w:r>
      <w:r>
        <w:t xml:space="preserve">cost-sharing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G) Permitting</w:t>
      </w:r>
    </w:p>
    <w:p>
      <w:pPr>
        <w:pStyle w:val="BodyText"/>
      </w:pPr>
      <w:r>
        <w:t xml:space="preserve">SO3:</w:t>
      </w:r>
      <w:r>
        <w:t xml:space="preserve"> </w:t>
      </w:r>
      <w:r>
        <w:t xml:space="preserve">Shorten</w:t>
      </w:r>
      <w:r>
        <w:t xml:space="preserve"> </w:t>
      </w:r>
      <w:r>
        <w:t xml:space="preserve">and</w:t>
      </w:r>
      <w:r>
        <w:t xml:space="preserve"> </w:t>
      </w:r>
      <w:r>
        <w:t xml:space="preserve">simplify</w:t>
      </w:r>
      <w:r>
        <w:t xml:space="preserve"> </w:t>
      </w:r>
      <w:r>
        <w:t xml:space="preserve">permitting</w:t>
      </w:r>
      <w:r>
        <w:t xml:space="preserve"> </w:t>
      </w:r>
      <w:r>
        <w:t xml:space="preserve">procedures for energy</w:t>
      </w:r>
      <w:r>
        <w:t xml:space="preserve"> </w:t>
      </w:r>
      <w:r>
        <w:t xml:space="preserve">infrastructure, renewable</w:t>
      </w:r>
      <w:r>
        <w:t xml:space="preserve"> </w:t>
      </w:r>
      <w:r>
        <w:t xml:space="preserve">energy</w:t>
      </w:r>
      <w:r>
        <w:t xml:space="preserve"> </w:t>
      </w:r>
      <w:r>
        <w:t xml:space="preserve">and,</w:t>
      </w:r>
      <w:r>
        <w:t xml:space="preserve"> </w:t>
      </w:r>
      <w:r>
        <w:t xml:space="preserve">storage</w:t>
      </w:r>
      <w:r>
        <w:t xml:space="preserve"> </w:t>
      </w:r>
      <w:r>
        <w:t xml:space="preserve">projects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recharging stations</w:t>
      </w:r>
      <w:r>
        <w:t xml:space="preserve"> </w:t>
      </w:r>
      <w:r>
        <w:t xml:space="preserve">C.1</w:t>
      </w:r>
      <w:r>
        <w:t xml:space="preserve"> </w:t>
      </w:r>
      <w:r>
        <w:t xml:space="preserve">Supporting the implementation of existing</w:t>
      </w:r>
      <w:r>
        <w:t xml:space="preserve"> </w:t>
      </w:r>
      <w:r>
        <w:t xml:space="preserve">legislation and issuing guidance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C.2</w:t>
      </w:r>
      <w:r>
        <w:t xml:space="preserve"> </w:t>
      </w:r>
      <w:r>
        <w:t xml:space="preserve">Targeted legislative changes to accelerate</w:t>
      </w:r>
      <w:r>
        <w:t xml:space="preserve"> </w:t>
      </w:r>
      <w:r>
        <w:t xml:space="preserve">permitting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C.3</w:t>
      </w:r>
      <w:r>
        <w:t xml:space="preserve"> </w:t>
      </w:r>
      <w:r>
        <w:t xml:space="preserve">Centralised</w:t>
      </w:r>
      <w:r>
        <w:t xml:space="preserve"> </w:t>
      </w:r>
      <w:r>
        <w:t xml:space="preserve">EU</w:t>
      </w:r>
      <w:r>
        <w:t xml:space="preserve"> </w:t>
      </w:r>
      <w:r>
        <w:t xml:space="preserve">wide</w:t>
      </w:r>
      <w:r>
        <w:t xml:space="preserve"> </w:t>
      </w:r>
      <w:r>
        <w:t xml:space="preserve">permitting</w:t>
      </w:r>
      <w:r>
        <w:t xml:space="preserve"> </w:t>
      </w:r>
      <w:r>
        <w:t xml:space="preserve">coordination regime for certain large-scale</w:t>
      </w:r>
      <w:r>
        <w:t xml:space="preserve"> </w:t>
      </w:r>
      <w:r>
        <w:t xml:space="preserve">energy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projects</w:t>
      </w:r>
      <w:r>
        <w:t xml:space="preserve"> </w:t>
      </w:r>
      <w:r>
        <w:t xml:space="preserve">(“28th</w:t>
      </w:r>
      <w:r>
        <w:t xml:space="preserve"> </w:t>
      </w:r>
      <w:r>
        <w:t xml:space="preserve">Regime”)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H) Security</w:t>
      </w:r>
    </w:p>
    <w:p>
      <w:pPr>
        <w:pStyle w:val="BodyText"/>
      </w:pPr>
      <w:r>
        <w:t xml:space="preserve">SO4: Enhance physical</w:t>
      </w:r>
      <w:r>
        <w:t xml:space="preserve"> </w:t>
      </w:r>
      <w:r>
        <w:t xml:space="preserve">and cyber security and</w:t>
      </w:r>
      <w:r>
        <w:t xml:space="preserve"> </w:t>
      </w:r>
      <w:r>
        <w:t xml:space="preserve">resilience of cross-border</w:t>
      </w:r>
      <w:r>
        <w:t xml:space="preserve"> </w:t>
      </w:r>
      <w:r>
        <w:t xml:space="preserve">energy infrastructure</w:t>
      </w:r>
      <w:r>
        <w:t xml:space="preserve"> </w:t>
      </w:r>
      <w:r>
        <w:t xml:space="preserve">D.1</w:t>
      </w:r>
      <w:r>
        <w:t xml:space="preserve"> </w:t>
      </w:r>
      <w:r>
        <w:t xml:space="preserve">Including physical and cyber-risk resilience</w:t>
      </w:r>
      <w:r>
        <w:t xml:space="preserve"> </w:t>
      </w:r>
      <w:r>
        <w:t xml:space="preserve">considerations in the monitoring of PCIs and</w:t>
      </w:r>
      <w:r>
        <w:t xml:space="preserve"> </w:t>
      </w:r>
      <w:r>
        <w:t xml:space="preserve">PMIs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D.2</w:t>
      </w:r>
      <w:r>
        <w:t xml:space="preserve"> </w:t>
      </w:r>
      <w:r>
        <w:t xml:space="preserve">Additional</w:t>
      </w:r>
      <w:r>
        <w:t xml:space="preserve"> </w:t>
      </w:r>
      <w:r>
        <w:t xml:space="preserve">transparency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regarding the ultimate beneficial owners of</w:t>
      </w:r>
      <w:r>
        <w:t xml:space="preserve"> </w:t>
      </w:r>
      <w:r>
        <w:t xml:space="preserve">candidate PCIs/PMIs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D.3</w:t>
      </w:r>
      <w:r>
        <w:t xml:space="preserve"> </w:t>
      </w:r>
      <w:r>
        <w:t xml:space="preserve">Including security and resilience-related</w:t>
      </w:r>
      <w:r>
        <w:t xml:space="preserve"> </w:t>
      </w:r>
      <w:r>
        <w:t xml:space="preserve">equipment for the upgrade of existing</w:t>
      </w:r>
      <w:r>
        <w:t xml:space="preserve"> </w:t>
      </w:r>
      <w:r>
        <w:t xml:space="preserve">electricity cross-border infrastructure under</w:t>
      </w:r>
      <w:r>
        <w:t xml:space="preserve"> </w:t>
      </w:r>
      <w:r>
        <w:t xml:space="preserve">TEN-E scope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245 On the broadened scope to better reflect security/resilience within the PCI scope see policy measure D.3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A. Infrastructure planning and project implementation</w:t>
      </w:r>
      <w:r>
        <w:br/>
      </w:r>
      <w:r>
        <w:t xml:space="preserve">A.1 Strengthening the existing framework</w:t>
      </w:r>
      <w:r>
        <w:br/>
      </w:r>
      <w:r>
        <w:t xml:space="preserve">Measure A.1 proposes limited changes to strengthen the existing infrastructure planning</w:t>
      </w:r>
      <w:r>
        <w:t xml:space="preserve"> </w:t>
      </w:r>
      <w:r>
        <w:t xml:space="preserve">framework. To simplify and streamline the PCI/PMI selection process and contribute to reaching</w:t>
      </w:r>
      <w:r>
        <w:t xml:space="preserve"> </w:t>
      </w:r>
      <w:r>
        <w:t xml:space="preserve">specific objective 1, the ACER opinion on the draft PCI/PMI list would be removed as it comes</w:t>
      </w:r>
      <w:r>
        <w:t xml:space="preserve"> </w:t>
      </w:r>
      <w:r>
        <w:t xml:space="preserve">late in the process and hence has a limited impact on the final outcome. The aim is to ensure more</w:t>
      </w:r>
      <w:r>
        <w:t xml:space="preserve"> </w:t>
      </w:r>
      <w:r>
        <w:t xml:space="preserve">effective ACER involvement that would come in earlier stages of the process This implies a shift</w:t>
      </w:r>
      <w:r>
        <w:t xml:space="preserve"> </w:t>
      </w:r>
      <w:r>
        <w:t xml:space="preserve">from the ex post opinions by the Commission and ACER as well as approvals on the draft scenarios</w:t>
      </w:r>
      <w:r>
        <w:t xml:space="preserve"> </w:t>
      </w:r>
      <w:r>
        <w:t xml:space="preserve">and draft infrastructure gaps identification report towards ex ante steering. For this purpose, this</w:t>
      </w:r>
      <w:r>
        <w:t xml:space="preserve"> </w:t>
      </w:r>
      <w:r>
        <w:t xml:space="preserve">measure would require the development of a framework methodology for scenario and needs</w:t>
      </w:r>
      <w:r>
        <w:t xml:space="preserve"> </w:t>
      </w:r>
      <w:r>
        <w:t xml:space="preserve">identification by ACER and would strengthen ACER’s and NRAs’ role in the verification of the</w:t>
      </w:r>
      <w:r>
        <w:t xml:space="preserve"> </w:t>
      </w:r>
      <w:r>
        <w:t xml:space="preserve">TYNDP inputs to the PCI/PMI process and monitoring of the implementation. It would also</w:t>
      </w:r>
      <w:r>
        <w:t xml:space="preserve"> </w:t>
      </w:r>
      <w:r>
        <w:t xml:space="preserve">include a simplified application and evaluation process for mature PCIs and PMIs. PCIs and PMIs</w:t>
      </w:r>
      <w:r>
        <w:t xml:space="preserve"> </w:t>
      </w:r>
      <w:r>
        <w:t xml:space="preserve">which have already reached final investment decision or have received a CEF grant for works and</w:t>
      </w:r>
      <w:r>
        <w:t xml:space="preserve"> </w:t>
      </w:r>
      <w:r>
        <w:t xml:space="preserve">which show continued progress in their implementation should retain their PCI/PMI status without</w:t>
      </w:r>
      <w:r>
        <w:t xml:space="preserve"> </w:t>
      </w:r>
      <w:r>
        <w:t xml:space="preserve">the need for resubmission and reassessment.</w:t>
      </w:r>
      <w:r>
        <w:t xml:space="preserve"> </w:t>
      </w:r>
      <w:r>
        <w:t xml:space="preserve">In electricity, the scope of the planning would be expanded to better consider non-wired solutions</w:t>
      </w:r>
      <w:r>
        <w:t xml:space="preserve"> </w:t>
      </w:r>
      <w:r>
        <w:t xml:space="preserve">and internal grid reinforcements. Timing of the TYNDP including its scenarios and infrastructure</w:t>
      </w:r>
      <w:r>
        <w:t xml:space="preserve"> </w:t>
      </w:r>
      <w:r>
        <w:t xml:space="preserve">need identification would remain the same as under the existing legal framework, with the TYNDP</w:t>
      </w:r>
      <w:r>
        <w:t xml:space="preserve"> </w:t>
      </w:r>
      <w:r>
        <w:t xml:space="preserve">being delivered every two years. Regarding the national level, there would be limited changes to</w:t>
      </w:r>
      <w:r>
        <w:t xml:space="preserve"> </w:t>
      </w:r>
      <w:r>
        <w:t xml:space="preserve">the provisions on the electricity transmission network development planning to mirror the Gases</w:t>
      </w:r>
      <w:r>
        <w:t xml:space="preserve"> </w:t>
      </w:r>
      <w:r>
        <w:t xml:space="preserve">Directive provisions in the electricity legislation (notably the Electricity Markets Directive) and</w:t>
      </w:r>
      <w:r>
        <w:t xml:space="preserve"> </w:t>
      </w:r>
      <w:r>
        <w:t xml:space="preserve">ensure alignment of obligations applying on all electricity TSOs. These requirements demand</w:t>
      </w:r>
      <w:r>
        <w:t xml:space="preserve"> </w:t>
      </w:r>
      <w:r>
        <w:t xml:space="preserve">national coordination on scenarios between electricity, hydrogen and gas sectors as well as</w:t>
      </w:r>
      <w:r>
        <w:t xml:space="preserve"> </w:t>
      </w:r>
      <w:r>
        <w:t xml:space="preserve">consideration of local heating and cooling plans, where applicable, as well as the deployment of</w:t>
      </w:r>
      <w:r>
        <w:t xml:space="preserve"> </w:t>
      </w:r>
      <w:r>
        <w:t xml:space="preserve">alternative fuels infrastructure under the Alternative Fuels Infrastructure Regulation (AFIR), and</w:t>
      </w:r>
      <w:r>
        <w:t xml:space="preserve"> </w:t>
      </w:r>
      <w:r>
        <w:t xml:space="preserve">projects for industrial facilities and industrial hubs.246</w:t>
      </w:r>
      <w:r>
        <w:t xml:space="preserve"> </w:t>
      </w:r>
      <w:r>
        <w:t xml:space="preserve">A.2 Increased EU level steering and coordination</w:t>
      </w:r>
      <w:r>
        <w:br/>
      </w:r>
      <w:r>
        <w:t xml:space="preserve">Building on Measure A.1, measure A.2 would move from a “bottom up” towards a more “top</w:t>
      </w:r>
      <w:r>
        <w:t xml:space="preserve"> </w:t>
      </w:r>
      <w:r>
        <w:t xml:space="preserve">down” cross-border infrastructure planning approach ensuring greater transparency, scrutiny and</w:t>
      </w:r>
      <w:r>
        <w:t xml:space="preserve"> </w:t>
      </w:r>
      <w:r>
        <w:t xml:space="preserve">coherence of inputs used in network planning both at European and national level. It involves the</w:t>
      </w:r>
      <w:r>
        <w:t xml:space="preserve"> </w:t>
      </w:r>
      <w:r>
        <w:t xml:space="preserve">Commission, ACER and NRAs earlier in the planning process and simplifies the application and</w:t>
      </w:r>
      <w:r>
        <w:t xml:space="preserve"> </w:t>
      </w:r>
      <w:r>
        <w:t xml:space="preserve">evaluation process for mature PCIs and PMIs.</w:t>
      </w:r>
      <w:r>
        <w:t xml:space="preserve"> </w:t>
      </w:r>
      <w:r>
        <w:t xml:space="preserve">The Commission would be responsible for the development of a comprehensive central scenario,</w:t>
      </w:r>
      <w:r>
        <w:t xml:space="preserve"> </w:t>
      </w:r>
      <w:r>
        <w:t xml:space="preserve">which would be developed at least every 4 years (instead of existing two-year cycles). Targeted</w:t>
      </w:r>
      <w:r>
        <w:t xml:space="preserve"> </w:t>
      </w:r>
      <w:r>
        <w:t xml:space="preserve">updates would still be possible more frequently and might be needed in case of significant market</w:t>
      </w:r>
      <w:r>
        <w:t xml:space="preserve"> </w:t>
      </w:r>
      <w:r>
        <w:t xml:space="preserve">developments (or external geopolitical circumstances). Updates may be particularly relevant for</w:t>
      </w:r>
      <w:r>
        <w:t xml:space="preserve"> </w:t>
      </w:r>
      <w:r>
        <w:t xml:space="preserve">hydrogen infrastructure planning, given the high level of uncertainty in market developments,</w:t>
      </w:r>
    </w:p>
    <w:p>
      <w:pPr>
        <w:pStyle w:val="BodyText"/>
      </w:pPr>
      <w:r>
        <w:t xml:space="preserve">246 The creation of low-carbon industrial clusters, as assessed in the context of the IDAA, can contribute to industrial</w:t>
      </w:r>
      <w:r>
        <w:t xml:space="preserve"> </w:t>
      </w:r>
      <w:r>
        <w:t xml:space="preserve">demand projections for grid planning purposes.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changing assumptions on hydrogen uptake. The ENTSOs and ENNOH would be responsible for</w:t>
      </w:r>
      <w:r>
        <w:t xml:space="preserve"> </w:t>
      </w:r>
      <w:r>
        <w:t xml:space="preserve">scenarios/sensitivities data collection, based on Commission guidelines ensuring more</w:t>
      </w:r>
      <w:r>
        <w:t xml:space="preserve"> </w:t>
      </w:r>
      <w:r>
        <w:t xml:space="preserve">consistency and transparency. Stakeholders, NRAs and Member States would be involved in the</w:t>
      </w:r>
      <w:r>
        <w:t xml:space="preserve"> </w:t>
      </w:r>
      <w:r>
        <w:t xml:space="preserve">development of scenarios and use of newest data on assumptions on future development of</w:t>
      </w:r>
      <w:r>
        <w:t xml:space="preserve"> </w:t>
      </w:r>
      <w:r>
        <w:t xml:space="preserve">generation and demand.</w:t>
      </w:r>
      <w:r>
        <w:t xml:space="preserve"> </w:t>
      </w:r>
      <w:r>
        <w:t xml:space="preserve">A strengthened infrastructure needs identification would be also done every 4 years, and when</w:t>
      </w:r>
      <w:r>
        <w:t xml:space="preserve"> </w:t>
      </w:r>
      <w:r>
        <w:t xml:space="preserve">relevant every 2 years, based on the central scenario and the sensitivities developed by the</w:t>
      </w:r>
      <w:r>
        <w:t xml:space="preserve"> </w:t>
      </w:r>
      <w:r>
        <w:t xml:space="preserve">Commission. Responsibility for the needs assessment would remain with the ENTSOs and</w:t>
      </w:r>
      <w:r>
        <w:t xml:space="preserve"> </w:t>
      </w:r>
      <w:r>
        <w:t xml:space="preserve">ENNOH as in Measure A.1 but be based on framework guidance developed by ACER in line with</w:t>
      </w:r>
      <w:r>
        <w:t xml:space="preserve"> </w:t>
      </w:r>
      <w:r>
        <w:t xml:space="preserve">the principles defined in the TEN-E Regulation. The ENTSOs would present the results of their</w:t>
      </w:r>
      <w:r>
        <w:t xml:space="preserve"> </w:t>
      </w:r>
      <w:r>
        <w:t xml:space="preserve">needs assessment at least until 2050. As part of the process and before the publication of the final</w:t>
      </w:r>
      <w:r>
        <w:t xml:space="preserve"> </w:t>
      </w:r>
      <w:r>
        <w:t xml:space="preserve">results, ACER/NRAs would validate the correct application of the framework guidance followed</w:t>
      </w:r>
      <w:r>
        <w:t xml:space="preserve"> </w:t>
      </w:r>
      <w:r>
        <w:t xml:space="preserve">by approval of the results by the Commission and Member States. Stakeholder involvement,</w:t>
      </w:r>
      <w:r>
        <w:t xml:space="preserve"> </w:t>
      </w:r>
      <w:r>
        <w:t xml:space="preserve">including in particular the ENTSOs, ENNOH and the EU DSO Entity, would be ensured by their</w:t>
      </w:r>
      <w:r>
        <w:t xml:space="preserve"> </w:t>
      </w:r>
      <w:r>
        <w:t xml:space="preserve">consultation when developing and approving the guidance for the needs assessment by ACER, as</w:t>
      </w:r>
      <w:r>
        <w:t xml:space="preserve"> </w:t>
      </w:r>
      <w:r>
        <w:t xml:space="preserve">well as during the needs identification process itself (conducted by ENTSOs). Project collection</w:t>
      </w:r>
      <w:r>
        <w:t xml:space="preserve"> </w:t>
      </w:r>
      <w:r>
        <w:t xml:space="preserve">and assessment for the TYNDP and the PCI/PMI selection process would continue to be conducted</w:t>
      </w:r>
      <w:r>
        <w:t xml:space="preserve"> </w:t>
      </w:r>
      <w:r>
        <w:t xml:space="preserve">every 2 years The central scenario would ensure higher credibility and comparability of projects</w:t>
      </w:r>
      <w:r>
        <w:t xml:space="preserve"> </w:t>
      </w:r>
      <w:r>
        <w:t xml:space="preserve">and their costs and benefits. It would be less driven by (national) TSOs, represented by ENTSOs,</w:t>
      </w:r>
      <w:r>
        <w:t xml:space="preserve"> </w:t>
      </w:r>
      <w:r>
        <w:t xml:space="preserve">but by the Commission and the Agency with close involvement of all Member States ensuring</w:t>
      </w:r>
      <w:r>
        <w:t xml:space="preserve"> </w:t>
      </w:r>
      <w:r>
        <w:t xml:space="preserve">network planning captures EU policy targets as well as Member States’ perspectives and ensures</w:t>
      </w:r>
      <w:r>
        <w:t xml:space="preserve"> </w:t>
      </w:r>
      <w:r>
        <w:t xml:space="preserve">alignment. There would be a closer link between the EU central scenario and national scenarios</w:t>
      </w:r>
      <w:r>
        <w:t xml:space="preserve"> </w:t>
      </w:r>
      <w:r>
        <w:t xml:space="preserve">used in network planning, improving coordination between the EU and national levels of</w:t>
      </w:r>
      <w:r>
        <w:t xml:space="preserve"> </w:t>
      </w:r>
      <w:r>
        <w:t xml:space="preserve">infrastructure development</w:t>
      </w:r>
      <w:r>
        <w:br/>
      </w:r>
      <w:r>
        <w:t xml:space="preserve">This measure would entail a requirement to fully consider non-wired alternative solutions as a</w:t>
      </w:r>
      <w:r>
        <w:t xml:space="preserve"> </w:t>
      </w:r>
      <w:r>
        <w:t xml:space="preserve">priority when addressing the identified needs (based on the accompanying cost-benefit analysis).</w:t>
      </w:r>
      <w:r>
        <w:t xml:space="preserve"> </w:t>
      </w:r>
      <w:r>
        <w:t xml:space="preserve">Also, it would entail an additional planning element for electricity to ensure all identified needs</w:t>
      </w:r>
      <w:r>
        <w:t xml:space="preserve"> </w:t>
      </w:r>
      <w:r>
        <w:t xml:space="preserve">are addressed. A gap filling mechanism would be introduced to ensure that all remaining needs</w:t>
      </w:r>
      <w:r>
        <w:t xml:space="preserve"> </w:t>
      </w:r>
      <w:r>
        <w:t xml:space="preserve">that cannot be addressed by non-wired solutions and for which no TYNDP projects have been</w:t>
      </w:r>
      <w:r>
        <w:t xml:space="preserve"> </w:t>
      </w:r>
      <w:r>
        <w:t xml:space="preserve">submitted are addressed. First, relevant TSOs would be required to propose possible solutions</w:t>
      </w:r>
      <w:r>
        <w:t xml:space="preserve"> </w:t>
      </w:r>
      <w:r>
        <w:t xml:space="preserve">under the scrutiny of NRAs and Member States steered by the Commission with the support of</w:t>
      </w:r>
      <w:r>
        <w:t xml:space="preserve"> </w:t>
      </w:r>
      <w:r>
        <w:t xml:space="preserve">ACER. Second, in case no projects are proposed by the TSOs, the Commission in cooperation</w:t>
      </w:r>
      <w:r>
        <w:t xml:space="preserve"> </w:t>
      </w:r>
      <w:r>
        <w:t xml:space="preserve">with hosting Member States may launch a call for project proposals, which may be delivered by</w:t>
      </w:r>
      <w:r>
        <w:t xml:space="preserve"> </w:t>
      </w:r>
      <w:r>
        <w:t xml:space="preserve">TSOs or other project promoters.</w:t>
      </w:r>
      <w:r>
        <w:br/>
      </w:r>
      <w:r>
        <w:t xml:space="preserve">This measure also assumes closer involvement of regional cooperation fora (such as Regional</w:t>
      </w:r>
      <w:r>
        <w:t xml:space="preserve"> </w:t>
      </w:r>
      <w:r>
        <w:t xml:space="preserve">Groups) in the process to facilitate the identification of priorities and appropriate follow-up. On a</w:t>
      </w:r>
      <w:r>
        <w:t xml:space="preserve"> </w:t>
      </w:r>
      <w:r>
        <w:t xml:space="preserve">national level, besides fully mirroring requirements of the Gas Directive on scenario coordination,</w:t>
      </w:r>
      <w:r>
        <w:t xml:space="preserve"> </w:t>
      </w:r>
      <w:r>
        <w:t xml:space="preserve">for the electricity sector this measure would introduce requirements to better link national and</w:t>
      </w:r>
      <w:r>
        <w:t xml:space="preserve"> </w:t>
      </w:r>
      <w:r>
        <w:t xml:space="preserve">European planning by requiring use of the central scenario as one of the scenarios. This which</w:t>
      </w:r>
      <w:r>
        <w:t xml:space="preserve"> </w:t>
      </w:r>
      <w:r>
        <w:t xml:space="preserve">would be a prerequisite for NRA approval of NDPs. This measure would also suggest prolonging</w:t>
      </w:r>
      <w:r>
        <w:t xml:space="preserve"> </w:t>
      </w:r>
      <w:r>
        <w:t xml:space="preserve">the period of network planning on a national transmission grid level for electricity from existing</w:t>
      </w:r>
      <w:r>
        <w:t xml:space="preserve"> </w:t>
      </w:r>
      <w:r>
        <w:t xml:space="preserve">5-10 to 15 years, to allow catering for anticipatory investment.</w:t>
      </w:r>
      <w:r>
        <w:t xml:space="preserve"> </w:t>
      </w:r>
      <w:r>
        <w:t xml:space="preserve">A.3 Fully centralised approach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Measure A.3 entails a full shift from the current primarily bottom-up planning and needs</w:t>
      </w:r>
      <w:r>
        <w:t xml:space="preserve"> </w:t>
      </w:r>
      <w:r>
        <w:t xml:space="preserve">identification approach to a full top-down coordination and project selection at the European level.</w:t>
      </w:r>
      <w:r>
        <w:t xml:space="preserve"> </w:t>
      </w:r>
      <w:r>
        <w:t xml:space="preserve">The main activities of the scenario development, needs assessment and projects assessment (for</w:t>
      </w:r>
      <w:r>
        <w:t xml:space="preserve"> </w:t>
      </w:r>
      <w:r>
        <w:t xml:space="preserve">cross-border infrastructure projects under the TYNDP) would be done by an entity at EU level</w:t>
      </w:r>
      <w:r>
        <w:t xml:space="preserve"> </w:t>
      </w:r>
      <w:r>
        <w:t xml:space="preserve">complementing national planning processes. Relevant national actors, such as system operators</w:t>
      </w:r>
      <w:r>
        <w:t xml:space="preserve"> </w:t>
      </w:r>
      <w:r>
        <w:t xml:space="preserve">and regulators would still be involved, providing relevant information on local and national grid</w:t>
      </w:r>
      <w:r>
        <w:t xml:space="preserve"> </w:t>
      </w:r>
      <w:r>
        <w:t xml:space="preserve">characteristics. The EU-level entity would have legally defined links with European Commission,</w:t>
      </w:r>
      <w:r>
        <w:t xml:space="preserve"> </w:t>
      </w:r>
      <w:r>
        <w:t xml:space="preserve">ENTSOs/TSOs, ENNOH/HTNOs, ACER/NRAs, Member States, and other relevant national</w:t>
      </w:r>
      <w:r>
        <w:t xml:space="preserve"> </w:t>
      </w:r>
      <w:r>
        <w:t xml:space="preserve">authorities to ensure data sharing and verification by all concerned parties.</w:t>
      </w:r>
      <w:r>
        <w:t xml:space="preserve"> </w:t>
      </w:r>
      <w:r>
        <w:t xml:space="preserve">This entity would be responsible of the entire planning process, including scenario development</w:t>
      </w:r>
      <w:r>
        <w:t xml:space="preserve"> </w:t>
      </w:r>
      <w:r>
        <w:t xml:space="preserve">and the associated data, run market and network studies to identify infrastructure gaps, assess the</w:t>
      </w:r>
      <w:r>
        <w:t xml:space="preserve"> </w:t>
      </w:r>
      <w:r>
        <w:t xml:space="preserve">benefits of projects and draft and publish the planning reports. The role of ENTSOs/TSOs and</w:t>
      </w:r>
      <w:r>
        <w:t xml:space="preserve"> </w:t>
      </w:r>
      <w:r>
        <w:t xml:space="preserve">ENNOH/HTNOs would be limited to providing information for which their unique expertise in</w:t>
      </w:r>
      <w:r>
        <w:t xml:space="preserve"> </w:t>
      </w:r>
      <w:r>
        <w:t xml:space="preserve">networks is required. The scope and granularity of the scenario development and needs</w:t>
      </w:r>
      <w:r>
        <w:t xml:space="preserve"> </w:t>
      </w:r>
      <w:r>
        <w:t xml:space="preserve">identification would be the same as in measure A.2. Addressing the identified needs (gap filling</w:t>
      </w:r>
      <w:r>
        <w:t xml:space="preserve"> </w:t>
      </w:r>
      <w:r>
        <w:t xml:space="preserve">mechanism) would build on measure A.2 and be steered by the new entity. In electricity, there</w:t>
      </w:r>
      <w:r>
        <w:t xml:space="preserve"> </w:t>
      </w:r>
      <w:r>
        <w:t xml:space="preserve">would also be an obligation to compare non-wired alternative solutions and infrastructure</w:t>
      </w:r>
      <w:r>
        <w:t xml:space="preserve"> </w:t>
      </w:r>
      <w:r>
        <w:t xml:space="preserve">solutions and cover the needs identified. However, Member States would have to approve projects</w:t>
      </w:r>
      <w:r>
        <w:t xml:space="preserve"> </w:t>
      </w:r>
      <w:r>
        <w:t xml:space="preserve">in their territory and have the right to veto any PCI/PMI candidate projects to be located in their</w:t>
      </w:r>
      <w:r>
        <w:t xml:space="preserve"> </w:t>
      </w:r>
      <w:r>
        <w:t xml:space="preserve">territory, in line with the TFEU.</w:t>
      </w:r>
      <w:r>
        <w:t xml:space="preserve"> </w:t>
      </w:r>
      <w:r>
        <w:t xml:space="preserve">No existing entity would seem equipped with the necessary expertise, and this would therefore</w:t>
      </w:r>
      <w:r>
        <w:t xml:space="preserve"> </w:t>
      </w:r>
      <w:r>
        <w:t xml:space="preserve">require the transformation of an existing one or the creation of a new entity. Among existing EU</w:t>
      </w:r>
      <w:r>
        <w:t xml:space="preserve"> </w:t>
      </w:r>
      <w:r>
        <w:t xml:space="preserve">entities ACER or CINEA might appear as possible candidates. However, there are considerable</w:t>
      </w:r>
      <w:r>
        <w:t xml:space="preserve"> </w:t>
      </w:r>
      <w:r>
        <w:t xml:space="preserve">limits to the possible transfer of the envisaged tasks to these agencies. The mandate of CINEA,</w:t>
      </w:r>
      <w:r>
        <w:t xml:space="preserve"> </w:t>
      </w:r>
      <w:r>
        <w:t xml:space="preserve">as an executive agency of the Commission, is limited to implementing Union programmes (2021-</w:t>
      </w:r>
      <w:r>
        <w:t xml:space="preserve"> </w:t>
      </w:r>
      <w:r>
        <w:t xml:space="preserve">2027 MFF) on its behalf. Entrusting it with infrastructure planning would entail a significant</w:t>
      </w:r>
      <w:r>
        <w:t xml:space="preserve"> </w:t>
      </w:r>
      <w:r>
        <w:t xml:space="preserve">extension of its mandate going beyond the scope and remit of executive agencies. ACER as a</w:t>
      </w:r>
      <w:r>
        <w:t xml:space="preserve"> </w:t>
      </w:r>
      <w:r>
        <w:t xml:space="preserve">decentralised regulatory agency has been set up as separate legal entity distinct from the EU</w:t>
      </w:r>
      <w:r>
        <w:t xml:space="preserve"> </w:t>
      </w:r>
      <w:r>
        <w:t xml:space="preserve">institutions, to perform specific technical tasks that help the EU institutions and Member States</w:t>
      </w:r>
      <w:r>
        <w:t xml:space="preserve"> </w:t>
      </w:r>
      <w:r>
        <w:t xml:space="preserve">to implement policies and take decisions. ACER taking up tasks in relation to the selection of</w:t>
      </w:r>
      <w:r>
        <w:t xml:space="preserve"> </w:t>
      </w:r>
      <w:r>
        <w:t xml:space="preserve">specific infrastructure projects would raise concerns over conflict of interest with possibly</w:t>
      </w:r>
      <w:r>
        <w:t xml:space="preserve"> </w:t>
      </w:r>
      <w:r>
        <w:t xml:space="preserve">overlapping planning and scrutiny powers. This could also question the independence of</w:t>
      </w:r>
      <w:r>
        <w:t xml:space="preserve"> </w:t>
      </w:r>
      <w:r>
        <w:t xml:space="preserve">regulatory authorities themselves which are represented in the Agency’s Board, and trigger</w:t>
      </w:r>
      <w:r>
        <w:t xml:space="preserve"> </w:t>
      </w:r>
      <w:r>
        <w:t xml:space="preserve">backlash from Member States and stakeholders.</w:t>
      </w:r>
      <w:r>
        <w:br/>
      </w:r>
      <w:r>
        <w:t xml:space="preserve">A.4 Alignment of scope (smart gas grids/blending, electrolysers)</w:t>
      </w:r>
      <w:r>
        <w:br/>
      </w:r>
      <w:r>
        <w:t xml:space="preserve">To ensure that the electrolysers are recognised under the TEN-E have significant cross-border</w:t>
      </w:r>
      <w:r>
        <w:t xml:space="preserve"> </w:t>
      </w:r>
      <w:r>
        <w:t xml:space="preserve">relevance, measure A.4 suggests raising the minimum installed capacity threshold for</w:t>
      </w:r>
      <w:r>
        <w:t xml:space="preserve"> </w:t>
      </w:r>
      <w:r>
        <w:t xml:space="preserve">electrolyser projects from the current 50MW to at least 500MW (or 1000MW), along with</w:t>
      </w:r>
      <w:r>
        <w:t xml:space="preserve"> </w:t>
      </w:r>
      <w:r>
        <w:t xml:space="preserve">introducing new criteria to confirm network impact—such as network-related function for both</w:t>
      </w:r>
      <w:r>
        <w:t xml:space="preserve"> </w:t>
      </w:r>
      <w:r>
        <w:t xml:space="preserve">the electricity and the hydrogen networks with a view to overall system flexibility. These changes</w:t>
      </w:r>
      <w:r>
        <w:t xml:space="preserve"> </w:t>
      </w:r>
      <w:r>
        <w:t xml:space="preserve">would cater for a better alignment of this category with the objectives of the TEN-E framework</w:t>
      </w:r>
      <w:r>
        <w:t xml:space="preserve"> </w:t>
      </w:r>
      <w:r>
        <w:t xml:space="preserve">and would reflect the trends observed throughout two cycles of implementation of the TEN-E</w:t>
      </w:r>
      <w:r>
        <w:t xml:space="preserve"> </w:t>
      </w:r>
      <w:r>
        <w:t xml:space="preserve">Regulation on electrolysers (see section 2.2.3 of IA Report and Annex 7). EU policy and financial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support247 to electrolysers will remain very important to scale up the hydrogen segment and the</w:t>
      </w:r>
      <w:r>
        <w:t xml:space="preserve"> </w:t>
      </w:r>
      <w:r>
        <w:t xml:space="preserve">changes in the TEN-E will complement the policy landscape by better targeting of cross-border</w:t>
      </w:r>
      <w:r>
        <w:t xml:space="preserve"> </w:t>
      </w:r>
      <w:r>
        <w:t xml:space="preserve">impact.</w:t>
      </w:r>
      <w:r>
        <w:br/>
      </w:r>
      <w:r>
        <w:t xml:space="preserve">With a view to clarifying and strengthening the objectives of the Regulation in promoting</w:t>
      </w:r>
      <w:r>
        <w:t xml:space="preserve"> </w:t>
      </w:r>
      <w:r>
        <w:t xml:space="preserve">infrastructure dedicated to the exclusive use of hydrogen, this policy measure would include</w:t>
      </w:r>
      <w:r>
        <w:t xml:space="preserve"> </w:t>
      </w:r>
      <w:r>
        <w:t xml:space="preserve">removing any incentives for projects for blending hydrogen with natural gas via three main groups</w:t>
      </w:r>
      <w:r>
        <w:t xml:space="preserve"> </w:t>
      </w:r>
      <w:r>
        <w:t xml:space="preserve">of amendments. Firstly, it would remove the smart gas grid category from the scope of the</w:t>
      </w:r>
      <w:r>
        <w:t xml:space="preserve"> </w:t>
      </w:r>
      <w:r>
        <w:t xml:space="preserve">TEN-E Regulation in line with recent legal and policy updates with a view to ensuring that no</w:t>
      </w:r>
      <w:r>
        <w:t xml:space="preserve"> </w:t>
      </w:r>
      <w:r>
        <w:t xml:space="preserve">support is given to projects involving hydrogen blending which pose risks of circumventing the</w:t>
      </w:r>
      <w:r>
        <w:t xml:space="preserve"> </w:t>
      </w:r>
      <w:r>
        <w:t xml:space="preserve">discontinuation of support to natural gas grids under the TEN-E Regulation, or to TSOs that aim</w:t>
      </w:r>
      <w:r>
        <w:t xml:space="preserve"> </w:t>
      </w:r>
      <w:r>
        <w:t xml:space="preserve">at levels of hydrogen blending that may raise interoperability issues at cross-border</w:t>
      </w:r>
      <w:r>
        <w:t xml:space="preserve"> </w:t>
      </w:r>
      <w:r>
        <w:t xml:space="preserve">interconnection points and fragment the internal market., Secondly, it would remove the</w:t>
      </w:r>
      <w:r>
        <w:t xml:space="preserve"> </w:t>
      </w:r>
      <w:r>
        <w:t xml:space="preserve">possibility of blending that currently exists under Article 31 of the TEN-E Regulation for</w:t>
      </w:r>
      <w:r>
        <w:t xml:space="preserve"> </w:t>
      </w:r>
      <w:r>
        <w:t xml:space="preserve">dedicated hydrogen assets converted from natural gas assets falling under the energy infrastructure</w:t>
      </w:r>
      <w:r>
        <w:t xml:space="preserve"> </w:t>
      </w:r>
      <w:r>
        <w:t xml:space="preserve">category set out in point (3) of Annex II to be used for transport or storage of a predefined blend</w:t>
      </w:r>
      <w:r>
        <w:t xml:space="preserve"> </w:t>
      </w:r>
      <w:r>
        <w:t xml:space="preserve">of hydrogen with natural gas or biomethane during a transitional period ending on 31 December</w:t>
      </w:r>
      <w:r>
        <w:t xml:space="preserve"> </w:t>
      </w:r>
      <w:r>
        <w:t xml:space="preserve">2029. Thirdly, it would amend the definitions of ‘dedicated hydrogen assets’ and of ‘repurposing’</w:t>
      </w:r>
      <w:r>
        <w:t xml:space="preserve"> </w:t>
      </w:r>
      <w:r>
        <w:t xml:space="preserve">to ensure that these target exclusively pure hydrogen.</w:t>
      </w:r>
      <w:r>
        <w:t xml:space="preserve"> </w:t>
      </w:r>
      <w:r>
        <w:t xml:space="preserve">A.5 Broadening scope of PCI categories (modernisation and digitalisation)248</w:t>
      </w:r>
      <w:r>
        <w:br/>
      </w:r>
      <w:r>
        <w:t xml:space="preserve">To better include non-wired solutions in planning, policy measure A.5 would introduce a change</w:t>
      </w:r>
      <w:r>
        <w:t xml:space="preserve"> </w:t>
      </w:r>
      <w:r>
        <w:t xml:space="preserve">to electricity grids PCI category to more prominently include non-wired solutions. Furthermore,</w:t>
      </w:r>
      <w:r>
        <w:t xml:space="preserve"> </w:t>
      </w:r>
      <w:r>
        <w:t xml:space="preserve">to better reflect contribution of internal lines to cross-border electricity trade (and flows), the</w:t>
      </w:r>
      <w:r>
        <w:t xml:space="preserve"> </w:t>
      </w:r>
      <w:r>
        <w:t xml:space="preserve">existing 500 MW threshold would be lowered to 200 MW.</w:t>
      </w:r>
      <w:r>
        <w:br/>
      </w:r>
      <w:r>
        <w:t xml:space="preserve">B. Cost and benefit sharing</w:t>
      </w:r>
      <w:r>
        <w:br/>
      </w:r>
      <w:r>
        <w:t xml:space="preserve">B.1 Enhancing transparency and strengthening EU principles for cross-border energy</w:t>
      </w:r>
      <w:r>
        <w:t xml:space="preserve"> </w:t>
      </w:r>
      <w:r>
        <w:t xml:space="preserve">infrastructure costs and benefits sharing</w:t>
      </w:r>
      <w:r>
        <w:t xml:space="preserve"> </w:t>
      </w:r>
      <w:r>
        <w:t xml:space="preserve">Measure B.1 aims at enhancing early transparency in the assessment of project benefits and costs</w:t>
      </w:r>
      <w:r>
        <w:t xml:space="preserve"> </w:t>
      </w:r>
      <w:r>
        <w:t xml:space="preserve">to encourage the involvement of non-hosting EU countries. It also aims to establish a streamlined</w:t>
      </w:r>
      <w:r>
        <w:t xml:space="preserve"> </w:t>
      </w:r>
      <w:r>
        <w:t xml:space="preserve">CBCA process and a more harmonised EU cost-sharing framework to support discussions</w:t>
      </w:r>
      <w:r>
        <w:t xml:space="preserve"> </w:t>
      </w:r>
      <w:r>
        <w:t xml:space="preserve">amongst NRAs. More specifically, it would entail the following elements:</w:t>
      </w:r>
      <w:r>
        <w:t xml:space="preserve"> </w:t>
      </w:r>
      <w:r>
        <w:t xml:space="preserve">-</w:t>
      </w:r>
      <w:r>
        <w:t xml:space="preserve"> </w:t>
      </w:r>
      <w:r>
        <w:t xml:space="preserve">ENTSO-E and ENNOH would be required to publish Cost benefits analysis (CBA)</w:t>
      </w:r>
      <w:r>
        <w:t xml:space="preserve"> </w:t>
      </w:r>
      <w:r>
        <w:t xml:space="preserve">results showing how the benefits of TYNDP projects are distributed across countries,</w:t>
      </w:r>
      <w:r>
        <w:t xml:space="preserve"> </w:t>
      </w:r>
      <w:r>
        <w:t xml:space="preserve">including non-hosting countries who significantly benefit from such projects. This</w:t>
      </w:r>
      <w:r>
        <w:t xml:space="preserve"> </w:t>
      </w:r>
      <w:r>
        <w:t xml:space="preserve">information would be published as part of the TYNDP. Project promoters would then be</w:t>
      </w:r>
      <w:r>
        <w:t xml:space="preserve"> </w:t>
      </w:r>
      <w:r>
        <w:t xml:space="preserve">encouraged to submit a preliminary non-binding cost-sharing agreement as part of their</w:t>
      </w:r>
      <w:r>
        <w:t xml:space="preserve"> </w:t>
      </w:r>
      <w:r>
        <w:t xml:space="preserve">PCI/PMI application, considering ENTSO-E’s and ENNOH’s assessment of cross-border</w:t>
      </w:r>
      <w:r>
        <w:t xml:space="preserve"> </w:t>
      </w:r>
      <w:r>
        <w:t xml:space="preserve">benefits in the TYNDP.</w:t>
      </w:r>
    </w:p>
    <w:p>
      <w:pPr>
        <w:pStyle w:val="BodyText"/>
      </w:pPr>
      <w:r>
        <w:t xml:space="preserve">247 Horizon Europe, the Innovation Fund, the Hydrogen Bank, the Recovery and Resilience Fund and Cohesion funds,</w:t>
      </w:r>
      <w:r>
        <w:t xml:space="preserve"> </w:t>
      </w:r>
      <w:r>
        <w:t xml:space="preserve">as well as State aid.</w:t>
      </w:r>
      <w:r>
        <w:br/>
      </w:r>
      <w:r>
        <w:t xml:space="preserve">248 On the broadened scope to better reflect security/resilience within the PCI scope see policy measure D.3</w:t>
      </w:r>
    </w:p>
    <w:p>
      <w:pPr>
        <w:pStyle w:val="BodyText"/>
      </w:pPr>
      <w:r>
        <w:t xml:space="preserve">152</w:t>
      </w:r>
    </w:p>
    <w:p>
      <w:pPr>
        <w:pStyle w:val="Compact"/>
        <w:numPr>
          <w:ilvl w:val="0"/>
          <w:numId w:val="1029"/>
        </w:numPr>
      </w:pPr>
      <w:r>
        <w:t xml:space="preserve">ACER would be mandated to update its recommendation on the treatment of investment</w:t>
      </w:r>
      <w:r>
        <w:t xml:space="preserve"> </w:t>
      </w:r>
      <w:r>
        <w:t xml:space="preserve">requests for PCIs and PMIs (or CBCA recommendation) based on CBCA principles</w:t>
      </w:r>
      <w:r>
        <w:t xml:space="preserve"> </w:t>
      </w:r>
      <w:r>
        <w:t xml:space="preserve">outlined in the TEN-E Regulation such as scenarios to be used, benefits and costs to be</w:t>
      </w:r>
      <w:r>
        <w:t xml:space="preserve"> </w:t>
      </w:r>
      <w:r>
        <w:t xml:space="preserve">included, cost-sharing keys, ex post conditions etc. Those principles would ensure</w:t>
      </w:r>
      <w:r>
        <w:t xml:space="preserve"> </w:t>
      </w:r>
      <w:r>
        <w:t xml:space="preserve">consistency across Member States and across CBCAs. Updating its recommendation,</w:t>
      </w:r>
      <w:r>
        <w:t xml:space="preserve"> </w:t>
      </w:r>
      <w:r>
        <w:t xml:space="preserve">ACER would also need to take into account the differences between the electricity sector</w:t>
      </w:r>
      <w:r>
        <w:t xml:space="preserve"> </w:t>
      </w:r>
      <w:r>
        <w:t xml:space="preserve">and the emerging hydrogen sector. ACER would retain its role of last-recourse decision-</w:t>
      </w:r>
      <w:r>
        <w:t xml:space="preserve"> </w:t>
      </w:r>
      <w:r>
        <w:t xml:space="preserve">maker for CBCA decisions. It would also be tasked with improving transparency and</w:t>
      </w:r>
      <w:r>
        <w:t xml:space="preserve"> </w:t>
      </w:r>
      <w:r>
        <w:t xml:space="preserve">facilitating CBCA processes by developing a non-binding CBCA template and hosting a</w:t>
      </w:r>
      <w:r>
        <w:t xml:space="preserve"> </w:t>
      </w:r>
      <w:r>
        <w:t xml:space="preserve">central CBCA repository on its website to facilitate the work of project promoters and</w:t>
      </w:r>
      <w:r>
        <w:t xml:space="preserve"> </w:t>
      </w:r>
      <w:r>
        <w:t xml:space="preserve">NRAs.</w:t>
      </w:r>
      <w:r>
        <w:t xml:space="preserve"> </w:t>
      </w:r>
      <w:r>
        <w:t xml:space="preserve">B.2 Use of congestion income for financing of cross-border electricity infrastructure as an</w:t>
      </w:r>
      <w:r>
        <w:t xml:space="preserve"> </w:t>
      </w:r>
      <w:r>
        <w:t xml:space="preserve">incentive to cost-sharing</w:t>
      </w:r>
      <w:r>
        <w:t xml:space="preserve"> </w:t>
      </w:r>
      <w:r>
        <w:t xml:space="preserve">Under measure B.2 congestion income would be used to create an additional tool for unlocking</w:t>
      </w:r>
      <w:r>
        <w:t xml:space="preserve"> </w:t>
      </w:r>
      <w:r>
        <w:t xml:space="preserve">cost-sharing discussions for infrastructure projects which generate relevant benefits beyond the</w:t>
      </w:r>
      <w:r>
        <w:t xml:space="preserve"> </w:t>
      </w:r>
      <w:r>
        <w:t xml:space="preserve">borders of their hosting Member States, where the benefits within the hosting Member States do</w:t>
      </w:r>
      <w:r>
        <w:t xml:space="preserve"> </w:t>
      </w:r>
      <w:r>
        <w:t xml:space="preserve">not outweigh the costs. The Commission would be empowered to provide detailed rules on the</w:t>
      </w:r>
      <w:r>
        <w:t xml:space="preserve"> </w:t>
      </w:r>
      <w:r>
        <w:t xml:space="preserve">use of congestion income for financing cross-border electricity infrastructure under the</w:t>
      </w:r>
      <w:r>
        <w:t xml:space="preserve"> </w:t>
      </w:r>
      <w:r>
        <w:t xml:space="preserve">Electricity Regulation. TSOs would be required to allocate a share of the congestion income to</w:t>
      </w:r>
      <w:r>
        <w:t xml:space="preserve"> </w:t>
      </w:r>
      <w:r>
        <w:t xml:space="preserve">PCIs. This financing capacity would be spent on PCIs addressing the biggest bottlenecks in the</w:t>
      </w:r>
      <w:r>
        <w:t xml:space="preserve"> </w:t>
      </w:r>
      <w:r>
        <w:t xml:space="preserve">European or regional energy systems. This should facilitate reaching agreements on cross-border</w:t>
      </w:r>
      <w:r>
        <w:t xml:space="preserve"> </w:t>
      </w:r>
      <w:r>
        <w:t xml:space="preserve">cost allocation, particularly for projects that generate substantial benefits for Member States other</w:t>
      </w:r>
      <w:r>
        <w:t xml:space="preserve"> </w:t>
      </w:r>
      <w:r>
        <w:t xml:space="preserve">than the host country. B.3 Enabling framework for voluntary bundling of projects</w:t>
      </w:r>
      <w:r>
        <w:br/>
      </w:r>
      <w:r>
        <w:t xml:space="preserve">Measure B.3 seeks to incentivise increased financial contributions from Member States towards</w:t>
      </w:r>
      <w:r>
        <w:t xml:space="preserve"> </w:t>
      </w:r>
      <w:r>
        <w:t xml:space="preserve">cross-border energy infrastructure projects that generate benefits beyond their host countries.</w:t>
      </w:r>
      <w:r>
        <w:t xml:space="preserve"> </w:t>
      </w:r>
      <w:r>
        <w:t xml:space="preserve">This would primarily target regional flagship projects, such as a meshed offshore network in the</w:t>
      </w:r>
      <w:r>
        <w:t xml:space="preserve"> </w:t>
      </w:r>
      <w:r>
        <w:t xml:space="preserve">North Sea. This measure is inspired by past examples where the bundling of five prioritised</w:t>
      </w:r>
      <w:r>
        <w:t xml:space="preserve"> </w:t>
      </w:r>
      <w:r>
        <w:t xml:space="preserve">Nordic grid reinforcements249 as part of the 2004 TSO Nordel Infrastructure Package and</w:t>
      </w:r>
      <w:r>
        <w:t xml:space="preserve"> </w:t>
      </w:r>
      <w:r>
        <w:t xml:space="preserve">supported politically by the concerned Member States250, as enshrined in the Ministerial Nordel</w:t>
      </w:r>
      <w:r>
        <w:t xml:space="preserve"> </w:t>
      </w:r>
      <w:r>
        <w:t xml:space="preserve">agreement, led to the successful implementation of the related projects251. In addition, such</w:t>
      </w:r>
      <w:r>
        <w:t xml:space="preserve"> </w:t>
      </w:r>
      <w:r>
        <w:t xml:space="preserve">voluntary bundling approach is also already initiated by several North Sea Member States and</w:t>
      </w:r>
      <w:r>
        <w:t xml:space="preserve"> </w:t>
      </w:r>
      <w:r>
        <w:t xml:space="preserve">TSOs, having been initiated by the Offshore Transmission Coalition (OTC) and North Seas</w:t>
      </w:r>
      <w:r>
        <w:t xml:space="preserve"> </w:t>
      </w:r>
      <w:r>
        <w:t xml:space="preserve">Energy Cooperation (NSEC)252. This measure entails the establishment of an EU-level</w:t>
      </w:r>
      <w:r>
        <w:t xml:space="preserve"> </w:t>
      </w:r>
      <w:r>
        <w:t xml:space="preserve">framework that facilitates the identification and voluntary bundling of cross-border projects.</w:t>
      </w:r>
      <w:r>
        <w:t xml:space="preserve"> </w:t>
      </w:r>
      <w:r>
        <w:t xml:space="preserve">These projects would be grouped together to enable and encourage cost-sharing discussions</w:t>
      </w:r>
      <w:r>
        <w:t xml:space="preserve"> </w:t>
      </w:r>
      <w:r>
        <w:t xml:space="preserve">amongst relevant Member States (and third countries). Specifically, this framework would</w:t>
      </w:r>
      <w:r>
        <w:t xml:space="preserve"> </w:t>
      </w:r>
      <w:r>
        <w:t xml:space="preserve">facilitate project promoters to jointly submit PCI applications and, TSOs and NRAs to prepare</w:t>
      </w:r>
    </w:p>
    <w:p>
      <w:pPr>
        <w:pStyle w:val="FirstParagraph"/>
      </w:pPr>
      <w:r>
        <w:t xml:space="preserve">249 1. Fennoskan II (Decided) 2. Great Belt (Decided) 3. Nea - Järpströmmen (Decided) 4. South Link (Decided) 5.</w:t>
      </w:r>
      <w:r>
        <w:t xml:space="preserve"> </w:t>
      </w:r>
      <w:r>
        <w:t xml:space="preserve">Skagerrak IV (Letter of Intent, concessions applied).</w:t>
      </w:r>
      <w:r>
        <w:br/>
      </w:r>
      <w:r>
        <w:t xml:space="preserve">250 Sweden, Norway, Denmark, Finland</w:t>
      </w:r>
      <w:r>
        <w:t xml:space="preserve"> </w:t>
      </w:r>
      <w:r>
        <w:t xml:space="preserve">251 EMG 2008</w:t>
      </w:r>
      <w:r>
        <w:t xml:space="preserve"> </w:t>
      </w:r>
      <w:r>
        <w:t xml:space="preserve">252 Offshore TSO Collaboration, https://www.tennet.eu/offshore-tso-collaboration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coordinated CBCAs for the bundle of projects. This approach would also facilitate the</w:t>
      </w:r>
      <w:r>
        <w:t xml:space="preserve"> </w:t>
      </w:r>
      <w:r>
        <w:t xml:space="preserve">submission of subsequent funding applications under CEF for the bundle of projects.</w:t>
      </w:r>
      <w:r>
        <w:t xml:space="preserve"> </w:t>
      </w:r>
      <w:r>
        <w:t xml:space="preserve">While the voluntary bundling of projects is already possible in principle, certain legislative</w:t>
      </w:r>
      <w:r>
        <w:t xml:space="preserve"> </w:t>
      </w:r>
      <w:r>
        <w:t xml:space="preserve">changes are required to allow for project bundles to fully benefit from the cross-border cost</w:t>
      </w:r>
      <w:r>
        <w:t xml:space="preserve"> </w:t>
      </w:r>
      <w:r>
        <w:t xml:space="preserve">allocation provisions under the TEN-E framework. For instance, a new definition of project</w:t>
      </w:r>
      <w:r>
        <w:t xml:space="preserve"> </w:t>
      </w:r>
      <w:r>
        <w:t xml:space="preserve">bundles would be introduced that would allow for specific references in the cross-border cost-</w:t>
      </w:r>
      <w:r>
        <w:t xml:space="preserve"> </w:t>
      </w:r>
      <w:r>
        <w:t xml:space="preserve">allocation framework currently designed for project-specific PCIs/PMIs.</w:t>
      </w:r>
      <w:r>
        <w:t xml:space="preserve"> </w:t>
      </w:r>
      <w:r>
        <w:t xml:space="preserve">B.4 Mandatory offshore regional planning and cost-sharing</w:t>
      </w:r>
      <w:r>
        <w:t xml:space="preserve"> </w:t>
      </w:r>
      <w:r>
        <w:t xml:space="preserve">Measure B.4 introduces a mandatory regional planning for offshore cross-border infrastructure</w:t>
      </w:r>
      <w:r>
        <w:t xml:space="preserve"> </w:t>
      </w:r>
      <w:r>
        <w:t xml:space="preserve">projects within sea-basins where hybrid or cross-border radials are already planned. TSOs would</w:t>
      </w:r>
      <w:r>
        <w:t xml:space="preserve"> </w:t>
      </w:r>
      <w:r>
        <w:t xml:space="preserve">be required to undertake a joint regional planning exercise, building on the non-binding sea-basin</w:t>
      </w:r>
      <w:r>
        <w:t xml:space="preserve"> </w:t>
      </w:r>
      <w:r>
        <w:t xml:space="preserve">offshore renewable agreements of Member States. This would be followed by a mandatory</w:t>
      </w:r>
      <w:r>
        <w:t xml:space="preserve"> </w:t>
      </w:r>
      <w:r>
        <w:t xml:space="preserve">preliminary cost-sharing agreement by NRAs for the bundle of projects at the stage of the PCI</w:t>
      </w:r>
      <w:r>
        <w:t xml:space="preserve"> </w:t>
      </w:r>
      <w:r>
        <w:t xml:space="preserve">and PMI application, and the requirement of a final cluster-CBCA decisions for the purpose of</w:t>
      </w:r>
      <w:r>
        <w:t xml:space="preserve"> </w:t>
      </w:r>
      <w:r>
        <w:t xml:space="preserve">CEF. This measure would replace the current Offshore Network Development Plan (ONDP) and</w:t>
      </w:r>
      <w:r>
        <w:t xml:space="preserve"> </w:t>
      </w:r>
      <w:r>
        <w:t xml:space="preserve">Sea-Basin cross-border cost-sharing (SB-CBCS) provisions for relevant sea-basins. It would</w:t>
      </w:r>
      <w:r>
        <w:t xml:space="preserve"> </w:t>
      </w:r>
      <w:r>
        <w:t xml:space="preserve">therefore build on existing process and initiatives such as OTC and prepare the ground for the</w:t>
      </w:r>
      <w:r>
        <w:t xml:space="preserve"> </w:t>
      </w:r>
      <w:r>
        <w:t xml:space="preserve">possible sue of such regional planning in other areas.</w:t>
      </w:r>
      <w:r>
        <w:t xml:space="preserve"> </w:t>
      </w:r>
      <w:r>
        <w:t xml:space="preserve">C. Permitting</w:t>
      </w:r>
      <w:r>
        <w:br/>
      </w:r>
      <w:r>
        <w:t xml:space="preserve">C1. Supporting the implementation of existing legislation and issuing guidance</w:t>
      </w:r>
      <w:r>
        <w:br/>
      </w:r>
      <w:r>
        <w:t xml:space="preserve">Measure C.1 entails increasing the policy efforts and adopting new non-legislative measures but</w:t>
      </w:r>
      <w:r>
        <w:t xml:space="preserve"> </w:t>
      </w:r>
      <w:r>
        <w:t xml:space="preserve">not introducing new legislative measures. In this scenario, the Commission reinforces the support</w:t>
      </w:r>
      <w:r>
        <w:t xml:space="preserve"> </w:t>
      </w:r>
      <w:r>
        <w:t xml:space="preserve">aiming to ensure a better implementation of current permitting acceleration measures, especially</w:t>
      </w:r>
      <w:r>
        <w:t xml:space="preserve"> </w:t>
      </w:r>
      <w:r>
        <w:t xml:space="preserve">those of the revised RED. It would support Member States to implement best practices in</w:t>
      </w:r>
      <w:r>
        <w:t xml:space="preserve"> </w:t>
      </w:r>
      <w:r>
        <w:t xml:space="preserve">planning and permitting of electricity infrastructure, renewable energy and storage projects, as</w:t>
      </w:r>
      <w:r>
        <w:t xml:space="preserve"> </w:t>
      </w:r>
      <w:r>
        <w:t xml:space="preserve">well as recharging stations. Member States must intensify their efforts by ensuring full</w:t>
      </w:r>
      <w:r>
        <w:t xml:space="preserve"> </w:t>
      </w:r>
      <w:r>
        <w:t xml:space="preserve">transposition and optimal implementation of the revised RED, and the Gas Directive, paying</w:t>
      </w:r>
      <w:r>
        <w:t xml:space="preserve"> </w:t>
      </w:r>
      <w:r>
        <w:t xml:space="preserve">particular attention to the permitting and spatial planning of RES, co-located storage and</w:t>
      </w:r>
      <w:r>
        <w:t xml:space="preserve"> </w:t>
      </w:r>
      <w:r>
        <w:t xml:space="preserve">associated infrastructure. Simultaneously, they will need to invest in digitalisation of permitting</w:t>
      </w:r>
      <w:r>
        <w:t xml:space="preserve"> </w:t>
      </w:r>
      <w:r>
        <w:t xml:space="preserve">procedures and staffing and skilling of permitting authorities. The Commission would support</w:t>
      </w:r>
      <w:r>
        <w:t xml:space="preserve"> </w:t>
      </w:r>
      <w:r>
        <w:t xml:space="preserve">the implementation process through Commission guidance documents and strengthened dialogue</w:t>
      </w:r>
      <w:r>
        <w:t xml:space="preserve"> </w:t>
      </w:r>
      <w:r>
        <w:t xml:space="preserve">with stakeholders and Member States’ authorities in existing expert groups and cooperation</w:t>
      </w:r>
      <w:r>
        <w:t xml:space="preserve"> </w:t>
      </w:r>
      <w:r>
        <w:t xml:space="preserve">platforms managed by the Commission. Further, it would look to address the lack of capacity in</w:t>
      </w:r>
      <w:r>
        <w:t xml:space="preserve"> </w:t>
      </w:r>
      <w:r>
        <w:t xml:space="preserve">national permitting authorities, working to identify technical assistance and funding</w:t>
      </w:r>
      <w:r>
        <w:t xml:space="preserve"> </w:t>
      </w:r>
      <w:r>
        <w:t xml:space="preserve">opportunities that could support necessary investments, reforms and trainings to simplify</w:t>
      </w:r>
      <w:r>
        <w:t xml:space="preserve"> </w:t>
      </w:r>
      <w:r>
        <w:t xml:space="preserve">permitting procedures and build capacity in permitting authorities. Lastly, specifically on the</w:t>
      </w:r>
      <w:r>
        <w:t xml:space="preserve"> </w:t>
      </w:r>
      <w:r>
        <w:t xml:space="preserve">matter of environmental assessments, the Commission would pursue guidance on the</w:t>
      </w:r>
      <w:r>
        <w:t xml:space="preserve"> </w:t>
      </w:r>
      <w:r>
        <w:t xml:space="preserve">implementation of environmental legislation in connection to the permitting procedures. This</w:t>
      </w:r>
      <w:r>
        <w:t xml:space="preserve"> </w:t>
      </w:r>
      <w:r>
        <w:t xml:space="preserve">measure would also leave the permitting of storage (other than co-located) and recharging</w:t>
      </w:r>
      <w:r>
        <w:t xml:space="preserve"> </w:t>
      </w:r>
      <w:r>
        <w:t xml:space="preserve">stations, and general electricity distribution and transmission grids without a dedicated legal</w:t>
      </w:r>
      <w:r>
        <w:t xml:space="preserve"> </w:t>
      </w:r>
      <w:r>
        <w:t xml:space="preserve">framework at EU level.</w:t>
      </w:r>
      <w:r>
        <w:t xml:space="preserve"> </w:t>
      </w:r>
      <w:r>
        <w:t xml:space="preserve">C.2 Targeted legislative changes to accelerate permitting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Measure C.2 involves legislative amendments targeting the further acceleration and</w:t>
      </w:r>
      <w:r>
        <w:t xml:space="preserve"> </w:t>
      </w:r>
      <w:r>
        <w:t xml:space="preserve">simplification of permitting procedures for cross-border, national transmission and local</w:t>
      </w:r>
      <w:r>
        <w:t xml:space="preserve"> </w:t>
      </w:r>
      <w:r>
        <w:t xml:space="preserve">distribution grids as well as renewable energy and storage projects and recharging stations. The</w:t>
      </w:r>
      <w:r>
        <w:t xml:space="preserve"> </w:t>
      </w:r>
      <w:r>
        <w:t xml:space="preserve">amendments considered may include the following elements which may be introduced in either</w:t>
      </w:r>
      <w:r>
        <w:t xml:space="preserve"> </w:t>
      </w:r>
      <w:r>
        <w:t xml:space="preserve">sector-specific or horizontal legislation253:</w:t>
      </w:r>
      <w:r>
        <w:br/>
      </w:r>
      <w:r>
        <w:t xml:space="preserve">1) Establishing an EU-level framework for the accelerated permitting of electricity</w:t>
      </w:r>
      <w:r>
        <w:t xml:space="preserve"> </w:t>
      </w:r>
      <w:r>
        <w:t xml:space="preserve">distribution, transmission and storage assets, and of recharging stations, while</w:t>
      </w:r>
      <w:r>
        <w:t xml:space="preserve"> </w:t>
      </w:r>
      <w:r>
        <w:t xml:space="preserve">adapting to the EU-level provisions on hydrogen infrastructure with a scope that</w:t>
      </w:r>
      <w:r>
        <w:t xml:space="preserve"> </w:t>
      </w:r>
      <w:r>
        <w:t xml:space="preserve">would extend beyond PCIs and PMIs, and include measures such as: a single point of</w:t>
      </w:r>
      <w:r>
        <w:t xml:space="preserve"> </w:t>
      </w:r>
      <w:r>
        <w:t xml:space="preserve">contact for permitting; strengthened cooperation requirements in the permitting of cross-</w:t>
      </w:r>
      <w:r>
        <w:t xml:space="preserve"> </w:t>
      </w:r>
      <w:r>
        <w:t xml:space="preserve">border projects; maximum durations for administrative decisions aligned with the 2 year</w:t>
      </w:r>
      <w:r>
        <w:t xml:space="preserve"> </w:t>
      </w:r>
      <w:r>
        <w:t xml:space="preserve">deadline applicable to hydrogen; introducing further requirements for the permitting of</w:t>
      </w:r>
      <w:r>
        <w:t xml:space="preserve"> </w:t>
      </w:r>
      <w:r>
        <w:t xml:space="preserve">electricity distribution, transmission and storage assets (introducing it also to renewable</w:t>
      </w:r>
      <w:r>
        <w:t xml:space="preserve"> </w:t>
      </w:r>
      <w:r>
        <w:t xml:space="preserve">and low-carbon hydrogen projects) and of recharging stations, on tacit approval in case</w:t>
      </w:r>
      <w:r>
        <w:t xml:space="preserve"> </w:t>
      </w:r>
      <w:r>
        <w:t xml:space="preserve">of delays subject to certain conditions; a cut-off date for the request of additional data by</w:t>
      </w:r>
      <w:r>
        <w:t xml:space="preserve"> </w:t>
      </w:r>
      <w:r>
        <w:t xml:space="preserve">authorities; digitalisation, data-centralisation and increased administrative support of</w:t>
      </w:r>
      <w:r>
        <w:t xml:space="preserve"> </w:t>
      </w:r>
      <w:r>
        <w:t xml:space="preserve">permitting authorities by Member States; a presumption of overriding public interest for</w:t>
      </w:r>
      <w:r>
        <w:t xml:space="preserve"> </w:t>
      </w:r>
      <w:r>
        <w:t xml:space="preserve">electricity building on the existing provision in the revised RED reflecting the need to</w:t>
      </w:r>
      <w:r>
        <w:t xml:space="preserve"> </w:t>
      </w:r>
      <w:r>
        <w:t xml:space="preserve">match RES expansion with grid development; exemptions from permitting procedures</w:t>
      </w:r>
      <w:r>
        <w:t xml:space="preserve"> </w:t>
      </w:r>
      <w:r>
        <w:t xml:space="preserve">for small installations subject to certain conditions254, electricity distribution grids and</w:t>
      </w:r>
      <w:r>
        <w:t xml:space="preserve"> </w:t>
      </w:r>
      <w:r>
        <w:t xml:space="preserve">modernisation, reinforcement, repowering and repurposing of existing electricity grid</w:t>
      </w:r>
      <w:r>
        <w:t xml:space="preserve"> </w:t>
      </w:r>
      <w:r>
        <w:t xml:space="preserve">assets;</w:t>
      </w:r>
      <w:r>
        <w:t xml:space="preserve"> </w:t>
      </w:r>
      <w:r>
        <w:t xml:space="preserve">2) To strengthen the permitting acceleration provisions of the TEN-E Regulation:</w:t>
      </w:r>
      <w:r>
        <w:t xml:space="preserve"> </w:t>
      </w:r>
      <w:r>
        <w:t xml:space="preserve">aligning the permitting of PCIs and PMIs with the new acceleration provisions introduced</w:t>
      </w:r>
      <w:r>
        <w:t xml:space="preserve"> </w:t>
      </w:r>
      <w:r>
        <w:t xml:space="preserve">for grids in general (e.g. mandatory digitalisation and overriding public interest for</w:t>
      </w:r>
      <w:r>
        <w:t xml:space="preserve"> </w:t>
      </w:r>
      <w:r>
        <w:t xml:space="preserve">electricity grids) while maintaining a higher level of urgency. In addition, the following</w:t>
      </w:r>
      <w:r>
        <w:t xml:space="preserve"> </w:t>
      </w:r>
      <w:r>
        <w:t xml:space="preserve">measures would be covered reinforcing the mandatory scoping process in the pre-</w:t>
      </w:r>
      <w:r>
        <w:t xml:space="preserve"> </w:t>
      </w:r>
      <w:r>
        <w:t xml:space="preserve">application phase that identifies the extent of assessments to be carried out by promoters</w:t>
      </w:r>
      <w:r>
        <w:t xml:space="preserve"> </w:t>
      </w:r>
      <w:r>
        <w:t xml:space="preserve">in order to clarify upfront which assessments are to be provided by the project promoter;</w:t>
      </w:r>
      <w:r>
        <w:t xml:space="preserve"> </w:t>
      </w:r>
      <w:r>
        <w:t xml:space="preserve">reducing the statutory permitting duration to one year and making it legally binding;</w:t>
      </w:r>
      <w:r>
        <w:t xml:space="preserve"> </w:t>
      </w:r>
      <w:r>
        <w:t xml:space="preserve">simplifying and clarifying concepts which have been raised as sometimes unclear</w:t>
      </w:r>
      <w:r>
        <w:t xml:space="preserve"> </w:t>
      </w:r>
      <w:r>
        <w:t xml:space="preserve">during implementation such as the early public consultation or the purpose and legal</w:t>
      </w:r>
      <w:r>
        <w:t xml:space="preserve"> </w:t>
      </w:r>
      <w:r>
        <w:t xml:space="preserve">character of the pre-application phase.</w:t>
      </w:r>
      <w:r>
        <w:t xml:space="preserve"> </w:t>
      </w:r>
      <w:r>
        <w:t xml:space="preserve">3) To complement and address potential shortcomings of the current permitting</w:t>
      </w:r>
      <w:r>
        <w:t xml:space="preserve"> </w:t>
      </w:r>
      <w:r>
        <w:t xml:space="preserve">framework for renewable energy projects. Amendments could be proposed to: (1)</w:t>
      </w:r>
      <w:r>
        <w:t xml:space="preserve"> </w:t>
      </w:r>
      <w:r>
        <w:t xml:space="preserve">introduce new measures on important topics not covered (or only lightly covered) by</w:t>
      </w:r>
      <w:r>
        <w:t xml:space="preserve"> </w:t>
      </w:r>
      <w:r>
        <w:t xml:space="preserve">the RED, such as measures to minimise the arbitrary identification of “exclusion” areas</w:t>
      </w:r>
      <w:r>
        <w:t xml:space="preserve"> </w:t>
      </w:r>
      <w:r>
        <w:t xml:space="preserve">where the development of RES is prohibited; expand the scope of the fast and simple</w:t>
      </w:r>
      <w:r>
        <w:t xml:space="preserve"> </w:t>
      </w:r>
      <w:r>
        <w:t xml:space="preserve">permitting rules to additional flexibility assets to support the integration of renewable</w:t>
      </w:r>
      <w:r>
        <w:t xml:space="preserve"> </w:t>
      </w:r>
      <w:r>
        <w:t xml:space="preserve">energy into the system, such as stand-alone storage assets and recharging stations;</w:t>
      </w:r>
      <w:r>
        <w:t xml:space="preserve"> </w:t>
      </w:r>
      <w:r>
        <w:t xml:space="preserve">strengthen the provisions on public acceptance by introducing obligations on benefit-</w:t>
      </w:r>
    </w:p>
    <w:p>
      <w:pPr>
        <w:pStyle w:val="BodyText"/>
      </w:pPr>
      <w:r>
        <w:t xml:space="preserve">253 Regarding the amendments proposed, the Commission is working towards an Omnibus package in the</w:t>
      </w:r>
      <w:r>
        <w:t xml:space="preserve"> </w:t>
      </w:r>
      <w:r>
        <w:t xml:space="preserve">environmental sector to be adopted in Q4 2025, which may include provisions to simplify and accelerate</w:t>
      </w:r>
      <w:r>
        <w:t xml:space="preserve"> </w:t>
      </w:r>
      <w:r>
        <w:t xml:space="preserve">environmental permitting and environmental assessments provisions.</w:t>
      </w:r>
      <w:r>
        <w:br/>
      </w:r>
      <w:r>
        <w:t xml:space="preserve">254 This should not lead to artificially slicing of projects into the smaller projects (‘salami slicing tactic’) in the context</w:t>
      </w:r>
      <w:r>
        <w:t xml:space="preserve"> </w:t>
      </w:r>
      <w:r>
        <w:t xml:space="preserve">of Articles 6(3) and 12 of the Habitats Directive, Article 5 of the Birds Directive and the Environmental Impact</w:t>
      </w:r>
      <w:r>
        <w:t xml:space="preserve"> </w:t>
      </w:r>
      <w:r>
        <w:t xml:space="preserve">Assessment Directive.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sharing mechanisms for renewable energy projects, and measures to improve the staffing</w:t>
      </w:r>
      <w:r>
        <w:t xml:space="preserve"> </w:t>
      </w:r>
      <w:r>
        <w:t xml:space="preserve">of authorities and digitalisation of procedures; (2) introduce measures building on the</w:t>
      </w:r>
      <w:r>
        <w:t xml:space="preserve"> </w:t>
      </w:r>
      <w:r>
        <w:t xml:space="preserve">Council Regulation (EU) 2022/2577255 and its extension (EU) 2024/223, like solutions</w:t>
      </w:r>
      <w:r>
        <w:t xml:space="preserve"> </w:t>
      </w:r>
      <w:r>
        <w:t xml:space="preserve">on alternative256 and compensatory measures257 (Article 3a) where scope for further</w:t>
      </w:r>
      <w:r>
        <w:t xml:space="preserve"> </w:t>
      </w:r>
      <w:r>
        <w:t xml:space="preserve">action may be warranted, such as tightening permitting deadlines and reviewing</w:t>
      </w:r>
      <w:r>
        <w:t xml:space="preserve"> </w:t>
      </w:r>
      <w:r>
        <w:t xml:space="preserve">administrative procedures with regards tacit approval and data request to ensure the</w:t>
      </w:r>
      <w:r>
        <w:t xml:space="preserve"> </w:t>
      </w:r>
      <w:r>
        <w:t xml:space="preserve">fulfilment of the deadlines, further simplification of the administrative procedures for</w:t>
      </w:r>
      <w:r>
        <w:t xml:space="preserve"> </w:t>
      </w:r>
      <w:r>
        <w:t xml:space="preserve">repowering and hybridisation of assets; exempt certain projects from having to undergo</w:t>
      </w:r>
      <w:r>
        <w:t xml:space="preserve"> </w:t>
      </w:r>
      <w:r>
        <w:t xml:space="preserve">any permitting procedure, e.g. small scale installations258.</w:t>
      </w:r>
      <w:r>
        <w:t xml:space="preserve"> </w:t>
      </w:r>
      <w:r>
        <w:t xml:space="preserve">4) To simplify and streamline environmental assessments the Commission could</w:t>
      </w:r>
      <w:r>
        <w:t xml:space="preserve"> </w:t>
      </w:r>
      <w:r>
        <w:t xml:space="preserve">introduce targeted amendments to environmental legislation259 such as balance the</w:t>
      </w:r>
      <w:r>
        <w:t xml:space="preserve"> </w:t>
      </w:r>
      <w:r>
        <w:t xml:space="preserve">responsibility of project promoters with a more active role for authorities in what</w:t>
      </w:r>
      <w:r>
        <w:t xml:space="preserve"> </w:t>
      </w:r>
      <w:r>
        <w:t xml:space="preserve">concerns the identification and deployment of compensation and mitigation measures,</w:t>
      </w:r>
      <w:r>
        <w:t xml:space="preserve"> </w:t>
      </w:r>
      <w:r>
        <w:t xml:space="preserve">where the authorities could make lists of standard measures that may be considered by</w:t>
      </w:r>
      <w:r>
        <w:t xml:space="preserve"> </w:t>
      </w:r>
      <w:r>
        <w:t xml:space="preserve">project developers for application if relevant; introduce new measures to simplify</w:t>
      </w:r>
      <w:r>
        <w:t xml:space="preserve"> </w:t>
      </w:r>
      <w:r>
        <w:t xml:space="preserve">environmental assessments, such as, introducing a scoping process with a cut-off date for</w:t>
      </w:r>
      <w:r>
        <w:t xml:space="preserve"> </w:t>
      </w:r>
      <w:r>
        <w:t xml:space="preserve">requests for additional data by authorities, as well as requiring digitalisation and data-</w:t>
      </w:r>
      <w:r>
        <w:t xml:space="preserve"> </w:t>
      </w:r>
      <w:r>
        <w:t xml:space="preserve">centralisation and requirements for environmental data. In addition to simplification, the</w:t>
      </w:r>
      <w:r>
        <w:t xml:space="preserve"> </w:t>
      </w:r>
      <w:r>
        <w:t xml:space="preserve">Commission could consider changes as regards the effect of the overriding public interest</w:t>
      </w:r>
      <w:r>
        <w:t xml:space="preserve"> </w:t>
      </w:r>
      <w:r>
        <w:t xml:space="preserve">provision.</w:t>
      </w:r>
      <w:r>
        <w:t xml:space="preserve"> </w:t>
      </w:r>
      <w:r>
        <w:t xml:space="preserve">C.3 Centralised EU-wide permitting coordination regime for certain large-scale energy</w:t>
      </w:r>
      <w:r>
        <w:t xml:space="preserve"> </w:t>
      </w:r>
      <w:r>
        <w:t xml:space="preserve">infrastructure projects</w:t>
      </w:r>
      <w:r>
        <w:t xml:space="preserve"> </w:t>
      </w:r>
      <w:r>
        <w:t xml:space="preserve">Measure C3. introduces a centralised EU (“28th”) regime for the permitting of very large energy</w:t>
      </w:r>
      <w:r>
        <w:t xml:space="preserve"> </w:t>
      </w:r>
      <w:r>
        <w:t xml:space="preserve">projects such as interconnectors and large-scale renewable energy projects with cross-border</w:t>
      </w:r>
      <w:r>
        <w:t xml:space="preserve"> </w:t>
      </w:r>
      <w:r>
        <w:t xml:space="preserve">characteristics. This would amount to a significant change of the permitting system shifting the</w:t>
      </w:r>
      <w:r>
        <w:t xml:space="preserve"> </w:t>
      </w:r>
      <w:r>
        <w:t xml:space="preserve">responsibility of monitoring and/or coordinating permitting processes from Member States’</w:t>
      </w:r>
      <w:r>
        <w:t xml:space="preserve"> </w:t>
      </w:r>
      <w:r>
        <w:t xml:space="preserve">contact points/one stop shops260 to the EU. These coordination tasks would be taken upon by a</w:t>
      </w:r>
      <w:r>
        <w:t xml:space="preserve"> </w:t>
      </w:r>
      <w:r>
        <w:t xml:space="preserve">permanent European coordination authority and would entail monitoring the timely completion</w:t>
      </w:r>
    </w:p>
    <w:p>
      <w:pPr>
        <w:pStyle w:val="BodyText"/>
      </w:pPr>
      <w:r>
        <w:t xml:space="preserve">255 Council Regulation (EU) 2022/2577 of 22 December 2022 laying down a framework to accelerate the deployment</w:t>
      </w:r>
      <w:r>
        <w:t xml:space="preserve"> </w:t>
      </w:r>
      <w:r>
        <w:t xml:space="preserve">of renewable energy, OJ L 335, 29.12.2022, p. 36–44</w:t>
      </w:r>
      <w:r>
        <w:t xml:space="preserve"> </w:t>
      </w:r>
      <w:r>
        <w:t xml:space="preserve">256 In order for projects to receive derogations provided under Articles 6(4) and 16(1) of the Habitats Directive, Article</w:t>
      </w:r>
      <w:r>
        <w:t xml:space="preserve"> </w:t>
      </w:r>
      <w:r>
        <w:t xml:space="preserve">4(7) of the Water Framework Directive and Article 9(1) of the Birds Directive, the competent authorities must</w:t>
      </w:r>
      <w:r>
        <w:t xml:space="preserve"> </w:t>
      </w:r>
      <w:r>
        <w:t xml:space="preserve">demonstrate among other conditions that no other feasible alternative solution exists that would not adversely affect</w:t>
      </w:r>
      <w:r>
        <w:t xml:space="preserve"> </w:t>
      </w:r>
      <w:r>
        <w:t xml:space="preserve">the integrity of the Natura 2000 site concerned. The introduction of this measure, similarly to the Emergency</w:t>
      </w:r>
      <w:r>
        <w:t xml:space="preserve"> </w:t>
      </w:r>
      <w:r>
        <w:t xml:space="preserve">Regulation, aims to specify that the scope of the assessment of alternative solutions can cover solutions that ensure</w:t>
      </w:r>
      <w:r>
        <w:t xml:space="preserve"> </w:t>
      </w:r>
      <w:r>
        <w:t xml:space="preserve">the achievement of the same objectives as the project in question within the same or similar timeframe and without</w:t>
      </w:r>
      <w:r>
        <w:t xml:space="preserve"> </w:t>
      </w:r>
      <w:r>
        <w:t xml:space="preserve">resulting in significantly higher costs and therefore facilitate meeting this condition.</w:t>
      </w:r>
      <w:r>
        <w:t xml:space="preserve"> </w:t>
      </w:r>
      <w:r>
        <w:t xml:space="preserve">257 Member States face additional challenges concerning the requirement to adopt compensatory measures when</w:t>
      </w:r>
      <w:r>
        <w:t xml:space="preserve"> </w:t>
      </w:r>
      <w:r>
        <w:t xml:space="preserve">applying the derogation under the Habitats Directive (92/43/EEC) with regards the plant or installation for the</w:t>
      </w:r>
      <w:r>
        <w:t xml:space="preserve"> </w:t>
      </w:r>
      <w:r>
        <w:t xml:space="preserve">production of energy from renewable sources, or the related grid infrastructure which is necessary to integrate</w:t>
      </w:r>
      <w:r>
        <w:t xml:space="preserve"> </w:t>
      </w:r>
      <w:r>
        <w:t xml:space="preserve">renewables into the electricity system. The introduction of this measure, while preserving a high level of</w:t>
      </w:r>
      <w:r>
        <w:t xml:space="preserve"> </w:t>
      </w:r>
      <w:r>
        <w:t xml:space="preserve">environmental protection, allows for the compensatory measures to be carried out in parallel with the implementation</w:t>
      </w:r>
      <w:r>
        <w:t xml:space="preserve"> </w:t>
      </w:r>
      <w:r>
        <w:t xml:space="preserve">of the project under strict conditions.</w:t>
      </w:r>
      <w:r>
        <w:t xml:space="preserve"> </w:t>
      </w:r>
      <w:r>
        <w:t xml:space="preserve">258 This should not lead to artificially slicing of projects into the smaller projects (‘salami slicing tactic’).</w:t>
      </w:r>
      <w:r>
        <w:t xml:space="preserve"> </w:t>
      </w:r>
      <w:r>
        <w:t xml:space="preserve">259 Specifically, the EIA Directive, SEA Directive, Habitats Directive, Birds Directive and Water Framework</w:t>
      </w:r>
      <w:r>
        <w:t xml:space="preserve"> </w:t>
      </w:r>
      <w:r>
        <w:t xml:space="preserve">Directive.</w:t>
      </w:r>
      <w:r>
        <w:t xml:space="preserve"> </w:t>
      </w:r>
      <w:r>
        <w:t xml:space="preserve">260 See Annex 6 for further details on the one stop shops, single points of contact and national competent authorities</w:t>
      </w:r>
      <w:r>
        <w:t xml:space="preserve"> </w:t>
      </w:r>
      <w:r>
        <w:t xml:space="preserve">established under the revised RED and Gases Directive and the TEN-E Regulation.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of the procedures in line with the EU permitting framework and liaising with Member States</w:t>
      </w:r>
      <w:r>
        <w:t xml:space="preserve"> </w:t>
      </w:r>
      <w:r>
        <w:t xml:space="preserve">(national and local) authorities to ensure that the necessary approvals are issued without delays</w:t>
      </w:r>
      <w:r>
        <w:t xml:space="preserve"> </w:t>
      </w:r>
      <w:r>
        <w:t xml:space="preserve">and that projects are granted priority treatment, without the EU Authority having decision making</w:t>
      </w:r>
      <w:r>
        <w:t xml:space="preserve"> </w:t>
      </w:r>
      <w:r>
        <w:t xml:space="preserve">powers in national procedures. Such tasks entail low risks of conflicts of interest or of authorities’</w:t>
      </w:r>
      <w:r>
        <w:t xml:space="preserve"> </w:t>
      </w:r>
      <w:r>
        <w:t xml:space="preserve">competences. However, to ensuring the effective handling of these tasks at the European Level</w:t>
      </w:r>
      <w:r>
        <w:t xml:space="preserve"> </w:t>
      </w:r>
      <w:r>
        <w:t xml:space="preserve">would require a significant build-up of the necessary legal and procedural expertise and practical</w:t>
      </w:r>
      <w:r>
        <w:t xml:space="preserve"> </w:t>
      </w:r>
      <w:r>
        <w:t xml:space="preserve">capacity.</w:t>
      </w:r>
      <w:r>
        <w:t xml:space="preserve"> </w:t>
      </w:r>
      <w:r>
        <w:t xml:space="preserve">D. Security</w:t>
      </w:r>
      <w:r>
        <w:br/>
      </w:r>
      <w:r>
        <w:t xml:space="preserve">D.1 Including physical and cyber-risk resilience considerations in the monitoring of PCIs</w:t>
      </w:r>
      <w:r>
        <w:t xml:space="preserve"> </w:t>
      </w:r>
      <w:r>
        <w:t xml:space="preserve">and PMIs</w:t>
      </w:r>
      <w:r>
        <w:t xml:space="preserve"> </w:t>
      </w:r>
      <w:r>
        <w:t xml:space="preserve">Measure D.1 includes provisions similar to those related to climate-adaptation under the current</w:t>
      </w:r>
      <w:r>
        <w:t xml:space="preserve"> </w:t>
      </w:r>
      <w:r>
        <w:t xml:space="preserve">TEN-E Regulation but is focused on addressing resilience against physical malicious acts and</w:t>
      </w:r>
      <w:r>
        <w:t xml:space="preserve"> </w:t>
      </w:r>
      <w:r>
        <w:t xml:space="preserve">cybersecurity threats to the Union’s cross-border energy infrastructure. Project promoters would</w:t>
      </w:r>
      <w:r>
        <w:t xml:space="preserve"> </w:t>
      </w:r>
      <w:r>
        <w:t xml:space="preserve">be required to include a risk assessment as part of the implementation plan referred to under</w:t>
      </w:r>
      <w:r>
        <w:t xml:space="preserve"> </w:t>
      </w:r>
      <w:r>
        <w:t xml:space="preserve">Article 5 of the TEN-E Regulation. Lastly, project promoters would, where needed, provide</w:t>
      </w:r>
      <w:r>
        <w:t xml:space="preserve"> </w:t>
      </w:r>
      <w:r>
        <w:t xml:space="preserve">details on the envisaged physical and cybersecurity mitigation measures in their annual reports,</w:t>
      </w:r>
      <w:r>
        <w:t xml:space="preserve"> </w:t>
      </w:r>
      <w:r>
        <w:t xml:space="preserve">also in the context of the requirements under Article 5 of the TEN-E Regulation. If project</w:t>
      </w:r>
      <w:r>
        <w:t xml:space="preserve"> </w:t>
      </w:r>
      <w:r>
        <w:t xml:space="preserve">promoters are identified as critical entities under the EU Critical Entities Resilience (CER)</w:t>
      </w:r>
      <w:r>
        <w:t xml:space="preserve"> </w:t>
      </w:r>
      <w:r>
        <w:t xml:space="preserve">Directive, they should build on the required risk assessments to evaluate all relevant risks that</w:t>
      </w:r>
      <w:r>
        <w:t xml:space="preserve"> </w:t>
      </w:r>
      <w:r>
        <w:t xml:space="preserve">could disrupt the provision of their essential services and subsequently implement appropriate</w:t>
      </w:r>
      <w:r>
        <w:t xml:space="preserve"> </w:t>
      </w:r>
      <w:r>
        <w:t xml:space="preserve">and proportionate technical, security, and organisational measures to ensure their resilience. As</w:t>
      </w:r>
      <w:r>
        <w:t xml:space="preserve"> </w:t>
      </w:r>
      <w:r>
        <w:t xml:space="preserve">regards the risk assessment for cyber-security, project promoters should take into relevant risk</w:t>
      </w:r>
      <w:r>
        <w:t xml:space="preserve"> </w:t>
      </w:r>
      <w:r>
        <w:t xml:space="preserve">evaluations and assessments carried out at Union level, including assessing impact on cross-</w:t>
      </w:r>
      <w:r>
        <w:t xml:space="preserve"> </w:t>
      </w:r>
      <w:r>
        <w:t xml:space="preserve">border electricity flows, using methodologies pursuant to the Network code on sector-specific</w:t>
      </w:r>
      <w:r>
        <w:t xml:space="preserve"> </w:t>
      </w:r>
      <w:r>
        <w:t xml:space="preserve">rules for cybersecurity aspects of cross-border electricity flows, and the results of the coordinated</w:t>
      </w:r>
      <w:r>
        <w:t xml:space="preserve"> </w:t>
      </w:r>
      <w:r>
        <w:t xml:space="preserve">security risk assessments of critical supply chains carried out in accordance with Article 22(1) of</w:t>
      </w:r>
      <w:r>
        <w:t xml:space="preserve"> </w:t>
      </w:r>
      <w:r>
        <w:t xml:space="preserve">the NIS2 Directive, where applicable.261</w:t>
      </w:r>
      <w:r>
        <w:t xml:space="preserve"> </w:t>
      </w:r>
      <w:r>
        <w:t xml:space="preserve">D.2 Additional transparency requirements regarding the ultimate beneficial owners of</w:t>
      </w:r>
      <w:r>
        <w:t xml:space="preserve"> </w:t>
      </w:r>
      <w:r>
        <w:t xml:space="preserve">candidate PCIs/PMIs</w:t>
      </w:r>
      <w:r>
        <w:t xml:space="preserve"> </w:t>
      </w:r>
      <w:r>
        <w:t xml:space="preserve">Measure D.2 introduces additional transparency requirements regarding the ultimate beneficial</w:t>
      </w:r>
      <w:r>
        <w:t xml:space="preserve"> </w:t>
      </w:r>
      <w:r>
        <w:t xml:space="preserve">owners of all candidate PCI/PMI projects and their internal shareholder structure. Project</w:t>
      </w:r>
      <w:r>
        <w:t xml:space="preserve"> </w:t>
      </w:r>
      <w:r>
        <w:t xml:space="preserve">promoters would be required to share information about their ultimate beneficial owners as part</w:t>
      </w:r>
      <w:r>
        <w:t xml:space="preserve"> </w:t>
      </w:r>
      <w:r>
        <w:t xml:space="preserve">of the documentation submitted to ENTSO-E and ENNOH during the TYNDP application</w:t>
      </w:r>
      <w:r>
        <w:t xml:space="preserve"> </w:t>
      </w:r>
      <w:r>
        <w:t xml:space="preserve">process. This information would be treated confidentially. ENTSO-E and ENNOH would then</w:t>
      </w:r>
      <w:r>
        <w:t xml:space="preserve"> </w:t>
      </w:r>
      <w:r>
        <w:t xml:space="preserve">be responsible for forwarding this information to the European Commission whenever third-</w:t>
      </w:r>
      <w:r>
        <w:t xml:space="preserve"> </w:t>
      </w:r>
      <w:r>
        <w:t xml:space="preserve">country involvement is identified. The Commission would review this information, which would</w:t>
      </w:r>
      <w:r>
        <w:t xml:space="preserve"> </w:t>
      </w:r>
      <w:r>
        <w:t xml:space="preserve">be taken into account in the assessment of candidate PCI and PMI projects. This information is</w:t>
      </w:r>
      <w:r>
        <w:t xml:space="preserve"> </w:t>
      </w:r>
      <w:r>
        <w:t xml:space="preserve">also relevant given that PCIs and PMIs are considered projects of Union interest under the</w:t>
      </w:r>
    </w:p>
    <w:p>
      <w:pPr>
        <w:pStyle w:val="BodyText"/>
      </w:pPr>
      <w:r>
        <w:t xml:space="preserve">261 Commission Delegated Regulation (EU) 2024/1366 of 11 March 2024 supplementing Regulation (EU) 2019/943</w:t>
      </w:r>
      <w:r>
        <w:t xml:space="preserve"> </w:t>
      </w:r>
      <w:r>
        <w:t xml:space="preserve">of the European Parliament and of the Council by establishing a network code on sector-specific rules for</w:t>
      </w:r>
      <w:r>
        <w:t xml:space="preserve"> </w:t>
      </w:r>
      <w:r>
        <w:t xml:space="preserve">cybersecurity aspects of cross-border electricity flows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Foreign Direct Investment Screening Regulation and that the Commission has the right to issue</w:t>
      </w:r>
      <w:r>
        <w:t xml:space="preserve"> </w:t>
      </w:r>
      <w:r>
        <w:t xml:space="preserve">an opinion addressed to the Member State where the foreign direct investment is planned or has</w:t>
      </w:r>
      <w:r>
        <w:t xml:space="preserve"> </w:t>
      </w:r>
      <w:r>
        <w:t xml:space="preserve">been completed where the Commission considers that a foreign direct investment is likely to</w:t>
      </w:r>
      <w:r>
        <w:t xml:space="preserve"> </w:t>
      </w:r>
      <w:r>
        <w:t xml:space="preserve">affect projects or programmes of Union interest on grounds of security or public order.</w:t>
      </w:r>
      <w:r>
        <w:br/>
      </w:r>
      <w:r>
        <w:t xml:space="preserve">D.3 Including security and resilience-related equipment for the upgrade of existing</w:t>
      </w:r>
      <w:r>
        <w:t xml:space="preserve"> </w:t>
      </w:r>
      <w:r>
        <w:t xml:space="preserve">electricity cross-border infrastructure under TEN-E scope</w:t>
      </w:r>
      <w:r>
        <w:t xml:space="preserve"> </w:t>
      </w:r>
      <w:r>
        <w:t xml:space="preserve">Measure D.3 introduces the possibility to include PCIs related to security upgrades of existing</w:t>
      </w:r>
      <w:r>
        <w:t xml:space="preserve"> </w:t>
      </w:r>
      <w:r>
        <w:t xml:space="preserve">electricity infrastructure under the TEN-E framework, including any equipment or installation</w:t>
      </w:r>
      <w:r>
        <w:t xml:space="preserve"> </w:t>
      </w:r>
      <w:r>
        <w:t xml:space="preserve">essential to operate safely, securely and efficiently, including protection, monitoring and control</w:t>
      </w:r>
      <w:r>
        <w:t xml:space="preserve"> </w:t>
      </w:r>
      <w:r>
        <w:t xml:space="preserve">systems. Such upgrades may not necessarily lead to an increase in cross-border capacity, but bring</w:t>
      </w:r>
      <w:r>
        <w:t xml:space="preserve"> </w:t>
      </w:r>
      <w:r>
        <w:t xml:space="preserve">significant cross-border benefits in terms of resilience and security. Such equipment would be</w:t>
      </w:r>
      <w:r>
        <w:t xml:space="preserve"> </w:t>
      </w:r>
      <w:r>
        <w:t xml:space="preserve">eligible for the PCI status and could subsequently benefit from CEF funding. The procurement of</w:t>
      </w:r>
      <w:r>
        <w:t xml:space="preserve"> </w:t>
      </w:r>
      <w:r>
        <w:t xml:space="preserve">such equipment could take into account relevant guidance stemming from the non-binding</w:t>
      </w:r>
      <w:r>
        <w:t xml:space="preserve"> </w:t>
      </w:r>
      <w:r>
        <w:t xml:space="preserve">guidelines to further specify the technical, security and organisational measures that may be taken</w:t>
      </w:r>
      <w:r>
        <w:t xml:space="preserve"> </w:t>
      </w:r>
      <w:r>
        <w:t xml:space="preserve">pursuant to Article 13 of the CER Directive, or otherwise recommendations from EU Protective</w:t>
      </w:r>
      <w:r>
        <w:t xml:space="preserve"> </w:t>
      </w:r>
      <w:r>
        <w:t xml:space="preserve">Security Advisory Missions.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ANNEX 10: COMPARISON OF OPTIONS</w:t>
      </w:r>
      <w:r>
        <w:t xml:space="preserve"> </w:t>
      </w:r>
      <w:r>
        <w:t xml:space="preserve">The following table provides a detailed summary table of the comparison of the three policy</w:t>
      </w:r>
      <w:r>
        <w:t xml:space="preserve"> </w:t>
      </w:r>
      <w:r>
        <w:t xml:space="preserve">options as discussed in section 7.</w:t>
      </w:r>
      <w:r>
        <w:t xml:space="preserve"> </w:t>
      </w:r>
      <w:r>
        <w:t xml:space="preserve">Table 16: Detailed comparison of options in terms of effectiveness, efficiency, coherence, subsidiarity and</w:t>
      </w:r>
      <w:r>
        <w:t xml:space="preserve"> </w:t>
      </w:r>
      <w:r>
        <w:t xml:space="preserve">proportionality relative to the baseline</w:t>
      </w:r>
      <w:r>
        <w:t xml:space="preserve"> </w:t>
      </w:r>
      <w:r>
        <w:t xml:space="preserve">Impacts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++/+++</w:t>
      </w:r>
      <w:r>
        <w:t xml:space="preserve"> </w:t>
      </w:r>
      <w:r>
        <w:t xml:space="preserve">++</w:t>
      </w:r>
      <w:r>
        <w:t xml:space="preserve"> </w:t>
      </w:r>
      <w:r>
        <w:t xml:space="preserve">SO1: Ensure that projects included in network plans and selected as PCI/PMIs</w:t>
      </w:r>
      <w:r>
        <w:t xml:space="preserve"> </w:t>
      </w:r>
      <w:r>
        <w:t xml:space="preserve">address appropriately identified infrastructure needs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br/>
      </w:r>
      <w:r>
        <w:t xml:space="preserve">++</w:t>
      </w:r>
      <w:r>
        <w:br/>
      </w:r>
      <w:r>
        <w:t xml:space="preserve">SO2: Facilitate the use of cost-sharing tools for faster deployment cross-border</w:t>
      </w:r>
      <w:r>
        <w:t xml:space="preserve"> </w:t>
      </w:r>
      <w:r>
        <w:t xml:space="preserve">infrastructure projects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br/>
      </w:r>
      <w:r>
        <w:t xml:space="preserve">++</w:t>
      </w:r>
      <w:r>
        <w:br/>
      </w:r>
      <w:r>
        <w:t xml:space="preserve">SO3: Shorten and simplify permitting procedures for energy infrastructure,</w:t>
      </w:r>
      <w:r>
        <w:t xml:space="preserve"> </w:t>
      </w:r>
      <w:r>
        <w:t xml:space="preserve">renewable energy and storage projects, as well as recharging stations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br/>
      </w:r>
      <w:r>
        <w:t xml:space="preserve">++</w:t>
      </w:r>
      <w:r>
        <w:t xml:space="preserve"> </w:t>
      </w:r>
      <w:r>
        <w:t xml:space="preserve">SO4: Enhance physical and cyber security and resilience of cross-border energy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br/>
      </w:r>
      <w:r>
        <w:t xml:space="preserve">++</w:t>
      </w:r>
      <w:r>
        <w:t xml:space="preserve"> </w:t>
      </w:r>
      <w:r>
        <w:t xml:space="preserve">Efficiency</w:t>
      </w:r>
      <w:r>
        <w:t xml:space="preserve"> </w:t>
      </w:r>
      <w:r>
        <w:t xml:space="preserve">+</w:t>
      </w:r>
      <w:r>
        <w:t xml:space="preserve"> </w:t>
      </w:r>
      <w:r>
        <w:t xml:space="preserve">++/+++</w:t>
      </w:r>
      <w:r>
        <w:t xml:space="preserve"> </w:t>
      </w:r>
      <w:r>
        <w:t xml:space="preserve">+/++</w:t>
      </w:r>
      <w:r>
        <w:br/>
      </w:r>
      <w:r>
        <w:t xml:space="preserve">SO1: Ensure that projects included in network plans and selected as PCI/PMIs</w:t>
      </w:r>
      <w:r>
        <w:t xml:space="preserve"> </w:t>
      </w:r>
      <w:r>
        <w:t xml:space="preserve">address appropriately identified infrastructure needs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SO2: Facilitate the use of cost-sharing tools for faster deployment cross-border</w:t>
      </w:r>
      <w:r>
        <w:t xml:space="preserve"> </w:t>
      </w:r>
      <w:r>
        <w:t xml:space="preserve">infrastructure projects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SO3: Shorten and simplify permitting procedures for energy infrastructure,</w:t>
      </w:r>
      <w:r>
        <w:t xml:space="preserve"> </w:t>
      </w:r>
      <w:r>
        <w:t xml:space="preserve">renewable energy and storage projects, as well as recharging stations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SO4: Enhance physical and cyber security and resilience of cross-border energy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Coherence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SO1: Ensure that projects included in network plans and selected as PCI/PMIs</w:t>
      </w:r>
      <w:r>
        <w:t xml:space="preserve"> </w:t>
      </w:r>
      <w:r>
        <w:t xml:space="preserve">address appropriately identified infrastructure needs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SO2: Facilitate the use of cost-sharing tools for faster deployment cross-border</w:t>
      </w:r>
      <w:r>
        <w:t xml:space="preserve"> </w:t>
      </w:r>
      <w:r>
        <w:t xml:space="preserve">infrastructure projects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SO3: Shorten and simplify permitting procedures for energy infrastructure,</w:t>
      </w:r>
      <w:r>
        <w:t xml:space="preserve"> </w:t>
      </w:r>
      <w:r>
        <w:t xml:space="preserve">renewable energy and storage projects, as well as recharging stations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SO4: Enhance physical and cyber security and resilience of cross-border energy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++</w:t>
      </w:r>
      <w:r>
        <w:t xml:space="preserve"> </w:t>
      </w:r>
      <w:r>
        <w:t xml:space="preserve">+/++</w:t>
      </w:r>
      <w:r>
        <w:t xml:space="preserve"> </w:t>
      </w:r>
      <w:r>
        <w:t xml:space="preserve">-</w:t>
      </w:r>
      <w:r>
        <w:t xml:space="preserve"> </w:t>
      </w:r>
      <w:r>
        <w:t xml:space="preserve">SO1: Ensure that projects included in network plans and selected as PCI/PMIs</w:t>
      </w:r>
      <w:r>
        <w:t xml:space="preserve"> </w:t>
      </w:r>
      <w:r>
        <w:t xml:space="preserve">address appropriately identified infrastructure needs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SO2: Facilitate the use of cost-sharing tools for faster deployment cross-border</w:t>
      </w:r>
      <w:r>
        <w:t xml:space="preserve"> </w:t>
      </w:r>
      <w:r>
        <w:t xml:space="preserve">infrastructure projects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SO3: Shorten and simplify permitting procedures for energy infrastructure,</w:t>
      </w:r>
      <w:r>
        <w:t xml:space="preserve"> </w:t>
      </w:r>
      <w:r>
        <w:t xml:space="preserve">renewable energy and storage projects, as well as recharging stations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SO4: Enhance physical and cyber security and resilience of cross-border energy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Summary comparison of options (contribution to general objective)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GO: Timely and efficient development and interoperability of resilient trans-</w:t>
      </w:r>
      <w:r>
        <w:t xml:space="preserve"> </w:t>
      </w:r>
      <w:r>
        <w:t xml:space="preserve">European energy networks, renewable energy, storage and recharging stations</w:t>
      </w:r>
      <w:r>
        <w:t xml:space="preserve"> </w:t>
      </w:r>
      <w:r>
        <w:t xml:space="preserve">necessary to achieve the energy and climate policy objectives</w:t>
      </w:r>
      <w:r>
        <w:br/>
      </w:r>
      <w:r>
        <w:t xml:space="preserve">(GO)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br/>
      </w:r>
      <w:r>
        <w:t xml:space="preserve">+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ANNEX 11: 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ACER</w:t>
      </w:r>
      <w:r>
        <w:t xml:space="preserve"> </w:t>
      </w:r>
      <w:r>
        <w:t xml:space="preserve">The European Union Agency for the Cooperation of Energy</w:t>
      </w:r>
      <w:r>
        <w:t xml:space="preserve"> </w:t>
      </w:r>
      <w:r>
        <w:t xml:space="preserve">Regulators</w:t>
      </w:r>
      <w:r>
        <w:t xml:space="preserve"> </w:t>
      </w:r>
      <w:r>
        <w:t xml:space="preserve">AFIR</w:t>
      </w:r>
      <w:r>
        <w:t xml:space="preserve"> </w:t>
      </w:r>
      <w:r>
        <w:t xml:space="preserve">Alternative Fuels Infrastructure Regulation</w:t>
      </w:r>
      <w:r>
        <w:br/>
      </w:r>
      <w:r>
        <w:t xml:space="preserve">Birds Directive</w:t>
      </w:r>
      <w:r>
        <w:t xml:space="preserve"> </w:t>
      </w:r>
      <w:r>
        <w:t xml:space="preserve">Directive 2009/147/EC of the European Parliament and of the</w:t>
      </w:r>
      <w:r>
        <w:t xml:space="preserve"> </w:t>
      </w:r>
      <w:r>
        <w:t xml:space="preserve">Council of 30 November 2009 on the conservation of wild birds</w:t>
      </w:r>
      <w:r>
        <w:t xml:space="preserve"> </w:t>
      </w:r>
      <w:r>
        <w:t xml:space="preserve">(Codified version) OJ L 20, 26/01/2010, p. 7–25</w:t>
      </w:r>
      <w:r>
        <w:t xml:space="preserve"> </w:t>
      </w:r>
      <w:r>
        <w:t xml:space="preserve">CAPEX</w:t>
      </w:r>
      <w:r>
        <w:t xml:space="preserve"> </w:t>
      </w:r>
      <w:r>
        <w:t xml:space="preserve">Capital Expenditures</w:t>
      </w:r>
      <w:r>
        <w:t xml:space="preserve"> </w:t>
      </w:r>
      <w:r>
        <w:t xml:space="preserve">CBA</w:t>
      </w:r>
      <w:r>
        <w:t xml:space="preserve"> </w:t>
      </w:r>
      <w:r>
        <w:t xml:space="preserve">Cost-benefit analysis</w:t>
      </w:r>
      <w:r>
        <w:t xml:space="preserve"> </w:t>
      </w:r>
      <w:r>
        <w:t xml:space="preserve">CBCA</w:t>
      </w:r>
      <w:r>
        <w:t xml:space="preserve"> </w:t>
      </w:r>
      <w:r>
        <w:t xml:space="preserve">Cross-border cost-allocation</w:t>
      </w:r>
      <w:r>
        <w:t xml:space="preserve"> </w:t>
      </w:r>
      <w:r>
        <w:t xml:space="preserve">CEF</w:t>
      </w:r>
      <w:r>
        <w:t xml:space="preserve"> </w:t>
      </w:r>
      <w:r>
        <w:t xml:space="preserve">Connecting Europe Facility</w:t>
      </w:r>
      <w:r>
        <w:t xml:space="preserve"> </w:t>
      </w:r>
      <w:r>
        <w:t xml:space="preserve">COM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CORE CCR</w:t>
      </w:r>
      <w:r>
        <w:t xml:space="preserve"> </w:t>
      </w:r>
      <w:r>
        <w:t xml:space="preserve">Capacity Calculation Region in the Central Europe</w:t>
      </w:r>
      <w:r>
        <w:t xml:space="preserve"> </w:t>
      </w:r>
      <w:r>
        <w:t xml:space="preserve">DLR</w:t>
      </w:r>
      <w:r>
        <w:t xml:space="preserve"> </w:t>
      </w:r>
      <w:r>
        <w:t xml:space="preserve">Dynamic Line Rating</w:t>
      </w:r>
      <w:r>
        <w:t xml:space="preserve"> </w:t>
      </w:r>
      <w:r>
        <w:t xml:space="preserve">DNDP</w:t>
      </w:r>
      <w:r>
        <w:t xml:space="preserve"> </w:t>
      </w:r>
      <w:r>
        <w:t xml:space="preserve">Distribution network development plan</w:t>
      </w:r>
      <w:r>
        <w:t xml:space="preserve"> </w:t>
      </w:r>
      <w:r>
        <w:t xml:space="preserve">DSO</w:t>
      </w:r>
      <w:r>
        <w:t xml:space="preserve"> </w:t>
      </w:r>
      <w:r>
        <w:t xml:space="preserve">Distribution system operator</w:t>
      </w:r>
      <w:r>
        <w:t xml:space="preserve"> </w:t>
      </w:r>
      <w:r>
        <w:t xml:space="preserve">EIA Directive</w:t>
      </w:r>
      <w:r>
        <w:t xml:space="preserve"> </w:t>
      </w:r>
      <w:r>
        <w:t xml:space="preserve">Directive 2011/92/EU of the European Parliament and of the</w:t>
      </w:r>
      <w:r>
        <w:t xml:space="preserve"> </w:t>
      </w:r>
      <w:r>
        <w:t xml:space="preserve">Council of 13 December 2011 on the assessment of the effects of</w:t>
      </w:r>
      <w:r>
        <w:t xml:space="preserve"> </w:t>
      </w:r>
      <w:r>
        <w:t xml:space="preserve">certain public and private projects on the environment OJ L 26,</w:t>
      </w:r>
      <w:r>
        <w:t xml:space="preserve"> </w:t>
      </w:r>
      <w:r>
        <w:t xml:space="preserve">p. 1–21</w:t>
      </w:r>
      <w:r>
        <w:t xml:space="preserve"> </w:t>
      </w:r>
      <w:r>
        <w:t xml:space="preserve">Electricity Market Directive</w:t>
      </w:r>
      <w:r>
        <w:t xml:space="preserve"> </w:t>
      </w:r>
      <w:r>
        <w:t xml:space="preserve">Directive (EU) 2019/944 on common rules for the internal market</w:t>
      </w:r>
      <w:r>
        <w:t xml:space="preserve"> </w:t>
      </w:r>
      <w:r>
        <w:t xml:space="preserve">for electricity and amending Directive 2012/27/EU (recast)</w:t>
      </w:r>
      <w:r>
        <w:t xml:space="preserve"> </w:t>
      </w:r>
      <w:r>
        <w:t xml:space="preserve">Electricity</w:t>
      </w:r>
      <w:r>
        <w:t xml:space="preserve"> </w:t>
      </w:r>
      <w:r>
        <w:t xml:space="preserve">Market</w:t>
      </w:r>
      <w:r>
        <w:t xml:space="preserve"> </w:t>
      </w:r>
      <w:r>
        <w:t xml:space="preserve">Regulation</w:t>
      </w:r>
      <w:r>
        <w:t xml:space="preserve"> </w:t>
      </w:r>
      <w:r>
        <w:t xml:space="preserve">Regulation (EU) 2019/943 of the European Parliament and of the</w:t>
      </w:r>
      <w:r>
        <w:t xml:space="preserve"> </w:t>
      </w:r>
      <w:r>
        <w:t xml:space="preserve">Council of 5 June 2019 on the internal market for electricity</w:t>
      </w:r>
      <w:r>
        <w:t xml:space="preserve"> </w:t>
      </w:r>
      <w:r>
        <w:t xml:space="preserve">(recast)</w:t>
      </w:r>
      <w:r>
        <w:t xml:space="preserve"> </w:t>
      </w:r>
      <w:r>
        <w:t xml:space="preserve">ENNOH</w:t>
      </w:r>
      <w:r>
        <w:t xml:space="preserve"> </w:t>
      </w:r>
      <w:r>
        <w:t xml:space="preserve">European Network of Network Operators for Hydrogen</w:t>
      </w:r>
      <w:r>
        <w:t xml:space="preserve"> </w:t>
      </w:r>
      <w:r>
        <w:t xml:space="preserve">ENTSO-E</w:t>
      </w:r>
      <w:r>
        <w:t xml:space="preserve"> </w:t>
      </w:r>
      <w:r>
        <w:t xml:space="preserve">The European Network of Transmission System Operators for</w:t>
      </w:r>
      <w:r>
        <w:t xml:space="preserve"> </w:t>
      </w:r>
      <w:r>
        <w:t xml:space="preserve">Electricity</w:t>
      </w:r>
      <w:r>
        <w:t xml:space="preserve"> </w:t>
      </w:r>
      <w:r>
        <w:t xml:space="preserve">ENTSOG</w:t>
      </w:r>
      <w:r>
        <w:t xml:space="preserve"> </w:t>
      </w:r>
      <w:r>
        <w:t xml:space="preserve">The European Network of Transmission System Operators for</w:t>
      </w:r>
      <w:r>
        <w:t xml:space="preserve"> </w:t>
      </w:r>
      <w:r>
        <w:t xml:space="preserve">Gas</w:t>
      </w:r>
      <w:r>
        <w:t xml:space="preserve"> </w:t>
      </w:r>
      <w:r>
        <w:t xml:space="preserve">ENTSOs</w:t>
      </w:r>
      <w:r>
        <w:t xml:space="preserve"> </w:t>
      </w:r>
      <w:r>
        <w:t xml:space="preserve">Referring to both ENTSO-E and ENTSOG</w:t>
      </w:r>
      <w:r>
        <w:t xml:space="preserve"> </w:t>
      </w:r>
      <w:r>
        <w:t xml:space="preserve">EPBD</w:t>
      </w:r>
      <w:r>
        <w:t xml:space="preserve"> </w:t>
      </w:r>
      <w:r>
        <w:t xml:space="preserve">Energy Performance of Buildings Directive</w:t>
      </w:r>
      <w:r>
        <w:t xml:space="preserve"> </w:t>
      </w:r>
      <w:r>
        <w:t xml:space="preserve">EU DSO entity</w:t>
      </w:r>
      <w:r>
        <w:t xml:space="preserve"> </w:t>
      </w:r>
      <w:r>
        <w:t xml:space="preserve">The European entity for the cooperation of distribution system</w:t>
      </w:r>
      <w:r>
        <w:t xml:space="preserve"> </w:t>
      </w:r>
      <w:r>
        <w:t xml:space="preserve">operators</w:t>
      </w:r>
      <w:r>
        <w:t xml:space="preserve"> </w:t>
      </w:r>
      <w:r>
        <w:t xml:space="preserve">Gases Directive</w:t>
      </w:r>
      <w:r>
        <w:t xml:space="preserve"> </w:t>
      </w:r>
      <w:r>
        <w:t xml:space="preserve">Directive (EU) 2024/1788 on common rules for the internal</w:t>
      </w:r>
      <w:r>
        <w:t xml:space="preserve"> </w:t>
      </w:r>
      <w:r>
        <w:t xml:space="preserve">markets for renewable gas, natural gas and hydrogen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Gases Regulation</w:t>
      </w:r>
      <w:r>
        <w:t xml:space="preserve"> </w:t>
      </w:r>
      <w:r>
        <w:t xml:space="preserve">Regulation (EU) 2024/1789 on the internal markets for renewable</w:t>
      </w:r>
      <w:r>
        <w:t xml:space="preserve"> </w:t>
      </w:r>
      <w:r>
        <w:t xml:space="preserve">gas, natural gas and hydrogen</w:t>
      </w:r>
      <w:r>
        <w:t xml:space="preserve"> </w:t>
      </w:r>
      <w:r>
        <w:t xml:space="preserve">Habitats Directive</w:t>
      </w:r>
      <w:r>
        <w:t xml:space="preserve"> </w:t>
      </w:r>
      <w:r>
        <w:t xml:space="preserve">Council Directive 92/43/EEC of 21 May 1992 on the</w:t>
      </w:r>
      <w:r>
        <w:t xml:space="preserve"> </w:t>
      </w:r>
      <w:r>
        <w:t xml:space="preserve">conservation of natural habitats and of wild fauna and flora OJ L</w:t>
      </w:r>
      <w:r>
        <w:t xml:space="preserve"> </w:t>
      </w:r>
      <w:r>
        <w:t xml:space="preserve">206, p. 7–50</w:t>
      </w:r>
      <w:r>
        <w:t xml:space="preserve"> </w:t>
      </w:r>
      <w:r>
        <w:t xml:space="preserve">HTNO</w:t>
      </w:r>
      <w:r>
        <w:t xml:space="preserve"> </w:t>
      </w:r>
      <w:r>
        <w:t xml:space="preserve">Hydrogen transmission network operators</w:t>
      </w:r>
      <w:r>
        <w:t xml:space="preserve"> </w:t>
      </w:r>
      <w:r>
        <w:t xml:space="preserve">Infrastructure solutions</w:t>
      </w:r>
      <w:r>
        <w:t xml:space="preserve"> </w:t>
      </w:r>
      <w:r>
        <w:t xml:space="preserve">In electricity, this means installing new hardware infrastructure</w:t>
      </w:r>
      <w:r>
        <w:t xml:space="preserve"> </w:t>
      </w:r>
      <w:r>
        <w:t xml:space="preserve">consisting of electricity cables and lines (both alternate and direct</w:t>
      </w:r>
      <w:r>
        <w:t xml:space="preserve"> </w:t>
      </w:r>
      <w:r>
        <w:t xml:space="preserve">current, overhead lines and underground / undersea cables,</w:t>
      </w:r>
      <w:r>
        <w:t xml:space="preserve"> </w:t>
      </w:r>
      <w:r>
        <w:t xml:space="preserve">including pylons, metering infrastructure, etc.) and other related</w:t>
      </w:r>
      <w:r>
        <w:t xml:space="preserve"> </w:t>
      </w:r>
      <w:r>
        <w:t xml:space="preserve">infrastructure such as transformers, substations, converters.</w:t>
      </w:r>
      <w:r>
        <w:t xml:space="preserve"> </w:t>
      </w:r>
      <w:r>
        <w:t xml:space="preserve">Non-wired</w:t>
      </w:r>
      <w:r>
        <w:t xml:space="preserve"> </w:t>
      </w:r>
      <w:r>
        <w:t xml:space="preserve">alternative</w:t>
      </w:r>
      <w:r>
        <w:t xml:space="preserve"> </w:t>
      </w:r>
      <w:r>
        <w:t xml:space="preserve">solutions</w:t>
      </w:r>
      <w:r>
        <w:t xml:space="preserve"> </w:t>
      </w:r>
      <w:r>
        <w:t xml:space="preserve">In electricity, this encompasses other than infrastructure solutions</w:t>
      </w:r>
      <w:r>
        <w:t xml:space="preserve"> </w:t>
      </w:r>
      <w:r>
        <w:t xml:space="preserve">as defined above, including grid enhancing technologies and</w:t>
      </w:r>
      <w:r>
        <w:t xml:space="preserve"> </w:t>
      </w:r>
      <w:r>
        <w:t xml:space="preserve">digital technologies, which can increase available grid capacity.</w:t>
      </w:r>
      <w:r>
        <w:t xml:space="preserve"> </w:t>
      </w:r>
      <w:r>
        <w:t xml:space="preserve">Non-wired alternative solutions inter alia include dynamic and</w:t>
      </w:r>
      <w:r>
        <w:t xml:space="preserve"> </w:t>
      </w:r>
      <w:r>
        <w:t xml:space="preserve">ambient line rating, dynamic transformer rating, static</w:t>
      </w:r>
      <w:r>
        <w:t xml:space="preserve"> </w:t>
      </w:r>
      <w:r>
        <w:t xml:space="preserve">synchronous compensators, advanced power flow control</w:t>
      </w:r>
      <w:r>
        <w:t xml:space="preserve"> </w:t>
      </w:r>
      <w:r>
        <w:t xml:space="preserve">systems, phase-shifters, digital twin platforms or synchronous</w:t>
      </w:r>
      <w:r>
        <w:t xml:space="preserve"> </w:t>
      </w:r>
      <w:r>
        <w:t xml:space="preserve">condensers.</w:t>
      </w:r>
      <w:r>
        <w:t xml:space="preserve"> </w:t>
      </w:r>
      <w:r>
        <w:t xml:space="preserve">NRA</w:t>
      </w:r>
      <w:r>
        <w:t xml:space="preserve"> </w:t>
      </w:r>
      <w:r>
        <w:t xml:space="preserve">National Regulatory Authorities</w:t>
      </w:r>
      <w:r>
        <w:t xml:space="preserve"> </w:t>
      </w:r>
      <w:r>
        <w:t xml:space="preserve">PCI</w:t>
      </w:r>
      <w:r>
        <w:t xml:space="preserve"> </w:t>
      </w:r>
      <w:r>
        <w:t xml:space="preserve">Project of Common Interest</w:t>
      </w:r>
      <w:r>
        <w:t xml:space="preserve"> </w:t>
      </w:r>
      <w:r>
        <w:t xml:space="preserve">PMI</w:t>
      </w:r>
      <w:r>
        <w:t xml:space="preserve"> </w:t>
      </w:r>
      <w:r>
        <w:t xml:space="preserve">Project of Mutual Interest</w:t>
      </w:r>
      <w:r>
        <w:t xml:space="preserve"> </w:t>
      </w:r>
      <w:r>
        <w:t xml:space="preserve">RED</w:t>
      </w:r>
      <w:r>
        <w:t xml:space="preserve"> </w:t>
      </w:r>
      <w:r>
        <w:t xml:space="preserve">Renewable Energy Directive</w:t>
      </w:r>
      <w:r>
        <w:t xml:space="preserve"> </w:t>
      </w:r>
      <w:r>
        <w:t xml:space="preserve">RES</w:t>
      </w:r>
      <w:r>
        <w:t xml:space="preserve"> </w:t>
      </w:r>
      <w:r>
        <w:t xml:space="preserve">Renewable Energy Sources</w:t>
      </w:r>
      <w:r>
        <w:t xml:space="preserve"> </w:t>
      </w:r>
      <w:r>
        <w:t xml:space="preserve">SEA Directive</w:t>
      </w:r>
      <w:r>
        <w:t xml:space="preserve"> </w:t>
      </w:r>
      <w:r>
        <w:t xml:space="preserve">Directive 2001/42/EC of the European Parliament and of the</w:t>
      </w:r>
      <w:r>
        <w:t xml:space="preserve"> </w:t>
      </w:r>
      <w:r>
        <w:t xml:space="preserve">Council of 27 June 2001 on the assessment of the effects of</w:t>
      </w:r>
      <w:r>
        <w:t xml:space="preserve"> </w:t>
      </w:r>
      <w:r>
        <w:t xml:space="preserve">certain plans and programmes on the environment, OJ L 197, p. </w:t>
      </w:r>
      <w:r>
        <w:t xml:space="preserve"> </w:t>
      </w:r>
      <w:r>
        <w:t xml:space="preserve">30–37</w:t>
      </w:r>
      <w:r>
        <w:t xml:space="preserve"> </w:t>
      </w:r>
      <w:r>
        <w:t xml:space="preserve">TEN-E Regulation</w:t>
      </w:r>
      <w:r>
        <w:t xml:space="preserve"> </w:t>
      </w:r>
      <w:r>
        <w:t xml:space="preserve">Regulation (EU) 2022/869 on guidelines for trans-European</w:t>
      </w:r>
      <w:r>
        <w:t xml:space="preserve"> </w:t>
      </w:r>
      <w:r>
        <w:t xml:space="preserve">energy infrastructure</w:t>
      </w:r>
      <w:r>
        <w:t xml:space="preserve"> </w:t>
      </w:r>
      <w:r>
        <w:t xml:space="preserve">TNDP</w:t>
      </w:r>
      <w:r>
        <w:t xml:space="preserve"> </w:t>
      </w:r>
      <w:r>
        <w:t xml:space="preserve">Transmission network development plan (on a national level)</w:t>
      </w:r>
      <w:r>
        <w:t xml:space="preserve"> </w:t>
      </w:r>
      <w:r>
        <w:t xml:space="preserve">TSO</w:t>
      </w:r>
      <w:r>
        <w:t xml:space="preserve"> </w:t>
      </w:r>
      <w:r>
        <w:t xml:space="preserve">(National) Transmission system operator</w:t>
      </w:r>
      <w:r>
        <w:t xml:space="preserve"> </w:t>
      </w:r>
      <w:r>
        <w:t xml:space="preserve">TYNDP</w:t>
      </w:r>
      <w:r>
        <w:t xml:space="preserve"> </w:t>
      </w:r>
      <w:r>
        <w:t xml:space="preserve">Union-wide ten-year network development plan</w:t>
      </w:r>
      <w:r>
        <w:t xml:space="preserve"> </w:t>
      </w:r>
      <w:r>
        <w:t xml:space="preserve">Water Framework Directive</w:t>
      </w:r>
      <w:r>
        <w:t xml:space="preserve"> </w:t>
      </w:r>
      <w:r>
        <w:t xml:space="preserve">Directive 2000/60/EC of the European Parliament and of the</w:t>
      </w:r>
      <w:r>
        <w:t xml:space="preserve"> </w:t>
      </w:r>
      <w:r>
        <w:t xml:space="preserve">Council of 23 October 2000 establishing a framework for</w:t>
      </w:r>
      <w:r>
        <w:t xml:space="preserve"> </w:t>
      </w:r>
      <w:r>
        <w:t xml:space="preserve">Community action in the field of water policy, p. 1–73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822">
    <w:nsid w:val="00A99822"/>
    <w:multiLevelType w:val="multilevel"/>
    <w:lvl w:ilvl="0">
      <w:start w:val="2"/>
      <w:numFmt w:val="upperLetter"/>
      <w:lvlText w:val="%1)"/>
      <w:lvlJc w:val="left"/>
      <w:pPr>
        <w:ind w:left="720" w:hanging="360"/>
      </w:pPr>
    </w:lvl>
    <w:lvl w:ilvl="1">
      <w:start w:val="2"/>
      <w:numFmt w:val="upperLetter"/>
      <w:lvlText w:val="%2)"/>
      <w:lvlJc w:val="left"/>
      <w:pPr>
        <w:ind w:left="1440" w:hanging="360"/>
      </w:pPr>
    </w:lvl>
    <w:lvl w:ilvl="2">
      <w:start w:val="2"/>
      <w:numFmt w:val="upperLetter"/>
      <w:lvlText w:val="%3)"/>
      <w:lvlJc w:val="left"/>
      <w:pPr>
        <w:ind w:left="2160" w:hanging="360"/>
      </w:pPr>
    </w:lvl>
    <w:lvl w:ilvl="3">
      <w:start w:val="2"/>
      <w:numFmt w:val="upperLetter"/>
      <w:lvlText w:val="%4)"/>
      <w:lvlJc w:val="left"/>
      <w:pPr>
        <w:ind w:left="2880" w:hanging="360"/>
      </w:pPr>
    </w:lvl>
    <w:lvl w:ilvl="4">
      <w:start w:val="2"/>
      <w:numFmt w:val="upperLetter"/>
      <w:lvlText w:val="%5)"/>
      <w:lvlJc w:val="left"/>
      <w:pPr>
        <w:ind w:left="3600" w:hanging="360"/>
      </w:pPr>
    </w:lvl>
    <w:lvl w:ilvl="5">
      <w:start w:val="2"/>
      <w:numFmt w:val="upperLetter"/>
      <w:lvlText w:val="%6)"/>
      <w:lvlJc w:val="left"/>
      <w:pPr>
        <w:ind w:left="4320" w:hanging="360"/>
      </w:pPr>
    </w:lvl>
    <w:lvl w:ilvl="6">
      <w:start w:val="2"/>
      <w:numFmt w:val="upperLetter"/>
      <w:lvlText w:val="%7)"/>
      <w:lvlJc w:val="left"/>
      <w:pPr>
        <w:ind w:left="5040" w:hanging="360"/>
      </w:pPr>
    </w:lvl>
    <w:lvl w:ilvl="7">
      <w:start w:val="2"/>
      <w:numFmt w:val="upperLetter"/>
      <w:lvlText w:val="%8)"/>
      <w:lvlJc w:val="left"/>
      <w:pPr>
        <w:ind w:left="5760" w:hanging="360"/>
      </w:pPr>
    </w:lvl>
    <w:lvl w:ilvl="8">
      <w:start w:val="2"/>
      <w:numFmt w:val="upperLetter"/>
      <w:lvlText w:val="%9)"/>
      <w:lvlJc w:val="left"/>
      <w:pPr>
        <w:ind w:left="6480" w:hanging="360"/>
      </w:pPr>
    </w:lvl>
  </w:abstractNum>
  <w:abstractNum w:abstractNumId="99823">
    <w:nsid w:val="00A99823"/>
    <w:multiLevelType w:val="multilevel"/>
    <w:lvl w:ilvl="0">
      <w:start w:val="3"/>
      <w:numFmt w:val="upperLetter"/>
      <w:lvlText w:val="%1)"/>
      <w:lvlJc w:val="left"/>
      <w:pPr>
        <w:ind w:left="720" w:hanging="360"/>
      </w:pPr>
    </w:lvl>
    <w:lvl w:ilvl="1">
      <w:start w:val="3"/>
      <w:numFmt w:val="upperLetter"/>
      <w:lvlText w:val="%2)"/>
      <w:lvlJc w:val="left"/>
      <w:pPr>
        <w:ind w:left="1440" w:hanging="360"/>
      </w:pPr>
    </w:lvl>
    <w:lvl w:ilvl="2">
      <w:start w:val="3"/>
      <w:numFmt w:val="upperLetter"/>
      <w:lvlText w:val="%3)"/>
      <w:lvlJc w:val="left"/>
      <w:pPr>
        <w:ind w:left="2160" w:hanging="360"/>
      </w:pPr>
    </w:lvl>
    <w:lvl w:ilvl="3">
      <w:start w:val="3"/>
      <w:numFmt w:val="upperLetter"/>
      <w:lvlText w:val="%4)"/>
      <w:lvlJc w:val="left"/>
      <w:pPr>
        <w:ind w:left="2880" w:hanging="360"/>
      </w:pPr>
    </w:lvl>
    <w:lvl w:ilvl="4">
      <w:start w:val="3"/>
      <w:numFmt w:val="upperLetter"/>
      <w:lvlText w:val="%5)"/>
      <w:lvlJc w:val="left"/>
      <w:pPr>
        <w:ind w:left="3600" w:hanging="360"/>
      </w:pPr>
    </w:lvl>
    <w:lvl w:ilvl="5">
      <w:start w:val="3"/>
      <w:numFmt w:val="upperLetter"/>
      <w:lvlText w:val="%6)"/>
      <w:lvlJc w:val="left"/>
      <w:pPr>
        <w:ind w:left="4320" w:hanging="360"/>
      </w:pPr>
    </w:lvl>
    <w:lvl w:ilvl="6">
      <w:start w:val="3"/>
      <w:numFmt w:val="upperLetter"/>
      <w:lvlText w:val="%7)"/>
      <w:lvlJc w:val="left"/>
      <w:pPr>
        <w:ind w:left="5040" w:hanging="360"/>
      </w:pPr>
    </w:lvl>
    <w:lvl w:ilvl="7">
      <w:start w:val="3"/>
      <w:numFmt w:val="upperLetter"/>
      <w:lvlText w:val="%8)"/>
      <w:lvlJc w:val="left"/>
      <w:pPr>
        <w:ind w:left="5760" w:hanging="360"/>
      </w:pPr>
    </w:lvl>
    <w:lvl w:ilvl="8">
      <w:start w:val="3"/>
      <w:numFmt w:val="upperLetter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1"/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2026-07-31T16:48:32Z</dcterms:created>
  <dcterms:modified xsi:type="dcterms:W3CDTF">2026-07-31T16:48:32Z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