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3.12.2025</w:t>
      </w:r>
      <w:r>
        <w:br/>
      </w:r>
      <w:r>
        <w:t xml:space="preserve">SWD(2025) 398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br/>
      </w:r>
      <w:r>
        <w:t xml:space="preserve">Proposal for a Regulation of the European Parliament and of the Council</w:t>
      </w:r>
      <w:r>
        <w:t xml:space="preserve"> </w:t>
      </w:r>
      <w:r>
        <w:t xml:space="preserve">on monitoring and controlling drug precursors and repealing Regulations (EC) No</w:t>
      </w:r>
      <w:r>
        <w:t xml:space="preserve"> </w:t>
      </w:r>
      <w:r>
        <w:t xml:space="preserve">273/2004 and (EC) No 111/2005</w:t>
      </w:r>
      <w:r>
        <w:t xml:space="preserve"> </w:t>
      </w:r>
      <w:r>
        <w:t xml:space="preserve">{COM(2025) 747 final} - {SEC(2025) 328 final} - {SWD(2025) 397 final} -</w:t>
      </w:r>
      <w:r>
        <w:t xml:space="preserve"> </w:t>
      </w:r>
      <w:r>
        <w:t xml:space="preserve">{SWD(2025) 399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………………………………………………………………………………………………………………… 6</w:t>
      </w:r>
      <w:r>
        <w:t xml:space="preserve"> </w:t>
      </w:r>
      <w:r>
        <w:t xml:space="preserve">1.1. Political context: EU drugs policy and the single market …………………………… 6</w:t>
      </w:r>
      <w:r>
        <w:t xml:space="preserve"> </w:t>
      </w:r>
      <w:r>
        <w:t xml:space="preserve">1.2. Legal Context ………………………………………………………………………………………. 8</w:t>
      </w:r>
      <w:r>
        <w:t xml:space="preserve"> </w:t>
      </w:r>
      <w:r>
        <w:t xml:space="preserve">1.3. Economic context: the licit drug precursors market …………………………………. 10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11</w:t>
      </w:r>
      <w:r>
        <w:t xml:space="preserve"> </w:t>
      </w:r>
      <w:r>
        <w:t xml:space="preserve">2.1. What are the problems? ……………………………………………………………………….. 11</w:t>
      </w:r>
      <w:r>
        <w:t xml:space="preserve"> </w:t>
      </w:r>
      <w:r>
        <w:t xml:space="preserve">2.2. What are the problem drivers? ……………………………………………………………… 14</w:t>
      </w:r>
      <w:r>
        <w:t xml:space="preserve"> </w:t>
      </w:r>
      <w:r>
        <w:t xml:space="preserve">2.3. How likely is the problem to persist? …………………………………………………….. 20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21</w:t>
      </w:r>
      <w:r>
        <w:t xml:space="preserve"> </w:t>
      </w:r>
      <w:r>
        <w:t xml:space="preserve">3.1. Legal basis …………………………………………………………………………………………. 21</w:t>
      </w:r>
      <w:r>
        <w:t xml:space="preserve"> </w:t>
      </w:r>
      <w:r>
        <w:t xml:space="preserve">3.2. Subsidiarity: Necessity of EU action……………………………………………………… 21</w:t>
      </w:r>
      <w:r>
        <w:t xml:space="preserve"> </w:t>
      </w:r>
      <w:r>
        <w:t xml:space="preserve">3.3. Subsidiarity: Added value of EU action …………………………………………………. 21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22</w:t>
      </w:r>
      <w:r>
        <w:t xml:space="preserve"> </w:t>
      </w:r>
      <w:r>
        <w:t xml:space="preserve">4.1. General objectives ………………………………………………………………………………. 22</w:t>
      </w:r>
      <w:r>
        <w:t xml:space="preserve"> </w:t>
      </w:r>
      <w:r>
        <w:t xml:space="preserve">4.2. Specific objectives ………………………………………………………………………………. 22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23</w:t>
      </w:r>
      <w:r>
        <w:t xml:space="preserve"> </w:t>
      </w:r>
      <w:r>
        <w:t xml:space="preserve">5.1. What is the baseline from which options are assessed? ……………………………. 23</w:t>
      </w:r>
      <w:r>
        <w:t xml:space="preserve"> </w:t>
      </w:r>
      <w:r>
        <w:t xml:space="preserve">5.2. Description of the policy options ………………………………………………………….. 25</w:t>
      </w:r>
      <w:r>
        <w:t xml:space="preserve"> </w:t>
      </w:r>
      <w:r>
        <w:t xml:space="preserve">5.3. Options discarded at an early stage ……………………………………………………….. 33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OPTIONS?…………………………………………………… 34</w:t>
      </w:r>
      <w:r>
        <w:t xml:space="preserve"> </w:t>
      </w:r>
      <w:r>
        <w:t xml:space="preserve">6.1. Option 1: Technical adaptations ……………………………………………………………. 36</w:t>
      </w:r>
      <w:r>
        <w:t xml:space="preserve"> </w:t>
      </w:r>
      <w:r>
        <w:t xml:space="preserve">6.2. Option 2: Comprehensive Review ………………………………………………………… 39</w:t>
      </w:r>
      <w:r>
        <w:t xml:space="preserve"> </w:t>
      </w:r>
      <w:r>
        <w:t xml:space="preserve">6.3. Option 3: Comprehensive Review with stronger controls ………………………… 48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53</w:t>
      </w:r>
      <w:r>
        <w:t xml:space="preserve"> </w:t>
      </w:r>
      <w:r>
        <w:t xml:space="preserve">7.1. Effectiveness ……………………………………………………………………………………… 53</w:t>
      </w:r>
      <w:r>
        <w:t xml:space="preserve"> </w:t>
      </w:r>
      <w:r>
        <w:t xml:space="preserve">7.2. Efficiency ………………………………………………………………………………………….. 54</w:t>
      </w:r>
      <w:r>
        <w:t xml:space="preserve"> </w:t>
      </w:r>
      <w:r>
        <w:t xml:space="preserve">7.3. Coherence ………………………………………………………………………………………….. 56</w:t>
      </w:r>
      <w:r>
        <w:t xml:space="preserve"> </w:t>
      </w:r>
      <w:r>
        <w:t xml:space="preserve">7.4. Subsidiarity and proportionality ……………………………………………………………. 56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57</w:t>
      </w:r>
      <w:r>
        <w:t xml:space="preserve"> </w:t>
      </w:r>
      <w:r>
        <w:t xml:space="preserve">8.1. REFIT (simplification and improved efficiency) …………………………………….. 57</w:t>
      </w:r>
      <w:r>
        <w:t xml:space="preserve"> </w:t>
      </w:r>
      <w:r>
        <w:t xml:space="preserve">8.2. Application of the ‘one in, one out’ approach …………………………………………. 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Figure 1: Total seizures of drugs and drug precursors in 2022</w:t>
      </w:r>
      <w:r>
        <w:t xml:space="preserve"> </w:t>
      </w:r>
      <w:r>
        <w:t xml:space="preserve">Figure 2: Estimated consumption of drugs and drug precursors needed to produce them</w:t>
      </w:r>
      <w:r>
        <w:t xml:space="preserve"> </w:t>
      </w:r>
      <w:r>
        <w:t xml:space="preserve">Figure 3: Estimated baseline administrative costs for complying with the main legal obligations</w:t>
      </w:r>
      <w:r>
        <w:t xml:space="preserve"> </w:t>
      </w:r>
      <w:r>
        <w:t xml:space="preserve">Figure 4: Problem tree</w:t>
      </w:r>
      <w:r>
        <w:t xml:space="preserve"> </w:t>
      </w:r>
      <w:r>
        <w:t xml:space="preserve">Figure 5: Seizures of traditional and designer key precursors in the period 2012-2023</w:t>
      </w:r>
      <w:r>
        <w:t xml:space="preserve"> </w:t>
      </w:r>
      <w:r>
        <w:t xml:space="preserve">Figure 6: Seizure of BMK and its designer precursors – impact of scheduling</w:t>
      </w:r>
      <w:r>
        <w:t xml:space="preserve"> </w:t>
      </w:r>
      <w:r>
        <w:t xml:space="preserve">Figure 7: Policy problems and objectives</w:t>
      </w:r>
      <w:r>
        <w:t xml:space="preserve"> </w:t>
      </w:r>
      <w:r>
        <w:t xml:space="preserve">Figure 8: Presentation of the policy options</w:t>
      </w:r>
      <w:r>
        <w:t xml:space="preserve"> </w:t>
      </w:r>
      <w:r>
        <w:t xml:space="preserve">Figure 9: Methods of scheduling designer precursors</w:t>
      </w:r>
      <w:r>
        <w:t xml:space="preserve"> </w:t>
      </w:r>
      <w:r>
        <w:t xml:space="preserve">Figure 10: Reporting costs for operators</w:t>
      </w:r>
      <w:r>
        <w:t xml:space="preserve"> </w:t>
      </w:r>
      <w:r>
        <w:t xml:space="preserve">Figure 11: Summary of impacts of Option 1</w:t>
      </w:r>
      <w:r>
        <w:t xml:space="preserve"> </w:t>
      </w:r>
      <w:r>
        <w:t xml:space="preserve">Figure 12: Costs for the Commission to develop and maintain the IT system</w:t>
      </w:r>
      <w:r>
        <w:t xml:space="preserve"> </w:t>
      </w:r>
      <w:r>
        <w:t xml:space="preserve">Figure 13: Expected administrative cost savings for national authorities in Option 2 (licences,</w:t>
      </w:r>
      <w:r>
        <w:t xml:space="preserve"> </w:t>
      </w:r>
      <w:r>
        <w:t xml:space="preserve">registrations, authorisations and reporting)</w:t>
      </w:r>
      <w:r>
        <w:t xml:space="preserve"> </w:t>
      </w:r>
      <w:r>
        <w:t xml:space="preserve">Figure 14: Expected administrative cost savings for economic operators in Option 2 (license,</w:t>
      </w:r>
      <w:r>
        <w:t xml:space="preserve"> </w:t>
      </w:r>
      <w:r>
        <w:t xml:space="preserve">registrations and reporting)</w:t>
      </w:r>
      <w:r>
        <w:t xml:space="preserve"> </w:t>
      </w:r>
      <w:r>
        <w:t xml:space="preserve">Figure 15: Expected administrative cost savings for economic operators in Option 2 (import</w:t>
      </w:r>
      <w:r>
        <w:t xml:space="preserve"> </w:t>
      </w:r>
      <w:r>
        <w:t xml:space="preserve">and export authorisations)</w:t>
      </w:r>
      <w:r>
        <w:t xml:space="preserve"> </w:t>
      </w:r>
      <w:r>
        <w:t xml:space="preserve">Figure 16: Summary of impacts of Option 2</w:t>
      </w:r>
      <w:r>
        <w:t xml:space="preserve"> </w:t>
      </w:r>
      <w:r>
        <w:t xml:space="preserve">Figure 17: Expected administrative cost savings for public authorities in Option 3 (license,</w:t>
      </w:r>
      <w:r>
        <w:t xml:space="preserve"> </w:t>
      </w:r>
      <w:r>
        <w:t xml:space="preserve">registrations)</w:t>
      </w:r>
      <w:r>
        <w:t xml:space="preserve"> </w:t>
      </w:r>
      <w:r>
        <w:t xml:space="preserve">Figure 18: Expected administrative cost savings for operators in Option 3 (license and</w:t>
      </w:r>
      <w:r>
        <w:t xml:space="preserve"> </w:t>
      </w:r>
      <w:r>
        <w:t xml:space="preserve">registrations)</w:t>
      </w:r>
      <w:r>
        <w:t xml:space="preserve"> </w:t>
      </w:r>
      <w:r>
        <w:t xml:space="preserve">Figure 19: Expected administrative annual cost savings e-validation</w:t>
      </w:r>
      <w:r>
        <w:t xml:space="preserve"> </w:t>
      </w:r>
      <w:r>
        <w:t xml:space="preserve">Figure 20: Summary of impacts of Option 3</w:t>
      </w:r>
      <w:r>
        <w:t xml:space="preserve"> </w:t>
      </w:r>
      <w:r>
        <w:t xml:space="preserve">Figure 21: Comparison of options regarding the ‘efficiency’ criterion</w:t>
      </w:r>
      <w:r>
        <w:t xml:space="preserve"> </w:t>
      </w:r>
      <w:r>
        <w:t xml:space="preserve">Figure 22: Summary of comparison ratings</w:t>
      </w:r>
      <w:r>
        <w:t xml:space="preserve"> </w:t>
      </w:r>
      <w:r>
        <w:t xml:space="preserve">Figure 23: Overview of administrative costs (and corresponding obligations) added or removed</w:t>
      </w:r>
      <w:r>
        <w:t xml:space="preserve"> </w:t>
      </w:r>
      <w:r>
        <w:t xml:space="preserve">Figure 24: Provisional list of output indicators for future monitoring and evaluation of 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Figure 25: Provisional list of impact indicators for future monitoring and evaluation of the broader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AEO</w:t>
      </w:r>
      <w:r>
        <w:t xml:space="preserve"> </w:t>
      </w:r>
      <w:r>
        <w:t xml:space="preserve">Authorised economic operator.</w:t>
      </w:r>
      <w:r>
        <w:t xml:space="preserve"> </w:t>
      </w:r>
      <w:r>
        <w:t xml:space="preserve">ATS</w:t>
      </w:r>
      <w:r>
        <w:t xml:space="preserve"> </w:t>
      </w:r>
      <w:r>
        <w:t xml:space="preserve">Amphetamine-type stimulants comprise two groups:</w:t>
      </w:r>
      <w:r>
        <w:br/>
      </w:r>
      <w:r>
        <w:t xml:space="preserve">• the</w:t>
      </w:r>
      <w:r>
        <w:t xml:space="preserve"> </w:t>
      </w:r>
      <w:r>
        <w:t xml:space="preserve">amphetamines</w:t>
      </w:r>
      <w:r>
        <w:t xml:space="preserve"> </w:t>
      </w:r>
      <w:r>
        <w:t xml:space="preserve">group:</w:t>
      </w:r>
      <w:r>
        <w:t xml:space="preserve"> </w:t>
      </w:r>
      <w:r>
        <w:t xml:space="preserve">amphetamine,</w:t>
      </w:r>
      <w:r>
        <w:t xml:space="preserve"> </w:t>
      </w:r>
      <w:r>
        <w:t xml:space="preserve">methamphetamine and non-specified amphetamines, and</w:t>
      </w:r>
      <w:r>
        <w:t xml:space="preserve"> </w:t>
      </w:r>
      <w:r>
        <w:t xml:space="preserve">• the ecstasy group.</w:t>
      </w:r>
      <w:r>
        <w:t xml:space="preserve"> </w:t>
      </w:r>
      <w:r>
        <w:t xml:space="preserve">CAS Number</w:t>
      </w:r>
      <w:r>
        <w:br/>
      </w:r>
      <w:r>
        <w:t xml:space="preserve">Unique identification number assigned by the Chemical Abstracts</w:t>
      </w:r>
      <w:r>
        <w:t xml:space="preserve"> </w:t>
      </w:r>
      <w:r>
        <w:t xml:space="preserve">Service (CAS) in the US to every chemical substance described in</w:t>
      </w:r>
      <w:r>
        <w:t xml:space="preserve"> </w:t>
      </w:r>
      <w:r>
        <w:t xml:space="preserve">the open scientific literature. The number is up to 10 digits long</w:t>
      </w:r>
      <w:r>
        <w:t xml:space="preserve"> </w:t>
      </w:r>
      <w:r>
        <w:t xml:space="preserve">and has no significance to the chemistry, structure, or chemical</w:t>
      </w:r>
      <w:r>
        <w:t xml:space="preserve"> </w:t>
      </w:r>
      <w:r>
        <w:t xml:space="preserve">nature of the molecule. It is a unique and unambiguous identifier</w:t>
      </w:r>
      <w:r>
        <w:t xml:space="preserve"> </w:t>
      </w:r>
      <w:r>
        <w:t xml:space="preserve">for a specific substance to enable communication and links</w:t>
      </w:r>
      <w:r>
        <w:t xml:space="preserve"> </w:t>
      </w:r>
      <w:r>
        <w:t xml:space="preserve">together available data and research about that substance.</w:t>
      </w:r>
      <w:r>
        <w:t xml:space="preserve"> </w:t>
      </w:r>
      <w:r>
        <w:t xml:space="preserve">Catch-all clause</w:t>
      </w:r>
      <w:r>
        <w:t xml:space="preserve"> </w:t>
      </w:r>
      <w:r>
        <w:t xml:space="preserve">Provisions of the Regulations according to which Member States</w:t>
      </w:r>
      <w:r>
        <w:t xml:space="preserve"> </w:t>
      </w:r>
      <w:r>
        <w:t xml:space="preserve">may adopt measures concerning scheduled and non-scheduled</w:t>
      </w:r>
      <w:r>
        <w:t xml:space="preserve"> </w:t>
      </w:r>
      <w:r>
        <w:t xml:space="preserve">substances. This is to enable authorities to obtain information on</w:t>
      </w:r>
      <w:r>
        <w:t xml:space="preserve"> </w:t>
      </w:r>
      <w:r>
        <w:t xml:space="preserve">any orders or operations and to enter business premises. The</w:t>
      </w:r>
      <w:r>
        <w:t xml:space="preserve"> </w:t>
      </w:r>
      <w:r>
        <w:t xml:space="preserve">internal market catch-all clause (Article 10) also includes</w:t>
      </w:r>
      <w:r>
        <w:t xml:space="preserve"> </w:t>
      </w:r>
      <w:r>
        <w:t xml:space="preserve">detention and seizure of consignments. The external trade catch-</w:t>
      </w:r>
      <w:r>
        <w:t xml:space="preserve"> </w:t>
      </w:r>
      <w:r>
        <w:t xml:space="preserve">all clause (Article 26) includes stopping consignments. Member</w:t>
      </w:r>
      <w:r>
        <w:t xml:space="preserve"> </w:t>
      </w:r>
      <w:r>
        <w:t xml:space="preserve">States must adopt such measures for scheduled substances and can</w:t>
      </w:r>
      <w:r>
        <w:t xml:space="preserve"> </w:t>
      </w:r>
      <w:r>
        <w:t xml:space="preserve">choose to adopt them for non-scheduled substances.</w:t>
      </w:r>
      <w:r>
        <w:t xml:space="preserve"> </w:t>
      </w:r>
      <w:r>
        <w:t xml:space="preserve">CND</w:t>
      </w:r>
      <w:r>
        <w:t xml:space="preserve"> </w:t>
      </w:r>
      <w:r>
        <w:t xml:space="preserve">Commission of Narcotic Drugs, one of the functional commissions</w:t>
      </w:r>
      <w:r>
        <w:t xml:space="preserve"> </w:t>
      </w:r>
      <w:r>
        <w:t xml:space="preserve">of the United Nations’ Economic and Social Council (ECOSOC),</w:t>
      </w:r>
      <w:r>
        <w:t xml:space="preserve"> </w:t>
      </w:r>
      <w:r>
        <w:t xml:space="preserve">and the central drug policy-making body within the UN.</w:t>
      </w:r>
      <w:r>
        <w:t xml:space="preserve"> </w:t>
      </w:r>
      <w:r>
        <w:t xml:space="preserve">CUS Number</w:t>
      </w:r>
      <w:r>
        <w:t xml:space="preserve"> </w:t>
      </w:r>
      <w:r>
        <w:t xml:space="preserve">Identification number assigned to chemical products in the</w:t>
      </w:r>
      <w:r>
        <w:t xml:space="preserve"> </w:t>
      </w:r>
      <w:r>
        <w:t xml:space="preserve">European Customs Inventory of Chemical Substances (ECICS)</w:t>
      </w:r>
      <w:r>
        <w:t xml:space="preserve"> </w:t>
      </w:r>
      <w:r>
        <w:t xml:space="preserve">database.</w:t>
      </w:r>
      <w:r>
        <w:t xml:space="preserve"> </w:t>
      </w:r>
      <w:r>
        <w:t xml:space="preserve">Designer precursor</w:t>
      </w:r>
      <w:r>
        <w:t xml:space="preserve"> </w:t>
      </w:r>
      <w:r>
        <w:t xml:space="preserve">Drug precursor chemically related to scheduled substances, that</w:t>
      </w:r>
      <w:r>
        <w:t xml:space="preserve"> </w:t>
      </w:r>
      <w:r>
        <w:t xml:space="preserve">has no known legitimate use, except in research and innovation</w:t>
      </w:r>
      <w:r>
        <w:t xml:space="preserve"> </w:t>
      </w:r>
      <w:r>
        <w:t xml:space="preserve">and which has been designed with the sole purpose to avoid</w:t>
      </w:r>
      <w:r>
        <w:t xml:space="preserve"> </w:t>
      </w:r>
      <w:r>
        <w:t xml:space="preserve">controls set out for other drug precursors.</w:t>
      </w:r>
      <w:r>
        <w:br/>
      </w:r>
      <w:r>
        <w:t xml:space="preserve">Drug precursor</w:t>
      </w:r>
      <w:r>
        <w:t xml:space="preserve"> </w:t>
      </w:r>
      <w:r>
        <w:t xml:space="preserve">Chemical substances that can be used to manufacture illicit drugs.</w:t>
      </w:r>
      <w:r>
        <w:t xml:space="preserve"> </w:t>
      </w:r>
      <w:r>
        <w:t xml:space="preserve">ECICS</w:t>
      </w:r>
      <w:r>
        <w:t xml:space="preserve"> </w:t>
      </w:r>
      <w:r>
        <w:t xml:space="preserve">European Customs Inventory of Chemical Substances</w:t>
      </w:r>
      <w:r>
        <w:t xml:space="preserve"> </w:t>
      </w:r>
      <w:r>
        <w:t xml:space="preserve">EUDA</w:t>
      </w:r>
      <w:r>
        <w:t xml:space="preserve"> </w:t>
      </w:r>
      <w:r>
        <w:t xml:space="preserve">The European Union Drugs Agency, which replaced the European</w:t>
      </w:r>
      <w:r>
        <w:t xml:space="preserve"> </w:t>
      </w:r>
      <w:r>
        <w:t xml:space="preserve">Monitoring Centre for Drugs and Drug Addiction (EMCDDA) as</w:t>
      </w:r>
      <w:r>
        <w:t xml:space="preserve"> </w:t>
      </w:r>
      <w:r>
        <w:t xml:space="preserve">of 2 July 2024.</w:t>
      </w:r>
      <w:r>
        <w:br/>
      </w:r>
      <w:r>
        <w:t xml:space="preserve">The evaluation</w:t>
      </w:r>
      <w:r>
        <w:t xml:space="preserve"> </w:t>
      </w:r>
      <w:r>
        <w:t xml:space="preserve">Report from the Commission to the European Parliament and the</w:t>
      </w:r>
      <w:r>
        <w:t xml:space="preserve"> </w:t>
      </w:r>
      <w:r>
        <w:t xml:space="preserve">Council on the Evaluation of the EU drug precursors regulations,</w:t>
      </w:r>
      <w:r>
        <w:t xml:space="preserve"> </w:t>
      </w:r>
      <w:r>
        <w:t xml:space="preserve">COM(2020) 768.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The Expert Group</w:t>
      </w:r>
      <w:r>
        <w:t xml:space="preserve"> </w:t>
      </w:r>
      <w:r>
        <w:t xml:space="preserve">The Commission Expert Group on Drug Precursors (E01317).</w:t>
      </w:r>
      <w:r>
        <w:t xml:space="preserve"> </w:t>
      </w:r>
      <w:r>
        <w:t xml:space="preserve">External Trade</w:t>
      </w:r>
      <w:r>
        <w:t xml:space="preserve"> </w:t>
      </w:r>
      <w:r>
        <w:t xml:space="preserve">Regulation</w:t>
      </w:r>
      <w:r>
        <w:t xml:space="preserve"> </w:t>
      </w:r>
      <w:r>
        <w:t xml:space="preserve">Council Regulation (EC) No 111/2005 of 22 December 2004</w:t>
      </w:r>
      <w:r>
        <w:t xml:space="preserve"> </w:t>
      </w:r>
      <w:r>
        <w:t xml:space="preserve">laying down rules for the monitoring of trade between the</w:t>
      </w:r>
      <w:r>
        <w:t xml:space="preserve"> </w:t>
      </w:r>
      <w:r>
        <w:t xml:space="preserve">Community and third countries in drug precursors, OJ L 22,</w:t>
      </w:r>
      <w:r>
        <w:t xml:space="preserve"> </w:t>
      </w:r>
      <w:r>
        <w:t xml:space="preserve">26.1.2005, p. 1.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 (unit of measurement of the workload of an</w:t>
      </w:r>
      <w:r>
        <w:t xml:space="preserve"> </w:t>
      </w:r>
      <w:r>
        <w:t xml:space="preserve">employed person).</w:t>
      </w:r>
      <w:r>
        <w:t xml:space="preserve"> </w:t>
      </w:r>
      <w:r>
        <w:t xml:space="preserve">INCB</w:t>
      </w:r>
      <w:r>
        <w:t xml:space="preserve"> </w:t>
      </w:r>
      <w:r>
        <w:t xml:space="preserve">International Narcotic Control Board, the independent and quasi-</w:t>
      </w:r>
      <w:r>
        <w:t xml:space="preserve"> </w:t>
      </w:r>
      <w:r>
        <w:t xml:space="preserve">judicial monitoring body for the implementation of the United</w:t>
      </w:r>
      <w:r>
        <w:t xml:space="preserve"> </w:t>
      </w:r>
      <w:r>
        <w:t xml:space="preserve">Nations international drug control conventions.</w:t>
      </w:r>
      <w:r>
        <w:t xml:space="preserve"> </w:t>
      </w:r>
      <w:r>
        <w:t xml:space="preserve">Incident</w:t>
      </w:r>
      <w:r>
        <w:br/>
      </w:r>
      <w:r>
        <w:t xml:space="preserve">Case reported by Member States in the European drug precursors</w:t>
      </w:r>
      <w:r>
        <w:t xml:space="preserve"> </w:t>
      </w:r>
      <w:r>
        <w:t xml:space="preserve">database concerning the illicit use of drug precursors, which may</w:t>
      </w:r>
      <w:r>
        <w:t xml:space="preserve"> </w:t>
      </w:r>
      <w:r>
        <w:t xml:space="preserve">be a seizure of drug precursors in the EU, shipments of drug</w:t>
      </w:r>
      <w:r>
        <w:t xml:space="preserve"> </w:t>
      </w:r>
      <w:r>
        <w:t xml:space="preserve">precursors stopped by customs or thefts of drug precursors.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(EC) No 273/2004 of the European Parliament and of</w:t>
      </w:r>
      <w:r>
        <w:t xml:space="preserve"> </w:t>
      </w:r>
      <w:r>
        <w:t xml:space="preserve">the Council of 11 February 2004 on drug precursors, OJ L 47,</w:t>
      </w:r>
      <w:r>
        <w:t xml:space="preserve"> </w:t>
      </w:r>
      <w:r>
        <w:t xml:space="preserve">18.2.2004, p. 1.</w:t>
      </w:r>
      <w:r>
        <w:t xml:space="preserve"> </w:t>
      </w:r>
      <w:r>
        <w:t xml:space="preserve">Key precursors</w:t>
      </w:r>
      <w:r>
        <w:br/>
      </w:r>
      <w:r>
        <w:t xml:space="preserve">Key precursors are substances containing the core molecule of the</w:t>
      </w:r>
      <w:r>
        <w:t xml:space="preserve"> </w:t>
      </w:r>
      <w:r>
        <w:t xml:space="preserve">drug.</w:t>
      </w:r>
      <w:r>
        <w:br/>
      </w:r>
      <w:r>
        <w:t xml:space="preserve">Non-scheduled</w:t>
      </w:r>
      <w:r>
        <w:t xml:space="preserve"> </w:t>
      </w:r>
      <w:r>
        <w:t xml:space="preserve">substance</w:t>
      </w:r>
      <w:r>
        <w:t xml:space="preserve"> </w:t>
      </w:r>
      <w:r>
        <w:t xml:space="preserve">Any substance which, although not listed in the Regulations, is</w:t>
      </w:r>
      <w:r>
        <w:t xml:space="preserve"> </w:t>
      </w:r>
      <w:r>
        <w:t xml:space="preserve">identified as drug precursor.</w:t>
      </w:r>
      <w:r>
        <w:t xml:space="preserve"> </w:t>
      </w:r>
      <w:r>
        <w:t xml:space="preserve">Operator</w:t>
      </w:r>
      <w:r>
        <w:br/>
      </w:r>
      <w:r>
        <w:t xml:space="preserve">Any natural or legal person engaged in</w:t>
      </w:r>
      <w:r>
        <w:t xml:space="preserve"> </w:t>
      </w:r>
      <w:r>
        <w:t xml:space="preserve">• supply of scheduled substances in the Union; or the</w:t>
      </w:r>
      <w:r>
        <w:t xml:space="preserve"> </w:t>
      </w:r>
      <w:r>
        <w:t xml:space="preserve">storage, manufacture, production, processing, trade,</w:t>
      </w:r>
      <w:r>
        <w:t xml:space="preserve"> </w:t>
      </w:r>
      <w:r>
        <w:t xml:space="preserve">distribution or brokering of these substances for the</w:t>
      </w:r>
      <w:r>
        <w:t xml:space="preserve"> </w:t>
      </w:r>
      <w:r>
        <w:t xml:space="preserve">purpose of supply in the Union;</w:t>
      </w:r>
      <w:r>
        <w:t xml:space="preserve"> </w:t>
      </w:r>
      <w:r>
        <w:t xml:space="preserve">• import, export of scheduled substances or intermediary</w:t>
      </w:r>
      <w:r>
        <w:t xml:space="preserve"> </w:t>
      </w:r>
      <w:r>
        <w:t xml:space="preserve">activities relating thereto.</w:t>
      </w:r>
      <w:r>
        <w:t xml:space="preserve"> </w:t>
      </w:r>
      <w:r>
        <w:t xml:space="preserve">PEN</w:t>
      </w:r>
      <w:r>
        <w:t xml:space="preserve"> </w:t>
      </w:r>
      <w:r>
        <w:t xml:space="preserve">Pre-export notification.</w:t>
      </w:r>
      <w:r>
        <w:t xml:space="preserve"> </w:t>
      </w:r>
      <w:r>
        <w:t xml:space="preserve">PICS</w:t>
      </w:r>
      <w:r>
        <w:t xml:space="preserve"> </w:t>
      </w:r>
      <w:r>
        <w:t xml:space="preserve">Precursors Incident Communication System, a secure online tool</w:t>
      </w:r>
      <w:r>
        <w:t xml:space="preserve"> </w:t>
      </w:r>
      <w:r>
        <w:t xml:space="preserve">developed by the INCB to enhance real-time communication and</w:t>
      </w:r>
      <w:r>
        <w:t xml:space="preserve"> </w:t>
      </w:r>
      <w:r>
        <w:t xml:space="preserve">information sharing between national authorities on precursor</w:t>
      </w:r>
      <w:r>
        <w:t xml:space="preserve"> </w:t>
      </w:r>
      <w:r>
        <w:t xml:space="preserve">incidents.</w:t>
      </w:r>
      <w:r>
        <w:t xml:space="preserve"> </w:t>
      </w:r>
      <w:r>
        <w:t xml:space="preserve">Scheduled substance</w:t>
      </w:r>
      <w:r>
        <w:t xml:space="preserve"> </w:t>
      </w:r>
      <w:r>
        <w:t xml:space="preserve">Any substance listed in the Annexes to the drug precursors</w:t>
      </w:r>
      <w:r>
        <w:t xml:space="preserve"> </w:t>
      </w:r>
      <w:r>
        <w:t xml:space="preserve">regulations; mixtures and natural products containing such</w:t>
      </w:r>
      <w:r>
        <w:t xml:space="preserve"> </w:t>
      </w:r>
      <w:r>
        <w:t xml:space="preserve">substances are included if they are compounded in such a way that</w:t>
      </w:r>
      <w:r>
        <w:t xml:space="preserve"> </w:t>
      </w:r>
      <w:r>
        <w:t xml:space="preserve">the scheduled substance can be easily used or extracted by readily</w:t>
      </w:r>
      <w:r>
        <w:t xml:space="preserve"> </w:t>
      </w:r>
      <w:r>
        <w:t xml:space="preserve">applicable or economically viable means. Medicinal and</w:t>
      </w:r>
      <w:r>
        <w:t xml:space="preserve"> </w:t>
      </w:r>
      <w:r>
        <w:t xml:space="preserve">veterinary products containing ephedrine or its salts, pseudo-</w:t>
      </w:r>
      <w:r>
        <w:t xml:space="preserve"> </w:t>
      </w:r>
      <w:r>
        <w:t xml:space="preserve">ephedrine or its salts are scheduled drug precursors for the purpose</w:t>
      </w:r>
      <w:r>
        <w:t xml:space="preserve"> </w:t>
      </w:r>
      <w:r>
        <w:t xml:space="preserve">of external trade.</w:t>
      </w:r>
      <w:r>
        <w:t xml:space="preserve"> </w:t>
      </w:r>
      <w:r>
        <w:t xml:space="preserve">SDG</w:t>
      </w:r>
      <w:r>
        <w:t xml:space="preserve"> </w:t>
      </w:r>
      <w:r>
        <w:t xml:space="preserve">United Nations Sustainable Development Goals.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The study</w:t>
      </w:r>
      <w:r>
        <w:t xml:space="preserve"> </w:t>
      </w:r>
      <w:r>
        <w:t xml:space="preserve">Impact Assessment Study on the Revision of the EU drug</w:t>
      </w:r>
      <w:r>
        <w:t xml:space="preserve"> </w:t>
      </w:r>
      <w:r>
        <w:t xml:space="preserve">precursors regulations, Economisti Associati, 2025, ISBN 978-92-</w:t>
      </w:r>
      <w:r>
        <w:t xml:space="preserve"> </w:t>
      </w:r>
      <w:r>
        <w:t xml:space="preserve">68-25970-2.</w:t>
      </w:r>
      <w:r>
        <w:t xml:space="preserve"> </w:t>
      </w:r>
      <w:r>
        <w:t xml:space="preserve">Traditional drug</w:t>
      </w:r>
      <w:r>
        <w:t xml:space="preserve"> </w:t>
      </w:r>
      <w:r>
        <w:t xml:space="preserve">precursor</w:t>
      </w:r>
      <w:r>
        <w:t xml:space="preserve"> </w:t>
      </w:r>
      <w:r>
        <w:t xml:space="preserve">Drug precursors which have legitimate uses in the production of</w:t>
      </w:r>
      <w:r>
        <w:t xml:space="preserve"> </w:t>
      </w:r>
      <w:r>
        <w:t xml:space="preserve">various products, such as pharmaceuticals, food additives,</w:t>
      </w:r>
      <w:r>
        <w:t xml:space="preserve"> </w:t>
      </w:r>
      <w:r>
        <w:t xml:space="preserve">cosmetic products, paints or fertilisers.</w:t>
      </w:r>
      <w:r>
        <w:br/>
      </w:r>
      <w:r>
        <w:t xml:space="preserve">The UN Convention</w:t>
      </w:r>
      <w:r>
        <w:t xml:space="preserve"> </w:t>
      </w:r>
      <w:r>
        <w:t xml:space="preserve">The United Nations Convention against Illicit Traffic in Narcotic</w:t>
      </w:r>
      <w:r>
        <w:t xml:space="preserve"> </w:t>
      </w:r>
      <w:r>
        <w:t xml:space="preserve">Drugs and Psychotropic Substances, adopted in Vienna on</w:t>
      </w:r>
      <w:r>
        <w:t xml:space="preserve"> </w:t>
      </w:r>
      <w:r>
        <w:t xml:space="preserve">19 December 1988.</w:t>
      </w:r>
      <w:r>
        <w:br/>
      </w:r>
      <w:r>
        <w:t xml:space="preserve">User</w:t>
      </w:r>
      <w:r>
        <w:br/>
      </w:r>
      <w:r>
        <w:t xml:space="preserve">Any natural or legal person other than an operator who possesses</w:t>
      </w:r>
      <w:r>
        <w:t xml:space="preserve"> </w:t>
      </w:r>
      <w:r>
        <w:t xml:space="preserve">a scheduled substance and is engaged in the processing,</w:t>
      </w:r>
      <w:r>
        <w:t xml:space="preserve"> </w:t>
      </w:r>
      <w:r>
        <w:t xml:space="preserve">formulation, consumption, storage, keeping, treatment, filling into</w:t>
      </w:r>
      <w:r>
        <w:t xml:space="preserve"> </w:t>
      </w:r>
      <w:r>
        <w:t xml:space="preserve">containers, transfer from one container to another, mixing,</w:t>
      </w:r>
      <w:r>
        <w:t xml:space="preserve"> </w:t>
      </w:r>
      <w:r>
        <w:t xml:space="preserve">transformation or any other utilisation of scheduled substances.</w:t>
      </w:r>
      <w:r>
        <w:t xml:space="preserve"> </w:t>
      </w:r>
      <w:r>
        <w:t xml:space="preserve">VML</w:t>
      </w:r>
      <w:r>
        <w:t xml:space="preserve"> </w:t>
      </w:r>
      <w:r>
        <w:t xml:space="preserve">The EU Voluntary Monitoring List set out in accordance with</w:t>
      </w:r>
      <w:r>
        <w:t xml:space="preserve"> </w:t>
      </w:r>
      <w:r>
        <w:t xml:space="preserve">Article 9(2) of the Internal Market Regulation and Article 10(2) of</w:t>
      </w:r>
      <w:r>
        <w:t xml:space="preserve"> </w:t>
      </w:r>
      <w:r>
        <w:t xml:space="preserve">the External Trade Regulation.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1.1. Political context: EU drugs policy and the single market</w:t>
      </w:r>
      <w:r>
        <w:t xml:space="preserve"> </w:t>
      </w:r>
      <w:r>
        <w:t xml:space="preserve">Illicit drugs like cocaine, heroin, opioids, and amphetamine-type stimulants (ATS), pose serious</w:t>
      </w:r>
      <w:r>
        <w:t xml:space="preserve"> </w:t>
      </w:r>
      <w:r>
        <w:t xml:space="preserve">health and security problems. Several Member States are witnessing a rise in drug-related</w:t>
      </w:r>
      <w:r>
        <w:t xml:space="preserve"> </w:t>
      </w:r>
      <w:r>
        <w:t xml:space="preserve">violence and criminal activity. Moreover, the drug market is increasingly marked by a</w:t>
      </w:r>
      <w:r>
        <w:t xml:space="preserve"> </w:t>
      </w:r>
      <w:r>
        <w:t xml:space="preserve">widespread availability of a broader range of drugs, often with higher potency or purity, and in</w:t>
      </w:r>
      <w:r>
        <w:t xml:space="preserve"> </w:t>
      </w:r>
      <w:r>
        <w:t xml:space="preserve">new forms1.</w:t>
      </w:r>
      <w:r>
        <w:t xml:space="preserve"> </w:t>
      </w:r>
      <w:r>
        <w:t xml:space="preserve">Drug precursors are chemicals needed in the illicit production of drugs. Traditional drug</w:t>
      </w:r>
      <w:r>
        <w:t xml:space="preserve"> </w:t>
      </w:r>
      <w:r>
        <w:t xml:space="preserve">precursors have significant legitimate uses. The evaluation of EU rules on drug precursors</w:t>
      </w:r>
      <w:r>
        <w:t xml:space="preserve"> </w:t>
      </w:r>
      <w:r>
        <w:t xml:space="preserve">(Regulation (EC) No 273/2004 and Council Regulation 111/2005)2 found several deficiencies,</w:t>
      </w:r>
      <w:r>
        <w:t xml:space="preserve"> </w:t>
      </w:r>
      <w:r>
        <w:t xml:space="preserve">especially tackling designer precursors – drug precursors without known legitimate use3 and</w:t>
      </w:r>
      <w:r>
        <w:t xml:space="preserve"> </w:t>
      </w:r>
      <w:r>
        <w:t xml:space="preserve">saw a potential for administrative burden reduction4.</w:t>
      </w:r>
      <w:r>
        <w:t xml:space="preserve"> </w:t>
      </w:r>
      <w:r>
        <w:t xml:space="preserve">Global proliferation and trafficking of designer precursors present significant challenges to drug</w:t>
      </w:r>
      <w:r>
        <w:t xml:space="preserve"> </w:t>
      </w:r>
      <w:r>
        <w:t xml:space="preserve">precursor control. In response, both the United Nations Commission of Narcotic Drugs (CND)5</w:t>
      </w:r>
      <w:r>
        <w:t xml:space="preserve"> </w:t>
      </w:r>
      <w:r>
        <w:t xml:space="preserve">and the International Narcotics Control Board in its 2024 report recommend controlling</w:t>
      </w:r>
      <w:r>
        <w:t xml:space="preserve"> </w:t>
      </w:r>
      <w:r>
        <w:t xml:space="preserve">chemicals that are closely related to controlled precursors - such as families or derivatives of</w:t>
      </w:r>
      <w:r>
        <w:t xml:space="preserve"> </w:t>
      </w:r>
      <w:r>
        <w:t xml:space="preserve">controlled precursors. In alignment with this strategy, countries like the USA, Canada,</w:t>
      </w:r>
      <w:r>
        <w:t xml:space="preserve"> </w:t>
      </w:r>
      <w:r>
        <w:t xml:space="preserve">Argentina, Mexico and recently China (1st September 2024) introduced extended scheduling</w:t>
      </w:r>
      <w:r>
        <w:t xml:space="preserve"> </w:t>
      </w:r>
      <w:r>
        <w:t xml:space="preserve">to families or derivatives of controlled precursors. Substance-by-substance scheduling is</w:t>
      </w:r>
      <w:r>
        <w:t xml:space="preserve"> </w:t>
      </w:r>
      <w:r>
        <w:t xml:space="preserve">considered as a reactive approach to address the new substances used by criminals whereas</w:t>
      </w:r>
      <w:r>
        <w:br/>
      </w:r>
      <w:r>
        <w:t xml:space="preserve">innovative scheduling of families or derivatives of controlled precursors is a proactive approach</w:t>
      </w:r>
      <w:r>
        <w:t xml:space="preserve"> </w:t>
      </w:r>
      <w:r>
        <w:t xml:space="preserve">making it harder to use new designer precursors in illicit manufacture.</w:t>
      </w:r>
      <w:r>
        <w:br/>
      </w:r>
      <w:r>
        <w:t xml:space="preserve">At the multilateral level, the March 2024 Commission on Narcotic Drugs marked a significant</w:t>
      </w:r>
      <w:r>
        <w:t xml:space="preserve"> </w:t>
      </w:r>
      <w:r>
        <w:t xml:space="preserve">milestone. For the first time, the INCB recommended scheduling as a direct application of UN</w:t>
      </w:r>
      <w:r>
        <w:t xml:space="preserve"> </w:t>
      </w:r>
      <w:r>
        <w:t xml:space="preserve">Resolution 65/3, introducing proactive scheduling at the UN level. Several derivatives (esters)</w:t>
      </w:r>
      <w:r>
        <w:t xml:space="preserve"> </w:t>
      </w:r>
      <w:r>
        <w:t xml:space="preserve">of controlled precursors have been added to Table I of the 1988 UN Convention. Although most</w:t>
      </w:r>
      <w:r>
        <w:t xml:space="preserve"> </w:t>
      </w:r>
      <w:r>
        <w:t xml:space="preserve">of these esters had never been detected before, and thus did not meet the convention’s</w:t>
      </w:r>
      <w:r>
        <w:t xml:space="preserve"> </w:t>
      </w:r>
      <w:r>
        <w:t xml:space="preserve">requirement for evidence of use in illicit drug manufacture, all members of the Commission on</w:t>
      </w:r>
      <w:r>
        <w:t xml:space="preserve"> </w:t>
      </w:r>
      <w:r>
        <w:t xml:space="preserve">Narcotic Drugs voted in favour of proactive scheduling. This decision underscores the urgent</w:t>
      </w:r>
      <w:r>
        <w:t xml:space="preserve"> </w:t>
      </w:r>
      <w:r>
        <w:t xml:space="preserve">need to address designer precursors.</w:t>
      </w:r>
    </w:p>
    <w:p>
      <w:pPr>
        <w:pStyle w:val="BodyText"/>
      </w:pPr>
      <w:r>
        <w:t xml:space="preserve">1 European Union Drugs Agency (2025), European Drug Report 2025: Trends and Developments,</w:t>
      </w:r>
      <w:r>
        <w:t xml:space="preserve"> </w:t>
      </w:r>
      <w:r>
        <w:t xml:space="preserve">https://www.euda.europa.eu/publications/european-drug-report/2025_en.</w:t>
      </w:r>
      <w:r>
        <w:t xml:space="preserve"> </w:t>
      </w:r>
      <w:r>
        <w:t xml:space="preserve">2 Regulation (EC) No 273/2004 of the European Parliament and of the Council of 11 February 2004 on drug</w:t>
      </w:r>
      <w:r>
        <w:t xml:space="preserve"> </w:t>
      </w:r>
      <w:r>
        <w:t xml:space="preserve">precursors, OJ L 47, 18.2.2004, p. 1. Council Regulation (EC) No 111/2005 of 22 December 2004 laying down</w:t>
      </w:r>
      <w:r>
        <w:t xml:space="preserve"> </w:t>
      </w:r>
      <w:r>
        <w:t xml:space="preserve">rules for the monitoring of trade between the Community and third countries in drug precursors, OJ L 22,</w:t>
      </w:r>
      <w:r>
        <w:t xml:space="preserve"> </w:t>
      </w:r>
      <w:r>
        <w:t xml:space="preserve">26.1.2005, p. 1.</w:t>
      </w:r>
      <w:r>
        <w:t xml:space="preserve"> </w:t>
      </w:r>
      <w:r>
        <w:t xml:space="preserve">3 except in research and innovation.</w:t>
      </w:r>
      <w:r>
        <w:t xml:space="preserve"> </w:t>
      </w:r>
      <w:r>
        <w:t xml:space="preserve">4 Report from the Commission to the European Parliament and the Council on the Evaluation of the EU drug</w:t>
      </w:r>
      <w:r>
        <w:t xml:space="preserve"> </w:t>
      </w:r>
      <w:r>
        <w:t xml:space="preserve">precursors regulations, COM(2020) 768. For security reasons, the document accompanying the report is not</w:t>
      </w:r>
      <w:r>
        <w:t xml:space="preserve"> </w:t>
      </w:r>
      <w:r>
        <w:t xml:space="preserve">publicly available.</w:t>
      </w:r>
      <w:r>
        <w:t xml:space="preserve"> </w:t>
      </w:r>
      <w:r>
        <w:t xml:space="preserve">5 CND Resolution 65/3 ‘Intensifying efforts to address the diversion of non-scheduled chemicals frequently used</w:t>
      </w:r>
      <w:r>
        <w:t xml:space="preserve"> </w:t>
      </w:r>
      <w:r>
        <w:t xml:space="preserve">in the illicit manufacture of drugs and the proliferation of designer precursors’ agreed in March 2022.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Drug precursor controls are a crucial component of drug supply reduction policy as outlined in</w:t>
      </w:r>
      <w:r>
        <w:t xml:space="preserve"> </w:t>
      </w:r>
      <w:r>
        <w:t xml:space="preserve">the EU Drugs Strategy 2021-20256. The EU Drugs Action Plan 2021-20257 further highlights</w:t>
      </w:r>
      <w:r>
        <w:t xml:space="preserve"> </w:t>
      </w:r>
      <w:r>
        <w:t xml:space="preserve">the need to address the challenge posed by designer precursors. Additionally, the 2023 EU</w:t>
      </w:r>
      <w:r>
        <w:t xml:space="preserve"> </w:t>
      </w:r>
      <w:r>
        <w:t xml:space="preserve">Roadmap to fight drug trafficking and organised crime8 stresses the need to set out innovative</w:t>
      </w:r>
      <w:r>
        <w:t xml:space="preserve"> </w:t>
      </w:r>
      <w:r>
        <w:t xml:space="preserve">ways to speed up and broaden the current approach to regulating drug precursors in response to</w:t>
      </w:r>
      <w:r>
        <w:t xml:space="preserve"> </w:t>
      </w:r>
      <w:r>
        <w:t xml:space="preserve">new methods of illicit drug production.</w:t>
      </w:r>
      <w:r>
        <w:t xml:space="preserve"> </w:t>
      </w:r>
      <w:r>
        <w:t xml:space="preserve">The newly adopted Protect EU: a European Internal Security Strategy9 announced a new EU</w:t>
      </w:r>
      <w:r>
        <w:t xml:space="preserve"> </w:t>
      </w:r>
      <w:r>
        <w:t xml:space="preserve">Drugs Strategy and an EU Action Plan against drug trafficking to disrupt routes and business</w:t>
      </w:r>
      <w:r>
        <w:t xml:space="preserve"> </w:t>
      </w:r>
      <w:r>
        <w:t xml:space="preserve">models10.</w:t>
      </w:r>
      <w:r>
        <w:br/>
      </w:r>
      <w:r>
        <w:t xml:space="preserve">The political guidelines of the Commission for 2024-2029 also announce the facilitation of</w:t>
      </w:r>
      <w:r>
        <w:t xml:space="preserve"> </w:t>
      </w:r>
      <w:r>
        <w:t xml:space="preserve">business operations, particularly for small and medium enterprises (SMEs)11, and aims to</w:t>
      </w:r>
      <w:r>
        <w:t xml:space="preserve"> </w:t>
      </w:r>
      <w:r>
        <w:t xml:space="preserve">deepen the Single Market. The Competitiveness Compass emphasizes simplification as a key</w:t>
      </w:r>
      <w:r>
        <w:t xml:space="preserve"> </w:t>
      </w:r>
      <w:r>
        <w:t xml:space="preserve">factor in boosting industry competitiveness12.</w:t>
      </w:r>
      <w:r>
        <w:br/>
      </w:r>
      <w:r>
        <w:t xml:space="preserve">Chemicals are omnipresent in society and economy. The EU chemical industry is a strategic</w:t>
      </w:r>
      <w:r>
        <w:t xml:space="preserve"> </w:t>
      </w:r>
      <w:r>
        <w:t xml:space="preserve">sector, relevant for a multitude of products, with 56 % of chemicals going to other sectors.</w:t>
      </w:r>
      <w:r>
        <w:t xml:space="preserve"> </w:t>
      </w:r>
      <w:r>
        <w:t xml:space="preserve">Europe’s chemical industry has increasingly come under pressure in the recent years. It is</w:t>
      </w:r>
      <w:r>
        <w:t xml:space="preserve"> </w:t>
      </w:r>
      <w:r>
        <w:t xml:space="preserve">therefore vital to ensure that legitimate industry does not bear the cost of criminal actions but</w:t>
      </w:r>
      <w:r>
        <w:t xml:space="preserve"> </w:t>
      </w:r>
      <w:r>
        <w:t xml:space="preserve">is able to reap the benefits of the Single Market to the largest extent possible.</w:t>
      </w:r>
      <w:r>
        <w:t xml:space="preserve"> </w:t>
      </w:r>
      <w:r>
        <w:t xml:space="preserve">In the evolving political landscape, the fight against drugs and controlling drug precursors has</w:t>
      </w:r>
      <w:r>
        <w:t xml:space="preserve"> </w:t>
      </w:r>
      <w:r>
        <w:t xml:space="preserve">emerged as pivotal element in strengthening diplomatic ties with the United States who engaged</w:t>
      </w:r>
      <w:r>
        <w:t xml:space="preserve"> </w:t>
      </w:r>
      <w:r>
        <w:t xml:space="preserve">in family scheduling of fentanyl designer precursors.</w:t>
      </w:r>
      <w:r>
        <w:t xml:space="preserve"> </w:t>
      </w:r>
      <w:r>
        <w:t xml:space="preserve">The 2025 Commission Work Programme, in its security heading, announces proposing new</w:t>
      </w:r>
      <w:r>
        <w:t xml:space="preserve"> </w:t>
      </w:r>
      <w:r>
        <w:t xml:space="preserve">rules governing drug precursors13.</w:t>
      </w:r>
    </w:p>
    <w:p>
      <w:pPr>
        <w:pStyle w:val="BodyText"/>
      </w:pPr>
      <w:r>
        <w:t xml:space="preserve">6 Council Conclusions on the EU Drugs Strategy 2021-2025, 14178/20, 18 December 2020.</w:t>
      </w:r>
      <w:r>
        <w:t xml:space="preserve"> </w:t>
      </w:r>
      <w:r>
        <w:t xml:space="preserve">7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EU Agenda and Action Plan on Drugs 2021-2025 of</w:t>
      </w:r>
      <w:r>
        <w:t xml:space="preserve"> </w:t>
      </w:r>
      <w:r>
        <w:t xml:space="preserve">24.7.2020, COM/2020/606.</w:t>
      </w:r>
      <w:r>
        <w:br/>
      </w:r>
      <w:r>
        <w:t xml:space="preserve">8 Communication from the Commission to the European Parliament and the Council on the EU roadmap to fight</w:t>
      </w:r>
      <w:r>
        <w:t xml:space="preserve"> </w:t>
      </w:r>
      <w:r>
        <w:t xml:space="preserve">drug trafficking and organised crime of 18.10.2023, COM/2023/641.</w:t>
      </w:r>
      <w:r>
        <w:t xml:space="preserve"> </w:t>
      </w:r>
      <w:r>
        <w:t xml:space="preserve">9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on ProtectEU: a European Internal Security Strategy,</w:t>
      </w:r>
      <w:r>
        <w:t xml:space="preserve"> </w:t>
      </w:r>
      <w:r>
        <w:t xml:space="preserve">COM(2025) 148 final.</w:t>
      </w:r>
      <w:r>
        <w:t xml:space="preserve"> </w:t>
      </w:r>
      <w:r>
        <w:t xml:space="preserve">10 The EU Ports Alliance’s public private partnership on strengthened port protection will be extended to include</w:t>
      </w:r>
      <w:r>
        <w:t xml:space="preserve"> </w:t>
      </w:r>
      <w:r>
        <w:t xml:space="preserve">smaller and inland ports and ensure maritime security rules are enforced. Moreover, in developing the upcoming</w:t>
      </w:r>
      <w:r>
        <w:t xml:space="preserve"> </w:t>
      </w:r>
      <w:r>
        <w:t xml:space="preserve">EU Port Strategy, building on the EU Ports Alliance, the Commission will explore ways to further strengthen</w:t>
      </w:r>
      <w:r>
        <w:t xml:space="preserve"> </w:t>
      </w:r>
      <w:r>
        <w:t xml:space="preserve">maritime security legislation to effectively address emerging threats, secure ports, and enhance EU supply chain</w:t>
      </w:r>
      <w:r>
        <w:t xml:space="preserve"> </w:t>
      </w:r>
      <w:r>
        <w:t xml:space="preserve">security: European Ports Alliance Public Private Partnership.</w:t>
      </w:r>
      <w:r>
        <w:t xml:space="preserve"> </w:t>
      </w:r>
      <w:r>
        <w:t xml:space="preserve">11 Ursula von der Leyen, Political Guidelines for the next European Commission 2024-2029, 18 July 2024,</w:t>
      </w:r>
      <w:r>
        <w:br/>
      </w:r>
      <w:r>
        <w:t xml:space="preserve">e6cd4328-673c-4e7a-8683-f63ffb2cf648_en (europa.eu).</w:t>
      </w:r>
      <w:r>
        <w:t xml:space="preserve"> </w:t>
      </w:r>
      <w:r>
        <w:t xml:space="preserve">12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A Competitiveness Compass for the EU, COM(2025)30</w:t>
      </w:r>
      <w:r>
        <w:t xml:space="preserve"> </w:t>
      </w:r>
      <w:r>
        <w:t xml:space="preserve">final.</w:t>
      </w:r>
      <w:r>
        <w:t xml:space="preserve"> </w:t>
      </w:r>
      <w:r>
        <w:t xml:space="preserve">13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Commission Work Programme 2025, COM(2025)45 final.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This initiative will contribute to the achievement of three of the United Nations Sustainable</w:t>
      </w:r>
      <w:r>
        <w:t xml:space="preserve"> </w:t>
      </w:r>
      <w:r>
        <w:t xml:space="preserve">Development Goals (SDGs): SDG #9 ‘Industry, innovation’; SDG #3 ‘Good health and well-</w:t>
      </w:r>
      <w:r>
        <w:t xml:space="preserve"> </w:t>
      </w:r>
      <w:r>
        <w:t xml:space="preserve">being and infrastructure’ and SDG #16 ‘Peace, justice, and strong institutions’.</w:t>
      </w:r>
      <w:r>
        <w:br/>
      </w:r>
      <w:r>
        <w:t xml:space="preserve">1.2. Legal Context</w:t>
      </w:r>
      <w:r>
        <w:br/>
      </w:r>
      <w:r>
        <w:t xml:space="preserve">1.2.1. Current EU rules on drug precursors</w:t>
      </w:r>
      <w:r>
        <w:br/>
      </w:r>
      <w:r>
        <w:t xml:space="preserve">The UN Convention against Illicit Traffic in Narcotic Drugs14 obliges the Parties to take</w:t>
      </w:r>
      <w:r>
        <w:t xml:space="preserve"> </w:t>
      </w:r>
      <w:r>
        <w:t xml:space="preserve">measures to prevent the diversion of substances frequently used in the illicit manufacture of</w:t>
      </w:r>
      <w:r>
        <w:t xml:space="preserve"> </w:t>
      </w:r>
      <w:r>
        <w:t xml:space="preserve">drugs. The EU concluded the UN Convention in 199015 and subsequently adopted rules on drug</w:t>
      </w:r>
      <w:r>
        <w:t xml:space="preserve"> </w:t>
      </w:r>
      <w:r>
        <w:t xml:space="preserve">precursors. Currently the UN Convention is implemented by Regulation (EC) No 273/2004</w:t>
      </w:r>
      <w:r>
        <w:t xml:space="preserve"> </w:t>
      </w:r>
      <w:r>
        <w:t xml:space="preserve">(‘the Internal Market Regulation’)16 on monitoring and control of drug precursors for their</w:t>
      </w:r>
      <w:r>
        <w:t xml:space="preserve"> </w:t>
      </w:r>
      <w:r>
        <w:t xml:space="preserve">possession and placing on the market and Regulation (EC) No 111/2005 (‘the External Trade</w:t>
      </w:r>
      <w:r>
        <w:t xml:space="preserve"> </w:t>
      </w:r>
      <w:r>
        <w:t xml:space="preserve">Regulation’)17, for their trade between the EU and third countries. Drug precursors may be</w:t>
      </w:r>
      <w:r>
        <w:t xml:space="preserve"> </w:t>
      </w:r>
      <w:r>
        <w:t xml:space="preserve">either scheduled (listed and controlled in the regulations) or non-scheduled (for which there are</w:t>
      </w:r>
      <w:r>
        <w:t xml:space="preserve"> </w:t>
      </w:r>
      <w:r>
        <w:t xml:space="preserve">no legally binding obligations).</w:t>
      </w:r>
      <w:r>
        <w:br/>
      </w:r>
      <w:r>
        <w:t xml:space="preserve">Scheduled drug precursors are classified into four categories depending on their role in the illicit</w:t>
      </w:r>
      <w:r>
        <w:t xml:space="preserve"> </w:t>
      </w:r>
      <w:r>
        <w:t xml:space="preserve">drug production and the existing legal trade. Category 1 substances are the most critical,</w:t>
      </w:r>
      <w:r>
        <w:t xml:space="preserve"> </w:t>
      </w:r>
      <w:r>
        <w:t xml:space="preserve">comprising chemicals that form the essential core molecules of drugs, making it impossible to</w:t>
      </w:r>
      <w:r>
        <w:t xml:space="preserve"> </w:t>
      </w:r>
      <w:r>
        <w:t xml:space="preserve">produce these drugs without them. Some of them have legitimate uses, while others have no</w:t>
      </w:r>
      <w:r>
        <w:t xml:space="preserve"> </w:t>
      </w:r>
      <w:r>
        <w:t xml:space="preserve">known legitimate use, except research (designer precursors). Category 2 covers less sensitive</w:t>
      </w:r>
      <w:r>
        <w:t xml:space="preserve"> </w:t>
      </w:r>
      <w:r>
        <w:t xml:space="preserve">substances compared to category 118, while category 3 contains contain bulk chemicals. They</w:t>
      </w:r>
      <w:r>
        <w:t xml:space="preserve"> </w:t>
      </w:r>
      <w:r>
        <w:t xml:space="preserve">are significant in the illicit drug production but also have widespread legitimate uses. For</w:t>
      </w:r>
      <w:r>
        <w:t xml:space="preserve"> </w:t>
      </w:r>
      <w:r>
        <w:t xml:space="preserve">external trade, Category 4 includes medicinal products that contain ephedrine and</w:t>
      </w:r>
      <w:r>
        <w:t xml:space="preserve"> </w:t>
      </w:r>
      <w:r>
        <w:t xml:space="preserve">pseudoephedrine. Depending on the category, operators and users must either hold a license or</w:t>
      </w:r>
      <w:r>
        <w:t xml:space="preserve"> </w:t>
      </w:r>
      <w:r>
        <w:t xml:space="preserve">registration, secure their premises, report suspicious transactions, ensure proper labelling and</w:t>
      </w:r>
      <w:r>
        <w:t xml:space="preserve"> </w:t>
      </w:r>
      <w:r>
        <w:t xml:space="preserve">documentation, maintain transaction records for three years, designate a responsible officer,</w:t>
      </w:r>
      <w:r>
        <w:t xml:space="preserve"> </w:t>
      </w:r>
      <w:r>
        <w:t xml:space="preserve">obtain import and export authorisations, including pre-export notification, and limit trade to</w:t>
      </w:r>
      <w:r>
        <w:t xml:space="preserve"> </w:t>
      </w:r>
      <w:r>
        <w:t xml:space="preserve">customers which have a licence or a registration. 19</w:t>
      </w:r>
      <w:r>
        <w:t xml:space="preserve"> </w:t>
      </w:r>
      <w:r>
        <w:t xml:space="preserve">Some non-scheduled substances are listed in the EU Voluntary Monitoring List (VML), which</w:t>
      </w:r>
      <w:r>
        <w:t xml:space="preserve"> </w:t>
      </w:r>
      <w:r>
        <w:t xml:space="preserve">carries no legally binding obligations. In addition, a catch-all clause allows national measures</w:t>
      </w:r>
      <w:r>
        <w:t xml:space="preserve"> </w:t>
      </w:r>
      <w:r>
        <w:t xml:space="preserve">to control suspicious transactions involving such substances.</w:t>
      </w:r>
      <w:r>
        <w:br/>
      </w:r>
      <w:r>
        <w:t xml:space="preserve">The regulations establish the European database on drug precursors, a centralised database with</w:t>
      </w:r>
      <w:r>
        <w:t xml:space="preserve"> </w:t>
      </w:r>
      <w:r>
        <w:t xml:space="preserve">three functions: to support the Commission in reporting data on legal trade and incidents with</w:t>
      </w:r>
      <w:r>
        <w:t xml:space="preserve"> </w:t>
      </w:r>
      <w:r>
        <w:t xml:space="preserve">drug precursors to the UN, to maintain a register of operators holding licenses or registrations</w:t>
      </w:r>
    </w:p>
    <w:p>
      <w:pPr>
        <w:pStyle w:val="BodyText"/>
      </w:pPr>
      <w:r>
        <w:t xml:space="preserve">14 The United Nations Convention against Illicit Traffic in Narcotic Drugs and Psychotropic Substances, adopted</w:t>
      </w:r>
      <w:r>
        <w:t xml:space="preserve"> </w:t>
      </w:r>
      <w:r>
        <w:t xml:space="preserve">in Vienna on 19 December 1988.</w:t>
      </w:r>
      <w:r>
        <w:t xml:space="preserve"> </w:t>
      </w:r>
      <w:r>
        <w:t xml:space="preserve">15 Council Decision (90/611/EEC) of 22 October 1990 concerning the conclusion, on behalf of the European</w:t>
      </w:r>
      <w:r>
        <w:t xml:space="preserve"> </w:t>
      </w:r>
      <w:r>
        <w:t xml:space="preserve">Economic Community, of the United Nations Convention against Illicit Traffic in Narcotic Drugs and</w:t>
      </w:r>
      <w:r>
        <w:t xml:space="preserve"> </w:t>
      </w:r>
      <w:r>
        <w:t xml:space="preserve">Psychotropic Substances, OJ L 326, 24.11.1990, p. 56.; Annex 9 provides details on the implementation of the UN</w:t>
      </w:r>
      <w:r>
        <w:t xml:space="preserve"> </w:t>
      </w:r>
      <w:r>
        <w:t xml:space="preserve">Convention by the Internal Market and External Trade Regulations.</w:t>
      </w:r>
      <w:r>
        <w:br/>
      </w:r>
      <w:r>
        <w:t xml:space="preserve">16 Regulation (EC) No 273/2004 of the European Parliament and of the Council of 11 February 2004 on drug</w:t>
      </w:r>
      <w:r>
        <w:t xml:space="preserve"> </w:t>
      </w:r>
      <w:r>
        <w:t xml:space="preserve">precursors, OJ L 47, 18.2.2004, p. 1.</w:t>
      </w:r>
      <w:r>
        <w:br/>
      </w:r>
      <w:r>
        <w:t xml:space="preserve">17 Council Regulation (EC) No 111/2005 of 22 December 2004 laying down rules for the monitoring of trade</w:t>
      </w:r>
      <w:r>
        <w:t xml:space="preserve"> </w:t>
      </w:r>
      <w:r>
        <w:t xml:space="preserve">between the Community and third countries in drug precursors, OJ L 22, 26.1.2005, p. 1.</w:t>
      </w:r>
      <w:r>
        <w:t xml:space="preserve"> </w:t>
      </w:r>
      <w:r>
        <w:t xml:space="preserve">18 For internal trade, category 2 is divided into categories 2A and 2B due to a higher risk of diversion of category</w:t>
      </w:r>
      <w:r>
        <w:t xml:space="preserve"> </w:t>
      </w:r>
      <w:r>
        <w:t xml:space="preserve">2A substances.</w:t>
      </w:r>
      <w:r>
        <w:br/>
      </w:r>
      <w:r>
        <w:t xml:space="preserve">19 More details on the legal provisions can be found in Annex 9.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so that their status can be consulted by other authorities and to enable operators to fulfil their</w:t>
      </w:r>
      <w:r>
        <w:t xml:space="preserve"> </w:t>
      </w:r>
      <w:r>
        <w:t xml:space="preserve">reporting obligations online. However, when the third function was discussed in around 2011,</w:t>
      </w:r>
      <w:r>
        <w:t xml:space="preserve"> </w:t>
      </w:r>
      <w:r>
        <w:t xml:space="preserve">there were doubts about the cost-benefit ratio of such a function, and this is why it has not been</w:t>
      </w:r>
      <w:r>
        <w:t xml:space="preserve"> </w:t>
      </w:r>
      <w:r>
        <w:t xml:space="preserve">implemented to this date.</w:t>
      </w:r>
      <w:r>
        <w:t xml:space="preserve"> </w:t>
      </w:r>
      <w:r>
        <w:t xml:space="preserve">1.2.2. Interplay with other legislation and initiatives</w:t>
      </w:r>
      <w:r>
        <w:t xml:space="preserve"> </w:t>
      </w:r>
      <w:r>
        <w:t xml:space="preserve">The drug precursors regulations help determining the material scope of minimum national rules</w:t>
      </w:r>
      <w:r>
        <w:t xml:space="preserve"> </w:t>
      </w:r>
      <w:r>
        <w:t xml:space="preserve">on criminal acts concerning precursors set out by Member States in accordance with Council</w:t>
      </w:r>
      <w:r>
        <w:t xml:space="preserve"> </w:t>
      </w:r>
      <w:r>
        <w:t xml:space="preserve">Framework Decision 2004/757/JHA.20 The Commission is conducting an evaluation of the</w:t>
      </w:r>
      <w:r>
        <w:t xml:space="preserve"> </w:t>
      </w:r>
      <w:r>
        <w:t xml:space="preserve">Council Framework Decision and in that context is assessing the extent to which the Framework</w:t>
      </w:r>
      <w:r>
        <w:t xml:space="preserve"> </w:t>
      </w:r>
      <w:r>
        <w:t xml:space="preserve">Decision has contributed to tackling designer precursors.21</w:t>
      </w:r>
      <w:r>
        <w:br/>
      </w:r>
      <w:r>
        <w:t xml:space="preserve">The EU Drugs Agency (EUDA) plays an important role in the field of drug precursors. Its tasks</w:t>
      </w:r>
      <w:r>
        <w:t xml:space="preserve"> </w:t>
      </w:r>
      <w:r>
        <w:t xml:space="preserve">as set out in the Agency’s new mandate22 are detailed in Section 5.1.</w:t>
      </w:r>
      <w:r>
        <w:br/>
      </w:r>
      <w:r>
        <w:t xml:space="preserve">Drug precursors are also governed by EU chemicals rules. Under the REACH Regulation23,</w:t>
      </w:r>
      <w:r>
        <w:t xml:space="preserve"> </w:t>
      </w:r>
      <w:r>
        <w:t xml:space="preserve">companies producing or placing a substance on the market in quantities of one tonne or more</w:t>
      </w:r>
      <w:r>
        <w:t xml:space="preserve"> </w:t>
      </w:r>
      <w:r>
        <w:t xml:space="preserve">per year must register it and provide data on its properties, hazards and uses24. The CLP</w:t>
      </w:r>
      <w:r>
        <w:t xml:space="preserve"> </w:t>
      </w:r>
      <w:r>
        <w:t xml:space="preserve">Regulation25 obliges companies to classify, label and package hazardous substances before</w:t>
      </w:r>
      <w:r>
        <w:t xml:space="preserve"> </w:t>
      </w:r>
      <w:r>
        <w:t xml:space="preserve">placing them on the market. Some drug precursors may also be subject to sector-specific rules,</w:t>
      </w:r>
      <w:r>
        <w:t xml:space="preserve"> </w:t>
      </w:r>
      <w:r>
        <w:t xml:space="preserve">such as the Cosmetic Products Regulation26 or the Detergents Regulation27. These rules concern</w:t>
      </w:r>
      <w:r>
        <w:t xml:space="preserve"> </w:t>
      </w:r>
      <w:r>
        <w:t xml:space="preserve">the inherent safety and health risks and characteristics of the substances concerned. Drug</w:t>
      </w:r>
      <w:r>
        <w:t xml:space="preserve"> </w:t>
      </w:r>
      <w:r>
        <w:t xml:space="preserve">precursor rules, on the other hand, have different objectives related to the dual use nature of</w:t>
      </w:r>
      <w:r>
        <w:t xml:space="preserve"> </w:t>
      </w:r>
      <w:r>
        <w:t xml:space="preserve">these products and the prevention of illegal trade of otherwise legal substances.</w:t>
      </w:r>
      <w:r>
        <w:t xml:space="preserve"> </w:t>
      </w:r>
      <w:r>
        <w:t xml:space="preserve">This initiative also supports the EU Customs Reform28, which aims to establish a new EU</w:t>
      </w:r>
      <w:r>
        <w:t xml:space="preserve"> </w:t>
      </w:r>
      <w:r>
        <w:t xml:space="preserve">Customs Authority maintaining and EU Customs Data Hub. The Data Hub will replace the</w:t>
      </w:r>
      <w:r>
        <w:t xml:space="preserve"> </w:t>
      </w:r>
      <w:r>
        <w:t xml:space="preserve">current fragmented customs IT infrastructure in EU Member States, enhancing interoperability</w:t>
      </w:r>
      <w:r>
        <w:t xml:space="preserve"> </w:t>
      </w:r>
      <w:r>
        <w:t xml:space="preserve">with related policy areas. Data on drug precursors will be integrated into the Data Hub29.</w:t>
      </w:r>
    </w:p>
    <w:p>
      <w:pPr>
        <w:pStyle w:val="BodyText"/>
      </w:pPr>
      <w:r>
        <w:t xml:space="preserve">20 Council Framework Decision 2004/757/JHA of 25 October 2004 laying down minimum provisions on the</w:t>
      </w:r>
      <w:r>
        <w:t xml:space="preserve"> </w:t>
      </w:r>
      <w:r>
        <w:t xml:space="preserve">constituent elements of criminal acts and penalties in the field of illicit drug trafficking, OJ L 335, 11.11.2004, p. </w:t>
      </w:r>
      <w:r>
        <w:t xml:space="preserve"> </w:t>
      </w:r>
      <w:r>
        <w:t xml:space="preserve">8–11, https://eur-lex.europa.eu/legal-content/EN/ALL/?uri=CELEX:32004F0757</w:t>
      </w:r>
      <w:r>
        <w:t xml:space="preserve"> </w:t>
      </w:r>
      <w:r>
        <w:t xml:space="preserve">21 Criminal acts and penalties for drug trafficking – evaluation</w:t>
      </w:r>
      <w:r>
        <w:t xml:space="preserve"> </w:t>
      </w:r>
      <w:r>
        <w:t xml:space="preserve">22 Regulation (EU) 2023/1322 of the European Parliament and of the Council of 27 June 2023 on the European</w:t>
      </w:r>
      <w:r>
        <w:t xml:space="preserve"> </w:t>
      </w:r>
      <w:r>
        <w:t xml:space="preserve">Union Drugs Agency (EUDA) and repealing Regulation (EC) No 1920/2006, OJ L 166, 30.6.2023, p. 6.</w:t>
      </w:r>
      <w:r>
        <w:t xml:space="preserve"> </w:t>
      </w:r>
      <w:r>
        <w:t xml:space="preserve">23 Regulation (EC) No 1907/2006 of the European Parliament and of the Council of 18 December 2006 concerning</w:t>
      </w:r>
      <w:r>
        <w:t xml:space="preserve"> </w:t>
      </w:r>
      <w:r>
        <w:t xml:space="preserve">the Registration, Evaluation, Authorisation and Restriction of Chemicals (REACH), establishing a European</w:t>
      </w:r>
      <w:r>
        <w:t xml:space="preserve"> </w:t>
      </w:r>
      <w:r>
        <w:t xml:space="preserve">Chemicals Agency, amending Directive 1999/45/EC and repealing Council Regulation (EEC) No 793/93 and</w:t>
      </w:r>
      <w:r>
        <w:t xml:space="preserve"> </w:t>
      </w:r>
      <w:r>
        <w:t xml:space="preserve">Commission Regulation (EC) No 1488/94 as well as Council Directive 76/769/EEC and Commission Directives</w:t>
      </w:r>
      <w:r>
        <w:t xml:space="preserve"> </w:t>
      </w:r>
      <w:r>
        <w:t xml:space="preserve">91/155/EEC, 93/67/EEC, 93/105/EC and 2000/21/EC, OJ L 396, 30/12/2006, p. 1.</w:t>
      </w:r>
      <w:r>
        <w:br/>
      </w:r>
      <w:r>
        <w:t xml:space="preserve">24 A targeted revision of the REACH Regulation is announced in the Commission Work Programme 2025.</w:t>
      </w:r>
      <w:r>
        <w:t xml:space="preserve"> </w:t>
      </w:r>
      <w:r>
        <w:t xml:space="preserve">25 Regulation (EC) No 1272/2008 of the European Parliament and of the Council of 16 December 2008 on</w:t>
      </w:r>
      <w:r>
        <w:t xml:space="preserve"> </w:t>
      </w:r>
      <w:r>
        <w:t xml:space="preserve">classification, labelling and packaging of substances and mixtures, amending and repealing Directives 67/548/EEC</w:t>
      </w:r>
      <w:r>
        <w:t xml:space="preserve"> </w:t>
      </w:r>
      <w:r>
        <w:t xml:space="preserve">and 1999/45/EC, and amending Regulation (EC) No 1907/2006, OJ L 353, 31/12/2008, p. 1.</w:t>
      </w:r>
      <w:r>
        <w:br/>
      </w:r>
      <w:r>
        <w:t xml:space="preserve">26 Regulation (EC) No 1223/2009 of the European Parliament and of the Council of 30 November 2009 on cosmetic</w:t>
      </w:r>
      <w:r>
        <w:t xml:space="preserve"> </w:t>
      </w:r>
      <w:r>
        <w:t xml:space="preserve">products, OJ L 342, 22/12/2009, p. 59.</w:t>
      </w:r>
      <w:r>
        <w:t xml:space="preserve"> </w:t>
      </w:r>
      <w:r>
        <w:t xml:space="preserve">27 Regulation (EC) No 648/2004 of the European Parliament and of the Council of 31 March 2004 on detergents,</w:t>
      </w:r>
      <w:r>
        <w:t xml:space="preserve"> </w:t>
      </w:r>
      <w:r>
        <w:t xml:space="preserve">OJ L 104, 8.4.2004, p. 1.</w:t>
      </w:r>
      <w:r>
        <w:br/>
      </w:r>
      <w:r>
        <w:t xml:space="preserve">28 See European Commission, EU Customs Reform, available at: https://taxation-customs.ec.europa.eu/customs-</w:t>
      </w:r>
      <w:r>
        <w:t xml:space="preserve"> </w:t>
      </w:r>
      <w:r>
        <w:t xml:space="preserve">4/eu-customs-reform_en</w:t>
      </w:r>
      <w:r>
        <w:br/>
      </w:r>
      <w:r>
        <w:t xml:space="preserve">29 Further detail is provided in Annex 8.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1.3. Economic context: the licit drug precursors market</w:t>
      </w:r>
      <w:r>
        <w:t xml:space="preserve"> </w:t>
      </w:r>
      <w:r>
        <w:t xml:space="preserve">Drug precursors are critical components of various industrial supply chains30, serving essential</w:t>
      </w:r>
      <w:r>
        <w:t xml:space="preserve"> </w:t>
      </w:r>
      <w:r>
        <w:t xml:space="preserve">roles in industries such as pharmaceuticals, flavouring and fragrance, batteries, cosmetics,</w:t>
      </w:r>
      <w:r>
        <w:t xml:space="preserve"> </w:t>
      </w:r>
      <w:r>
        <w:t xml:space="preserve">textiles, oil refinery, water treatment, food additives, explosives, rubber production, fertilisers,</w:t>
      </w:r>
      <w:r>
        <w:t xml:space="preserve"> </w:t>
      </w:r>
      <w:r>
        <w:t xml:space="preserve">plastics or dyes31.</w:t>
      </w:r>
      <w:r>
        <w:br/>
      </w:r>
      <w:r>
        <w:t xml:space="preserve">The supply chain for drug precursors involves a diverse range of actors, including large-scale</w:t>
      </w:r>
      <w:r>
        <w:t xml:space="preserve"> </w:t>
      </w:r>
      <w:r>
        <w:t xml:space="preserve">chemical manufacturers who produce these substances in bulk for industrial use, as well as</w:t>
      </w:r>
      <w:r>
        <w:t xml:space="preserve"> </w:t>
      </w:r>
      <w:r>
        <w:t xml:space="preserve">specialised producers who create more refined or custom chemical products tailored to specific</w:t>
      </w:r>
      <w:r>
        <w:t xml:space="preserve"> </w:t>
      </w:r>
      <w:r>
        <w:t xml:space="preserve">industrial needs. Distributors and logistics providers also play key roles in ensuring that these</w:t>
      </w:r>
      <w:r>
        <w:t xml:space="preserve"> </w:t>
      </w:r>
      <w:r>
        <w:t xml:space="preserve">substances are transported and stored safely.</w:t>
      </w:r>
      <w:r>
        <w:t xml:space="preserve"> </w:t>
      </w:r>
      <w:r>
        <w:t xml:space="preserve">Due to the use of drug precursors across all chemical sectors32, the market to be analysed</w:t>
      </w:r>
      <w:r>
        <w:t xml:space="preserve"> </w:t>
      </w:r>
      <w:r>
        <w:t xml:space="preserve">concerns the entire chemical industry. The EU chemical industry is one of the largest and most</w:t>
      </w:r>
      <w:r>
        <w:t xml:space="preserve"> </w:t>
      </w:r>
      <w:r>
        <w:t xml:space="preserve">competitive industries globally, contributing significantly to the EU economy and employment</w:t>
      </w:r>
      <w:r>
        <w:t xml:space="preserve"> </w:t>
      </w:r>
      <w:r>
        <w:t xml:space="preserve">(about 1.2 million jobs in 202233). It displays a 77% higher labour productivity (2020) and 48%</w:t>
      </w:r>
      <w:r>
        <w:t xml:space="preserve"> </w:t>
      </w:r>
      <w:r>
        <w:t xml:space="preserve">higher paying wages (2022) than the EU’s manufacturing average. The EU chemical sector is</w:t>
      </w:r>
      <w:r>
        <w:t xml:space="preserve"> </w:t>
      </w:r>
      <w:r>
        <w:t xml:space="preserve">the second-largest global spender on capital, consistently contributing over 15% of the EU</w:t>
      </w:r>
      <w:r>
        <w:t xml:space="preserve"> </w:t>
      </w:r>
      <w:r>
        <w:t xml:space="preserve">chemical industry’s value added (19.5% in 2023). Since 2021, it has spent around EUR 10</w:t>
      </w:r>
      <w:r>
        <w:t xml:space="preserve"> </w:t>
      </w:r>
      <w:r>
        <w:t xml:space="preserve">billion annually on R&amp;I, which represents 6% of the sector’s value added. In 2023, the EU led</w:t>
      </w:r>
      <w:r>
        <w:t xml:space="preserve"> </w:t>
      </w:r>
      <w:r>
        <w:t xml:space="preserve">the sector with nearly EUR 850 billion in trade, comprising EUR 525 billion in exports and</w:t>
      </w:r>
      <w:r>
        <w:t xml:space="preserve"> </w:t>
      </w:r>
      <w:r>
        <w:t xml:space="preserve">EUR 325 billion in imports, yielding a trade surplus of approximately EUR 200 billion34.</w:t>
      </w:r>
      <w:r>
        <w:t xml:space="preserve"> </w:t>
      </w:r>
      <w:r>
        <w:t xml:space="preserve">However, the sector’s high energy intensity has made it vulnerable to rising energy prices,</w:t>
      </w:r>
      <w:r>
        <w:t xml:space="preserve"> </w:t>
      </w:r>
      <w:r>
        <w:t xml:space="preserve">negatively affecting the EU’s competitive position in the global chemical industry.</w:t>
      </w:r>
      <w:r>
        <w:br/>
      </w:r>
      <w:r>
        <w:t xml:space="preserve">Nonetheless, while having important uses, the overall market share of scheduled drug</w:t>
      </w:r>
      <w:r>
        <w:t xml:space="preserve"> </w:t>
      </w:r>
      <w:r>
        <w:t xml:space="preserve">precursors is limited. The legal use of precursors in the EU amounts to 10.6 million tonnes per</w:t>
      </w:r>
      <w:r>
        <w:t xml:space="preserve"> </w:t>
      </w:r>
      <w:r>
        <w:t xml:space="preserve">year35, with exports to third countries totalling representing approximately 0.15% of total</w:t>
      </w:r>
      <w:r>
        <w:t xml:space="preserve"> </w:t>
      </w:r>
      <w:r>
        <w:t xml:space="preserve">chemical exports (worth EUR 765.67 million) and 1.07% of total chemical imports (worth EUR</w:t>
      </w:r>
      <w:r>
        <w:t xml:space="preserve"> </w:t>
      </w:r>
      <w:r>
        <w:t xml:space="preserve">3.48 billion)36. This also indicates an inverted pattern for drug precursor trade (where imports</w:t>
      </w:r>
      <w:r>
        <w:t xml:space="preserve"> </w:t>
      </w:r>
      <w:r>
        <w:t xml:space="preserve">exceed exports) compared to the overall chemical industry (where exports exceed imports).</w:t>
      </w:r>
    </w:p>
    <w:p>
      <w:pPr>
        <w:pStyle w:val="BodyText"/>
      </w:pPr>
      <w:r>
        <w:t xml:space="preserve">30 Annex 10 lists all scheduled substances, their main known legitimate uses, if any, and information on legitimate</w:t>
      </w:r>
      <w:r>
        <w:t xml:space="preserve"> </w:t>
      </w:r>
      <w:r>
        <w:t xml:space="preserve">trade.</w:t>
      </w:r>
      <w:r>
        <w:br/>
      </w:r>
      <w:r>
        <w:t xml:space="preserve">31 For more detailed information, including the latest trends in the (diversion of) legitimate trade of these substances</w:t>
      </w:r>
      <w:r>
        <w:t xml:space="preserve"> </w:t>
      </w:r>
      <w:r>
        <w:t xml:space="preserve">and their regulatory challenges, see the INCB’s technical reports on precursors, available at:</w:t>
      </w:r>
      <w:r>
        <w:t xml:space="preserve"> </w:t>
      </w:r>
      <w:r>
        <w:t xml:space="preserve">https://www.incb.org/incb/en/precursors/technical_reports/precursors-technical-reports.html.</w:t>
      </w:r>
      <w:r>
        <w:t xml:space="preserve"> </w:t>
      </w:r>
      <w:r>
        <w:t xml:space="preserve">32Annex 10 lists all scheduled substances, their main known legitimate uses, if any, and information on legitimate</w:t>
      </w:r>
      <w:r>
        <w:t xml:space="preserve"> </w:t>
      </w:r>
      <w:r>
        <w:t xml:space="preserve">trade. For further analysis of the industry, please see Annex 10.</w:t>
      </w:r>
      <w:r>
        <w:t xml:space="preserve"> </w:t>
      </w:r>
      <w:r>
        <w:t xml:space="preserve">33 Statista, Number of employees in the European Union’s chemical industry from 2008 to 2022, 20.11.2023,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https://www.statista.com/statistics/1307411/chemical-industry-number-employees-</w:t>
      </w:r>
      <w:r>
        <w:t xml:space="preserve"> </w:t>
      </w:r>
      <w:r>
        <w:t xml:space="preserve">eu/#:~:text=The%20number%20of%20employees%20in%20the%20European,with%20around%20355%20thou</w:t>
      </w:r>
      <w:r>
        <w:t xml:space="preserve"> </w:t>
      </w:r>
      <w:r>
        <w:t xml:space="preserve">sand%20people%20in%202022</w:t>
      </w:r>
      <w:r>
        <w:br/>
      </w:r>
      <w:r>
        <w:t xml:space="preserve">34 Eurostat (2023 data), EU trade since 1999 by SITC – Chemicals and related products, n.e.s, 20.08.2024, available</w:t>
      </w:r>
      <w:r>
        <w:t xml:space="preserve"> </w:t>
      </w:r>
      <w:r>
        <w:t xml:space="preserve">at: https://ec.europa.eu/eurostat/databrowser/view/ds-018995__custom_12626041/default/table?lang=en</w:t>
      </w:r>
      <w:r>
        <w:br/>
      </w:r>
      <w:r>
        <w:t xml:space="preserve">35 Source: data on legal use and trade gathered in the EU drug precursors Database, 2018-2022 average.</w:t>
      </w:r>
      <w:r>
        <w:t xml:space="preserve"> </w:t>
      </w:r>
      <w:r>
        <w:t xml:space="preserve">36 Source: DG TAXUD Surveillance database, 2023.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Within the EU, there were approximately 4 000 active licenses or registrations to trade in drug</w:t>
      </w:r>
      <w:r>
        <w:t xml:space="preserve"> </w:t>
      </w:r>
      <w:r>
        <w:t xml:space="preserve">precursors in 202337. 92% of these companies are SMEs38.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2.1.1. Problem #1: Drug precursors continue to be available for the illicit production</w:t>
      </w:r>
      <w:r>
        <w:t xml:space="preserve"> </w:t>
      </w:r>
      <w:r>
        <w:t xml:space="preserve">of drugs</w:t>
      </w:r>
      <w:r>
        <w:t xml:space="preserve"> </w:t>
      </w:r>
      <w:r>
        <w:t xml:space="preserve">Illicit drug use affects society as a whole, be it through illegal drug use, the operation of the</w:t>
      </w:r>
      <w:r>
        <w:t xml:space="preserve"> </w:t>
      </w:r>
      <w:r>
        <w:t xml:space="preserve">markets and their operation. These can be indirect effects such as the strain on health budgets</w:t>
      </w:r>
      <w:r>
        <w:t xml:space="preserve"> </w:t>
      </w:r>
      <w:r>
        <w:t xml:space="preserve">or corruption and criminal practices affecting institutions and businesses39. Processed illegal</w:t>
      </w:r>
      <w:r>
        <w:t xml:space="preserve"> </w:t>
      </w:r>
      <w:r>
        <w:t xml:space="preserve">drugs require drug precursors, either as solvents or as essential elements of the drugs40.</w:t>
      </w:r>
      <w:r>
        <w:br/>
      </w:r>
      <w:r>
        <w:t xml:space="preserve">Drug trafficking is a major profit-generating activity of organised crime, representing about</w:t>
      </w:r>
      <w:r>
        <w:t xml:space="preserve"> </w:t>
      </w:r>
      <w:r>
        <w:t xml:space="preserve">one-fifth of global crime proceeds.41 The EU’s illicit drug retail market is valued at</w:t>
      </w:r>
      <w:r>
        <w:t xml:space="preserve"> </w:t>
      </w:r>
      <w:r>
        <w:t xml:space="preserve">EUR 31 billion42. However, from a drug precursor policy perspective, the EU plays a</w:t>
      </w:r>
      <w:r>
        <w:t xml:space="preserve"> </w:t>
      </w:r>
      <w:r>
        <w:t xml:space="preserve">significant role in the production of amphetamine type stimulants (ATS), indicating a</w:t>
      </w:r>
      <w:r>
        <w:t xml:space="preserve"> </w:t>
      </w:r>
      <w:r>
        <w:t xml:space="preserve">substantial availability of the necessary drug precursors within the region43.</w:t>
      </w:r>
      <w:r>
        <w:t xml:space="preserve"> </w:t>
      </w:r>
      <w:r>
        <w:t xml:space="preserve">The exact volumes of illegal drugs and their precursors are unknown due to their illicit nature,</w:t>
      </w:r>
      <w:r>
        <w:t xml:space="preserve"> </w:t>
      </w:r>
      <w:r>
        <w:t xml:space="preserve">reliable data exists only on uncovered illegal activities. Data describing the illicit use of drug</w:t>
      </w:r>
      <w:r>
        <w:t xml:space="preserve"> </w:t>
      </w:r>
      <w:r>
        <w:t xml:space="preserve">precursors is therefore by definition limited.</w:t>
      </w:r>
      <w:r>
        <w:t xml:space="preserve"> </w:t>
      </w:r>
      <w:r>
        <w:t xml:space="preserve">Data on illegal production sites dismantled in 2023 suggest that significant drug production</w:t>
      </w:r>
      <w:r>
        <w:t xml:space="preserve"> </w:t>
      </w:r>
      <w:r>
        <w:t xml:space="preserve">activities take place in the EU. Specifically, nearly 500 production sites were dismantled across</w:t>
      </w:r>
      <w:r>
        <w:t xml:space="preserve"> </w:t>
      </w:r>
      <w:r>
        <w:t xml:space="preserve">the EU in 2023, of which 379 were involved in ATS production44. Secondly, the frequency of</w:t>
      </w:r>
      <w:r>
        <w:t xml:space="preserve"> </w:t>
      </w:r>
      <w:r>
        <w:t xml:space="preserve">incidents involving drug precursors (seizures and thefts), as reported in the European drug</w:t>
      </w:r>
      <w:r>
        <w:t xml:space="preserve"> </w:t>
      </w:r>
      <w:r>
        <w:t xml:space="preserve">precursors database, shows an upward trend in drug precursor trafficking with a notable decline</w:t>
      </w:r>
      <w:r>
        <w:t xml:space="preserve"> </w:t>
      </w:r>
      <w:r>
        <w:t xml:space="preserve">in volume in post-COVID 2022. In 2023, the number of reported incidents was 2 100,</w:t>
      </w:r>
      <w:r>
        <w:t xml:space="preserve"> </w:t>
      </w:r>
      <w:r>
        <w:t xml:space="preserve">corresponding to approximately 541 tonnes of precursors. Most of incidents regard substances</w:t>
      </w:r>
      <w:r>
        <w:t xml:space="preserve"> </w:t>
      </w:r>
      <w:r>
        <w:t xml:space="preserve">involved in the production of amphetamine group, which in 2019-2023 accounted for 88 % of</w:t>
      </w:r>
      <w:r>
        <w:t xml:space="preserve"> </w:t>
      </w:r>
      <w:r>
        <w:t xml:space="preserve">total cases (around 60 % in terms of volume). In the same period, precursors involved in the</w:t>
      </w:r>
    </w:p>
    <w:p>
      <w:pPr>
        <w:pStyle w:val="BodyText"/>
      </w:pPr>
      <w:r>
        <w:t xml:space="preserve">37 Namely, economic operators holding at least one active licence or registration for the EU market of</w:t>
      </w:r>
      <w:r>
        <w:t xml:space="preserve"> </w:t>
      </w:r>
      <w:r>
        <w:t xml:space="preserve">drug precursors. Note that, as a proxy, this underestimates the figure since – at present – economic operators</w:t>
      </w:r>
      <w:r>
        <w:t xml:space="preserve"> </w:t>
      </w:r>
      <w:r>
        <w:t xml:space="preserve">trading in Category 3 internally only, are not required to register and those trading in Category 4 are not required</w:t>
      </w:r>
      <w:r>
        <w:t xml:space="preserve"> </w:t>
      </w:r>
      <w:r>
        <w:t xml:space="preserve">to register.</w:t>
      </w:r>
      <w:r>
        <w:t xml:space="preserve"> </w:t>
      </w:r>
      <w:r>
        <w:t xml:space="preserve">38 There is no public source regarding share of SMEs trading in drug precursors. The percentage of the relevant</w:t>
      </w:r>
      <w:r>
        <w:t xml:space="preserve"> </w:t>
      </w:r>
      <w:r>
        <w:t xml:space="preserve">(closest) manufacturing chemicals sub-sectors according to Eurostat data is 92%, which aligns with the view of</w:t>
      </w:r>
      <w:r>
        <w:t xml:space="preserve"> </w:t>
      </w:r>
      <w:r>
        <w:t xml:space="preserve">public authorities consulted.</w:t>
      </w:r>
      <w:r>
        <w:t xml:space="preserve"> </w:t>
      </w:r>
      <w:r>
        <w:t xml:space="preserve">39 European Drug Report 2025, p. 11.</w:t>
      </w:r>
      <w:r>
        <w:t xml:space="preserve"> </w:t>
      </w:r>
      <w:r>
        <w:t xml:space="preserve">40 Cannabis cultivation does not rely on the use of drug precursors. For an overview by drug, see Annex 10, section</w:t>
      </w:r>
      <w:r>
        <w:t xml:space="preserve"> </w:t>
      </w:r>
      <w:r>
        <w:t xml:space="preserve">3.1.</w:t>
      </w:r>
      <w:r>
        <w:br/>
      </w:r>
      <w:r>
        <w:t xml:space="preserve">41 Joint analysis of Europol and the EUDA, EU Drug Markets: In-depth analysis | www.euda.europa.eu</w:t>
      </w:r>
      <w:r>
        <w:t xml:space="preserve"> </w:t>
      </w:r>
      <w:r>
        <w:t xml:space="preserve">42 EUDA and Europol (2024), EU Drug Markets Analysis: Key insights for policy and practice, 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Union:</w:t>
      </w:r>
      <w:r>
        <w:t xml:space="preserve"> </w:t>
      </w:r>
      <w:r>
        <w:t xml:space="preserve">https://www.europol.europa.eu/cms/sites/default/files/documents/EU%20Drug%20Markets%20Analysis%20202</w:t>
      </w:r>
      <w:r>
        <w:t xml:space="preserve"> </w:t>
      </w:r>
      <w:r>
        <w:t xml:space="preserve">4.pdf, p. 10 .</w:t>
      </w:r>
      <w:r>
        <w:t xml:space="preserve"> </w:t>
      </w:r>
      <w:r>
        <w:t xml:space="preserve">43 While cannabis and cocaine are the most widely consumed drugs in the EU and heroin or other opioids account</w:t>
      </w:r>
      <w:r>
        <w:t xml:space="preserve"> </w:t>
      </w:r>
      <w:r>
        <w:t xml:space="preserve">for the majority drug-related deaths, these drugs are primarily produced outside the EU.</w:t>
      </w:r>
      <w:r>
        <w:t xml:space="preserve"> </w:t>
      </w:r>
      <w:r>
        <w:t xml:space="preserve">44 European Drug Report 2025, tp. 50-51.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production of ecstasy accounted for 8 % of cases (but 29 % in terms of volume), while the rest</w:t>
      </w:r>
      <w:r>
        <w:t xml:space="preserve"> </w:t>
      </w:r>
      <w:r>
        <w:t xml:space="preserve">of cases are almost evenly shared between cocaine and heroin precursors.</w:t>
      </w:r>
      <w:r>
        <w:t xml:space="preserve"> </w:t>
      </w:r>
      <w:r>
        <w:t xml:space="preserve">In 2022, as shown in Figure 1, 28.94 tonnes of key precursors45 to produce drugs of the</w:t>
      </w:r>
      <w:r>
        <w:t xml:space="preserve"> </w:t>
      </w:r>
      <w:r>
        <w:t xml:space="preserve">amphetamine group were seized in Europe. Most of these seizures included designer precursors</w:t>
      </w:r>
      <w:r>
        <w:t xml:space="preserve"> </w:t>
      </w:r>
      <w:r>
        <w:t xml:space="preserve">(25.6 tonnes) 46.</w:t>
      </w:r>
      <w:r>
        <w:br/>
      </w:r>
      <w:r>
        <w:t xml:space="preserve">Figure 1: Total seizures of drugs and drug precursors in 2022</w:t>
      </w:r>
      <w:r>
        <w:t xml:space="preserve"> </w:t>
      </w:r>
      <w:r>
        <w:t xml:space="preserve">Total seizures in 2022</w:t>
      </w:r>
      <w:r>
        <w:t xml:space="preserve"> </w:t>
      </w:r>
      <w:r>
        <w:t xml:space="preserve">Cocaine</w:t>
      </w:r>
      <w:r>
        <w:t xml:space="preserve"> </w:t>
      </w:r>
      <w:r>
        <w:t xml:space="preserve">(in tonnes)</w:t>
      </w:r>
      <w:r>
        <w:t xml:space="preserve"> </w:t>
      </w:r>
      <w:r>
        <w:t xml:space="preserve">Heroin</w:t>
      </w:r>
      <w:r>
        <w:br/>
      </w:r>
      <w:r>
        <w:t xml:space="preserve">(in tonnes)</w:t>
      </w:r>
      <w:r>
        <w:t xml:space="preserve"> </w:t>
      </w:r>
      <w:r>
        <w:t xml:space="preserve">ATS (in tonnes)</w:t>
      </w:r>
      <w:r>
        <w:t xml:space="preserve"> </w:t>
      </w:r>
      <w:r>
        <w:t xml:space="preserve">Amphetamine</w:t>
      </w:r>
      <w:r>
        <w:t xml:space="preserve"> </w:t>
      </w:r>
      <w:r>
        <w:t xml:space="preserve">group</w:t>
      </w:r>
      <w:r>
        <w:t xml:space="preserve"> </w:t>
      </w:r>
      <w:r>
        <w:t xml:space="preserve">Ecstasy</w:t>
      </w:r>
      <w:r>
        <w:t xml:space="preserve"> </w:t>
      </w:r>
      <w:r>
        <w:t xml:space="preserve">Of the drug</w:t>
      </w:r>
      <w:r>
        <w:t xml:space="preserve"> </w:t>
      </w:r>
      <w:r>
        <w:t xml:space="preserve">322.5</w:t>
      </w:r>
      <w:r>
        <w:t xml:space="preserve"> </w:t>
      </w:r>
      <w:r>
        <w:t xml:space="preserve">8</w:t>
      </w:r>
      <w:r>
        <w:t xml:space="preserve"> </w:t>
      </w:r>
      <w:r>
        <w:t xml:space="preserve">8.5</w:t>
      </w:r>
      <w:r>
        <w:t xml:space="preserve"> </w:t>
      </w:r>
      <w:r>
        <w:t xml:space="preserve">1.2</w:t>
      </w:r>
      <w:r>
        <w:t xml:space="preserve"> </w:t>
      </w:r>
      <w:r>
        <w:t xml:space="preserve">Of the corresponding drug</w:t>
      </w:r>
      <w:r>
        <w:t xml:space="preserve"> </w:t>
      </w:r>
      <w:r>
        <w:t xml:space="preserve">precursors</w:t>
      </w:r>
      <w:r>
        <w:t xml:space="preserve"> </w:t>
      </w:r>
      <w:r>
        <w:t xml:space="preserve">- key precursor</w:t>
      </w:r>
      <w:r>
        <w:t xml:space="preserve"> </w:t>
      </w:r>
      <w:r>
        <w:t xml:space="preserve">- equivalent drug production</w:t>
      </w:r>
      <w:r>
        <w:br/>
      </w:r>
      <w:r>
        <w:t xml:space="preserve">0.17</w:t>
      </w:r>
      <w:r>
        <w:t xml:space="preserve"> </w:t>
      </w:r>
      <w:r>
        <w:t xml:space="preserve">0.85</w:t>
      </w:r>
    </w:p>
    <w:p>
      <w:pPr>
        <w:pStyle w:val="BodyText"/>
      </w:pPr>
      <w:r>
        <w:t xml:space="preserve">0.15</w:t>
      </w:r>
      <w:r>
        <w:t xml:space="preserve"> </w:t>
      </w:r>
      <w:r>
        <w:t xml:space="preserve">0.04 – 0.13</w:t>
      </w:r>
      <w:r>
        <w:t xml:space="preserve"> </w:t>
      </w:r>
      <w:r>
        <w:t xml:space="preserve">28.94</w:t>
      </w:r>
      <w:r>
        <w:t xml:space="preserve"> </w:t>
      </w:r>
      <w:r>
        <w:t xml:space="preserve">7.24 – 20.26</w:t>
      </w:r>
      <w:r>
        <w:t xml:space="preserve"> </w:t>
      </w:r>
      <w:r>
        <w:t xml:space="preserve">18.82</w:t>
      </w:r>
      <w:r>
        <w:t xml:space="preserve"> </w:t>
      </w:r>
      <w:r>
        <w:t xml:space="preserve">4.70 - 13.17</w:t>
      </w:r>
      <w:r>
        <w:t xml:space="preserve"> </w:t>
      </w:r>
      <w:r>
        <w:t xml:space="preserve">- other chemicals</w:t>
      </w:r>
      <w:r>
        <w:t xml:space="preserve"> </w:t>
      </w:r>
      <w:r>
        <w:t xml:space="preserve">152.92</w:t>
      </w:r>
      <w:r>
        <w:t xml:space="preserve"> </w:t>
      </w:r>
      <w:r>
        <w:t xml:space="preserve">Source: the European Drug Report 2024, the European drug precursors database</w:t>
      </w:r>
    </w:p>
    <w:p>
      <w:pPr>
        <w:pStyle w:val="BodyText"/>
      </w:pPr>
      <w:r>
        <w:t xml:space="preserve">In addition, as shown in Figure 2, it is estimated that 3.1 million EU citizens consumed</w:t>
      </w:r>
      <w:r>
        <w:t xml:space="preserve"> </w:t>
      </w:r>
      <w:r>
        <w:t xml:space="preserve">101.2 tonnes ATS in 202247. Depending on the production methods, 197.5 to 378.5 tonnes of</w:t>
      </w:r>
      <w:r>
        <w:t xml:space="preserve"> </w:t>
      </w:r>
      <w:r>
        <w:t xml:space="preserve">key precursors would have been needed to produce that quantity of drugs.</w:t>
      </w:r>
      <w:r>
        <w:br/>
      </w:r>
      <w:r>
        <w:t xml:space="preserve">Figure 2: Estimated consumption of drugs and drug precursors needed to produce them</w:t>
      </w:r>
      <w:r>
        <w:t xml:space="preserve"> </w:t>
      </w:r>
      <w:r>
        <w:t xml:space="preserve">Total 2022 EU market</w:t>
      </w:r>
      <w:r>
        <w:t xml:space="preserve"> </w:t>
      </w:r>
      <w:r>
        <w:t xml:space="preserve">Cocaine</w:t>
      </w:r>
      <w:r>
        <w:br/>
      </w:r>
      <w:r>
        <w:t xml:space="preserve">Heroin</w:t>
      </w:r>
      <w:r>
        <w:t xml:space="preserve"> </w:t>
      </w:r>
      <w:r>
        <w:t xml:space="preserve">ATS</w:t>
      </w:r>
      <w:r>
        <w:t xml:space="preserve"> </w:t>
      </w:r>
      <w:r>
        <w:t xml:space="preserve">Amphetamine group</w:t>
      </w:r>
      <w:r>
        <w:t xml:space="preserve"> </w:t>
      </w:r>
      <w:r>
        <w:t xml:space="preserve">Ecstasy</w:t>
      </w:r>
      <w:r>
        <w:t xml:space="preserve"> </w:t>
      </w:r>
      <w:r>
        <w:t xml:space="preserve">Estimated EU drug market:</w:t>
      </w:r>
    </w:p>
    <w:p>
      <w:pPr>
        <w:pStyle w:val="Compact"/>
        <w:numPr>
          <w:ilvl w:val="0"/>
          <w:numId w:val="1001"/>
        </w:numPr>
      </w:pPr>
      <w:r>
        <w:t xml:space="preserve">number of users (millions)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br/>
      </w:r>
      <w:r>
        <w:t xml:space="preserve">1.3</w:t>
      </w:r>
      <w:r>
        <w:br/>
      </w:r>
      <w:r>
        <w:t xml:space="preserve">1.8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drug consumption (tonnes)</w:t>
      </w:r>
      <w:r>
        <w:t xml:space="preserve"> </w:t>
      </w:r>
      <w:r>
        <w:t xml:space="preserve">158</w:t>
      </w:r>
      <w:r>
        <w:t xml:space="preserve"> </w:t>
      </w:r>
      <w:r>
        <w:t xml:space="preserve">124</w:t>
      </w:r>
      <w:r>
        <w:t xml:space="preserve"> </w:t>
      </w:r>
      <w:r>
        <w:t xml:space="preserve">90.2</w:t>
      </w:r>
      <w:r>
        <w:br/>
      </w:r>
      <w:r>
        <w:t xml:space="preserve">11</w:t>
      </w:r>
      <w:r>
        <w:t xml:space="preserve"> </w:t>
      </w:r>
      <w:r>
        <w:t xml:space="preserve">Estimated drug precursors market in tonnes (how much is needed to produce the drug market)</w:t>
      </w:r>
    </w:p>
    <w:p>
      <w:pPr>
        <w:pStyle w:val="Compact"/>
        <w:numPr>
          <w:ilvl w:val="0"/>
          <w:numId w:val="1001"/>
        </w:numPr>
      </w:pPr>
      <w:r>
        <w:t xml:space="preserve">key or essential precursors48</w:t>
      </w:r>
      <w:r>
        <w:t xml:space="preserve"> </w:t>
      </w:r>
      <w:r>
        <w:t xml:space="preserve">31.6</w:t>
      </w:r>
      <w:r>
        <w:br/>
      </w:r>
      <w:r>
        <w:t xml:space="preserve">340</w:t>
      </w:r>
      <w:r>
        <w:t xml:space="preserve"> </w:t>
      </w:r>
      <w:r>
        <w:t xml:space="preserve">181 t – 362</w:t>
      </w:r>
      <w:r>
        <w:br/>
      </w:r>
      <w:r>
        <w:t xml:space="preserve">16.5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other chemicals</w:t>
      </w:r>
      <w:r>
        <w:t xml:space="preserve"> </w:t>
      </w:r>
      <w:r>
        <w:t xml:space="preserve">2.4 to 3.2</w:t>
      </w:r>
      <w:r>
        <w:t xml:space="preserve"> </w:t>
      </w:r>
      <w:r>
        <w:t xml:space="preserve">214</w:t>
      </w:r>
    </w:p>
    <w:p>
      <w:pPr>
        <w:pStyle w:val="Compact"/>
        <w:numPr>
          <w:ilvl w:val="0"/>
          <w:numId w:val="1001"/>
        </w:numPr>
      </w:pPr>
      <w:r>
        <w:t xml:space="preserve">Source: the European Drug Report 2024 and EUDA estimations</w:t>
      </w:r>
    </w:p>
    <w:p>
      <w:pPr>
        <w:pStyle w:val="FirstParagraph"/>
      </w:pPr>
      <w:r>
        <w:t xml:space="preserve">A Dutch study49 revealed that 614 tonnes of the amphetamine group drugs and 147.7 tonnes of</w:t>
      </w:r>
      <w:r>
        <w:t xml:space="preserve"> </w:t>
      </w:r>
      <w:r>
        <w:t xml:space="preserve">ecstasy were produced in 201750 only the Netherlands. In that same year, 1.7 million EU citizens</w:t>
      </w:r>
      <w:r>
        <w:t xml:space="preserve"> </w:t>
      </w:r>
      <w:r>
        <w:t xml:space="preserve">consumed 118 tonnes of amphetamine and 2,6 million citizens consumed 16 tonnes of ecstasy51.</w:t>
      </w:r>
    </w:p>
    <w:p>
      <w:pPr>
        <w:pStyle w:val="BodyText"/>
      </w:pPr>
      <w:r>
        <w:t xml:space="preserve">45 Key precursors are Category 1 precursors and their related designer precursors.</w:t>
      </w:r>
      <w:r>
        <w:t xml:space="preserve"> </w:t>
      </w:r>
      <w:r>
        <w:t xml:space="preserve">46 European Monitoring Centre for Drugs and Drug Addiction (2024), European Drug Report 2024: Trends and</w:t>
      </w:r>
      <w:r>
        <w:t xml:space="preserve"> </w:t>
      </w:r>
      <w:r>
        <w:t xml:space="preserve">Developments, https://www.emcdda.europa.eu/publications/european-drug-report/2024_enp. 11-12.</w:t>
      </w:r>
      <w:r>
        <w:br/>
      </w:r>
      <w:r>
        <w:t xml:space="preserve">47 The European Drug Report 2024.</w:t>
      </w:r>
      <w:r>
        <w:br/>
      </w:r>
      <w:r>
        <w:t xml:space="preserve">48 Key precursors are substances containing the core molecule of the synthetic drug. Essential chemicals are the</w:t>
      </w:r>
      <w:r>
        <w:t xml:space="preserve"> </w:t>
      </w:r>
      <w:r>
        <w:t xml:space="preserve">chemicals without which cocaine or heroin cannot be extracted.</w:t>
      </w:r>
      <w:r>
        <w:t xml:space="preserve"> </w:t>
      </w:r>
      <w:r>
        <w:t xml:space="preserve">49 Tops, Pieter, van Valkenhoef, Judith, van der Torre, Edward, van Spijk, Luuk, Where a Small Country Can Be</w:t>
      </w:r>
      <w:r>
        <w:t xml:space="preserve"> </w:t>
      </w:r>
      <w:r>
        <w:t xml:space="preserve">Big: The Netherlands and Synthetic Drugs in the Past 50 Years , Koninklijke Boom Uitgevers, Den Haag, 2018.</w:t>
      </w:r>
      <w:r>
        <w:t xml:space="preserve"> </w:t>
      </w:r>
      <w:r>
        <w:t xml:space="preserve">50 The most recent study that estimates the drug production instead of the consumption relates to the year 2017.</w:t>
      </w:r>
      <w:r>
        <w:t xml:space="preserve"> </w:t>
      </w:r>
      <w:r>
        <w:t xml:space="preserve">51 The European Drug Report 2018, https://www.euda.europa.eu/publications/edr/trends-developments/2018_en,</w:t>
      </w:r>
      <w:r>
        <w:t xml:space="preserve"> </w:t>
      </w:r>
      <w:r>
        <w:t xml:space="preserve">p 15.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These significant differences in production and consumption estimates suggest that the EU is</w:t>
      </w:r>
      <w:r>
        <w:t xml:space="preserve"> </w:t>
      </w:r>
      <w:r>
        <w:t xml:space="preserve">an important production hub for the worldwide drug market of ATS.</w:t>
      </w:r>
      <w:r>
        <w:t xml:space="preserve"> </w:t>
      </w:r>
      <w:r>
        <w:t xml:space="preserve">2.1.2. Problem #2: Economic operators and public authorities face unnecessary</w:t>
      </w:r>
      <w:r>
        <w:t xml:space="preserve"> </w:t>
      </w:r>
      <w:r>
        <w:t xml:space="preserve">burdens and inefficiencies in the free movement of licit drug precursors</w:t>
      </w:r>
      <w:r>
        <w:t xml:space="preserve"> </w:t>
      </w:r>
      <w:r>
        <w:t xml:space="preserve">The evaluation52 highlighted opportunities to simplify the complex legal framework and</w:t>
      </w:r>
      <w:r>
        <w:t xml:space="preserve"> </w:t>
      </w:r>
      <w:r>
        <w:t xml:space="preserve">improve procedures for drug precursors without compromising the levels of controls of</w:t>
      </w:r>
      <w:r>
        <w:t xml:space="preserve"> </w:t>
      </w:r>
      <w:r>
        <w:t xml:space="preserve">legitimate drug precursor trade.</w:t>
      </w:r>
      <w:r>
        <w:br/>
      </w:r>
      <w:r>
        <w:t xml:space="preserve">According to the study, feedback of both the economic operators and national authorities about</w:t>
      </w:r>
      <w:r>
        <w:t xml:space="preserve"> </w:t>
      </w:r>
      <w:r>
        <w:t xml:space="preserve">the administrative burden of the regulations was mixed It is true that in the targeted survey,</w:t>
      </w:r>
      <w:r>
        <w:t xml:space="preserve"> </w:t>
      </w:r>
      <w:r>
        <w:t xml:space="preserve">only a minority of public authorities consider implementation burden as problematic.</w:t>
      </w:r>
      <w:r>
        <w:t xml:space="preserve"> </w:t>
      </w:r>
      <w:r>
        <w:t xml:space="preserve">Specifically, only 3 out of 28 consider the burden imposed on authorities to be excessive, and</w:t>
      </w:r>
      <w:r>
        <w:t xml:space="preserve"> </w:t>
      </w:r>
      <w:r>
        <w:t xml:space="preserve">only 5 out of 28 consider the burden imposed on legitimate operators to be excessive. According</w:t>
      </w:r>
      <w:r>
        <w:t xml:space="preserve"> </w:t>
      </w:r>
      <w:r>
        <w:t xml:space="preserve">to the evaluation, for some 36% of operators surveyed (29 out of 81 in total), the drug precursors</w:t>
      </w:r>
      <w:r>
        <w:t xml:space="preserve"> </w:t>
      </w:r>
      <w:r>
        <w:t xml:space="preserve">imposed unnecessary burdens on legal businesses, against an equal number of respondents (29</w:t>
      </w:r>
      <w:r>
        <w:t xml:space="preserve"> </w:t>
      </w:r>
      <w:r>
        <w:t xml:space="preserve">out of 81) of respondents who considered burdens to be acceptable. SMEs had a more</w:t>
      </w:r>
      <w:r>
        <w:t xml:space="preserve"> </w:t>
      </w:r>
      <w:r>
        <w:t xml:space="preserve">favourable view compared to large firms.</w:t>
      </w:r>
      <w:r>
        <w:t xml:space="preserve"> </w:t>
      </w:r>
      <w:r>
        <w:t xml:space="preserve">Likewise, the public consultation for the evaluation confirmed that the benefits achieved in</w:t>
      </w:r>
      <w:r>
        <w:t xml:space="preserve"> </w:t>
      </w:r>
      <w:r>
        <w:t xml:space="preserve">terms of controlling the supply of the drug precursors required to manufacture illegal drugs</w:t>
      </w:r>
      <w:r>
        <w:t xml:space="preserve"> </w:t>
      </w:r>
      <w:r>
        <w:t xml:space="preserve">justify the burden borne by businesses: 56%. Only 16% of the respondents disagreed with this</w:t>
      </w:r>
      <w:r>
        <w:t xml:space="preserve"> </w:t>
      </w:r>
      <w:r>
        <w:t xml:space="preserve">assessment, with the rest being neutral or having no opinion. Yet, during the public consultation</w:t>
      </w:r>
      <w:r>
        <w:t xml:space="preserve"> </w:t>
      </w:r>
      <w:r>
        <w:t xml:space="preserve">for the impact assessment more mixed views have been gathered on the regulatory burden for</w:t>
      </w:r>
      <w:r>
        <w:t xml:space="preserve"> </w:t>
      </w:r>
      <w:r>
        <w:t xml:space="preserve">operators. Certain requirements are considered as particularly burdensome – e.g. the need to</w:t>
      </w:r>
      <w:r>
        <w:t xml:space="preserve"> </w:t>
      </w:r>
      <w:r>
        <w:t xml:space="preserve">obtain declarations of intended use from customers (very/moderately burdensome for 27 out of</w:t>
      </w:r>
      <w:r>
        <w:t xml:space="preserve"> </w:t>
      </w:r>
      <w:r>
        <w:t xml:space="preserve">53 respondents), and the need to obtain import/export authorisations (very/moderately</w:t>
      </w:r>
      <w:r>
        <w:t xml:space="preserve"> </w:t>
      </w:r>
      <w:r>
        <w:t xml:space="preserve">burdensome for 23 out of 53 respondents) - while others are not – e.g. the obligation to notify</w:t>
      </w:r>
      <w:r>
        <w:t xml:space="preserve"> </w:t>
      </w:r>
      <w:r>
        <w:t xml:space="preserve">suspicious transactions, labelling obligations, etc.53. Most respondents of the public</w:t>
      </w:r>
      <w:r>
        <w:t xml:space="preserve"> </w:t>
      </w:r>
      <w:r>
        <w:t xml:space="preserve">consultation consider the administrative burden as ‘highly’ or ‘moderately’ heavier for SMEs54.</w:t>
      </w:r>
      <w:r>
        <w:br/>
      </w:r>
      <w:r>
        <w:t xml:space="preserve">These burdens and inefficiencies cause administrative cost for both companies engaged in the</w:t>
      </w:r>
      <w:r>
        <w:t xml:space="preserve"> </w:t>
      </w:r>
      <w:r>
        <w:t xml:space="preserve">legal trade of drug precursors and the public authorities overseeing them, as shown in Figure 3.</w:t>
      </w:r>
      <w:r>
        <w:t xml:space="preserve"> </w:t>
      </w:r>
      <w:r>
        <w:t xml:space="preserve">For internal trade, about 3 500 operators incur significant costs to verify paper-based customer</w:t>
      </w:r>
      <w:r>
        <w:t xml:space="preserve"> </w:t>
      </w:r>
      <w:r>
        <w:t xml:space="preserve">declarations without adequate safeguards that these are correct. Approximately 4 000 economic</w:t>
      </w:r>
      <w:r>
        <w:t xml:space="preserve"> </w:t>
      </w:r>
      <w:r>
        <w:t xml:space="preserve">operators must annually report a summary of their transactions55.</w:t>
      </w:r>
      <w:r>
        <w:t xml:space="preserve"> </w:t>
      </w:r>
      <w:r>
        <w:t xml:space="preserve">Public authorities face burdens, manually compiling and transmitting data to the Commission</w:t>
      </w:r>
      <w:r>
        <w:t xml:space="preserve"> </w:t>
      </w:r>
      <w:r>
        <w:t xml:space="preserve">and ultimately the UN.</w:t>
      </w:r>
    </w:p>
    <w:p>
      <w:pPr>
        <w:pStyle w:val="BodyText"/>
      </w:pPr>
      <w:r>
        <w:t xml:space="preserve">52 Report from the Commission to the European Parliament and the Council on the Evaluation of the EU drug</w:t>
      </w:r>
      <w:r>
        <w:t xml:space="preserve"> </w:t>
      </w:r>
      <w:r>
        <w:t xml:space="preserve">precursors regulations, COM(2020) 768 and confidential document accompanying the report p. 59ff</w:t>
      </w:r>
      <w:r>
        <w:t xml:space="preserve"> </w:t>
      </w:r>
      <w:r>
        <w:t xml:space="preserve">53 Please see Annex 2 for further details on the consultation results on this aspect.</w:t>
      </w:r>
      <w:r>
        <w:t xml:space="preserve"> </w:t>
      </w:r>
      <w:r>
        <w:t xml:space="preserve">54 28 out of 46 respondents</w:t>
      </w:r>
      <w:r>
        <w:t xml:space="preserve"> </w:t>
      </w:r>
      <w:r>
        <w:t xml:space="preserve">55 Annex 4 provides detailed information on the calculations and assumptions.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Figure 3: Estimated baseline administrative costs for complying with the main legal</w:t>
      </w:r>
      <w:r>
        <w:t xml:space="preserve"> </w:t>
      </w:r>
      <w:r>
        <w:t xml:space="preserve">obligations</w:t>
      </w:r>
      <w:r>
        <w:t xml:space="preserve"> </w:t>
      </w:r>
      <w:r>
        <w:t xml:space="preserve">In millions of</w:t>
      </w:r>
      <w:r>
        <w:t xml:space="preserve"> </w:t>
      </w:r>
      <w:r>
        <w:t xml:space="preserve">EUR</w:t>
      </w:r>
      <w:r>
        <w:t xml:space="preserve"> </w:t>
      </w:r>
      <w:r>
        <w:t xml:space="preserve">Licences &amp;</w:t>
      </w:r>
      <w:r>
        <w:t xml:space="preserve"> </w:t>
      </w:r>
      <w:r>
        <w:t xml:space="preserve">registrations</w:t>
      </w:r>
      <w:r>
        <w:t xml:space="preserve"> </w:t>
      </w:r>
      <w:r>
        <w:t xml:space="preserve">Import &amp; export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Customer declaration</w:t>
      </w:r>
      <w:r>
        <w:t xml:space="preserve"> </w:t>
      </w:r>
      <w:r>
        <w:t xml:space="preserve">Annual reporting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One-off costs</w:t>
      </w:r>
      <w:r>
        <w:t xml:space="preserve"> </w:t>
      </w:r>
      <w:r>
        <w:t xml:space="preserve">1.28 (new)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Annual costs</w:t>
      </w:r>
      <w:r>
        <w:br/>
      </w:r>
      <w:r>
        <w:t xml:space="preserve">0.71 (renewals)</w:t>
      </w:r>
      <w:r>
        <w:t xml:space="preserve"> </w:t>
      </w:r>
      <w:r>
        <w:t xml:space="preserve">6.87</w:t>
      </w:r>
      <w:r>
        <w:br/>
      </w:r>
      <w:r>
        <w:t xml:space="preserve">N/A</w:t>
      </w:r>
      <w:r>
        <w:t xml:space="preserve"> </w:t>
      </w:r>
      <w:r>
        <w:t xml:space="preserve">3.21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One-off costs</w:t>
      </w:r>
      <w:r>
        <w:br/>
      </w:r>
      <w:r>
        <w:t xml:space="preserve">0.74 (new)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Annual costs</w:t>
      </w:r>
      <w:r>
        <w:br/>
      </w:r>
      <w:r>
        <w:t xml:space="preserve">0.22 (renewals)</w:t>
      </w:r>
      <w:r>
        <w:t xml:space="preserve"> </w:t>
      </w:r>
      <w:r>
        <w:t xml:space="preserve">6.41</w:t>
      </w:r>
      <w:r>
        <w:br/>
      </w:r>
      <w:r>
        <w:t xml:space="preserve">15.6 (SMEs)</w:t>
      </w:r>
      <w:r>
        <w:br/>
      </w:r>
      <w:r>
        <w:t xml:space="preserve">6.9 (large</w:t>
      </w:r>
      <w:r>
        <w:t xml:space="preserve"> </w:t>
      </w:r>
      <w:r>
        <w:t xml:space="preserve">companies)22.50</w:t>
      </w:r>
      <w:r>
        <w:t xml:space="preserve"> </w:t>
      </w:r>
      <w:r>
        <w:t xml:space="preserve">2.57 (SMEs)</w:t>
      </w:r>
      <w:r>
        <w:t xml:space="preserve"> </w:t>
      </w:r>
      <w:r>
        <w:t xml:space="preserve">0.64 (large</w:t>
      </w:r>
      <w:r>
        <w:t xml:space="preserve"> </w:t>
      </w:r>
      <w:r>
        <w:t xml:space="preserve">companies)3.21</w:t>
      </w:r>
      <w:r>
        <w:t xml:space="preserve"> </w:t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Furthermore, outdated and unclear EU rules create inefficiencies and long wait times for</w:t>
      </w:r>
      <w:r>
        <w:t xml:space="preserve"> </w:t>
      </w:r>
      <w:r>
        <w:t xml:space="preserve">businesses, hindering swift adaptation to market changes or price fluctuations demands.</w:t>
      </w:r>
      <w:r>
        <w:t xml:space="preserve"> </w:t>
      </w:r>
      <w:r>
        <w:t xml:space="preserve">Especially given that there is an increasing recourse to designer precursors, the existing control</w:t>
      </w:r>
      <w:r>
        <w:t xml:space="preserve"> </w:t>
      </w:r>
      <w:r>
        <w:t xml:space="preserve">mechanisms are becoming increasingly ill-targeted and therefore unnecessary as well as</w:t>
      </w:r>
      <w:r>
        <w:t xml:space="preserve"> </w:t>
      </w:r>
      <w:r>
        <w:t xml:space="preserve">burdensome56.</w:t>
      </w:r>
      <w:r>
        <w:br/>
      </w:r>
      <w:r>
        <w:t xml:space="preserve">This might negatively impact EU companies’ competitiveness. Survey responses on the</w:t>
      </w:r>
      <w:r>
        <w:t xml:space="preserve"> </w:t>
      </w:r>
      <w:r>
        <w:t xml:space="preserve">regulations’ impact on competitiveness are mixed, with most respondents noting no effect and</w:t>
      </w:r>
      <w:r>
        <w:t xml:space="preserve"> </w:t>
      </w:r>
      <w:r>
        <w:t xml:space="preserve">some noting it did.57 While the regulations may not broadly undermine the EU competitiveness,</w:t>
      </w:r>
      <w:r>
        <w:t xml:space="preserve"> </w:t>
      </w:r>
      <w:r>
        <w:t xml:space="preserve">particularly SMEs expressed concerns in the context of intra-EU competition58.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The problems are caused by 4 drivers, as shown in Figure 4.</w:t>
      </w:r>
      <w:r>
        <w:t xml:space="preserve"> </w:t>
      </w:r>
      <w:r>
        <w:t xml:space="preserve">Figure 4: Problem tree</w:t>
      </w:r>
    </w:p>
    <w:p>
      <w:pPr>
        <w:pStyle w:val="BodyText"/>
      </w:pPr>
      <w:r>
        <w:t xml:space="preserve">56 This was confirmed by the evaluation; Confidential document accompanying the evaluation report, p. 89.</w:t>
      </w:r>
      <w:r>
        <w:t xml:space="preserve"> </w:t>
      </w:r>
      <w:r>
        <w:t xml:space="preserve">57 While most respondents (47 out of 82) did not perceive the legislation as affecting their competitiveness, a</w:t>
      </w:r>
      <w:r>
        <w:t xml:space="preserve"> </w:t>
      </w:r>
      <w:r>
        <w:t xml:space="preserve">significant minority (17 out of 81) believed it did, and 10 were uncertain.</w:t>
      </w:r>
      <w:r>
        <w:br/>
      </w:r>
      <w:r>
        <w:t xml:space="preserve">58 Annex 2 summarises the feedback of the stakeholders’ consultation.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2.2.1. Driver 1: Proliferation of designer precursors</w:t>
      </w:r>
      <w:r>
        <w:br/>
      </w:r>
      <w:r>
        <w:t xml:space="preserve">As described in section 2.1., the main challenge to the current EU control system consists of</w:t>
      </w:r>
      <w:r>
        <w:t xml:space="preserve"> </w:t>
      </w:r>
      <w:r>
        <w:t xml:space="preserve">the proliferation of designer precursors, as shown in Figure 5.</w:t>
      </w:r>
      <w:r>
        <w:br/>
      </w:r>
      <w:r>
        <w:t xml:space="preserve">Figure 5: Seizures of traditional and designer key precursors in the period 2012-2023</w:t>
      </w:r>
    </w:p>
    <w:p>
      <w:pPr>
        <w:pStyle w:val="BodyText"/>
      </w:pPr>
      <w:r>
        <w:t xml:space="preserve">Source: The European drug precursors database</w:t>
      </w:r>
    </w:p>
    <w:p>
      <w:pPr>
        <w:pStyle w:val="BodyText"/>
      </w:pPr>
      <w:r>
        <w:t xml:space="preserve">Designer precursors are intentionally designed key precursors created by criminals to</w:t>
      </w:r>
      <w:r>
        <w:t xml:space="preserve"> </w:t>
      </w:r>
      <w:r>
        <w:t xml:space="preserve">circumvent regulatory controls, and as such they are exclusively known for their illicit uses.</w:t>
      </w:r>
      <w:r>
        <w:t xml:space="preserve"> </w:t>
      </w:r>
      <w:r>
        <w:t xml:space="preserve">Designer precursors are especially used in the production of synthetic drugs, i.e. MDMA,</w:t>
      </w:r>
      <w:r>
        <w:t xml:space="preserve"> </w:t>
      </w:r>
      <w:r>
        <w:t xml:space="preserve">amphetamine, methamphetamine, and synthetic opioids. They have emerged because of the</w:t>
      </w:r>
      <w:r>
        <w:t xml:space="preserve"> </w:t>
      </w:r>
      <w:r>
        <w:t xml:space="preserve">controls applied to traditional drug precursors, which prompted criminals to find ways to bypass</w:t>
      </w:r>
      <w:r>
        <w:t xml:space="preserve"> </w:t>
      </w:r>
      <w:r>
        <w:t xml:space="preserve">such controls. Since their first appearance around 2010, designer precursors have rapidly</w:t>
      </w:r>
      <w:r>
        <w:t xml:space="preserve"> </w:t>
      </w:r>
      <w:r>
        <w:t xml:space="preserve">replaced traditional drug precursors in the illicit drug supply chain. In 2023, about 90 % of the</w:t>
      </w:r>
      <w:r>
        <w:t xml:space="preserve"> </w:t>
      </w:r>
      <w:r>
        <w:t xml:space="preserve">142.5 tonnes of key precursors seized were designer precursors. The issues with designer</w:t>
      </w:r>
      <w:r>
        <w:t xml:space="preserve"> </w:t>
      </w:r>
      <w:r>
        <w:t xml:space="preserve">precursors can be considered as part of drug criminality as the modus operandi is identical i.e. </w:t>
      </w:r>
      <w:r>
        <w:t xml:space="preserve"> </w:t>
      </w:r>
      <w:r>
        <w:t xml:space="preserve">designer precursors are misclassified as another product, packages are mislabelled, fake</w:t>
      </w:r>
      <w:r>
        <w:t xml:space="preserve"> </w:t>
      </w:r>
      <w:r>
        <w:t xml:space="preserve">addresses and names of companies are used etc. The current regulations are not adapted to</w:t>
      </w:r>
      <w:r>
        <w:t xml:space="preserve"> </w:t>
      </w:r>
      <w:r>
        <w:t xml:space="preserve">respond to this development.</w:t>
      </w:r>
      <w:r>
        <w:t xml:space="preserve"> </w:t>
      </w:r>
      <w:r>
        <w:t xml:space="preserve">The proliferation of designer precursors implies an increase of trafficking of non-scheduled</w:t>
      </w:r>
      <w:r>
        <w:t xml:space="preserve"> </w:t>
      </w:r>
      <w:r>
        <w:t xml:space="preserve">substances. As already explained, there are no legal obligations attached to non-scheduled</w:t>
      </w:r>
      <w:r>
        <w:t xml:space="preserve"> </w:t>
      </w:r>
      <w:r>
        <w:t xml:space="preserve">substances in the regulations. The evaluation revealed that the catch-all clause for non-</w:t>
      </w:r>
      <w:r>
        <w:t xml:space="preserve"> </w:t>
      </w:r>
      <w:r>
        <w:t xml:space="preserve">scheduled substances did not prove successful for various reasons. Firstly, the catch-all clause</w:t>
      </w:r>
      <w:r>
        <w:t xml:space="preserve"> </w:t>
      </w:r>
      <w:r>
        <w:t xml:space="preserve">allows but does not oblige Member States to adopt rules empowering their authorities to act</w:t>
      </w:r>
      <w:r>
        <w:t xml:space="preserve"> </w:t>
      </w:r>
      <w:r>
        <w:t xml:space="preserve">swiftly in the event of suspicious transactions with non-scheduled substances. Consequently,</w:t>
      </w:r>
      <w:r>
        <w:t xml:space="preserve"> </w:t>
      </w:r>
      <w:r>
        <w:t xml:space="preserve">only a few Member States have adopted such measures. Secondly, national authorities face</w:t>
      </w:r>
      <w:r>
        <w:t xml:space="preserve"> </w:t>
      </w:r>
      <w:r>
        <w:t xml:space="preserve">difficulties in identifying sufficient evidence to justify their intervention, as these substances</w:t>
      </w:r>
      <w:r>
        <w:t xml:space="preserve"> </w:t>
      </w:r>
      <w:r>
        <w:t xml:space="preserve">are not formally scheduled. Thirdly, the External Trade Regulation’ only prohibits import or</w:t>
      </w:r>
      <w:r>
        <w:t xml:space="preserve"> </w:t>
      </w:r>
      <w:r>
        <w:t xml:space="preserve">export, with no provision for seizure, thereby limiting the deterrent effect on criminals.</w:t>
      </w:r>
      <w:r>
        <w:br/>
      </w:r>
      <w:r>
        <w:t xml:space="preserve">2012 2013 2014 2015 2016 2017 2018 2019 2020 2021 2022 2023</w:t>
      </w:r>
      <w:r>
        <w:t xml:space="preserve"> </w:t>
      </w:r>
      <w:r>
        <w:t xml:space="preserve">Designer precursors</w:t>
      </w:r>
      <w:r>
        <w:t xml:space="preserve"> </w:t>
      </w:r>
      <w:r>
        <w:t xml:space="preserve">18,38 53,4 11,67 7,22 15,63 35,64 70,29 38,88 36,09 16,59 40,79 131,14</w:t>
      </w:r>
      <w:r>
        <w:t xml:space="preserve"> </w:t>
      </w:r>
      <w:r>
        <w:t xml:space="preserve">Traditional drug precursors 4,58 37,34</w:t>
      </w:r>
      <w:r>
        <w:t xml:space="preserve"> </w:t>
      </w:r>
      <w:r>
        <w:t xml:space="preserve">3,4</w:t>
      </w:r>
      <w:r>
        <w:t xml:space="preserve"> </w:t>
      </w:r>
      <w:r>
        <w:t xml:space="preserve">8,85</w:t>
      </w:r>
      <w:r>
        <w:t xml:space="preserve"> </w:t>
      </w:r>
      <w:r>
        <w:t xml:space="preserve">6,56 13,88 10,7</w:t>
      </w:r>
      <w:r>
        <w:t xml:space="preserve"> </w:t>
      </w:r>
      <w:r>
        <w:t xml:space="preserve">14</w:t>
      </w:r>
      <w:r>
        <w:t xml:space="preserve"> </w:t>
      </w:r>
      <w:r>
        <w:t xml:space="preserve">6,51</w:t>
      </w:r>
      <w:r>
        <w:t xml:space="preserve"> </w:t>
      </w:r>
      <w:r>
        <w:t xml:space="preserve">7,27</w:t>
      </w:r>
      <w:r>
        <w:t xml:space="preserve"> </w:t>
      </w:r>
      <w:r>
        <w:t xml:space="preserve">6,82 14,18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Tonnes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To reinforce the response of national authorities, the Commission scheduled designer</w:t>
      </w:r>
      <w:r>
        <w:t xml:space="preserve"> </w:t>
      </w:r>
      <w:r>
        <w:t xml:space="preserve">precursors in Category 1. However, the ordinary substance-by-substance scheduling is unfit for</w:t>
      </w:r>
      <w:r>
        <w:t xml:space="preserve"> </w:t>
      </w:r>
      <w:r>
        <w:t xml:space="preserve">designer precursors regarding both timeliness and scope. Firstly, while it could easily take one</w:t>
      </w:r>
      <w:r>
        <w:t xml:space="preserve"> </w:t>
      </w:r>
      <w:r>
        <w:t xml:space="preserve">year until a delegated act is published59, criminals need less time to design new substances.</w:t>
      </w:r>
      <w:r>
        <w:t xml:space="preserve"> </w:t>
      </w:r>
      <w:r>
        <w:t xml:space="preserve">Secondly, scheduling of individual substances at a time also implies that criminals can switch</w:t>
      </w:r>
      <w:r>
        <w:t xml:space="preserve"> </w:t>
      </w:r>
      <w:r>
        <w:t xml:space="preserve">to the next generation of designer precursors in response to the placement of a given substance</w:t>
      </w:r>
      <w:r>
        <w:t xml:space="preserve"> </w:t>
      </w:r>
      <w:r>
        <w:t xml:space="preserve">under control. Figure 6 illustrates the progression of designer precursors of BMK60, a key</w:t>
      </w:r>
      <w:r>
        <w:t xml:space="preserve"> </w:t>
      </w:r>
      <w:r>
        <w:t xml:space="preserve">precursor of amphetamine. To evade control measures, criminals began using various designer</w:t>
      </w:r>
      <w:r>
        <w:t xml:space="preserve"> </w:t>
      </w:r>
      <w:r>
        <w:t xml:space="preserve">precursors. APAAN61 was the first designer precursors to be scheduled late 2013. After its</w:t>
      </w:r>
      <w:r>
        <w:t xml:space="preserve"> </w:t>
      </w:r>
      <w:r>
        <w:t xml:space="preserve">scheduling, seizures of APAAN dropped significantly. In 2018, APAA62 emerged as the new</w:t>
      </w:r>
      <w:r>
        <w:t xml:space="preserve"> </w:t>
      </w:r>
      <w:r>
        <w:t xml:space="preserve">designer precursors. Criminals, anticipating the scheduling of APAA, quickly turned to</w:t>
      </w:r>
      <w:r>
        <w:t xml:space="preserve"> </w:t>
      </w:r>
      <w:r>
        <w:t xml:space="preserve">MAPA63 as the next alternative. Following the EU’s scheduling of APAA and MAPA in 2020,</w:t>
      </w:r>
      <w:r>
        <w:t xml:space="preserve"> </w:t>
      </w:r>
      <w:r>
        <w:t xml:space="preserve">seizures of these designer precursors also declined, with criminals already preparing the next</w:t>
      </w:r>
      <w:r>
        <w:t xml:space="preserve"> </w:t>
      </w:r>
      <w:r>
        <w:t xml:space="preserve">set of designer precursors.</w:t>
      </w:r>
      <w:r>
        <w:t xml:space="preserve"> </w:t>
      </w:r>
      <w:r>
        <w:t xml:space="preserve">Figure 6: Seizure of BMK and its designer precursors – impact of scheduling</w:t>
      </w:r>
    </w:p>
    <w:p>
      <w:pPr>
        <w:pStyle w:val="BodyText"/>
      </w:pPr>
      <w:r>
        <w:t xml:space="preserve">Legend: Commission Delegated Regulation (EU)1259/2013, scheduling APAAN; Commission Delegated</w:t>
      </w:r>
      <w:r>
        <w:t xml:space="preserve"> </w:t>
      </w:r>
      <w:r>
        <w:t xml:space="preserve">Regulation (EU) 2020/1737, scheduling APAA, MAPA; BMK glycidic acid, BMK methyl glycidate64; Commission</w:t>
      </w:r>
      <w:r>
        <w:t xml:space="preserve"> </w:t>
      </w:r>
      <w:r>
        <w:t xml:space="preserve">Delegated Regulation (EU) 2022/1518, scheduling EAPA65; Commission Delegated Regulation (EU) 2023/196,</w:t>
      </w:r>
      <w:r>
        <w:t xml:space="preserve"> </w:t>
      </w:r>
      <w:r>
        <w:t xml:space="preserve">scheduling DEPAPD66.</w:t>
      </w:r>
      <w:r>
        <w:t xml:space="preserve"> </w:t>
      </w:r>
      <w:r>
        <w:t xml:space="preserve">Source: The European drug precursors database</w:t>
      </w:r>
    </w:p>
    <w:p>
      <w:pPr>
        <w:pStyle w:val="BodyText"/>
      </w:pPr>
      <w:r>
        <w:t xml:space="preserve">59 Several consultations need to take place (publication for public feedback, Technical Barrier to Trade</w:t>
      </w:r>
      <w:r>
        <w:t xml:space="preserve"> </w:t>
      </w:r>
      <w:r>
        <w:t xml:space="preserve">notification), in addition to the 2-month for the Council and the EP to object to the delegated regulation.</w:t>
      </w:r>
      <w:r>
        <w:t xml:space="preserve"> </w:t>
      </w:r>
      <w:r>
        <w:t xml:space="preserve">60 1-phenyl-2-propanone, BMK, is a chemical substance used as a fragrance or flavouring agent. It is a Category</w:t>
      </w:r>
      <w:r>
        <w:t xml:space="preserve"> </w:t>
      </w:r>
      <w:r>
        <w:t xml:space="preserve">1 substance since the 1990’s.</w:t>
      </w:r>
      <w:r>
        <w:t xml:space="preserve"> </w:t>
      </w:r>
      <w:r>
        <w:t xml:space="preserve">61 Alpha-phenylacetoacetonitrile.</w:t>
      </w:r>
      <w:r>
        <w:t xml:space="preserve"> </w:t>
      </w:r>
      <w:r>
        <w:t xml:space="preserve">62 Alpha-phenylacetoacetamide.</w:t>
      </w:r>
      <w:r>
        <w:t xml:space="preserve"> </w:t>
      </w:r>
      <w:r>
        <w:t xml:space="preserve">63 Methyl alpha-phenylacetoacetate.</w:t>
      </w:r>
      <w:r>
        <w:t xml:space="preserve"> </w:t>
      </w:r>
      <w:r>
        <w:t xml:space="preserve">64 BMK glycidic acid and BMK methyl glycidate remained highly available, because it was not yet scheduled as</w:t>
      </w:r>
      <w:r>
        <w:t xml:space="preserve"> </w:t>
      </w:r>
      <w:r>
        <w:t xml:space="preserve">international level. See the study.</w:t>
      </w:r>
      <w:r>
        <w:t xml:space="preserve"> </w:t>
      </w:r>
      <w:r>
        <w:t xml:space="preserve">65 Ethyl alpha-phenylacetoacetate.</w:t>
      </w:r>
      <w:r>
        <w:t xml:space="preserve"> </w:t>
      </w:r>
      <w:r>
        <w:t xml:space="preserve">66 Diethyl (phenylacetyl) propanedioate.</w:t>
      </w:r>
      <w:r>
        <w:t xml:space="preserve"> </w:t>
      </w:r>
      <w:r>
        <w:t xml:space="preserve">Scheduling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2.2.2. Driver 2: Untapped potential for economic operators’ engagement</w:t>
      </w:r>
      <w:r>
        <w:t xml:space="preserve"> </w:t>
      </w:r>
      <w:r>
        <w:t xml:space="preserve">The identification of illicit use of drug precursors heavily depends on the cooperation of the</w:t>
      </w:r>
      <w:r>
        <w:t xml:space="preserve"> </w:t>
      </w:r>
      <w:r>
        <w:t xml:space="preserve">legitimate operators, especially on the notification of suspicious transactions67. While a relative</w:t>
      </w:r>
      <w:r>
        <w:t xml:space="preserve"> </w:t>
      </w:r>
      <w:r>
        <w:t xml:space="preserve">majority of operators expressed a positive opinion on the current cooperation between</w:t>
      </w:r>
      <w:r>
        <w:t xml:space="preserve"> </w:t>
      </w:r>
      <w:r>
        <w:t xml:space="preserve">authorities and the industry, national authorities are comparatively less satisfied68. In</w:t>
      </w:r>
      <w:r>
        <w:t xml:space="preserve"> </w:t>
      </w:r>
      <w:r>
        <w:t xml:space="preserve">accordance with the study, there is a large discrepancy in the number of notifications across the</w:t>
      </w:r>
      <w:r>
        <w:t xml:space="preserve"> </w:t>
      </w:r>
      <w:r>
        <w:t xml:space="preserve">EU: in 2023, 16 Member States received 324 notifications, three out of them received roughly</w:t>
      </w:r>
      <w:r>
        <w:t xml:space="preserve"> </w:t>
      </w:r>
      <w:r>
        <w:t xml:space="preserve">2/3 of the total, while seven reported no notification at all.69 These 324 notifications70 can be</w:t>
      </w:r>
      <w:r>
        <w:t xml:space="preserve"> </w:t>
      </w:r>
      <w:r>
        <w:t xml:space="preserve">compared to the 1 900 seizure cases71 of ‘traditional’ precursors in 2023 that have been diverted</w:t>
      </w:r>
      <w:r>
        <w:t xml:space="preserve"> </w:t>
      </w:r>
      <w:r>
        <w:t xml:space="preserve">from the legal trade circuit72. Various reasons can lead to a reduced number of notifications,</w:t>
      </w:r>
      <w:r>
        <w:t xml:space="preserve"> </w:t>
      </w:r>
      <w:r>
        <w:t xml:space="preserve">including a lack of awareness of the rules or of the common ways to produce drugs. Besides</w:t>
      </w:r>
      <w:r>
        <w:t xml:space="preserve"> </w:t>
      </w:r>
      <w:r>
        <w:t xml:space="preserve">the known complexity of the legal framework, the access to information is difficult. The</w:t>
      </w:r>
      <w:r>
        <w:t xml:space="preserve"> </w:t>
      </w:r>
      <w:r>
        <w:t xml:space="preserve">guidelines for the identification of suspicious transactions and the VML are communicated by</w:t>
      </w:r>
      <w:r>
        <w:t xml:space="preserve"> </w:t>
      </w:r>
      <w:r>
        <w:t xml:space="preserve">national authorities only to trusted operators. This unavoidably leads to situations where</w:t>
      </w:r>
      <w:r>
        <w:t xml:space="preserve"> </w:t>
      </w:r>
      <w:r>
        <w:t xml:space="preserve">operators dealing with non-scheduled substances do not have access thereto.</w:t>
      </w:r>
      <w:r>
        <w:br/>
      </w:r>
      <w:r>
        <w:t xml:space="preserve">2.2.3. Driver 3: Uneven implementation and enforcement in Member States</w:t>
      </w:r>
      <w:r>
        <w:br/>
      </w:r>
      <w:r>
        <w:t xml:space="preserve">The 2020 evaluation concluded that the implementation varied significantly among Member</w:t>
      </w:r>
      <w:r>
        <w:t xml:space="preserve"> </w:t>
      </w:r>
      <w:r>
        <w:t xml:space="preserve">States due to differences in resources, verification practices and national circumstances</w:t>
      </w:r>
      <w:r>
        <w:t xml:space="preserve"> </w:t>
      </w:r>
      <w:r>
        <w:t xml:space="preserve">influencing their priorities73. The in the targeted survey, authorities reconfirmed this uneven</w:t>
      </w:r>
      <w:r>
        <w:t xml:space="preserve"> </w:t>
      </w:r>
      <w:r>
        <w:t xml:space="preserve">implementation and enforcement across EU countries74. This creates paths of least resistance</w:t>
      </w:r>
      <w:r>
        <w:t xml:space="preserve"> </w:t>
      </w:r>
      <w:r>
        <w:t xml:space="preserve">that may be exploited for trafficking precursors with open internal borders, the EU’s security is</w:t>
      </w:r>
      <w:r>
        <w:t xml:space="preserve"> </w:t>
      </w:r>
      <w:r>
        <w:t xml:space="preserve">only as strong as its weakest point of entry 7576￼.</w:t>
      </w:r>
      <w:r>
        <w:t xml:space="preserve"> </w:t>
      </w:r>
      <w:r>
        <w:t xml:space="preserve">The efficient enforcement of the regulations is challenged by the difficulties in identifying</w:t>
      </w:r>
      <w:r>
        <w:t xml:space="preserve"> </w:t>
      </w:r>
      <w:r>
        <w:t xml:space="preserve">designer precursors. 11 of the 37 national authorities77 in the targeted survey indicated</w:t>
      </w:r>
      <w:r>
        <w:t xml:space="preserve"> </w:t>
      </w:r>
      <w:r>
        <w:t xml:space="preserve">insufficient enforcement capacity, and interviews pointed, inter alia, to the lack of reference</w:t>
      </w:r>
      <w:r>
        <w:t xml:space="preserve"> </w:t>
      </w:r>
      <w:r>
        <w:t xml:space="preserve">standards for forensic purposes and of detection equipment at EU entry points.</w:t>
      </w:r>
    </w:p>
    <w:p>
      <w:pPr>
        <w:pStyle w:val="BodyText"/>
      </w:pPr>
      <w:r>
        <w:t xml:space="preserve">67 The evaluation pointed out to deficiencies in the application of the regulations to acetic anhydride, a drug</w:t>
      </w:r>
      <w:r>
        <w:t xml:space="preserve"> </w:t>
      </w:r>
      <w:r>
        <w:t xml:space="preserve">precursor with significant legitimate trade. Nevertheless, the study could not find any evidence that any such</w:t>
      </w:r>
      <w:r>
        <w:t xml:space="preserve"> </w:t>
      </w:r>
      <w:r>
        <w:t xml:space="preserve">difficulties would be of a general nature or in any way caused by an inappropriate regulation at EU level. The</w:t>
      </w:r>
      <w:r>
        <w:t xml:space="preserve"> </w:t>
      </w:r>
      <w:r>
        <w:t xml:space="preserve">remaining explanation seems to be the insufficient cooperation with the industry, which is the first line of defence</w:t>
      </w:r>
      <w:r>
        <w:t xml:space="preserve"> </w:t>
      </w:r>
      <w:r>
        <w:t xml:space="preserve">to avoid the diversion from legitimate uses to illicit manufacture of drugs, by notifying suspicious transactions.</w:t>
      </w:r>
      <w:r>
        <w:br/>
      </w:r>
      <w:r>
        <w:t xml:space="preserve">68 Targeted survey :33 out of 80 operators replied positive, against 22 negative and 12 out of 28 authorities replied</w:t>
      </w:r>
      <w:r>
        <w:t xml:space="preserve"> </w:t>
      </w:r>
      <w:r>
        <w:t xml:space="preserve">negative against 8 positives.</w:t>
      </w:r>
      <w:r>
        <w:br/>
      </w:r>
      <w:r>
        <w:t xml:space="preserve">69 Targeted survey.</w:t>
      </w:r>
      <w:r>
        <w:t xml:space="preserve"> </w:t>
      </w:r>
      <w:r>
        <w:t xml:space="preserve">70 Targeted survey.</w:t>
      </w:r>
      <w:r>
        <w:t xml:space="preserve"> </w:t>
      </w:r>
      <w:r>
        <w:t xml:space="preserve">71 Source: EU drug precursors database</w:t>
      </w:r>
      <w:r>
        <w:t xml:space="preserve"> </w:t>
      </w:r>
      <w:r>
        <w:t xml:space="preserve">72 The 2025 EU Drug Market analysis on MDMA of EUDA and Europol confirms that the supply is typically</w:t>
      </w:r>
      <w:r>
        <w:t xml:space="preserve"> </w:t>
      </w:r>
      <w:r>
        <w:t xml:space="preserve">assured by dedicated criminal networks with connections to legitimate business.</w:t>
      </w:r>
      <w:r>
        <w:t xml:space="preserve"> </w:t>
      </w:r>
      <w:r>
        <w:t xml:space="preserve">73 Confidential document accompanying the evaluation report, p. 84, See also Annex 10, Section 3.3.</w:t>
      </w:r>
      <w:r>
        <w:t xml:space="preserve"> </w:t>
      </w:r>
      <w:r>
        <w:t xml:space="preserve">74 Targeted survey:15 out of 27 national authorities are of opinion that the EU drug precursors policy is unevenly</w:t>
      </w:r>
      <w:r>
        <w:t xml:space="preserve"> </w:t>
      </w:r>
      <w:r>
        <w:t xml:space="preserve">implemented or enforced across EU countries.</w:t>
      </w:r>
      <w:r>
        <w:t xml:space="preserve"> </w:t>
      </w:r>
      <w:r>
        <w:t xml:space="preserve">75 Study, Annex 6, p. 69. Also, EUDA, OLAF and Europol investigators confirmed the exploitation of weak entry</w:t>
      </w:r>
      <w:r>
        <w:t xml:space="preserve"> </w:t>
      </w:r>
      <w:r>
        <w:t xml:space="preserve">points by criminals as one of the modus operandi.</w:t>
      </w:r>
      <w:r>
        <w:t xml:space="preserve"> </w:t>
      </w:r>
      <w:r>
        <w:t xml:space="preserve">76 Given the decentralisation of the current drug precursors systems, the seizures of precursors at an EU border</w:t>
      </w:r>
      <w:r>
        <w:t xml:space="preserve"> </w:t>
      </w:r>
      <w:r>
        <w:t xml:space="preserve">that differs from their destination country indicates the use of paths of least resistance. In 2023, 40% of the key</w:t>
      </w:r>
      <w:r>
        <w:t xml:space="preserve"> </w:t>
      </w:r>
      <w:r>
        <w:t xml:space="preserve">precursors seized were seized at EU borders other than their intended destination.</w:t>
      </w:r>
      <w:r>
        <w:t xml:space="preserve"> </w:t>
      </w:r>
      <w:r>
        <w:t xml:space="preserve">77 37 national authorities, based in 21 Member States participated in the survey.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The European drug report 2025 listed online trafficking of precursors among the trends and</w:t>
      </w:r>
      <w:r>
        <w:t xml:space="preserve"> </w:t>
      </w:r>
      <w:r>
        <w:t xml:space="preserve">development for illicit drug markets78. Surface websites are used to sell drug precursors and</w:t>
      </w:r>
      <w:r>
        <w:t xml:space="preserve"> </w:t>
      </w:r>
      <w:r>
        <w:t xml:space="preserve">other substances used in drug production. According to the report, buyers and sellers favour</w:t>
      </w:r>
      <w:r>
        <w:t xml:space="preserve"> </w:t>
      </w:r>
      <w:r>
        <w:t xml:space="preserve">especially social media platforms while the attractivity of the darknet has diminished. In</w:t>
      </w:r>
      <w:r>
        <w:t xml:space="preserve"> </w:t>
      </w:r>
      <w:r>
        <w:t xml:space="preserve">accordance with Europol, the illegal trade of precursors takes place on both the surface web and</w:t>
      </w:r>
      <w:r>
        <w:t xml:space="preserve"> </w:t>
      </w:r>
      <w:r>
        <w:t xml:space="preserve">the darknet, but the available evidence is largely anecdotal, as no systematic monitoring of this</w:t>
      </w:r>
      <w:r>
        <w:t xml:space="preserve"> </w:t>
      </w:r>
      <w:r>
        <w:t xml:space="preserve">issue is carried out in the EU.</w:t>
      </w:r>
      <w:r>
        <w:t xml:space="preserve"> </w:t>
      </w:r>
      <w:r>
        <w:t xml:space="preserve">In addition, the uneven enforcement and implementation capacity generates unnecessary</w:t>
      </w:r>
      <w:r>
        <w:t xml:space="preserve"> </w:t>
      </w:r>
      <w:r>
        <w:t xml:space="preserve">burdens and inefficiencies for businesses. For example, the limited resources available in</w:t>
      </w:r>
      <w:r>
        <w:t xml:space="preserve"> </w:t>
      </w:r>
      <w:r>
        <w:t xml:space="preserve">combination with the current rules lead to up to three-months waiting periods for receiving a</w:t>
      </w:r>
      <w:r>
        <w:t xml:space="preserve"> </w:t>
      </w:r>
      <w:r>
        <w:t xml:space="preserve">(renewed or modified) license or registration79.</w:t>
      </w:r>
      <w:r>
        <w:t xml:space="preserve"> </w:t>
      </w:r>
      <w:r>
        <w:t xml:space="preserve">The evidence collected both during the evaluation and the study confirm that there are various</w:t>
      </w:r>
      <w:r>
        <w:t xml:space="preserve"> </w:t>
      </w:r>
      <w:r>
        <w:t xml:space="preserve">national rules implementing the regulations. For example, licenses and registrations have</w:t>
      </w:r>
      <w:r>
        <w:t xml:space="preserve"> </w:t>
      </w:r>
      <w:r>
        <w:t xml:space="preserve">various periods of validity, some are renewed after three years - others automatically. In several</w:t>
      </w:r>
      <w:r>
        <w:t xml:space="preserve"> </w:t>
      </w:r>
      <w:r>
        <w:t xml:space="preserve">Member States, licenses cost the same as registrations (EUR 1 700 in Sweden, EUR 350 in</w:t>
      </w:r>
      <w:r>
        <w:t xml:space="preserve"> </w:t>
      </w:r>
      <w:r>
        <w:t xml:space="preserve">Belgium, EUR 110 in Germany), while in others a distinction is made (EUR 170 license fee in</w:t>
      </w:r>
      <w:r>
        <w:t xml:space="preserve"> </w:t>
      </w:r>
      <w:r>
        <w:t xml:space="preserve">Poland compared to just EUR 2.30 for registration). Finally, some Member States have</w:t>
      </w:r>
      <w:r>
        <w:t xml:space="preserve"> </w:t>
      </w:r>
      <w:r>
        <w:t xml:space="preserve">additional requirements at national level (such as a ban on certain designer precursors based on</w:t>
      </w:r>
      <w:r>
        <w:t xml:space="preserve"> </w:t>
      </w:r>
      <w:r>
        <w:t xml:space="preserve">a national list in the Netherlands; Czechia controls the quantity of Category 4 products that</w:t>
      </w:r>
      <w:r>
        <w:t xml:space="preserve"> </w:t>
      </w:r>
      <w:r>
        <w:t xml:space="preserve">individuals can buy in pharmacies; Denmark has special rules for issuing licences for</w:t>
      </w:r>
      <w:r>
        <w:t xml:space="preserve"> </w:t>
      </w:r>
      <w:r>
        <w:t xml:space="preserve">substances with no known legal use or Italy requires to notify antidrug authorities of shipment</w:t>
      </w:r>
      <w:r>
        <w:t xml:space="preserve"> </w:t>
      </w:r>
      <w:r>
        <w:t xml:space="preserve">of precursors within 24 hours since the movement has physically occurred). The lack of</w:t>
      </w:r>
      <w:r>
        <w:t xml:space="preserve"> </w:t>
      </w:r>
      <w:r>
        <w:t xml:space="preserve">harmonisation in Member States is problematic especially for companies that operate in</w:t>
      </w:r>
      <w:r>
        <w:t xml:space="preserve"> </w:t>
      </w:r>
      <w:r>
        <w:t xml:space="preserve">multiple markets, as they must customise procedures depending on the specific country.80</w:t>
      </w:r>
      <w:r>
        <w:br/>
      </w:r>
      <w:r>
        <w:t xml:space="preserve">2.2.4. Driver 4: Unclear and outdated EU rules</w:t>
      </w:r>
      <w:r>
        <w:br/>
      </w:r>
      <w:r>
        <w:t xml:space="preserve">EU rules on drug precursors are not sufficiently clear and targeted.</w:t>
      </w:r>
      <w:r>
        <w:t xml:space="preserve"> </w:t>
      </w:r>
      <w:r>
        <w:t xml:space="preserve">Firstly, the legal framework is too complex. Two regulations govern the trade of the same</w:t>
      </w:r>
      <w:r>
        <w:t xml:space="preserve"> </w:t>
      </w:r>
      <w:r>
        <w:t xml:space="preserve">substances: e.g. some of the provisions are not aligned leading to difficulties in implementation.</w:t>
      </w:r>
      <w:r>
        <w:t xml:space="preserve"> </w:t>
      </w:r>
      <w:r>
        <w:t xml:space="preserve">Most of the public authorities that responded to the targeted survey (16 out of 28) found the co-</w:t>
      </w:r>
      <w:r>
        <w:t xml:space="preserve"> </w:t>
      </w:r>
      <w:r>
        <w:t xml:space="preserve">existence of two regulations inconvenient81.</w:t>
      </w:r>
      <w:r>
        <w:t xml:space="preserve"> </w:t>
      </w:r>
      <w:r>
        <w:t xml:space="preserve">Secondly, the interviews conducted during the study showed that the regulations are interpreted</w:t>
      </w:r>
      <w:r>
        <w:t xml:space="preserve"> </w:t>
      </w:r>
      <w:r>
        <w:t xml:space="preserve">variously across Member States. For example, one company had to request a registration for</w:t>
      </w:r>
      <w:r>
        <w:t xml:space="preserve"> </w:t>
      </w:r>
      <w:r>
        <w:t xml:space="preserve">activities in one Member State but not for identical activities in another due to various</w:t>
      </w:r>
      <w:r>
        <w:t xml:space="preserve"> </w:t>
      </w:r>
      <w:r>
        <w:t xml:space="preserve">interpretation of ‘placing on the market’. Similarly, discussions in the 2023 and 2024 meetings</w:t>
      </w:r>
      <w:r>
        <w:t xml:space="preserve"> </w:t>
      </w:r>
      <w:r>
        <w:t xml:space="preserve">of the Commission Expert Group on drug precursors (‘the Expert Group’) pointed out that</w:t>
      </w:r>
    </w:p>
    <w:p>
      <w:pPr>
        <w:pStyle w:val="BodyText"/>
      </w:pPr>
      <w:r>
        <w:t xml:space="preserve">78 EUDA, The European Drug Report 2025, p. 14; While online trade was identified as an issue by the evaluation,</w:t>
      </w:r>
      <w:r>
        <w:t xml:space="preserve"> </w:t>
      </w:r>
      <w:r>
        <w:t xml:space="preserve">this assessment predates the adoption of the DSA. Illegal online trade is therefore no longer treated as a separate</w:t>
      </w:r>
      <w:r>
        <w:t xml:space="preserve"> </w:t>
      </w:r>
      <w:r>
        <w:t xml:space="preserve">problem driver but as an aspect of enforcement. The DSA regulates online intermediaries and platforms such as</w:t>
      </w:r>
      <w:r>
        <w:t xml:space="preserve"> </w:t>
      </w:r>
      <w:r>
        <w:t xml:space="preserve">marketplaces, social networks, content-sharing platforms, app stores, and online travel and accommodation</w:t>
      </w:r>
      <w:r>
        <w:t xml:space="preserve"> </w:t>
      </w:r>
      <w:r>
        <w:t xml:space="preserve">platforms. Its main goal is to prevent illegal and harmful activities online and the spread of disinformation.</w:t>
      </w:r>
      <w:r>
        <w:t xml:space="preserve"> </w:t>
      </w:r>
      <w:r>
        <w:t xml:space="preserve">Regulation (EU) 2022/2065 of the European Parliament and of the Council of 19 October 2022 on a Single Market</w:t>
      </w:r>
      <w:r>
        <w:t xml:space="preserve"> </w:t>
      </w:r>
      <w:r>
        <w:t xml:space="preserve">for Digital Services and amending Directive 2000/31/EC (Digital Services Act), OJ L 277, 27.10.2022, p. 1–102.</w:t>
      </w:r>
      <w:r>
        <w:t xml:space="preserve"> </w:t>
      </w:r>
      <w:r>
        <w:t xml:space="preserve">79 Study, p. 38.</w:t>
      </w:r>
      <w:r>
        <w:t xml:space="preserve"> </w:t>
      </w:r>
      <w:r>
        <w:t xml:space="preserve">80 Study, p. 33.</w:t>
      </w:r>
      <w:r>
        <w:t xml:space="preserve"> </w:t>
      </w:r>
      <w:r>
        <w:t xml:space="preserve">81 Annex 9 points out the numerous situations where there are differences in drafting the same obligations.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national authorities have various understandings as regards which mixtures containing</w:t>
      </w:r>
      <w:r>
        <w:t xml:space="preserve"> </w:t>
      </w:r>
      <w:r>
        <w:t xml:space="preserve">scheduled substances remain subject to control rules. A different treatment of the same mixture</w:t>
      </w:r>
      <w:r>
        <w:t xml:space="preserve"> </w:t>
      </w:r>
      <w:r>
        <w:t xml:space="preserve">(as precursors or not) can lead to substantial differences in administrative burdens between</w:t>
      </w:r>
      <w:r>
        <w:t xml:space="preserve"> </w:t>
      </w:r>
      <w:r>
        <w:t xml:space="preserve">Member States but ultimately also to an uneven enforcement of the rules.</w:t>
      </w:r>
      <w:r>
        <w:t xml:space="preserve"> </w:t>
      </w:r>
      <w:r>
        <w:t xml:space="preserve">In addition, there are disparities between the legal obligations of various actors in the supply</w:t>
      </w:r>
      <w:r>
        <w:t xml:space="preserve"> </w:t>
      </w:r>
      <w:r>
        <w:t xml:space="preserve">chain, which leads to possible weaknesses in the overall anti-diversion controls. Thus, users of</w:t>
      </w:r>
      <w:r>
        <w:t xml:space="preserve"> </w:t>
      </w:r>
      <w:r>
        <w:t xml:space="preserve">Category 1 substances do not have the same obligations to secure premises and report thefts as</w:t>
      </w:r>
      <w:r>
        <w:t xml:space="preserve"> </w:t>
      </w:r>
      <w:r>
        <w:t xml:space="preserve">operators dealing with the same substances. This represents a potential loophole for the control</w:t>
      </w:r>
      <w:r>
        <w:t xml:space="preserve"> </w:t>
      </w:r>
      <w:r>
        <w:t xml:space="preserve">of drug precursors. Similar discrepancies exist as regards intermediary activities.</w:t>
      </w:r>
      <w:r>
        <w:t xml:space="preserve"> </w:t>
      </w:r>
      <w:r>
        <w:t xml:space="preserve">Thirdly, the risk-based approach underpinning the regulations is insufficiently tailored. There</w:t>
      </w:r>
      <w:r>
        <w:t xml:space="preserve"> </w:t>
      </w:r>
      <w:r>
        <w:t xml:space="preserve">are disproportionate obligations as regards low-risk transactions, concerning small quantities of</w:t>
      </w:r>
      <w:r>
        <w:t xml:space="preserve"> </w:t>
      </w:r>
      <w:r>
        <w:t xml:space="preserve">Category 1 substances needed for research or as reference samples. These quantities are</w:t>
      </w:r>
      <w:r>
        <w:t xml:space="preserve"> </w:t>
      </w:r>
      <w:r>
        <w:t xml:space="preserve">insufficient to produce illegal drugs at a commercial scale. More generally, several interviewed</w:t>
      </w:r>
      <w:r>
        <w:t xml:space="preserve"> </w:t>
      </w:r>
      <w:r>
        <w:t xml:space="preserve">operators trading in Category 3 substances considered it excessive to require registration if these</w:t>
      </w:r>
      <w:r>
        <w:t xml:space="preserve"> </w:t>
      </w:r>
      <w:r>
        <w:t xml:space="preserve">substances are exported above the annual export amount in Annex 1 of Delegated Regulation</w:t>
      </w:r>
      <w:r>
        <w:t xml:space="preserve"> </w:t>
      </w:r>
      <w:r>
        <w:t xml:space="preserve">(EU) 2015/1011.</w:t>
      </w:r>
      <w:r>
        <w:br/>
      </w:r>
      <w:r>
        <w:t xml:space="preserve">Fourthly, the regulations set out only paper-based monitoring rules. At national level, very few</w:t>
      </w:r>
      <w:r>
        <w:t xml:space="preserve"> </w:t>
      </w:r>
      <w:r>
        <w:t xml:space="preserve">Member States (such as Portugal) have digital offerings that span the requirements. Many</w:t>
      </w:r>
      <w:r>
        <w:t xml:space="preserve"> </w:t>
      </w:r>
      <w:r>
        <w:t xml:space="preserve">Member States have digitalised aspects of their systems but still rely on paper as well (for</w:t>
      </w:r>
      <w:r>
        <w:t xml:space="preserve"> </w:t>
      </w:r>
      <w:r>
        <w:t xml:space="preserve">example, Italy, the Netherlands, Belgium, Poland, Greece or Denmark). In addition, significant</w:t>
      </w:r>
      <w:r>
        <w:t xml:space="preserve"> </w:t>
      </w:r>
      <w:r>
        <w:t xml:space="preserve">differences exist in terms of the level of digitisation depending on the type of formality</w:t>
      </w:r>
      <w:r>
        <w:t xml:space="preserve"> </w:t>
      </w:r>
      <w:r>
        <w:t xml:space="preserve">considered82. In Belgium, the introduction of a digital tool reduced the period for granting</w:t>
      </w:r>
      <w:r>
        <w:t xml:space="preserve"> </w:t>
      </w:r>
      <w:r>
        <w:t xml:space="preserve">licences and registrations from three months to two weeks. This example gives an indication of</w:t>
      </w:r>
      <w:r>
        <w:t xml:space="preserve"> </w:t>
      </w:r>
      <w:r>
        <w:t xml:space="preserve">the delays encountered by a lack of digitisation. In interviews, especially the customer</w:t>
      </w:r>
      <w:r>
        <w:t xml:space="preserve"> </w:t>
      </w:r>
      <w:r>
        <w:t xml:space="preserve">declaration was regarded as inefficient, prone to errors and falsifiable83.</w:t>
      </w:r>
      <w:r>
        <w:br/>
      </w:r>
      <w:r>
        <w:t xml:space="preserve">The main burden in terms of annual reporting is felt by national authorities who are obliged to</w:t>
      </w:r>
      <w:r>
        <w:t xml:space="preserve"> </w:t>
      </w:r>
      <w:r>
        <w:t xml:space="preserve">submit data on licit trade and incidents involving drug precursors. Authorities are required to</w:t>
      </w:r>
      <w:r>
        <w:t xml:space="preserve"> </w:t>
      </w:r>
      <w:r>
        <w:t xml:space="preserve">manually validate and input the data from operators, which arrive in various formats. Public</w:t>
      </w:r>
      <w:r>
        <w:t xml:space="preserve"> </w:t>
      </w:r>
      <w:r>
        <w:t xml:space="preserve">authorities’ responses on the effort spent on annual reporting vary from 14 days, to weeks, to</w:t>
      </w:r>
      <w:r>
        <w:t xml:space="preserve"> </w:t>
      </w:r>
      <w:r>
        <w:t xml:space="preserve">months, to 2 or even 4 full-time equivalent (FTE), per year. Operators spend hours or days to</w:t>
      </w:r>
      <w:r>
        <w:t xml:space="preserve"> </w:t>
      </w:r>
      <w:r>
        <w:t xml:space="preserve">fulfil their reporting obligations84. One of the reasons estimates vary is that reporting</w:t>
      </w:r>
      <w:r>
        <w:t xml:space="preserve"> </w:t>
      </w:r>
      <w:r>
        <w:t xml:space="preserve">requirements are highly detailed in some Member States (Romania, Spain, Czechia) but less so</w:t>
      </w:r>
      <w:r>
        <w:t xml:space="preserve"> </w:t>
      </w:r>
      <w:r>
        <w:t xml:space="preserve">in others (Germany and Finland). When individual transactions must be reported separately,</w:t>
      </w:r>
      <w:r>
        <w:t xml:space="preserve"> </w:t>
      </w:r>
      <w:r>
        <w:t xml:space="preserve">the burden becomes more substantial. Again, these differences can also have an adverse effect</w:t>
      </w:r>
      <w:r>
        <w:t xml:space="preserve"> </w:t>
      </w:r>
      <w:r>
        <w:t xml:space="preserve">on the level of controls in different Member States.</w:t>
      </w:r>
      <w:r>
        <w:t xml:space="preserve"> </w:t>
      </w:r>
      <w:r>
        <w:t xml:space="preserve">Finally, a large majority of respondents to the public consultation (38 out of 53) qualified</w:t>
      </w:r>
      <w:r>
        <w:t xml:space="preserve"> </w:t>
      </w:r>
      <w:r>
        <w:t xml:space="preserve">identification of substances as a ‘major’ or ‘moderate’ problem85. Authorities and economic</w:t>
      </w:r>
      <w:r>
        <w:t xml:space="preserve"> </w:t>
      </w:r>
      <w:r>
        <w:t xml:space="preserve">operators are not familiar with new substances that can be used as designer precursors. There</w:t>
      </w:r>
      <w:r>
        <w:t xml:space="preserve"> </w:t>
      </w:r>
      <w:r>
        <w:t xml:space="preserve">is limited information available to national authorities to characterise the threats posed by the</w:t>
      </w:r>
    </w:p>
    <w:p>
      <w:pPr>
        <w:pStyle w:val="BodyText"/>
      </w:pPr>
      <w:r>
        <w:t xml:space="preserve">82 Annex 8 provides more details on the digitisation in the Member States.</w:t>
      </w:r>
      <w:r>
        <w:br/>
      </w:r>
      <w:r>
        <w:t xml:space="preserve">83 The study, p. 40.</w:t>
      </w:r>
      <w:r>
        <w:t xml:space="preserve"> </w:t>
      </w:r>
      <w:r>
        <w:t xml:space="preserve">84 22 out of 81 operators claimed to spend hours, while 35 out of 81 operators claimed to spend days in fulfilling</w:t>
      </w:r>
      <w:r>
        <w:t xml:space="preserve"> </w:t>
      </w:r>
      <w:r>
        <w:t xml:space="preserve">their reporting obligations.</w:t>
      </w:r>
      <w:r>
        <w:t xml:space="preserve"> </w:t>
      </w:r>
      <w:r>
        <w:t xml:space="preserve">85 Especially public authorities (for 12 out of 15 this as a major problem, vis-à-vis 9 out of 29 among economic</w:t>
      </w:r>
      <w:r>
        <w:t xml:space="preserve"> </w:t>
      </w:r>
      <w:r>
        <w:t xml:space="preserve">operators).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numerous new substances (illicit uses, processing methods, etc.)86. Such substances have</w:t>
      </w:r>
      <w:r>
        <w:t xml:space="preserve"> </w:t>
      </w:r>
      <w:r>
        <w:t xml:space="preserve">frequently not been assigned a Chemical Abstracts Service (CAS) number and do not have a</w:t>
      </w:r>
      <w:r>
        <w:t xml:space="preserve"> </w:t>
      </w:r>
      <w:r>
        <w:t xml:space="preserve">univocal Combined Nomenclature (CN) code. They are also typically not registered under</w:t>
      </w:r>
      <w:r>
        <w:t xml:space="preserve"> </w:t>
      </w:r>
      <w:r>
        <w:t xml:space="preserve">REACH87, their chemical name is not standardised and their spectrum88 is unknown. As a result,</w:t>
      </w:r>
      <w:r>
        <w:t xml:space="preserve"> </w:t>
      </w:r>
      <w:r>
        <w:t xml:space="preserve">authorities struggle to identify substances that are then used in illicit drug production.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Drug precursors rules no longer correspond to new trends in the illicit production of drugs or</w:t>
      </w:r>
      <w:r>
        <w:t xml:space="preserve"> </w:t>
      </w:r>
      <w:r>
        <w:t xml:space="preserve">digitised business practices. There is no indication that illegal drug production will shift away</w:t>
      </w:r>
      <w:r>
        <w:t xml:space="preserve"> </w:t>
      </w:r>
      <w:r>
        <w:t xml:space="preserve">from designer precursors. This means that controls will become less targeted on the evolving</w:t>
      </w:r>
      <w:r>
        <w:t xml:space="preserve"> </w:t>
      </w:r>
      <w:r>
        <w:t xml:space="preserve">practices of illicit precursor trade and, as a result, less effective. On the other hand,</w:t>
      </w:r>
      <w:r>
        <w:t xml:space="preserve"> </w:t>
      </w:r>
      <w:r>
        <w:t xml:space="preserve">administrative burdens on businesses would remain.</w:t>
      </w:r>
      <w:r>
        <w:t xml:space="preserve"> </w:t>
      </w:r>
      <w:r>
        <w:t xml:space="preserve">In addition, disparities in national legal systems and Member States’ capacity will continue to</w:t>
      </w:r>
      <w:r>
        <w:t xml:space="preserve"> </w:t>
      </w:r>
      <w:r>
        <w:t xml:space="preserve">be exploited by criminals for trafficking precursors through ‘paths of least resistance’.</w:t>
      </w:r>
      <w:r>
        <w:t xml:space="preserve"> </w:t>
      </w:r>
      <w:r>
        <w:t xml:space="preserve">Therefore, drug precursors will continue to be available for the illegal production of drugs.</w:t>
      </w:r>
      <w:r>
        <w:t xml:space="preserve"> </w:t>
      </w:r>
      <w:r>
        <w:t xml:space="preserve">While it is difficult to quantify the effect of drug precursor rules on public health, unchanged</w:t>
      </w:r>
      <w:r>
        <w:t xml:space="preserve"> </w:t>
      </w:r>
      <w:r>
        <w:t xml:space="preserve">rules will increase the illicit use of drug precursors and indirectly have an adverse effect on</w:t>
      </w:r>
      <w:r>
        <w:t xml:space="preserve"> </w:t>
      </w:r>
      <w:r>
        <w:t xml:space="preserve">security and public health.</w:t>
      </w:r>
      <w:r>
        <w:br/>
      </w:r>
      <w:r>
        <w:t xml:space="preserve">Legal trade in drug precursors is following an upward trend. Between 2020 and 2023, the total</w:t>
      </w:r>
      <w:r>
        <w:t xml:space="preserve"> </w:t>
      </w:r>
      <w:r>
        <w:t xml:space="preserve">trade volume of drug precursor exports amounted to approximately 15.68 million tonnes, so</w:t>
      </w:r>
      <w:r>
        <w:t xml:space="preserve"> </w:t>
      </w:r>
      <w:r>
        <w:t xml:space="preserve">approximately 2.61 million tonnes per year.89 At the same period, the import volumes of drug</w:t>
      </w:r>
      <w:r>
        <w:t xml:space="preserve"> </w:t>
      </w:r>
      <w:r>
        <w:t xml:space="preserve">precursors gradually declined from 0.72 million tonnes in 2020 to 0.67 million tonnes in 2023,</w:t>
      </w:r>
      <w:r>
        <w:t xml:space="preserve"> </w:t>
      </w:r>
      <w:r>
        <w:t xml:space="preserve">peaking at 0.73 million tonnes in 2021. In the absence of specific actions, the industry’s</w:t>
      </w:r>
      <w:r>
        <w:t xml:space="preserve"> </w:t>
      </w:r>
      <w:r>
        <w:t xml:space="preserve">awareness and capacity to support national authorities is set to decline as the control</w:t>
      </w:r>
      <w:r>
        <w:t xml:space="preserve"> </w:t>
      </w:r>
      <w:r>
        <w:t xml:space="preserve">mechanisms are likely to become ever less targeted to the problems related to the illicit use of</w:t>
      </w:r>
      <w:r>
        <w:t xml:space="preserve"> </w:t>
      </w:r>
      <w:r>
        <w:t xml:space="preserve">drug precursors, especially designer precursors, and the realities of legal trade in a digitised</w:t>
      </w:r>
      <w:r>
        <w:t xml:space="preserve"> </w:t>
      </w:r>
      <w:r>
        <w:t xml:space="preserve">environment. The negative consequences of outdated and increasingly ineffective control</w:t>
      </w:r>
      <w:r>
        <w:t xml:space="preserve"> </w:t>
      </w:r>
      <w:r>
        <w:t xml:space="preserve">processes are likely to increase over time as the digitisation of supply chains advances.</w:t>
      </w:r>
      <w:r>
        <w:t xml:space="preserve"> </w:t>
      </w:r>
      <w:r>
        <w:t xml:space="preserve">Additionally, concerns about legal clarity and the fragmentation of requirements within the</w:t>
      </w:r>
      <w:r>
        <w:t xml:space="preserve"> </w:t>
      </w:r>
      <w:r>
        <w:t xml:space="preserve">internal market and between internal and external trade are likely to worsen as the rules no</w:t>
      </w:r>
      <w:r>
        <w:t xml:space="preserve"> </w:t>
      </w:r>
      <w:r>
        <w:t xml:space="preserve">longer reflect the business environment for drug precursors in a straightforward manner.</w:t>
      </w:r>
      <w:r>
        <w:br/>
      </w:r>
      <w:r>
        <w:t xml:space="preserve">Therefore, the unnecessary burdens and inefficiencies may affect the industry’s overall</w:t>
      </w:r>
      <w:r>
        <w:t xml:space="preserve"> </w:t>
      </w:r>
      <w:r>
        <w:t xml:space="preserve">competitiveness and SMEs disproportionately so. This is likely to have a small (given the</w:t>
      </w:r>
      <w:r>
        <w:t xml:space="preserve"> </w:t>
      </w:r>
      <w:r>
        <w:t xml:space="preserve">comparative size of drug precursor trade) but negative economic impact for the EU.</w:t>
      </w:r>
    </w:p>
    <w:p>
      <w:pPr>
        <w:pStyle w:val="BodyText"/>
      </w:pPr>
      <w:r>
        <w:t xml:space="preserve">86 Law enforcement authorities and specialists in chemistry explained during the evaluation that there are hardly</w:t>
      </w:r>
      <w:r>
        <w:t xml:space="preserve"> </w:t>
      </w:r>
      <w:r>
        <w:t xml:space="preserve">any limitations to the innovations of the producers of designer-precursors.</w:t>
      </w:r>
      <w:r>
        <w:t xml:space="preserve"> </w:t>
      </w:r>
      <w:r>
        <w:t xml:space="preserve">87 The Regulation on the registration, evaluation, authorisation and restriction of chemicals (REACH) is the main</w:t>
      </w:r>
      <w:r>
        <w:t xml:space="preserve"> </w:t>
      </w:r>
      <w:r>
        <w:t xml:space="preserve">EU law to protect human health and the environment from the risks that can be posed by chemicals. Information</w:t>
      </w:r>
      <w:r>
        <w:t xml:space="preserve"> </w:t>
      </w:r>
      <w:r>
        <w:t xml:space="preserve">on the properties of chemicals manufactured or imported in the EU are registered in a central database in</w:t>
      </w:r>
      <w:r>
        <w:t xml:space="preserve"> </w:t>
      </w:r>
      <w:r>
        <w:t xml:space="preserve">the European Chemicals Agency (ECHA). Substances that are manufactured or imported at above 1t per year</w:t>
      </w:r>
      <w:r>
        <w:t xml:space="preserve"> </w:t>
      </w:r>
      <w:r>
        <w:t xml:space="preserve">require a REACH registration.</w:t>
      </w:r>
      <w:r>
        <w:t xml:space="preserve"> </w:t>
      </w:r>
      <w:r>
        <w:t xml:space="preserve">88 Law enforcement authorities are equipped with Raman devices. It allows them to identify chemical substances</w:t>
      </w:r>
      <w:r>
        <w:t xml:space="preserve"> </w:t>
      </w:r>
      <w:r>
        <w:t xml:space="preserve">on the spot by inserting a sample of the substance in the device. The device contains a library of spectra and checks</w:t>
      </w:r>
      <w:r>
        <w:t xml:space="preserve"> </w:t>
      </w:r>
      <w:r>
        <w:t xml:space="preserve">the spectrum of the sample with the spectra of its library.</w:t>
      </w:r>
      <w:r>
        <w:t xml:space="preserve"> </w:t>
      </w:r>
      <w:r>
        <w:t xml:space="preserve">89 The export and import data include the UK for 2020, but not for 2021-2023. The import data include Northern</w:t>
      </w:r>
      <w:r>
        <w:t xml:space="preserve"> </w:t>
      </w:r>
      <w:r>
        <w:t xml:space="preserve">Ireland for 2021-2023.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For several businesses, the proliferation of designer precursors has made research on new</w:t>
      </w:r>
      <w:r>
        <w:t xml:space="preserve"> </w:t>
      </w:r>
      <w:r>
        <w:t xml:space="preserve">chemicals more difficult and expensive due to restrained access to certain substances90.</w:t>
      </w:r>
      <w:r>
        <w:t xml:space="preserve"> </w:t>
      </w:r>
      <w:r>
        <w:t xml:space="preserve">Considering that nearly one-third of operators in the targeted survey engaged in Category 1</w:t>
      </w:r>
      <w:r>
        <w:t xml:space="preserve"> </w:t>
      </w:r>
      <w:r>
        <w:t xml:space="preserve">precursors-related activities perform R&amp;D activities91, this issue does not regard only</w:t>
      </w:r>
      <w:r>
        <w:t xml:space="preserve"> </w:t>
      </w:r>
      <w:r>
        <w:t xml:space="preserve">universities or research entities.</w:t>
      </w:r>
      <w:r>
        <w:br/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Internal Market Regulation is adopted based on Article 114 of the Treaty on the functioning</w:t>
      </w:r>
      <w:r>
        <w:t xml:space="preserve"> </w:t>
      </w:r>
      <w:r>
        <w:t xml:space="preserve">of the EU92, TFEU, on the adoption of measures for the approximation of the provisions laid</w:t>
      </w:r>
      <w:r>
        <w:t xml:space="preserve"> </w:t>
      </w:r>
      <w:r>
        <w:t xml:space="preserve">down by law, regulation or administrative action in Member States which have as their object</w:t>
      </w:r>
      <w:r>
        <w:t xml:space="preserve"> </w:t>
      </w:r>
      <w:r>
        <w:t xml:space="preserve">the establishment and functioning of the internal market.</w:t>
      </w:r>
      <w:r>
        <w:t xml:space="preserve"> </w:t>
      </w:r>
      <w:r>
        <w:t xml:space="preserve">The External Trade Regulation is based on Article 207 TFEU93 on common commercial policy.</w:t>
      </w:r>
      <w:r>
        <w:br/>
      </w:r>
      <w:r>
        <w:t xml:space="preserve">3.2. Subsidiarity: Necessity of EU action</w:t>
      </w:r>
      <w:r>
        <w:t xml:space="preserve"> </w:t>
      </w:r>
      <w:r>
        <w:t xml:space="preserve">The Union has exclusive competence as regards customs union and common commercial</w:t>
      </w:r>
      <w:r>
        <w:t xml:space="preserve"> </w:t>
      </w:r>
      <w:r>
        <w:t xml:space="preserve">policy. Therefore, the subsidiarity principle is relevant only as regards the intra-EU trade.</w:t>
      </w:r>
      <w:r>
        <w:br/>
      </w:r>
      <w:r>
        <w:t xml:space="preserve">The EU set out harmonisation rules on drug precursors since 1990. Two key arguments justify</w:t>
      </w:r>
      <w:r>
        <w:t xml:space="preserve"> </w:t>
      </w:r>
      <w:r>
        <w:t xml:space="preserve">the EU action to improve and adapt the existing rules to the recent developments in the illegal</w:t>
      </w:r>
      <w:r>
        <w:t xml:space="preserve"> </w:t>
      </w:r>
      <w:r>
        <w:t xml:space="preserve">drug production and to take due account of digitisation.</w:t>
      </w:r>
      <w:r>
        <w:t xml:space="preserve"> </w:t>
      </w:r>
      <w:r>
        <w:t xml:space="preserve">Firstly, the illegal drug production is a Union-wide problem, not confined to a few Member</w:t>
      </w:r>
      <w:r>
        <w:t xml:space="preserve"> </w:t>
      </w:r>
      <w:r>
        <w:t xml:space="preserve">States. EU action is needed to ensure the efficiency of controls across the Union and avoid the</w:t>
      </w:r>
      <w:r>
        <w:t xml:space="preserve"> </w:t>
      </w:r>
      <w:r>
        <w:t xml:space="preserve">risk that some Member States implement more permissive rules on the control of drug</w:t>
      </w:r>
      <w:r>
        <w:t xml:space="preserve"> </w:t>
      </w:r>
      <w:r>
        <w:t xml:space="preserve">precursors and thus undermine inadvertently the efforts of the other Member States.</w:t>
      </w:r>
      <w:r>
        <w:t xml:space="preserve"> </w:t>
      </w:r>
      <w:r>
        <w:t xml:space="preserve">Secondly, Member States have the obligation to control and monitor internal and intra-EU</w:t>
      </w:r>
      <w:r>
        <w:t xml:space="preserve"> </w:t>
      </w:r>
      <w:r>
        <w:t xml:space="preserve">legitimate transactions with drug precursors, in accordance with the UN Convention. The</w:t>
      </w:r>
      <w:r>
        <w:t xml:space="preserve"> </w:t>
      </w:r>
      <w:r>
        <w:t xml:space="preserve">adoption of distinct national systems in Member States would increase the burden for</w:t>
      </w:r>
      <w:r>
        <w:t xml:space="preserve"> </w:t>
      </w:r>
      <w:r>
        <w:t xml:space="preserve">companies trading in several Member States, as they would have to follow different country</w:t>
      </w:r>
      <w:r>
        <w:t xml:space="preserve"> </w:t>
      </w:r>
      <w:r>
        <w:t xml:space="preserve">specific rules for similar activities. Maintaining harmonised rules would ensure a smooth licit</w:t>
      </w:r>
      <w:r>
        <w:t xml:space="preserve"> </w:t>
      </w:r>
      <w:r>
        <w:t xml:space="preserve">trade of chemicals in the single market. While the chemical industry is more developed in some</w:t>
      </w:r>
      <w:r>
        <w:t xml:space="preserve"> </w:t>
      </w:r>
      <w:r>
        <w:t xml:space="preserve">Member States, drug precursors are used across all Member States.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EU action would have clear benefits for businesses, national authorities and society as a whole,</w:t>
      </w:r>
      <w:r>
        <w:t xml:space="preserve"> </w:t>
      </w:r>
      <w:r>
        <w:t xml:space="preserve">by empowering national authorities to better fight against the illicit drug production and</w:t>
      </w:r>
      <w:r>
        <w:t xml:space="preserve"> </w:t>
      </w:r>
      <w:r>
        <w:t xml:space="preserve">addressing uneven enforcement and framework shortcomings. This may also reduce</w:t>
      </w:r>
      <w:r>
        <w:t xml:space="preserve"> </w:t>
      </w:r>
      <w:r>
        <w:t xml:space="preserve">unnecessary administrative burdens for economic operators and national authorities.</w:t>
      </w:r>
    </w:p>
    <w:p>
      <w:pPr>
        <w:pStyle w:val="BodyText"/>
      </w:pPr>
      <w:r>
        <w:t xml:space="preserve">90 This issue was reported by 6 out of the 15 economic operators in the targeted consultation who reported adverse</w:t>
      </w:r>
      <w:r>
        <w:t xml:space="preserve"> </w:t>
      </w:r>
      <w:r>
        <w:t xml:space="preserve">side-effects for the industry linked to the growth in illicit trade of designer precursors.</w:t>
      </w:r>
      <w:r>
        <w:br/>
      </w:r>
      <w:r>
        <w:t xml:space="preserve">91 10 out of 36 economic operators in the targeted consultation</w:t>
      </w:r>
      <w:r>
        <w:t xml:space="preserve"> </w:t>
      </w:r>
      <w:r>
        <w:t xml:space="preserve">92 ex-Article 95 of the Treaty on the European Community, TEC.</w:t>
      </w:r>
      <w:r>
        <w:t xml:space="preserve"> </w:t>
      </w:r>
      <w:r>
        <w:t xml:space="preserve">93 ex-Article 133 TEC.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The EU added value lies in facilitating Member States cooperation in drug enforcement and</w:t>
      </w:r>
      <w:r>
        <w:t xml:space="preserve"> </w:t>
      </w:r>
      <w:r>
        <w:t xml:space="preserve">managing significant trade across Member States and with third countries. By ensuring uniform</w:t>
      </w:r>
      <w:r>
        <w:t xml:space="preserve"> </w:t>
      </w:r>
      <w:r>
        <w:t xml:space="preserve">rules, EU action strengthens competitiveness.</w:t>
      </w:r>
      <w:r>
        <w:t xml:space="preserve"> </w:t>
      </w:r>
      <w:r>
        <w:t xml:space="preserve">While Member States could adopt national measures, these would create regulatory barriers</w:t>
      </w:r>
      <w:r>
        <w:t xml:space="preserve"> </w:t>
      </w:r>
      <w:r>
        <w:t xml:space="preserve">across the EU and negatively impact legitimate trade, falling short of the benefits offered by</w:t>
      </w:r>
      <w:r>
        <w:t xml:space="preserve"> </w:t>
      </w:r>
      <w:r>
        <w:t xml:space="preserve">uniform EU measures. Additionally, digitisation at EU level would provide for interoperability,</w:t>
      </w:r>
      <w:r>
        <w:t xml:space="preserve"> </w:t>
      </w:r>
      <w:r>
        <w:t xml:space="preserve">benefiting both industry and national authorities.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There are two general policy objectives to be pursued when revising the regulations to address</w:t>
      </w:r>
      <w:r>
        <w:t xml:space="preserve"> </w:t>
      </w:r>
      <w:r>
        <w:t xml:space="preserve">the problems outlined above. These general objectives are in line with the current objectives of</w:t>
      </w:r>
      <w:r>
        <w:t xml:space="preserve"> </w:t>
      </w:r>
      <w:r>
        <w:t xml:space="preserve">the regulations and can be described as follows:</w:t>
      </w:r>
      <w:r>
        <w:t xml:space="preserve"> </w:t>
      </w:r>
      <w:r>
        <w:t xml:space="preserve">1) reduce the availability of drug precursors for illicit drug manufacturing.</w:t>
      </w:r>
      <w:r>
        <w:t xml:space="preserve"> </w:t>
      </w:r>
      <w:r>
        <w:t xml:space="preserve">2) facilitate legitimate trade and use of drug precursors.</w:t>
      </w:r>
      <w:r>
        <w:t xml:space="preserve"> </w:t>
      </w:r>
      <w:r>
        <w:t xml:space="preserve">Globally, and with strong advocacy from the United States, drug precursor control is recognised</w:t>
      </w:r>
      <w:r>
        <w:t xml:space="preserve"> </w:t>
      </w:r>
      <w:r>
        <w:t xml:space="preserve">as a major tool in the fight against illicit drugs. In fact, about 87 % of participants to the public</w:t>
      </w:r>
      <w:r>
        <w:t xml:space="preserve"> </w:t>
      </w:r>
      <w:r>
        <w:t xml:space="preserve">consultation consider their control as highly important for anti-drug purposes, with 49 %</w:t>
      </w:r>
      <w:r>
        <w:t xml:space="preserve"> </w:t>
      </w:r>
      <w:r>
        <w:t xml:space="preserve">considering it important to ‘a very high extent’. On the other hand, the objective to reduce</w:t>
      </w:r>
      <w:r>
        <w:t xml:space="preserve"> </w:t>
      </w:r>
      <w:r>
        <w:t xml:space="preserve">administrative burdens also received high rates of support in the public consultation.94</w:t>
      </w:r>
      <w:r>
        <w:t xml:space="preserve"> </w:t>
      </w:r>
      <w:r>
        <w:t xml:space="preserve">There are trade-offs between these two overarching objectives95. Overly strict controls of drug</w:t>
      </w:r>
      <w:r>
        <w:t xml:space="preserve"> </w:t>
      </w:r>
      <w:r>
        <w:t xml:space="preserve">precursors could hinder the functioning of legal trade and the internal market, while</w:t>
      </w:r>
      <w:r>
        <w:t xml:space="preserve"> </w:t>
      </w:r>
      <w:r>
        <w:t xml:space="preserve">inappropriate controls may facilitate diversion and weaken the effectiveness of the drug</w:t>
      </w:r>
      <w:r>
        <w:t xml:space="preserve"> </w:t>
      </w:r>
      <w:r>
        <w:t xml:space="preserve">precursor regulations. Therefore, the initiative should focus on creating a comprehensive</w:t>
      </w:r>
      <w:r>
        <w:t xml:space="preserve"> </w:t>
      </w:r>
      <w:r>
        <w:t xml:space="preserve">framework that enables effective, proportionate control of drug precursors while creating an</w:t>
      </w:r>
      <w:r>
        <w:t xml:space="preserve"> </w:t>
      </w:r>
      <w:r>
        <w:t xml:space="preserve">economic equilibrium that does not unduly affect legal trade. This is even more important</w:t>
      </w:r>
      <w:r>
        <w:t xml:space="preserve"> </w:t>
      </w:r>
      <w:r>
        <w:t xml:space="preserve">bearing in mind that interventions on illegal trade are of limited effect in time, while</w:t>
      </w:r>
      <w:r>
        <w:t xml:space="preserve"> </w:t>
      </w:r>
      <w:r>
        <w:t xml:space="preserve">interventions for legal trade are permanent96.</w:t>
      </w:r>
      <w:r>
        <w:br/>
      </w:r>
      <w:r>
        <w:t xml:space="preserve">4.2. Specific objectives</w:t>
      </w:r>
      <w:r>
        <w:t xml:space="preserve"> </w:t>
      </w:r>
      <w:r>
        <w:t xml:space="preserve">Specific Objective (SO) 1.1 – To establish more effective and rapid control measures to address</w:t>
      </w:r>
      <w:r>
        <w:t xml:space="preserve"> </w:t>
      </w:r>
      <w:r>
        <w:t xml:space="preserve">designer precursors</w:t>
      </w:r>
      <w:r>
        <w:br/>
      </w:r>
      <w:r>
        <w:t xml:space="preserve">The aim of SO 1.1 is to ensure that rules do not only address traditional drug precursors but</w:t>
      </w:r>
      <w:r>
        <w:t xml:space="preserve"> </w:t>
      </w:r>
      <w:r>
        <w:t xml:space="preserve">also newly emerging designer precursors, for which a global approach is crucial, notably in</w:t>
      </w:r>
      <w:r>
        <w:t xml:space="preserve"> </w:t>
      </w:r>
      <w:r>
        <w:t xml:space="preserve">alliance with the United States. The idea is to future proof EU drug precursor rules to the extent</w:t>
      </w:r>
      <w:r>
        <w:t xml:space="preserve"> </w:t>
      </w:r>
      <w:r>
        <w:t xml:space="preserve">possible, based on the risk presented by new criminal activities and especially designer</w:t>
      </w:r>
    </w:p>
    <w:p>
      <w:pPr>
        <w:pStyle w:val="BodyText"/>
      </w:pPr>
      <w:r>
        <w:t xml:space="preserve">94 46 out of 53 respondents of the public consultation consider drug precursors control as highly important. 22 out</w:t>
      </w:r>
      <w:r>
        <w:t xml:space="preserve"> </w:t>
      </w:r>
      <w:r>
        <w:t xml:space="preserve">of 25 respondents saw a need to revise the current rules.</w:t>
      </w:r>
      <w:r>
        <w:br/>
      </w:r>
      <w:r>
        <w:t xml:space="preserve">95 For the classic economic framework for drug policy as the minimization of the total social costs of both drug</w:t>
      </w:r>
      <w:r>
        <w:t xml:space="preserve"> </w:t>
      </w:r>
      <w:r>
        <w:t xml:space="preserve">consumption and policy enforcement, see Becker, G., Murphy, K., &amp; Grossman, ‘The market for illegal goods:</w:t>
      </w:r>
      <w:r>
        <w:t xml:space="preserve"> </w:t>
      </w:r>
      <w:r>
        <w:t xml:space="preserve">The case of drugs’, Journal of Political Economy, Vol. 114 No. 1, (2006), pp. 38–60.</w:t>
      </w:r>
      <w:r>
        <w:t xml:space="preserve"> </w:t>
      </w:r>
      <w:r>
        <w:t xml:space="preserve">96 Benjamin Blemings, Scott Cunningham, ‘Temporary gains and permanent costs in methamphetaime precursor</w:t>
      </w:r>
      <w:r>
        <w:t xml:space="preserve"> </w:t>
      </w:r>
      <w:r>
        <w:t xml:space="preserve">controls’, International Journal of Drug Policy, vol. 138, (2025), p. 3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precursors, while enabling businesses to innovate and place new substances with a legitimate</w:t>
      </w:r>
      <w:r>
        <w:t xml:space="preserve"> </w:t>
      </w:r>
      <w:r>
        <w:t xml:space="preserve">use on the market.</w:t>
      </w:r>
      <w:r>
        <w:t xml:space="preserve"> </w:t>
      </w:r>
      <w:r>
        <w:t xml:space="preserve">Specific Objective 1.2 – To address gaps and shortcomings that hamper the implementation</w:t>
      </w:r>
      <w:r>
        <w:t xml:space="preserve"> </w:t>
      </w:r>
      <w:r>
        <w:t xml:space="preserve">and the functioning of the control system</w:t>
      </w:r>
      <w:r>
        <w:t xml:space="preserve"> </w:t>
      </w:r>
      <w:r>
        <w:t xml:space="preserve">SO 1.2 is to improve the regulations by filling in identified gaps and clarifying existing</w:t>
      </w:r>
      <w:r>
        <w:t xml:space="preserve"> </w:t>
      </w:r>
      <w:r>
        <w:t xml:space="preserve">provisions to provide for a uniform application across the EU and enhance cooperation between</w:t>
      </w:r>
      <w:r>
        <w:t xml:space="preserve"> </w:t>
      </w:r>
      <w:r>
        <w:t xml:space="preserve">authorities as well as with businesses.</w:t>
      </w:r>
      <w:r>
        <w:t xml:space="preserve"> </w:t>
      </w:r>
      <w:r>
        <w:t xml:space="preserve">Specific objective 2.1 – To simplify, modernise and streamline the EU provisions for legal trade</w:t>
      </w:r>
    </w:p>
    <w:p>
      <w:pPr>
        <w:pStyle w:val="BodyText"/>
      </w:pPr>
      <w:r>
        <w:t xml:space="preserve">SO 2.1 is about removing unnecessary obstacles and administrative burdens for legal trade in</w:t>
      </w:r>
      <w:r>
        <w:t xml:space="preserve"> </w:t>
      </w:r>
      <w:r>
        <w:t xml:space="preserve">drug precursors. The aim is to improve, simplify and digitise control mechanisms while bearing</w:t>
      </w:r>
      <w:r>
        <w:t xml:space="preserve"> </w:t>
      </w:r>
      <w:r>
        <w:t xml:space="preserve">in mind the importance and therefore risk for illegal drug production of various substances.</w:t>
      </w:r>
      <w:r>
        <w:t xml:space="preserve"> </w:t>
      </w:r>
      <w:r>
        <w:t xml:space="preserve">Figure 7: Policy problems and objectives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monitoring and control of drug precursors are done based on the existing Regulations.</w:t>
      </w:r>
      <w:r>
        <w:t xml:space="preserve"> </w:t>
      </w:r>
      <w:r>
        <w:t xml:space="preserve">Under the dynamic baseline scenario, the Commission will continue adding about 30 designer</w:t>
      </w:r>
    </w:p>
    <w:p>
      <w:pPr>
        <w:pStyle w:val="FirstParagraph"/>
      </w:pPr>
      <w:r>
        <w:t xml:space="preserve">24</w:t>
      </w:r>
      <w:r>
        <w:t xml:space="preserve"> </w:t>
      </w:r>
      <w:r>
        <w:t xml:space="preserve">precursors to Category 1, which involves the strictest controls.97 A proactive approach has been</w:t>
      </w:r>
      <w:r>
        <w:t xml:space="preserve"> </w:t>
      </w:r>
      <w:r>
        <w:t xml:space="preserve">taken for recent scheduling98 and welcomed by national authorities99 as adding designer</w:t>
      </w:r>
      <w:r>
        <w:t xml:space="preserve"> </w:t>
      </w:r>
      <w:r>
        <w:t xml:space="preserve">precursors ahead of the evidence of their illicit use, increases the scheduling effectiveness100.</w:t>
      </w:r>
      <w:r>
        <w:t xml:space="preserve"> </w:t>
      </w:r>
      <w:r>
        <w:t xml:space="preserve">It needs to be added that, there are also national approaches. One Member State was reluctant</w:t>
      </w:r>
      <w:r>
        <w:t xml:space="preserve"> </w:t>
      </w:r>
      <w:r>
        <w:t xml:space="preserve">to extend the EU scheduling with regards to designer precursors that it had already banned</w:t>
      </w:r>
      <w:r>
        <w:t xml:space="preserve"> </w:t>
      </w:r>
      <w:r>
        <w:t xml:space="preserve">nationally. They feared that due to the nature of EU rules, this would decrease levels of control,</w:t>
      </w:r>
      <w:r>
        <w:t xml:space="preserve"> </w:t>
      </w:r>
      <w:r>
        <w:t xml:space="preserve">A proliferation of national approaches going beyond EU rules could potentially lead to a</w:t>
      </w:r>
      <w:r>
        <w:t xml:space="preserve"> </w:t>
      </w:r>
      <w:r>
        <w:t xml:space="preserve">fragmentation of the internal market and criminal forum shopping. The cost for checking if such</w:t>
      </w:r>
      <w:r>
        <w:t xml:space="preserve"> </w:t>
      </w:r>
      <w:r>
        <w:t xml:space="preserve">substances are in their portfolio (due diligence) for economic operators is estimated at a one-</w:t>
      </w:r>
      <w:r>
        <w:t xml:space="preserve"> </w:t>
      </w:r>
      <w:r>
        <w:t xml:space="preserve">off of EUR 1.9 million administrative cost101. Scheduling designer precursors under Category</w:t>
      </w:r>
      <w:r>
        <w:t xml:space="preserve"> </w:t>
      </w:r>
      <w:r>
        <w:t xml:space="preserve">1 may impact research and innovation, as licences are also required for small quantities.</w:t>
      </w:r>
      <w:r>
        <w:t xml:space="preserve"> </w:t>
      </w:r>
      <w:r>
        <w:t xml:space="preserve">For non-scheduled precursors, the VML remains accessible to a limited number of operators,</w:t>
      </w:r>
      <w:r>
        <w:t xml:space="preserve"> </w:t>
      </w:r>
      <w:r>
        <w:t xml:space="preserve">with national authorities deciding on trade monitoring and suspicious activities follow-up.</w:t>
      </w:r>
      <w:r>
        <w:br/>
      </w:r>
      <w:r>
        <w:t xml:space="preserve">As part of the implementation of its new mandate, the EUDA will support the Commission by</w:t>
      </w:r>
      <w:r>
        <w:t xml:space="preserve"> </w:t>
      </w:r>
      <w:r>
        <w:t xml:space="preserve">monitoring precursors trafficking, including by developing a notification system via email,</w:t>
      </w:r>
      <w:r>
        <w:t xml:space="preserve"> </w:t>
      </w:r>
      <w:r>
        <w:t xml:space="preserve">assessing the need to change the list of scheduled substances and threat assessments102. EUDA</w:t>
      </w:r>
      <w:r>
        <w:t xml:space="preserve"> </w:t>
      </w:r>
      <w:r>
        <w:t xml:space="preserve">only has one FTE in order to carry out those tasks, in addition to other ad hoc requests received</w:t>
      </w:r>
      <w:r>
        <w:t xml:space="preserve"> </w:t>
      </w:r>
      <w:r>
        <w:t xml:space="preserve">to support the work of the Commission in this area103. To adequately support these tasks and</w:t>
      </w:r>
      <w:r>
        <w:t xml:space="preserve"> </w:t>
      </w:r>
      <w:r>
        <w:t xml:space="preserve">fully build on the EUDA’s capacity and expertise in the field of drug precursors, the Agency</w:t>
      </w:r>
      <w:r>
        <w:t xml:space="preserve"> </w:t>
      </w:r>
      <w:r>
        <w:t xml:space="preserve">has estimated additional staff needs of 5 FTEs and a budget of EUR 1.8 million for 2025-2027.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97 This projection is based on the number of substances scheduled in recent years.</w:t>
      </w:r>
      <w:r>
        <w:t xml:space="preserve"> </w:t>
      </w:r>
      <w:r>
        <w:t xml:space="preserve">98 Commission Delegated Regulation (EU) 2024/1331 which also scheduled ethyl, methyl, propyl, isopropyl, butyl,</w:t>
      </w:r>
      <w:r>
        <w:t xml:space="preserve"> </w:t>
      </w:r>
      <w:r>
        <w:t xml:space="preserve">isobutyl, sec-butyl and tert-butyl esters of the substances in question.</w:t>
      </w:r>
      <w:r>
        <w:br/>
      </w:r>
      <w:r>
        <w:t xml:space="preserve">99 22 out of 28 national authorities surveyed welcomed this development and encouraged to explore this approach</w:t>
      </w:r>
      <w:r>
        <w:t xml:space="preserve"> </w:t>
      </w:r>
      <w:r>
        <w:t xml:space="preserve">further, although different views on the ideal scope of ‘proactive’ scheduling were expressed.</w:t>
      </w:r>
      <w:r>
        <w:br/>
      </w:r>
      <w:r>
        <w:t xml:space="preserve">100 In analogy with new psychoactive substances, there is evidence that class-wide scheduling may help reduce the</w:t>
      </w:r>
      <w:r>
        <w:t xml:space="preserve"> </w:t>
      </w:r>
      <w:r>
        <w:t xml:space="preserve">emergence of new NPS. In February 2018, the U.S. implemented a class-wide scheduling of fentanyl-related</w:t>
      </w:r>
      <w:r>
        <w:t xml:space="preserve"> </w:t>
      </w:r>
      <w:r>
        <w:t xml:space="preserve">substances, followed by China in April 2019. A Department of Justice testimony reported that this action</w:t>
      </w:r>
      <w:r>
        <w:t xml:space="preserve"> </w:t>
      </w:r>
      <w:r>
        <w:t xml:space="preserve">significantly slowed the introduction of new fentanyl-related substances into the illicit market. Weedn, Victor W.,</w:t>
      </w:r>
      <w:r>
        <w:t xml:space="preserve"> </w:t>
      </w:r>
      <w:r>
        <w:t xml:space="preserve">Mary Elizabeth Zaney, Bruce McCord, Ira Lurie, and Andrew Baker. 2021. “Fentanyl‐related Substance</w:t>
      </w:r>
      <w:r>
        <w:t xml:space="preserve"> </w:t>
      </w:r>
      <w:r>
        <w:t xml:space="preserve">Scheduling as an Effective Drug Control Strategy.” Journal of Forensic Sciences 66 (4): 1186–1200.</w:t>
      </w:r>
      <w:r>
        <w:t xml:space="preserve"> </w:t>
      </w:r>
      <w:r>
        <w:t xml:space="preserve">https://doi.org/10.1111/1556-4029.14712.</w:t>
      </w:r>
      <w:r>
        <w:t xml:space="preserve"> </w:t>
      </w:r>
      <w:r>
        <w:t xml:space="preserve">101 For a detailed description of the due diligence costs, please see section 6.2 below. Essentially, it is assumed that</w:t>
      </w:r>
      <w:r>
        <w:t xml:space="preserve"> </w:t>
      </w:r>
      <w:r>
        <w:t xml:space="preserve">the time input required to conduct due diligence on listed designer precursors will be in line with what is currently</w:t>
      </w:r>
      <w:r>
        <w:t xml:space="preserve"> </w:t>
      </w:r>
      <w:r>
        <w:t xml:space="preserve">required for new scheduled substances with a CAS number, i.e. 1.5 hour (on average). From a single company</w:t>
      </w:r>
      <w:r>
        <w:t xml:space="preserve"> </w:t>
      </w:r>
      <w:r>
        <w:t xml:space="preserve">perspective this is a one-off cost, however, from the regulation perspective it is a recurrent cost, as new substances</w:t>
      </w:r>
      <w:r>
        <w:t xml:space="preserve"> </w:t>
      </w:r>
      <w:r>
        <w:t xml:space="preserve">are continuously added to the regulation, and businesses need to conduct due diligence checks whenever they start</w:t>
      </w:r>
      <w:r>
        <w:t xml:space="preserve"> </w:t>
      </w:r>
      <w:r>
        <w:t xml:space="preserve">producing or selling new families of chemicals. The number of affected companies cannot be precisely estimated;</w:t>
      </w:r>
      <w:r>
        <w:t xml:space="preserve"> </w:t>
      </w:r>
      <w:r>
        <w:t xml:space="preserve">however, it can safely be assumed that all companies that are licensed to deal with precursors falling under</w:t>
      </w:r>
      <w:r>
        <w:t xml:space="preserve"> </w:t>
      </w:r>
      <w:r>
        <w:t xml:space="preserve">Category 1 - i.e. approx. 1 200 companies - regularly conduct due diligence checks. Assuming an average cost</w:t>
      </w:r>
      <w:r>
        <w:t xml:space="preserve"> </w:t>
      </w:r>
      <w:r>
        <w:t xml:space="preserve">of labour of EUR 35.65 / hour, the aggregate ‘one-off’ impact on administrative costs for businesses (EU-wide)</w:t>
      </w:r>
      <w:r>
        <w:t xml:space="preserve"> </w:t>
      </w:r>
      <w:r>
        <w:t xml:space="preserve">would result in EUR 1.9 million.</w:t>
      </w:r>
      <w:r>
        <w:t xml:space="preserve"> </w:t>
      </w:r>
      <w:r>
        <w:t xml:space="preserve">102 See: Article 14 of Regulation (EU) 2023/1322.</w:t>
      </w:r>
      <w:r>
        <w:t xml:space="preserve"> </w:t>
      </w:r>
      <w:r>
        <w:t xml:space="preserve">103 Proposal for a Regulation on the European Union Drugs Agency, COM/2022/18 final.</w:t>
      </w:r>
      <w:r>
        <w:t xml:space="preserve"> </w:t>
      </w:r>
      <w:r>
        <w:t xml:space="preserve">104 EUDA cost estimates.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The Digital Services Act105 is set to improve the enforcement of drug precursor rules in online</w:t>
      </w:r>
      <w:r>
        <w:t xml:space="preserve"> </w:t>
      </w:r>
      <w:r>
        <w:t xml:space="preserve">market-places and to prevent illegal content. In addition, the EU Internet Forum creates a</w:t>
      </w:r>
      <w:r>
        <w:t xml:space="preserve"> </w:t>
      </w:r>
      <w:r>
        <w:t xml:space="preserve">collaborative environment for EU governments, the internet industry, and other partners to</w:t>
      </w:r>
      <w:r>
        <w:t xml:space="preserve"> </w:t>
      </w:r>
      <w:r>
        <w:t xml:space="preserve">tackle illegal content online, including drug precursors106.</w:t>
      </w:r>
      <w:r>
        <w:t xml:space="preserve"> </w:t>
      </w:r>
      <w:r>
        <w:t xml:space="preserve">The Commission will continue collecting data on legal and illegal trade and use of precursors</w:t>
      </w:r>
      <w:r>
        <w:t xml:space="preserve"> </w:t>
      </w:r>
      <w:r>
        <w:t xml:space="preserve">from national authorities, in the European drug precursors database, and transmit them to the</w:t>
      </w:r>
      <w:r>
        <w:t xml:space="preserve"> </w:t>
      </w:r>
      <w:r>
        <w:t xml:space="preserve">INCB. Expansion of this database to enable operators to communicate their transactions could</w:t>
      </w:r>
      <w:r>
        <w:t xml:space="preserve"> </w:t>
      </w:r>
      <w:r>
        <w:t xml:space="preserve">reduce the administrative burden of national authorities, yet cost the Commission</w:t>
      </w:r>
      <w:r>
        <w:t xml:space="preserve"> </w:t>
      </w:r>
      <w:r>
        <w:t xml:space="preserve">approximately EUR 430 000107.</w:t>
      </w:r>
      <w:r>
        <w:t xml:space="preserve"> </w:t>
      </w:r>
      <w:r>
        <w:t xml:space="preserve">The Commission will update various resources like Frequently Asked Questions, FAQ108, the</w:t>
      </w:r>
      <w:r>
        <w:t xml:space="preserve"> </w:t>
      </w:r>
      <w:r>
        <w:t xml:space="preserve">catalogue of mixtures, the EU Guidelines for operators, and the e-learning courses, although,</w:t>
      </w:r>
      <w:r>
        <w:t xml:space="preserve"> </w:t>
      </w:r>
      <w:r>
        <w:t xml:space="preserve">except for the FAQ document, these will not be made public, limiting awareness.</w:t>
      </w:r>
      <w:r>
        <w:t xml:space="preserve"> </w:t>
      </w:r>
      <w:r>
        <w:t xml:space="preserve">The Expert Group, including industry representatives, will remain an important forum for</w:t>
      </w:r>
      <w:r>
        <w:t xml:space="preserve"> </w:t>
      </w:r>
      <w:r>
        <w:t xml:space="preserve">raising awareness on emerging threats, and discussing implementation aspects.</w:t>
      </w:r>
      <w:r>
        <w:t xml:space="preserve"> </w:t>
      </w:r>
      <w:r>
        <w:t xml:space="preserve">More and more Member States would likely digitise their national procedures. While this could</w:t>
      </w:r>
      <w:r>
        <w:t xml:space="preserve"> </w:t>
      </w:r>
      <w:r>
        <w:t xml:space="preserve">aid trade at national level, disparities among Member States would still disturb the internal</w:t>
      </w:r>
      <w:r>
        <w:t xml:space="preserve"> </w:t>
      </w:r>
      <w:r>
        <w:t xml:space="preserve">market, challenging SMEs when extending their activities. Paper formalities, such as the</w:t>
      </w:r>
      <w:r>
        <w:t xml:space="preserve"> </w:t>
      </w:r>
      <w:r>
        <w:t xml:space="preserve">customer declarations109, would persist regardless of digital advancements in Member States.</w:t>
      </w:r>
      <w:r>
        <w:t xml:space="preserve"> </w:t>
      </w:r>
      <w:r>
        <w:t xml:space="preserve">Costs for economic operators will remain the same as shown in Figure 3.</w:t>
      </w:r>
      <w:r>
        <w:br/>
      </w:r>
      <w:r>
        <w:t xml:space="preserve">5.2. Description of the policy options</w:t>
      </w:r>
      <w:r>
        <w:t xml:space="preserve"> </w:t>
      </w:r>
      <w:r>
        <w:t xml:space="preserve">Three policy options are put forward and summarised in Figure 8, while three others were</w:t>
      </w:r>
      <w:r>
        <w:t xml:space="preserve"> </w:t>
      </w:r>
      <w:r>
        <w:t xml:space="preserve">discarded at an early stage (see section 5.3).</w:t>
      </w:r>
      <w:r>
        <w:t xml:space="preserve"> </w:t>
      </w:r>
      <w:r>
        <w:t xml:space="preserve">While presenting important differences, the options build on one another, with a gradual</w:t>
      </w:r>
      <w:r>
        <w:t xml:space="preserve"> </w:t>
      </w:r>
      <w:r>
        <w:t xml:space="preserve">approach from a relatively light technical approach to more wide-ranging regulatory</w:t>
      </w:r>
      <w:r>
        <w:t xml:space="preserve"> </w:t>
      </w:r>
      <w:r>
        <w:t xml:space="preserve">interventions. A risk-based approach has been followed in setting the proposed options,</w:t>
      </w:r>
      <w:r>
        <w:t xml:space="preserve"> </w:t>
      </w:r>
      <w:r>
        <w:t xml:space="preserve">i.e. each option has been designed to address both objectives at the same time. However,</w:t>
      </w:r>
      <w:r>
        <w:t xml:space="preserve"> </w:t>
      </w:r>
      <w:r>
        <w:t xml:space="preserve">bearing in mind potential trade-offs, the policy options put a various level of emphasis on either</w:t>
      </w:r>
      <w:r>
        <w:t xml:space="preserve"> </w:t>
      </w:r>
      <w:r>
        <w:t xml:space="preserve">objective.</w:t>
      </w:r>
      <w:r>
        <w:t xml:space="preserve"> </w:t>
      </w:r>
      <w:r>
        <w:t xml:space="preserve">A set of non-regulatory flanking measures strengthens rule enforcement, applicable to all three</w:t>
      </w:r>
      <w:r>
        <w:t xml:space="preserve"> </w:t>
      </w:r>
      <w:r>
        <w:t xml:space="preserve">options. They should contribute to closing off or removing paths of least resistance for</w:t>
      </w:r>
      <w:r>
        <w:t xml:space="preserve"> </w:t>
      </w:r>
      <w:r>
        <w:t xml:space="preserve">criminals. Although these are supplementary to primary measures, they do not serve as</w:t>
      </w:r>
      <w:r>
        <w:t xml:space="preserve"> </w:t>
      </w:r>
      <w:r>
        <w:t xml:space="preserve">standalone policy alternatives.</w:t>
      </w:r>
    </w:p>
    <w:p>
      <w:pPr>
        <w:pStyle w:val="BodyText"/>
      </w:pPr>
      <w:r>
        <w:t xml:space="preserve">105 Regulation (EU) 2022/2065 of the European Parliament and of the Council of 19 October 2022 on a Single</w:t>
      </w:r>
      <w:r>
        <w:t xml:space="preserve"> </w:t>
      </w:r>
      <w:r>
        <w:t xml:space="preserve">Market for Digital Services and amending Directive 2000/31/EC (Digital Services Act).</w:t>
      </w:r>
      <w:r>
        <w:t xml:space="preserve"> </w:t>
      </w:r>
      <w:r>
        <w:t xml:space="preserve">106 https://home-affairs.ec.europa.eu/networks/european-union-internet-forum_en. The roadmap also includes</w:t>
      </w:r>
      <w:r>
        <w:t xml:space="preserve"> </w:t>
      </w:r>
      <w:r>
        <w:t xml:space="preserve">further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online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drug</w:t>
      </w:r>
      <w:r>
        <w:t xml:space="preserve"> </w:t>
      </w:r>
      <w:r>
        <w:t xml:space="preserve">trafficking: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content/EN/TXT/PDF/?uri=CELEX:52023DC0641</w:t>
      </w:r>
      <w:r>
        <w:t xml:space="preserve"> </w:t>
      </w:r>
      <w:r>
        <w:t xml:space="preserve">107 Based on an estimation done by the Commission services.</w:t>
      </w:r>
      <w:r>
        <w:t xml:space="preserve"> </w:t>
      </w:r>
      <w:r>
        <w:t xml:space="preserve">108 Drug precursors control - European Commission (europa.eu)</w:t>
      </w:r>
      <w:r>
        <w:br/>
      </w:r>
      <w:r>
        <w:t xml:space="preserve">109 Article 4 of Reg 273/2004 requires a stamped and signed customer declaration on headed notepaper.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The flanking measures include:</w:t>
      </w:r>
      <w:r>
        <w:t xml:space="preserve"> </w:t>
      </w:r>
      <w:r>
        <w:t xml:space="preserve">Firstly, awareness raising by training, guidance and other soft law tools to enhance the</w:t>
      </w:r>
      <w:r>
        <w:t xml:space="preserve"> </w:t>
      </w:r>
      <w:r>
        <w:t xml:space="preserve">implementation of the rules by national authorities and operators alike, including online trade.</w:t>
      </w:r>
      <w:r>
        <w:t xml:space="preserve"> </w:t>
      </w:r>
      <w:r>
        <w:t xml:space="preserve">This measure was broadly supported in the various consultations110. This is expected to improve</w:t>
      </w:r>
      <w:r>
        <w:t xml:space="preserve"> </w:t>
      </w:r>
      <w:r>
        <w:t xml:space="preserve">cooperation with economic operators for drug precursors with legitimate uses. However, such</w:t>
      </w:r>
      <w:r>
        <w:t xml:space="preserve"> </w:t>
      </w:r>
      <w:r>
        <w:t xml:space="preserve">measures would have a limited impact on designer precursors, typically not used by operators.</w:t>
      </w:r>
      <w:r>
        <w:t xml:space="preserve"> </w:t>
      </w:r>
      <w:r>
        <w:t xml:space="preserve">Secondly, capacity for testing new substances by supporting customs and competent</w:t>
      </w:r>
      <w:r>
        <w:t xml:space="preserve"> </w:t>
      </w:r>
      <w:r>
        <w:t xml:space="preserve">authorities with analytical methods, supported by the JRC and customs laboratories, and state-</w:t>
      </w:r>
      <w:r>
        <w:t xml:space="preserve"> </w:t>
      </w:r>
      <w:r>
        <w:t xml:space="preserve">of-the-art equipment, funded by over EUR 200 million through Customs Control Equipment</w:t>
      </w:r>
      <w:r>
        <w:t xml:space="preserve"> </w:t>
      </w:r>
      <w:r>
        <w:t xml:space="preserve">Instrument (CCEI). The Commission will support and develop the two networks of laboratories</w:t>
      </w:r>
      <w:r>
        <w:t xml:space="preserve"> </w:t>
      </w:r>
      <w:r>
        <w:t xml:space="preserve">(the Customs Laboratories European Network and the European Network of Forensic Science</w:t>
      </w:r>
      <w:r>
        <w:t xml:space="preserve"> </w:t>
      </w:r>
      <w:r>
        <w:t xml:space="preserve">Institutes). These laboratories help police and customs in their investigations and controls and</w:t>
      </w:r>
      <w:r>
        <w:t xml:space="preserve"> </w:t>
      </w:r>
      <w:r>
        <w:t xml:space="preserve">will encourage increasing labs’ cooperation with law enforcement. Moreover, technologies</w:t>
      </w:r>
      <w:r>
        <w:t xml:space="preserve"> </w:t>
      </w:r>
      <w:r>
        <w:t xml:space="preserve">stemming from the EU Horizon 2020 projects equip law enforcement with new capabilities,</w:t>
      </w:r>
      <w:r>
        <w:t xml:space="preserve"> </w:t>
      </w:r>
      <w:r>
        <w:t xml:space="preserve">allowing for more effective detection of illicit drugs and precursors at the borders and thus</w:t>
      </w:r>
      <w:r>
        <w:t xml:space="preserve"> </w:t>
      </w:r>
      <w:r>
        <w:t xml:space="preserve">reducing the availability of designer precursors.</w:t>
      </w:r>
      <w:r>
        <w:t xml:space="preserve"> </w:t>
      </w:r>
      <w:r>
        <w:t xml:space="preserve">Thirdly, monitoring and control of equipment used in the illicit drug manufacturing is</w:t>
      </w:r>
      <w:r>
        <w:t xml:space="preserve"> </w:t>
      </w:r>
      <w:r>
        <w:t xml:space="preserve">supported through awareness-raising materials and Expert Group coordination111. These</w:t>
      </w:r>
      <w:r>
        <w:t xml:space="preserve"> </w:t>
      </w:r>
      <w:r>
        <w:t xml:space="preserve">complement international efforts like INCB’s Operation Acronym. They might be implemented</w:t>
      </w:r>
      <w:r>
        <w:t xml:space="preserve"> </w:t>
      </w:r>
      <w:r>
        <w:t xml:space="preserve">in the framework of the EMPACT instrument, under the ‘drug trafficking’ priority.112 The</w:t>
      </w:r>
      <w:r>
        <w:t xml:space="preserve"> </w:t>
      </w:r>
      <w:r>
        <w:t xml:space="preserve">impact of this measure in comparison to binding measures is likely to be reduced, but given the</w:t>
      </w:r>
      <w:r>
        <w:t xml:space="preserve"> </w:t>
      </w:r>
      <w:r>
        <w:t xml:space="preserve">scope of equipment potentially concerned, voluntary measures focussing on suspicious</w:t>
      </w:r>
      <w:r>
        <w:t xml:space="preserve"> </w:t>
      </w:r>
      <w:r>
        <w:t xml:space="preserve">transactions were considered more proportionate.</w:t>
      </w:r>
      <w:r>
        <w:t xml:space="preserve"> </w:t>
      </w:r>
      <w:r>
        <w:t xml:space="preserve">Finally, compliance checks of economic operators are to be enhanced and are especially</w:t>
      </w:r>
      <w:r>
        <w:t xml:space="preserve"> </w:t>
      </w:r>
      <w:r>
        <w:t xml:space="preserve">crucial with the reduced ex-ante controls in Options 2 and 3. The Commission would support</w:t>
      </w:r>
      <w:r>
        <w:t xml:space="preserve"> </w:t>
      </w:r>
      <w:r>
        <w:t xml:space="preserve">Member States by providing a platform to exchange on compliance checks and jointly</w:t>
      </w:r>
      <w:r>
        <w:t xml:space="preserve"> </w:t>
      </w:r>
      <w:r>
        <w:t xml:space="preserve">elaborating a risk assessment approach to checking economic operators.</w:t>
      </w:r>
    </w:p>
    <w:p>
      <w:pPr>
        <w:pStyle w:val="BodyText"/>
      </w:pPr>
      <w:r>
        <w:t xml:space="preserve">110 23 out of 24 national authorities participating in the public consultation rated the importance of this measure as</w:t>
      </w:r>
      <w:r>
        <w:t xml:space="preserve"> </w:t>
      </w:r>
      <w:r>
        <w:t xml:space="preserve">‘very high’ or ‘high’. Similarly, in the targeted survey, 22 out of 26 national authorities and 38 out of 41 economic</w:t>
      </w:r>
      <w:r>
        <w:t xml:space="preserve"> </w:t>
      </w:r>
      <w:r>
        <w:t xml:space="preserve">operators endorsed promoting awareness and cooperation with the private sector. Training of relevant staff is</w:t>
      </w:r>
      <w:r>
        <w:t xml:space="preserve"> </w:t>
      </w:r>
      <w:r>
        <w:t xml:space="preserve">largely approved by authorities (20 out of 28) and operators (45 out of 54).</w:t>
      </w:r>
      <w:r>
        <w:t xml:space="preserve"> </w:t>
      </w:r>
      <w:r>
        <w:t xml:space="preserve">111 Regulatory approaches in this area received very limited support during the consultation activities (see Section</w:t>
      </w:r>
      <w:r>
        <w:t xml:space="preserve"> </w:t>
      </w:r>
      <w:r>
        <w:t xml:space="preserve">5.3.2).</w:t>
      </w:r>
      <w:r>
        <w:br/>
      </w:r>
      <w:r>
        <w:t xml:space="preserve">112</w:t>
      </w:r>
      <w:r>
        <w:t xml:space="preserve"> </w:t>
      </w:r>
      <w:r>
        <w:t xml:space="preserve">See:</w:t>
      </w:r>
      <w:r>
        <w:t xml:space="preserve"> </w:t>
      </w:r>
      <w:r>
        <w:t xml:space="preserve">https://home-affairs.ec.europa.eu/policies/law-enforcement-cooperation/empact-fighting-crime-</w:t>
      </w:r>
      <w:r>
        <w:t xml:space="preserve"> </w:t>
      </w:r>
      <w:r>
        <w:t xml:space="preserve">together_en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Figure 8: Presentation of the policy 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Designer precursors:</w:t>
      </w:r>
    </w:p>
    <w:p>
      <w:pPr>
        <w:pStyle w:val="BodyText"/>
      </w:pPr>
      <w:r>
        <w:t xml:space="preserve">Are currently scheduled as</w:t>
      </w:r>
      <w:r>
        <w:t xml:space="preserve"> </w:t>
      </w:r>
      <w:r>
        <w:t xml:space="preserve">regular precursors</w:t>
      </w:r>
      <w:r>
        <w:t xml:space="preserve"> </w:t>
      </w:r>
      <w:r>
        <w:t xml:space="preserve">Designer precursors:</w:t>
      </w:r>
    </w:p>
    <w:p>
      <w:pPr>
        <w:pStyle w:val="BodyText"/>
      </w:pPr>
      <w:r>
        <w:t xml:space="preserve">Specific rules will be</w:t>
      </w:r>
      <w:r>
        <w:t xml:space="preserve"> </w:t>
      </w:r>
      <w:r>
        <w:t xml:space="preserve">introduced for internal</w:t>
      </w:r>
      <w:r>
        <w:t xml:space="preserve"> </w:t>
      </w:r>
      <w:r>
        <w:t xml:space="preserve">trade.</w:t>
      </w:r>
    </w:p>
    <w:p>
      <w:pPr>
        <w:pStyle w:val="BodyText"/>
      </w:pPr>
      <w:r>
        <w:t xml:space="preserve">Designer Precursors:</w:t>
      </w:r>
    </w:p>
    <w:p>
      <w:pPr>
        <w:pStyle w:val="BodyText"/>
      </w:pPr>
      <w:r>
        <w:t xml:space="preserve">A new category is introduced</w:t>
      </w:r>
      <w:r>
        <w:t xml:space="preserve"> </w:t>
      </w:r>
      <w:r>
        <w:t xml:space="preserve">for internal and external trade.</w:t>
      </w:r>
      <w:r>
        <w:t xml:space="preserve"> </w:t>
      </w:r>
      <w:r>
        <w:t xml:space="preserve">A prior notification is</w:t>
      </w:r>
      <w:r>
        <w:t xml:space="preserve"> </w:t>
      </w:r>
      <w:r>
        <w:t xml:space="preserve">required for legal activities</w:t>
      </w:r>
      <w:r>
        <w:t xml:space="preserve"> </w:t>
      </w:r>
      <w:r>
        <w:t xml:space="preserve">using such designer</w:t>
      </w:r>
      <w:r>
        <w:t xml:space="preserve"> </w:t>
      </w:r>
      <w:r>
        <w:t xml:space="preserve">precursors</w:t>
      </w:r>
    </w:p>
    <w:p>
      <w:pPr>
        <w:pStyle w:val="BodyText"/>
      </w:pPr>
      <w:r>
        <w:t xml:space="preserve">Designer Precursors:</w:t>
      </w:r>
    </w:p>
    <w:p>
      <w:pPr>
        <w:pStyle w:val="BodyText"/>
      </w:pPr>
      <w:r>
        <w:t xml:space="preserve">A new category is introduced</w:t>
      </w:r>
      <w:r>
        <w:t xml:space="preserve"> </w:t>
      </w:r>
      <w:r>
        <w:t xml:space="preserve">for internal and external trade.</w:t>
      </w:r>
      <w:r>
        <w:t xml:space="preserve"> </w:t>
      </w:r>
      <w:r>
        <w:t xml:space="preserve">A special license is required</w:t>
      </w:r>
      <w:r>
        <w:t xml:space="preserve"> </w:t>
      </w:r>
      <w:r>
        <w:t xml:space="preserve">for legal activities using such</w:t>
      </w:r>
      <w:r>
        <w:t xml:space="preserve"> </w:t>
      </w:r>
      <w:r>
        <w:t xml:space="preserve">designer precursors</w:t>
      </w:r>
    </w:p>
    <w:p>
      <w:pPr>
        <w:pStyle w:val="BodyText"/>
      </w:pPr>
      <w:r>
        <w:t xml:space="preserve">Scope of controlling</w:t>
      </w:r>
      <w:r>
        <w:t xml:space="preserve"> </w:t>
      </w:r>
      <w:r>
        <w:t xml:space="preserve">designer precursors:</w:t>
      </w:r>
    </w:p>
    <w:p>
      <w:pPr>
        <w:pStyle w:val="BodyText"/>
      </w:pPr>
      <w:r>
        <w:t xml:space="preserve">Pro-active scheduling of</w:t>
      </w:r>
      <w:r>
        <w:t xml:space="preserve"> </w:t>
      </w:r>
      <w:r>
        <w:t xml:space="preserve">individual designer precursors</w:t>
      </w:r>
      <w:r>
        <w:t xml:space="preserve"> </w:t>
      </w:r>
      <w:r>
        <w:t xml:space="preserve">and some derivatives that</w:t>
      </w:r>
      <w:r>
        <w:t xml:space="preserve"> </w:t>
      </w:r>
      <w:r>
        <w:t xml:space="preserve">have not yet been seized</w:t>
      </w:r>
      <w:r>
        <w:t xml:space="preserve"> </w:t>
      </w:r>
      <w:r>
        <w:t xml:space="preserve">Scope of controlling</w:t>
      </w:r>
      <w:r>
        <w:t xml:space="preserve"> </w:t>
      </w:r>
      <w:r>
        <w:t xml:space="preserve">designer precursors: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Scope of controlling</w:t>
      </w:r>
      <w:r>
        <w:t xml:space="preserve"> </w:t>
      </w:r>
      <w:r>
        <w:t xml:space="preserve">designer precursors:</w:t>
      </w:r>
    </w:p>
    <w:p>
      <w:pPr>
        <w:pStyle w:val="BodyText"/>
      </w:pPr>
      <w:r>
        <w:t xml:space="preserve">Schedule substances based on</w:t>
      </w:r>
      <w:r>
        <w:t xml:space="preserve"> </w:t>
      </w:r>
      <w:r>
        <w:t xml:space="preserve">a chemical base molecule and</w:t>
      </w:r>
      <w:r>
        <w:t xml:space="preserve"> </w:t>
      </w:r>
      <w:r>
        <w:t xml:space="preserve">a limited number of precise</w:t>
      </w:r>
      <w:r>
        <w:t xml:space="preserve"> </w:t>
      </w:r>
      <w:r>
        <w:t xml:space="preserve">modifications to these base</w:t>
      </w:r>
      <w:r>
        <w:t xml:space="preserve"> </w:t>
      </w:r>
      <w:r>
        <w:t xml:space="preserve">molecules (approx.100-200</w:t>
      </w:r>
      <w:r>
        <w:t xml:space="preserve"> </w:t>
      </w:r>
      <w:r>
        <w:t xml:space="preserve">substances)</w:t>
      </w:r>
      <w:r>
        <w:t xml:space="preserve"> </w:t>
      </w:r>
      <w:r>
        <w:t xml:space="preserve">Scope of controlling</w:t>
      </w:r>
      <w:r>
        <w:t xml:space="preserve"> </w:t>
      </w:r>
      <w:r>
        <w:t xml:space="preserve">designer precursors:</w:t>
      </w:r>
    </w:p>
    <w:p>
      <w:pPr>
        <w:pStyle w:val="BodyText"/>
      </w:pPr>
      <w:r>
        <w:t xml:space="preserve">Schedule base molecules</w:t>
      </w:r>
      <w:r>
        <w:t xml:space="preserve"> </w:t>
      </w:r>
      <w:r>
        <w:t xml:space="preserve">(represented by their</w:t>
      </w:r>
      <w:r>
        <w:t xml:space="preserve"> </w:t>
      </w:r>
      <w:r>
        <w:t xml:space="preserve">structural formula) and allow</w:t>
      </w:r>
      <w:r>
        <w:t xml:space="preserve"> </w:t>
      </w:r>
      <w:r>
        <w:t xml:space="preserve">for an extended number of</w:t>
      </w:r>
      <w:r>
        <w:t xml:space="preserve"> </w:t>
      </w:r>
      <w:r>
        <w:t xml:space="preserve">modifications to these,</w:t>
      </w:r>
      <w:r>
        <w:t xml:space="preserve"> </w:t>
      </w:r>
      <w:r>
        <w:t xml:space="preserve">resulting in approx. 300-400</w:t>
      </w:r>
      <w:r>
        <w:t xml:space="preserve"> </w:t>
      </w:r>
      <w:r>
        <w:t xml:space="preserve">substances</w:t>
      </w:r>
      <w:r>
        <w:t xml:space="preserve"> </w:t>
      </w:r>
      <w:r>
        <w:t xml:space="preserve">Traditional precursors:</w:t>
      </w:r>
    </w:p>
    <w:p>
      <w:pPr>
        <w:pStyle w:val="BodyText"/>
      </w:pPr>
      <w:r>
        <w:t xml:space="preserve">Categories remain unchanged</w:t>
      </w:r>
    </w:p>
    <w:p>
      <w:pPr>
        <w:pStyle w:val="BodyText"/>
      </w:pPr>
      <w:r>
        <w:t xml:space="preserve">Traditional precursors: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Traditional precursors:</w:t>
      </w:r>
    </w:p>
    <w:p>
      <w:pPr>
        <w:pStyle w:val="BodyText"/>
      </w:pPr>
      <w:r>
        <w:t xml:space="preserve">Categories are streamlined</w:t>
      </w:r>
      <w:r>
        <w:t xml:space="preserve"> </w:t>
      </w:r>
      <w:r>
        <w:t xml:space="preserve">into key precursors (cat. 1)</w:t>
      </w:r>
      <w:r>
        <w:t xml:space="preserve"> </w:t>
      </w:r>
      <w:r>
        <w:t xml:space="preserve">and solvents/reactants (cat.2)</w:t>
      </w:r>
      <w:r>
        <w:t xml:space="preserve"> </w:t>
      </w:r>
      <w:r>
        <w:t xml:space="preserve">Traditional precursors:</w:t>
      </w:r>
    </w:p>
    <w:p>
      <w:pPr>
        <w:pStyle w:val="BodyText"/>
      </w:pPr>
      <w:r>
        <w:t xml:space="preserve">Categories are streamlined</w:t>
      </w:r>
      <w:r>
        <w:t xml:space="preserve"> </w:t>
      </w:r>
      <w:r>
        <w:t xml:space="preserve">and controls attached are</w:t>
      </w:r>
      <w:r>
        <w:t xml:space="preserve"> </w:t>
      </w:r>
      <w:r>
        <w:t xml:space="preserve">reinforced.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procedures/IT:</w:t>
      </w:r>
    </w:p>
    <w:p>
      <w:pPr>
        <w:pStyle w:val="BodyText"/>
      </w:pPr>
      <w:r>
        <w:t xml:space="preserve">The existing database will be</w:t>
      </w:r>
      <w:r>
        <w:t xml:space="preserve"> </w:t>
      </w:r>
      <w:r>
        <w:t xml:space="preserve">extended to electronic</w:t>
      </w:r>
      <w:r>
        <w:t xml:space="preserve"> </w:t>
      </w:r>
      <w:r>
        <w:t xml:space="preserve">reporting by economic</w:t>
      </w:r>
      <w:r>
        <w:t xml:space="preserve"> </w:t>
      </w:r>
      <w:r>
        <w:t xml:space="preserve">operators and an electronic</w:t>
      </w:r>
      <w:r>
        <w:t xml:space="preserve"> </w:t>
      </w:r>
      <w:r>
        <w:t xml:space="preserve">customer declaration will be</w:t>
      </w:r>
      <w:r>
        <w:t xml:space="preserve"> </w:t>
      </w:r>
      <w:r>
        <w:t xml:space="preserve">envisaged.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procedures/IT:</w:t>
      </w:r>
    </w:p>
    <w:p>
      <w:pPr>
        <w:pStyle w:val="BodyText"/>
      </w:pPr>
      <w:r>
        <w:t xml:space="preserve">For internal trade, economic</w:t>
      </w:r>
      <w:r>
        <w:t xml:space="preserve"> </w:t>
      </w:r>
      <w:r>
        <w:t xml:space="preserve">operators will provide ex</w:t>
      </w:r>
      <w:r>
        <w:t xml:space="preserve"> </w:t>
      </w:r>
      <w:r>
        <w:t xml:space="preserve">ante summary reporting</w:t>
      </w:r>
      <w:r>
        <w:t xml:space="preserve"> </w:t>
      </w:r>
      <w:r>
        <w:t xml:space="preserve">instead of ex post reporting.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procedures/IT:</w:t>
      </w:r>
    </w:p>
    <w:p>
      <w:pPr>
        <w:pStyle w:val="BodyText"/>
      </w:pPr>
      <w:r>
        <w:t xml:space="preserve">Processes are fully digitised,</w:t>
      </w:r>
      <w:r>
        <w:t xml:space="preserve"> </w:t>
      </w:r>
      <w:r>
        <w:t xml:space="preserve">with e-licenses and</w:t>
      </w:r>
      <w:r>
        <w:t xml:space="preserve"> </w:t>
      </w:r>
      <w:r>
        <w:t xml:space="preserve">registrations, e-verification</w:t>
      </w:r>
      <w:r>
        <w:t xml:space="preserve"> </w:t>
      </w:r>
      <w:r>
        <w:t xml:space="preserve">(for cat. 1 and 3) as well as</w:t>
      </w:r>
      <w:r>
        <w:t xml:space="preserve"> </w:t>
      </w:r>
      <w:r>
        <w:t xml:space="preserve">automated reporting. Pre-</w:t>
      </w:r>
      <w:r>
        <w:t xml:space="preserve"> </w:t>
      </w:r>
      <w:r>
        <w:t xml:space="preserve">export notification wait</w:t>
      </w:r>
      <w:r>
        <w:t xml:space="preserve"> </w:t>
      </w:r>
      <w:r>
        <w:t xml:space="preserve">period is lifted.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procedures/IT:</w:t>
      </w:r>
    </w:p>
    <w:p>
      <w:pPr>
        <w:pStyle w:val="BodyText"/>
      </w:pPr>
      <w:r>
        <w:t xml:space="preserve">Processes are fully digitised,</w:t>
      </w:r>
      <w:r>
        <w:t xml:space="preserve"> </w:t>
      </w:r>
      <w:r>
        <w:t xml:space="preserve">with e-licenses and</w:t>
      </w:r>
      <w:r>
        <w:t xml:space="preserve"> </w:t>
      </w:r>
      <w:r>
        <w:t xml:space="preserve">registrations, e-verification as</w:t>
      </w:r>
      <w:r>
        <w:t xml:space="preserve"> </w:t>
      </w:r>
      <w:r>
        <w:t xml:space="preserve">well as automated reporting.</w:t>
      </w:r>
      <w:r>
        <w:t xml:space="preserve"> </w:t>
      </w:r>
      <w:r>
        <w:t xml:space="preserve">E-verification is requested for</w:t>
      </w:r>
      <w:r>
        <w:t xml:space="preserve"> </w:t>
      </w:r>
      <w:r>
        <w:t xml:space="preserve">all transactions and pre-export</w:t>
      </w:r>
      <w:r>
        <w:t xml:space="preserve"> </w:t>
      </w:r>
      <w:r>
        <w:t xml:space="preserve">notification is only lifted for</w:t>
      </w:r>
      <w:r>
        <w:t xml:space="preserve"> </w:t>
      </w:r>
      <w:r>
        <w:t xml:space="preserve">trusted economic operators.</w:t>
      </w:r>
    </w:p>
    <w:p>
      <w:pPr>
        <w:pStyle w:val="BodyText"/>
      </w:pPr>
      <w:r>
        <w:t xml:space="preserve">5.2.1. Option 1: Technical adaptations</w:t>
      </w:r>
      <w:r>
        <w:br/>
      </w:r>
      <w:r>
        <w:t xml:space="preserve">The key measures of option 1 are the following:</w:t>
      </w:r>
      <w:r>
        <w:t xml:space="preserve"> </w:t>
      </w:r>
      <w:r>
        <w:t xml:space="preserve">• Specific rules for designer precursors in internal trade Designer precursors rarely</w:t>
      </w:r>
      <w:r>
        <w:t xml:space="preserve"> </w:t>
      </w:r>
      <w:r>
        <w:t xml:space="preserve">enter legitimate supply chains. Yet, their legitimate use in research and innovation, often</w:t>
      </w:r>
      <w:r>
        <w:t xml:space="preserve"> </w:t>
      </w:r>
      <w:r>
        <w:t xml:space="preserve">in very small quantities, needs to remain possible. This is why for internal trade the</w:t>
      </w:r>
      <w:r>
        <w:t xml:space="preserve"> </w:t>
      </w:r>
      <w:r>
        <w:t xml:space="preserve">obligations attached to designer precursors in internal trade are rendered more targeted.</w:t>
      </w:r>
      <w:r>
        <w:t xml:space="preserve"> </w:t>
      </w:r>
      <w:r>
        <w:t xml:space="preserve">Legitimate use is notified to the competent authority who may then investigate. Failure</w:t>
      </w:r>
      <w:r>
        <w:t xml:space="preserve"> </w:t>
      </w:r>
      <w:r>
        <w:t xml:space="preserve">to notify raises suspicions.</w:t>
      </w:r>
      <w:r>
        <w:br/>
      </w:r>
      <w:r>
        <w:t xml:space="preserve">• Simplify reporting obligations by switching from an ex-post to an ex-ante for</w:t>
      </w:r>
      <w:r>
        <w:t xml:space="preserve"> </w:t>
      </w:r>
      <w:r>
        <w:t xml:space="preserve">internal trade: In line with the idea of maintaining high levels of control while</w:t>
      </w:r>
      <w:r>
        <w:t xml:space="preserve"> </w:t>
      </w:r>
      <w:r>
        <w:t xml:space="preserve">streamlining the administrative requirements linked to the controls, this option also</w:t>
      </w:r>
      <w:r>
        <w:t xml:space="preserve"> </w:t>
      </w:r>
      <w:r>
        <w:t xml:space="preserve">seeks to facilitate reporting for economic operators and authorities.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Further technical adaptations in the form of guidance and transparency underpin these key</w:t>
      </w:r>
      <w:r>
        <w:t xml:space="preserve"> </w:t>
      </w:r>
      <w:r>
        <w:t xml:space="preserve">aspects of option 1.</w:t>
      </w:r>
      <w:r>
        <w:t xml:space="preserve"> </w:t>
      </w:r>
      <w:r>
        <w:t xml:space="preserve">For objective 1, the Commission develops a guidance document to improve the scheduling</w:t>
      </w:r>
      <w:r>
        <w:t xml:space="preserve"> </w:t>
      </w:r>
      <w:r>
        <w:t xml:space="preserve">process. This document covers all the steps, starting from the identification of substances to be</w:t>
      </w:r>
      <w:r>
        <w:t xml:space="preserve"> </w:t>
      </w:r>
      <w:r>
        <w:t xml:space="preserve">scheduled and the automatic assessment of substances closely related to the candidate ones, to</w:t>
      </w:r>
      <w:r>
        <w:t xml:space="preserve"> </w:t>
      </w:r>
      <w:r>
        <w:t xml:space="preserve">avoid their easy substitution. Notably, the Council and the Parliament establish a common</w:t>
      </w:r>
      <w:r>
        <w:t xml:space="preserve"> </w:t>
      </w:r>
      <w:r>
        <w:t xml:space="preserve">practice to reduce the objection period to one month or even less, for faster scheduling of</w:t>
      </w:r>
      <w:r>
        <w:t xml:space="preserve"> </w:t>
      </w:r>
      <w:r>
        <w:t xml:space="preserve">designer precursors.</w:t>
      </w:r>
      <w:r>
        <w:t xml:space="preserve"> </w:t>
      </w:r>
      <w:r>
        <w:t xml:space="preserve">The Commission modifies the relevant implementing and delegated acts closing the existing</w:t>
      </w:r>
      <w:r>
        <w:t xml:space="preserve"> </w:t>
      </w:r>
      <w:r>
        <w:t xml:space="preserve">loophole for users.</w:t>
      </w:r>
      <w:r>
        <w:br/>
      </w:r>
      <w:r>
        <w:t xml:space="preserve">The Commission revises the existent guidance document for the identification of suspicious</w:t>
      </w:r>
      <w:r>
        <w:t xml:space="preserve"> </w:t>
      </w:r>
      <w:r>
        <w:t xml:space="preserve">transactions with a focus on designer precursors and encourages national authorities to make</w:t>
      </w:r>
      <w:r>
        <w:t xml:space="preserve"> </w:t>
      </w:r>
      <w:r>
        <w:t xml:space="preserve">the information publicly available.</w:t>
      </w:r>
      <w:r>
        <w:t xml:space="preserve"> </w:t>
      </w:r>
      <w:r>
        <w:t xml:space="preserve">A drug precursors information repository covering traditional and designer precursors is set up</w:t>
      </w:r>
      <w:r>
        <w:t xml:space="preserve"> </w:t>
      </w:r>
      <w:r>
        <w:t xml:space="preserve">and maintained by the EUDA. The repository provides information on the relevance of a given</w:t>
      </w:r>
      <w:r>
        <w:t xml:space="preserve"> </w:t>
      </w:r>
      <w:r>
        <w:t xml:space="preserve">substance in drug production. It supports both national authorities in recognising suspicious</w:t>
      </w:r>
      <w:r>
        <w:t xml:space="preserve"> </w:t>
      </w:r>
      <w:r>
        <w:t xml:space="preserve">transactions and the Commission in identifying substances to be scheduled.</w:t>
      </w:r>
      <w:r>
        <w:br/>
      </w:r>
      <w:r>
        <w:t xml:space="preserve">For objective 2, the Commission revises the Annexes to provide for that substances are</w:t>
      </w:r>
      <w:r>
        <w:t xml:space="preserve"> </w:t>
      </w:r>
      <w:r>
        <w:t xml:space="preserve">presented in a consistent way, with relevant identifiers. Scheduled designer precursors are</w:t>
      </w:r>
      <w:r>
        <w:t xml:space="preserve"> </w:t>
      </w:r>
      <w:r>
        <w:t xml:space="preserve">moved to Category 2A for the internal market only and thresholds are set out below which no</w:t>
      </w:r>
      <w:r>
        <w:t xml:space="preserve"> </w:t>
      </w:r>
      <w:r>
        <w:t xml:space="preserve">registration obligation applies. The registration procedure for designer precursors is simplified</w:t>
      </w:r>
      <w:r>
        <w:t xml:space="preserve"> </w:t>
      </w:r>
      <w:r>
        <w:t xml:space="preserve">with a focus on the need to prove the legitimate use. For external trade purposes, designer</w:t>
      </w:r>
      <w:r>
        <w:t xml:space="preserve"> </w:t>
      </w:r>
      <w:r>
        <w:t xml:space="preserve">precursors are kept in Category 1, so that imports are controlled.</w:t>
      </w:r>
      <w:r>
        <w:t xml:space="preserve"> </w:t>
      </w:r>
      <w:r>
        <w:t xml:space="preserve">The Commission changes the implementing rules on licence and registration for the internal</w:t>
      </w:r>
      <w:r>
        <w:t xml:space="preserve"> </w:t>
      </w:r>
      <w:r>
        <w:t xml:space="preserve">market only, by requesting operators to make an estimation of the quantity of precursors to be</w:t>
      </w:r>
      <w:r>
        <w:t xml:space="preserve"> </w:t>
      </w:r>
      <w:r>
        <w:t xml:space="preserve">used or sold during the validity of the registration or licence. If that quantity is consumed, a</w:t>
      </w:r>
      <w:r>
        <w:t xml:space="preserve"> </w:t>
      </w:r>
      <w:r>
        <w:t xml:space="preserve">renewal is to be requested, with a simplified procedure. Operators will no longer have the</w:t>
      </w:r>
      <w:r>
        <w:t xml:space="preserve"> </w:t>
      </w:r>
      <w:r>
        <w:t xml:space="preserve">obligation to send an annual report on Category 1 or 2 transactions in all cases for the internal</w:t>
      </w:r>
      <w:r>
        <w:t xml:space="preserve"> </w:t>
      </w:r>
      <w:r>
        <w:t xml:space="preserve">market, but only upon request, in specific conditions (suspicious activity, or very complex</w:t>
      </w:r>
      <w:r>
        <w:t xml:space="preserve"> </w:t>
      </w:r>
      <w:r>
        <w:t xml:space="preserve">activities).</w:t>
      </w:r>
      <w:r>
        <w:t xml:space="preserve"> </w:t>
      </w:r>
      <w:r>
        <w:t xml:space="preserve">The Commission adopts rules on the electronic form of customer declarations.</w:t>
      </w:r>
      <w:r>
        <w:t xml:space="preserve"> </w:t>
      </w:r>
      <w:r>
        <w:t xml:space="preserve">Finally, the Commission develops a guidance document on mixtures setting out objective</w:t>
      </w:r>
      <w:r>
        <w:t xml:space="preserve"> </w:t>
      </w:r>
      <w:r>
        <w:t xml:space="preserve">criteria to determine if a mixture including drug precursors remains under control. The</w:t>
      </w:r>
      <w:r>
        <w:t xml:space="preserve"> </w:t>
      </w:r>
      <w:r>
        <w:t xml:space="preserve">Commission also sets out guidelines for developing digital solutions at national level.113</w:t>
      </w:r>
      <w:r>
        <w:t xml:space="preserve"> </w:t>
      </w:r>
      <w:r>
        <w:t xml:space="preserve">5.2.2. Option 2: Comprehensive review</w:t>
      </w:r>
    </w:p>
    <w:p>
      <w:pPr>
        <w:pStyle w:val="BodyText"/>
      </w:pPr>
      <w:r>
        <w:t xml:space="preserve">113 Bearing in mind the overall legal framework such as Regulation (EU) 2024/903 of the European Parliament</w:t>
      </w:r>
      <w:r>
        <w:t xml:space="preserve"> </w:t>
      </w:r>
      <w:r>
        <w:t xml:space="preserve">and of the Council of 13 March 2024 laying down measures for a high level of public sector interoperability across</w:t>
      </w:r>
      <w:r>
        <w:t xml:space="preserve"> </w:t>
      </w:r>
      <w:r>
        <w:t xml:space="preserve">the Union (Interoperable Europe Act). While the Interoperability Act concerns systems linking into the Single</w:t>
      </w:r>
      <w:r>
        <w:t xml:space="preserve"> </w:t>
      </w:r>
      <w:r>
        <w:t xml:space="preserve">Window, it is without prejudice to the competence of Member States about their activities concerning public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Policy option 2 makes use of the wider opportunities provided by a full legislative revision.</w:t>
      </w:r>
      <w:r>
        <w:t xml:space="preserve"> </w:t>
      </w:r>
      <w:r>
        <w:t xml:space="preserve">This notably enables a better alignment of external and internal trade controls. The idea of</w:t>
      </w:r>
      <w:r>
        <w:t xml:space="preserve"> </w:t>
      </w:r>
      <w:r>
        <w:t xml:space="preserve">policy option 2 is to gauge to what extent legal controls can be streamlined without</w:t>
      </w:r>
      <w:r>
        <w:t xml:space="preserve"> </w:t>
      </w:r>
      <w:r>
        <w:t xml:space="preserve">compromising effective controls of drug precursor trade. The key measures of option 2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• Streamlining and reorganisation of the currently existing four categories of</w:t>
      </w:r>
      <w:r>
        <w:t xml:space="preserve"> </w:t>
      </w:r>
      <w:r>
        <w:t xml:space="preserve">substances: The new set of categories therefore aim to clarify and streamline</w:t>
      </w:r>
      <w:r>
        <w:t xml:space="preserve"> </w:t>
      </w:r>
      <w:r>
        <w:t xml:space="preserve">obligations and controls based on an updated perception of the risk-profile of a group of</w:t>
      </w:r>
      <w:r>
        <w:t xml:space="preserve"> </w:t>
      </w:r>
      <w:r>
        <w:t xml:space="preserve">substances. Licences are still needed for new Category 1 substances (key precursors</w:t>
      </w:r>
      <w:r>
        <w:t xml:space="preserve"> </w:t>
      </w:r>
      <w:r>
        <w:t xml:space="preserve">with known legal use), and self-registration is required for the new Category 2 (mainly</w:t>
      </w:r>
      <w:r>
        <w:t xml:space="preserve"> </w:t>
      </w:r>
      <w:r>
        <w:t xml:space="preserve">solvents and reactants) only for external trade.</w:t>
      </w:r>
      <w:r>
        <w:t xml:space="preserve"> </w:t>
      </w:r>
      <w:r>
        <w:t xml:space="preserve">• Introducing a new category for designer precursors with prior notifications of legal</w:t>
      </w:r>
      <w:r>
        <w:t xml:space="preserve"> </w:t>
      </w:r>
      <w:r>
        <w:t xml:space="preserve">use: Designer precursors are different from traditional designer precursors in that their</w:t>
      </w:r>
      <w:r>
        <w:t xml:space="preserve"> </w:t>
      </w:r>
      <w:r>
        <w:t xml:space="preserve">legal use is often limited to research activities, but other future legitimate uses cannot</w:t>
      </w:r>
      <w:r>
        <w:t xml:space="preserve"> </w:t>
      </w:r>
      <w:r>
        <w:t xml:space="preserve">be excluded a priori. Designer precursors intended for illegal drug production rarely</w:t>
      </w:r>
      <w:r>
        <w:t xml:space="preserve"> </w:t>
      </w:r>
      <w:r>
        <w:t xml:space="preserve">enter legal supply chains. The obligations attached to this new category therefore aim</w:t>
      </w:r>
      <w:r>
        <w:t xml:space="preserve"> </w:t>
      </w:r>
      <w:r>
        <w:t xml:space="preserve">to consider this dilemma. Scheduling designer precursors serves the double purpose of</w:t>
      </w:r>
      <w:r>
        <w:t xml:space="preserve"> </w:t>
      </w:r>
      <w:r>
        <w:t xml:space="preserve">alerting economic operators to the potential risks of these substances and monitoring</w:t>
      </w:r>
      <w:r>
        <w:t xml:space="preserve"> </w:t>
      </w:r>
      <w:r>
        <w:t xml:space="preserve">their (limited) legal use in a proportionate manner. Including them in the scope of the</w:t>
      </w:r>
      <w:r>
        <w:t xml:space="preserve"> </w:t>
      </w:r>
      <w:r>
        <w:t xml:space="preserve">regulations also creates a link for criminal sanctions under the Framework Decision.</w:t>
      </w:r>
      <w:r>
        <w:t xml:space="preserve"> </w:t>
      </w:r>
      <w:r>
        <w:t xml:space="preserve">• Innovative and more forward-looking ways of scheduling: Option 2 would schedule</w:t>
      </w:r>
      <w:r>
        <w:t xml:space="preserve"> </w:t>
      </w:r>
      <w:r>
        <w:t xml:space="preserve">substances based on a chemical base molecule and a limited number of precise</w:t>
      </w:r>
      <w:r>
        <w:t xml:space="preserve"> </w:t>
      </w:r>
      <w:r>
        <w:t xml:space="preserve">modifications to these base molecules (see Figure 9 and Annex 7)114. The new category</w:t>
      </w:r>
      <w:r>
        <w:t xml:space="preserve"> </w:t>
      </w:r>
      <w:r>
        <w:t xml:space="preserve">would include 110 to 200 designer precursors of ATS.</w:t>
      </w:r>
      <w:r>
        <w:br/>
      </w:r>
      <w:r>
        <w:t xml:space="preserve">Option 2 includes the EUDA information repository envisaged in Option 1.</w:t>
      </w:r>
      <w:r>
        <w:br/>
      </w:r>
      <w:r>
        <w:t xml:space="preserve">The two existing regulations are merged, applying the same rules for internal as well as external</w:t>
      </w:r>
      <w:r>
        <w:t xml:space="preserve"> </w:t>
      </w:r>
      <w:r>
        <w:t xml:space="preserve">trade whenever possible. The obligations of economic operators are adapted to correctly reflect</w:t>
      </w:r>
      <w:r>
        <w:t xml:space="preserve"> </w:t>
      </w:r>
      <w:r>
        <w:t xml:space="preserve">the risk of various transactions, to avoid loopholes in the monitoring system and to avoid</w:t>
      </w:r>
      <w:r>
        <w:t xml:space="preserve"> </w:t>
      </w:r>
      <w:r>
        <w:t xml:space="preserve">unnecessary burden. Licences are still needed for new Category 1 substances (current category</w:t>
      </w:r>
      <w:r>
        <w:t xml:space="preserve"> </w:t>
      </w:r>
      <w:r>
        <w:t xml:space="preserve">1 substances with known legal use), and self-registration is required for the new Category 2</w:t>
      </w:r>
      <w:r>
        <w:t xml:space="preserve"> </w:t>
      </w:r>
      <w:r>
        <w:t xml:space="preserve">(current categories 2 and 3) only for external trade. Operators maintain their obligation on</w:t>
      </w:r>
      <w:r>
        <w:t xml:space="preserve"> </w:t>
      </w:r>
      <w:r>
        <w:t xml:space="preserve">labelling, documentation of transactions and notification of suspicious transactions.</w:t>
      </w:r>
      <w:r>
        <w:t xml:space="preserve"> </w:t>
      </w:r>
      <w:r>
        <w:t xml:space="preserve">In addition, the Commission is empowered to make use of innovative scheduling methods for</w:t>
      </w:r>
      <w:r>
        <w:t xml:space="preserve"> </w:t>
      </w:r>
      <w:r>
        <w:t xml:space="preserve">designer precursors, in addition to individual scheduling (see Figure 9 and Annex 7). Based on</w:t>
      </w:r>
      <w:r>
        <w:t xml:space="preserve"> </w:t>
      </w:r>
      <w:r>
        <w:t xml:space="preserve">its current mandate, the EUDA will advise which scheduling method is the most appropriate.</w:t>
      </w:r>
      <w:r>
        <w:t xml:space="preserve"> </w:t>
      </w:r>
      <w:r>
        <w:t xml:space="preserve">Key to determining the scope of scheduling designer precursors is to provide for legal certainty,</w:t>
      </w:r>
      <w:r>
        <w:t xml:space="preserve"> </w:t>
      </w:r>
      <w:r>
        <w:t xml:space="preserve">minimise the administrative burden and exclude substances having legitimate uses, other than</w:t>
      </w:r>
      <w:r>
        <w:t xml:space="preserve"> </w:t>
      </w:r>
      <w:r>
        <w:t xml:space="preserve">research and innovation.</w:t>
      </w:r>
    </w:p>
    <w:p>
      <w:pPr>
        <w:pStyle w:val="BodyText"/>
      </w:pPr>
      <w:r>
        <w:t xml:space="preserve">114 This would also cover designer precursors that have been scheduled under the current rules.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Figure 9: Methods of scheduling designer precursors115</w:t>
      </w:r>
      <w:r>
        <w:t xml:space="preserve"> </w:t>
      </w:r>
      <w:r>
        <w:t xml:space="preserve">Method</w:t>
      </w:r>
      <w:r>
        <w:t xml:space="preserve"> </w:t>
      </w:r>
      <w:r>
        <w:t xml:space="preserve">Description</w:t>
      </w:r>
      <w:r>
        <w:t xml:space="preserve"> </w:t>
      </w:r>
      <w:r>
        <w:t xml:space="preserve">Scheduling of</w:t>
      </w:r>
      <w:r>
        <w:t xml:space="preserve"> </w:t>
      </w:r>
      <w:r>
        <w:t xml:space="preserve">substances</w:t>
      </w:r>
      <w:r>
        <w:t xml:space="preserve"> </w:t>
      </w:r>
      <w:r>
        <w:t xml:space="preserve">individually</w:t>
      </w:r>
      <w:r>
        <w:t xml:space="preserve"> </w:t>
      </w:r>
      <w:r>
        <w:t xml:space="preserve">Indicating the chemical name, a unique identification number (CAS/CUS numbers)</w:t>
      </w:r>
      <w:r>
        <w:br/>
      </w:r>
      <w:r>
        <w:t xml:space="preserve">Scheduling of</w:t>
      </w:r>
      <w:r>
        <w:t xml:space="preserve"> </w:t>
      </w:r>
      <w:r>
        <w:t xml:space="preserve">families of</w:t>
      </w:r>
      <w:r>
        <w:t xml:space="preserve"> </w:t>
      </w:r>
      <w:r>
        <w:t xml:space="preserve">derivatives</w:t>
      </w:r>
      <w:r>
        <w:t xml:space="preserve"> </w:t>
      </w:r>
      <w:r>
        <w:t xml:space="preserve">Identifying a family of derivative, such as esters, amides, carbamates,</w:t>
      </w:r>
      <w:r>
        <w:t xml:space="preserve"> </w:t>
      </w:r>
      <w:r>
        <w:t xml:space="preserve">sulfonamides, acetals of a designer precursors, with a wider but clearly defined</w:t>
      </w:r>
      <w:r>
        <w:t xml:space="preserve"> </w:t>
      </w:r>
      <w:r>
        <w:t xml:space="preserve">scope (e.g. by limiting the number of carbon atoms)</w:t>
      </w:r>
      <w:r>
        <w:t xml:space="preserve"> </w:t>
      </w:r>
      <w:r>
        <w:t xml:space="preserve">Scheduling with a</w:t>
      </w:r>
      <w:r>
        <w:t xml:space="preserve"> </w:t>
      </w:r>
      <w:r>
        <w:t xml:space="preserve">chemical formula</w:t>
      </w:r>
      <w:r>
        <w:t xml:space="preserve"> </w:t>
      </w:r>
      <w:r>
        <w:t xml:space="preserve">Indicating the chemical formula of a designer precursors and the modifications to</w:t>
      </w:r>
      <w:r>
        <w:t xml:space="preserve"> </w:t>
      </w:r>
      <w:r>
        <w:t xml:space="preserve">the chemical formula which are also included. It can be used for certain designer</w:t>
      </w:r>
      <w:r>
        <w:t xml:space="preserve"> </w:t>
      </w:r>
      <w:r>
        <w:t xml:space="preserve">precursors that have the same core structure and certain specific variables</w:t>
      </w:r>
      <w:r>
        <w:t xml:space="preserve"> </w:t>
      </w:r>
      <w:r>
        <w:t xml:space="preserve">These methods are not exclusive but complementary. The last two scheduling methods are considered</w:t>
      </w:r>
      <w:r>
        <w:t xml:space="preserve"> </w:t>
      </w:r>
      <w:r>
        <w:t xml:space="preserve">innovative ways of scheduling, as the long-established practice in the UN Convention and EU regulations</w:t>
      </w:r>
      <w:r>
        <w:t xml:space="preserve"> </w:t>
      </w:r>
      <w:r>
        <w:t xml:space="preserve">was to schedule substance by substance.</w:t>
      </w:r>
    </w:p>
    <w:p>
      <w:pPr>
        <w:pStyle w:val="BodyText"/>
      </w:pPr>
      <w:r>
        <w:t xml:space="preserve">At international level key players have already preceded the EU in using innovative ways of</w:t>
      </w:r>
      <w:r>
        <w:t xml:space="preserve"> </w:t>
      </w:r>
      <w:r>
        <w:t xml:space="preserve">scheduling. For instance, the US scheduled the core molecules for ATS and fentanyl with</w:t>
      </w:r>
      <w:r>
        <w:t xml:space="preserve"> </w:t>
      </w:r>
      <w:r>
        <w:t xml:space="preserve">families of derivatives without limitations (the esters and, respectively, acetals, carbamates and</w:t>
      </w:r>
      <w:r>
        <w:t xml:space="preserve"> </w:t>
      </w:r>
      <w:r>
        <w:t xml:space="preserve">amides). Canada responded to the surge of designer precursors by scheduling derivatives in</w:t>
      </w:r>
      <w:r>
        <w:t xml:space="preserve"> </w:t>
      </w:r>
      <w:r>
        <w:t xml:space="preserve">general, without limiting the family of derivatives. More recently China, that is seen by the</w:t>
      </w:r>
      <w:r>
        <w:t xml:space="preserve"> </w:t>
      </w:r>
      <w:r>
        <w:t xml:space="preserve">international community as a source of designer precursors scheduled on 1st September 2024</w:t>
      </w:r>
      <w:r>
        <w:t xml:space="preserve"> </w:t>
      </w:r>
      <w:r>
        <w:t xml:space="preserve">BMK and PMK glycidic acid related esters without limitations.116 There are no examples yet</w:t>
      </w:r>
      <w:r>
        <w:t xml:space="preserve"> </w:t>
      </w:r>
      <w:r>
        <w:t xml:space="preserve">of scheduling drug precursors based on chemical formulae117.</w:t>
      </w:r>
      <w:r>
        <w:t xml:space="preserve"> </w:t>
      </w:r>
      <w:r>
        <w:t xml:space="preserve">The scheduled designer precursors are subject to a general ban118 with a possibility for</w:t>
      </w:r>
      <w:r>
        <w:t xml:space="preserve"> </w:t>
      </w:r>
      <w:r>
        <w:t xml:space="preserve">economic operators to notify a legitimate use to authorities or request a licence for a legitimate</w:t>
      </w:r>
      <w:r>
        <w:t xml:space="preserve"> </w:t>
      </w:r>
      <w:r>
        <w:t xml:space="preserve">use, depending on the quantities needed.</w:t>
      </w:r>
      <w:r>
        <w:br/>
      </w:r>
      <w:r>
        <w:t xml:space="preserve">The urgency procedure to schedule substances is set to speed up these processes (thus a</w:t>
      </w:r>
      <w:r>
        <w:t xml:space="preserve"> </w:t>
      </w:r>
      <w:r>
        <w:t xml:space="preserve">delegated act could be published and start applying without awaiting the lapse of a 2-months</w:t>
      </w:r>
      <w:r>
        <w:t xml:space="preserve"> </w:t>
      </w:r>
      <w:r>
        <w:t xml:space="preserve">objection period).</w:t>
      </w:r>
      <w:r>
        <w:t xml:space="preserve"> </w:t>
      </w:r>
      <w:r>
        <w:t xml:space="preserve">Furthermore, Member States will be obliged to adopt national measures to implement the catch-</w:t>
      </w:r>
      <w:r>
        <w:t xml:space="preserve"> </w:t>
      </w:r>
      <w:r>
        <w:t xml:space="preserve">all clause for external trade with non-scheduled substances. This contains objective criteria</w:t>
      </w:r>
      <w:r>
        <w:t xml:space="preserve"> </w:t>
      </w:r>
      <w:r>
        <w:t xml:space="preserve">assisting customs with the identification of suspicious transactions. Such criteria would inter</w:t>
      </w:r>
      <w:r>
        <w:t xml:space="preserve"> </w:t>
      </w:r>
      <w:r>
        <w:t xml:space="preserve">alia include the listing of a substance in the EUDA repository. Based on these criteria, it is up</w:t>
      </w:r>
    </w:p>
    <w:p>
      <w:pPr>
        <w:pStyle w:val="BodyText"/>
      </w:pPr>
      <w:r>
        <w:t xml:space="preserve">115 At international level key players have already preceded the EU in using innovative ways of scheduling. For</w:t>
      </w:r>
      <w:r>
        <w:t xml:space="preserve"> </w:t>
      </w:r>
      <w:r>
        <w:t xml:space="preserve">instance, the US scheduled the core molecules for ATS and fentanyl with families of derivatives without limitations</w:t>
      </w:r>
      <w:r>
        <w:t xml:space="preserve"> </w:t>
      </w:r>
      <w:r>
        <w:t xml:space="preserve">(the esters and, respectively, acetals, carbamates and amides). Canada responded to the surge of designer</w:t>
      </w:r>
      <w:r>
        <w:t xml:space="preserve"> </w:t>
      </w:r>
      <w:r>
        <w:t xml:space="preserve">precursors by scheduling derivatives in general, without limiting the family of derivatives. More recently China,</w:t>
      </w:r>
      <w:r>
        <w:t xml:space="preserve"> </w:t>
      </w:r>
      <w:r>
        <w:t xml:space="preserve">that is seen by the international community as a source of designer precursors scheduled on 1st September 2024</w:t>
      </w:r>
      <w:r>
        <w:t xml:space="preserve"> </w:t>
      </w:r>
      <w:r>
        <w:t xml:space="preserve">BMK and PMK glycidic acid related esters without limitations. For more details on the US legislation and other</w:t>
      </w:r>
      <w:r>
        <w:t xml:space="preserve"> </w:t>
      </w:r>
      <w:r>
        <w:t xml:space="preserve">third country legislations, such as Canada or China, see Annex 7. There are no examples yet of scheduling drug</w:t>
      </w:r>
      <w:r>
        <w:t xml:space="preserve"> </w:t>
      </w:r>
      <w:r>
        <w:t xml:space="preserve">precursors based on chemical formulae. However, two Member States used this method for new psychoactive</w:t>
      </w:r>
      <w:r>
        <w:t xml:space="preserve"> </w:t>
      </w:r>
      <w:r>
        <w:t xml:space="preserve">substances (NPS) in combination with substance-by-substance scheduling and a list of exempted substances.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to Member States to decide to launch an investigation. Suspicious shipments could be detained</w:t>
      </w:r>
      <w:r>
        <w:t xml:space="preserve"> </w:t>
      </w:r>
      <w:r>
        <w:t xml:space="preserve">by customs for investigation purposes.</w:t>
      </w:r>
      <w:r>
        <w:t xml:space="preserve"> </w:t>
      </w:r>
      <w:r>
        <w:t xml:space="preserve">In line with the recommendations of the F4F Platform119, Member States are requested to report</w:t>
      </w:r>
      <w:r>
        <w:t xml:space="preserve"> </w:t>
      </w:r>
      <w:r>
        <w:t xml:space="preserve">significant incidents once only and in real-time through the EU. This would require an IT</w:t>
      </w:r>
      <w:r>
        <w:t xml:space="preserve"> </w:t>
      </w:r>
      <w:r>
        <w:t xml:space="preserve">solution that allows for an exchange with the current UN alert system (PICS) to provide for that</w:t>
      </w:r>
      <w:r>
        <w:t xml:space="preserve"> </w:t>
      </w:r>
      <w:r>
        <w:t xml:space="preserve">there is no duplication of reporting requirements.120</w:t>
      </w:r>
      <w:r>
        <w:t xml:space="preserve"> </w:t>
      </w:r>
      <w:r>
        <w:t xml:space="preserve">For objective 2, the merger of the two regulations leads to streamlining their provisions.</w:t>
      </w:r>
      <w:r>
        <w:t xml:space="preserve"> </w:t>
      </w:r>
      <w:r>
        <w:t xml:space="preserve">Definitions are aligned to general chemical and customs legislation (e.g. definitions of</w:t>
      </w:r>
      <w:r>
        <w:t xml:space="preserve"> </w:t>
      </w:r>
      <w:r>
        <w:t xml:space="preserve">substances, references to suspension procedure, use of CUS references). The Commission</w:t>
      </w:r>
      <w:r>
        <w:t xml:space="preserve"> </w:t>
      </w:r>
      <w:r>
        <w:t xml:space="preserve">would be empowered to establish de minimis rules for individual substances as well as for</w:t>
      </w:r>
      <w:r>
        <w:t xml:space="preserve"> </w:t>
      </w:r>
      <w:r>
        <w:t xml:space="preserve">mixtures. In addition, several obligations for economic operators are removed, in particular the</w:t>
      </w:r>
      <w:r>
        <w:t xml:space="preserve"> </w:t>
      </w:r>
      <w:r>
        <w:t xml:space="preserve">obligation to obtain a licence for low-risk transactions, to register for internal trade, to get a</w:t>
      </w:r>
      <w:r>
        <w:t xml:space="preserve"> </w:t>
      </w:r>
      <w:r>
        <w:t xml:space="preserve">paper-based customer declaration, to obtain an import/export authorisation or to wait for a PEN</w:t>
      </w:r>
      <w:r>
        <w:t xml:space="preserve"> </w:t>
      </w:r>
      <w:r>
        <w:t xml:space="preserve">or to transmit an annual report with the summary of transactions. This is based on the approach</w:t>
      </w:r>
      <w:r>
        <w:t xml:space="preserve"> </w:t>
      </w:r>
      <w:r>
        <w:t xml:space="preserve">that these substances are widely traded and less essential for drug production than key or</w:t>
      </w:r>
      <w:r>
        <w:t xml:space="preserve"> </w:t>
      </w:r>
      <w:r>
        <w:t xml:space="preserve">designer precursors. Therefore, while remaining scheduled drug precursors, less emphasis is</w:t>
      </w:r>
      <w:r>
        <w:t xml:space="preserve"> </w:t>
      </w:r>
      <w:r>
        <w:t xml:space="preserve">placed on summary reporting and administrative procedures.</w:t>
      </w:r>
      <w:r>
        <w:t xml:space="preserve"> </w:t>
      </w:r>
      <w:r>
        <w:t xml:space="preserve">A centralised IT system will provide for the automatic generation of authorisations and</w:t>
      </w:r>
      <w:r>
        <w:t xml:space="preserve"> </w:t>
      </w:r>
      <w:r>
        <w:t xml:space="preserve">reporting through quantity management. This EU portal for licenses and registrations would be</w:t>
      </w:r>
      <w:r>
        <w:t xml:space="preserve"> </w:t>
      </w:r>
      <w:r>
        <w:t xml:space="preserve">connected to the EU Customs Single Window Certificates Exchange System121 and would</w:t>
      </w:r>
      <w:r>
        <w:t xml:space="preserve"> </w:t>
      </w:r>
      <w:r>
        <w:t xml:space="preserve">contain information on the substances, validity, quantity and whether exemptions apply,</w:t>
      </w:r>
      <w:r>
        <w:t xml:space="preserve"> </w:t>
      </w:r>
      <w:r>
        <w:t xml:space="preserve">meaning that the authorisation process, including the PEN, could be automated. The</w:t>
      </w:r>
      <w:r>
        <w:t xml:space="preserve"> </w:t>
      </w:r>
      <w:r>
        <w:t xml:space="preserve">information collected will become an input for automatically generated reporting to the UN.</w:t>
      </w:r>
      <w:r>
        <w:t xml:space="preserve"> </w:t>
      </w:r>
      <w:r>
        <w:t xml:space="preserve">Customer verification will be built on a key digital building block, such as e-Delivery,122 e-</w:t>
      </w:r>
      <w:r>
        <w:t xml:space="preserve"> </w:t>
      </w:r>
      <w:r>
        <w:t xml:space="preserve">ID123, or e-Wallets124 to promote cross-border interoperability.125</w:t>
      </w:r>
      <w:r>
        <w:t xml:space="preserve"> </w:t>
      </w:r>
      <w:r>
        <w:t xml:space="preserve">5.2.3. Option 3: Comprehensive review with stronger controls</w:t>
      </w:r>
      <w:r>
        <w:t xml:space="preserve"> </w:t>
      </w:r>
      <w:r>
        <w:t xml:space="preserve">Option 3 is also based on a full legislative revision. Its basic structure is shared with option 2</w:t>
      </w:r>
      <w:r>
        <w:t xml:space="preserve"> </w:t>
      </w:r>
      <w:r>
        <w:t xml:space="preserve">but it is rather based on the premise of maximising controls. Its key measures are the following:</w:t>
      </w:r>
      <w:r>
        <w:t xml:space="preserve"> </w:t>
      </w:r>
      <w:r>
        <w:t xml:space="preserve">• Streamlining existing categories of substances and increasing control measures</w:t>
      </w:r>
      <w:r>
        <w:t xml:space="preserve"> </w:t>
      </w:r>
      <w:r>
        <w:t xml:space="preserve">applicable to them: While option 3 also entails a streamlining of categories, the focus</w:t>
      </w:r>
      <w:r>
        <w:t xml:space="preserve"> </w:t>
      </w:r>
      <w:r>
        <w:t xml:space="preserve">is on increasing controls. More substances would be placed under the strictest</w:t>
      </w:r>
      <w:r>
        <w:t xml:space="preserve"> </w:t>
      </w:r>
      <w:r>
        <w:t xml:space="preserve">controls126. No exemptions are possible for low-quantity transactions and registrations</w:t>
      </w:r>
      <w:r>
        <w:t xml:space="preserve"> </w:t>
      </w:r>
      <w:r>
        <w:t xml:space="preserve">are extended to internal trade. Only trusted economic operators are exempt from pre-</w:t>
      </w:r>
      <w:r>
        <w:t xml:space="preserve"> </w:t>
      </w:r>
      <w:r>
        <w:t xml:space="preserve">export notifications. Nevertheless, some obligations of operators imposing</w:t>
      </w:r>
    </w:p>
    <w:p>
      <w:pPr>
        <w:pStyle w:val="BodyText"/>
      </w:pPr>
      <w:r>
        <w:t xml:space="preserve">119 Fit for Future Platform 2021-2024: https://commission.europa.eu/document/download/f7d8be85-3d01-4d26-</w:t>
      </w:r>
      <w:r>
        <w:t xml:space="preserve"> </w:t>
      </w:r>
      <w:r>
        <w:t xml:space="preserve">8124-c68f06e5ada8_en?filename=fo_2024_2_actions_methodology_to_avoid_the_build-up_en.pdf</w:t>
      </w:r>
      <w:r>
        <w:t xml:space="preserve"> </w:t>
      </w:r>
      <w:r>
        <w:t xml:space="preserve">120 Precursors Incident Communication System, https://www.incb.org/incb/en/precursors/pics.html</w:t>
      </w:r>
      <w:r>
        <w:br/>
      </w:r>
      <w:r>
        <w:t xml:space="preserve">121 https://eur-lex.europa.eu/eli/reg/2022/2399/oj</w:t>
      </w:r>
      <w:r>
        <w:t xml:space="preserve"> </w:t>
      </w:r>
      <w:r>
        <w:t xml:space="preserve">122 https://ec.europa.eu/digital-building-blocks/sites/display/DIGITAL/eDelivery</w:t>
      </w:r>
      <w:r>
        <w:br/>
      </w:r>
      <w:r>
        <w:t xml:space="preserve">123 https://eur-lex.europa.eu/legal-content/EN/TXT/?uri=OJ:L_202401183</w:t>
      </w:r>
      <w:r>
        <w:br/>
      </w:r>
      <w:r>
        <w:t xml:space="preserve">124https://ec.europa.eu/digital-building-</w:t>
      </w:r>
      <w:r>
        <w:t xml:space="preserve"> </w:t>
      </w:r>
      <w:r>
        <w:t xml:space="preserve">blocks/sites/display/EUDIGITALIDENTITYWALLET/EU+Digital+Identity+Wallet+Home</w:t>
      </w:r>
      <w:r>
        <w:br/>
      </w:r>
      <w:r>
        <w:t xml:space="preserve">125 This is in line with the recommendation of the F4F Platform which advocates these building blocks to improve</w:t>
      </w:r>
      <w:r>
        <w:t xml:space="preserve"> </w:t>
      </w:r>
      <w:r>
        <w:t xml:space="preserve">compliance with various reporting requirements across the EU.</w:t>
      </w:r>
      <w:r>
        <w:t xml:space="preserve"> </w:t>
      </w:r>
      <w:r>
        <w:t xml:space="preserve">126 Currently, a registration is needed for acetic anhydride and red phosphorus in internal trade. Both substances</w:t>
      </w:r>
      <w:r>
        <w:t xml:space="preserve"> </w:t>
      </w:r>
      <w:r>
        <w:t xml:space="preserve">had been identified as particularly problematic in the past.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administrative burden are removed, more precisely, the obligation to get a paper-based</w:t>
      </w:r>
      <w:r>
        <w:t xml:space="preserve"> </w:t>
      </w:r>
      <w:r>
        <w:t xml:space="preserve">customer declaration, to obtain an import/export authorisation, as well as the obligation</w:t>
      </w:r>
      <w:r>
        <w:t xml:space="preserve"> </w:t>
      </w:r>
      <w:r>
        <w:t xml:space="preserve">to report the annual summary of transactions.</w:t>
      </w:r>
      <w:r>
        <w:t xml:space="preserve"> </w:t>
      </w:r>
      <w:r>
        <w:t xml:space="preserve">• Introducing a new category for designer precursors with a greater focus on ex-ante</w:t>
      </w:r>
      <w:r>
        <w:t xml:space="preserve"> </w:t>
      </w:r>
      <w:r>
        <w:t xml:space="preserve">controls by requiring special licences in all cases, irrespective of the quantities</w:t>
      </w:r>
      <w:r>
        <w:t xml:space="preserve"> </w:t>
      </w:r>
      <w:r>
        <w:t xml:space="preserve">used.</w:t>
      </w:r>
      <w:r>
        <w:br/>
      </w:r>
      <w:r>
        <w:t xml:space="preserve">• Scope of scheduled designer precursors: Option 3 would equally start with base</w:t>
      </w:r>
      <w:r>
        <w:t xml:space="preserve"> </w:t>
      </w:r>
      <w:r>
        <w:t xml:space="preserve">molecules (represented by their structural formula) and allow for an extended number</w:t>
      </w:r>
      <w:r>
        <w:t xml:space="preserve"> </w:t>
      </w:r>
      <w:r>
        <w:t xml:space="preserve">of modifications to these, resulting in a larger number of substances to be scheduled</w:t>
      </w:r>
      <w:r>
        <w:t xml:space="preserve"> </w:t>
      </w:r>
      <w:r>
        <w:t xml:space="preserve">(approximately 300-400 substances). This approach has e.g. also been used in the</w:t>
      </w:r>
      <w:r>
        <w:t xml:space="preserve"> </w:t>
      </w:r>
      <w:r>
        <w:t xml:space="preserve">innovative scheduling of narcotics and psychotropics in some Member and other States.</w:t>
      </w:r>
      <w:r>
        <w:t xml:space="preserve"> </w:t>
      </w:r>
      <w:r>
        <w:t xml:space="preserve">Option 3 would thereby be more proactive than option 2, making it harder for criminals</w:t>
      </w:r>
      <w:r>
        <w:t xml:space="preserve"> </w:t>
      </w:r>
      <w:r>
        <w:t xml:space="preserve">to find non-scheduled precursors and probably last longer than option 2 before</w:t>
      </w:r>
      <w:r>
        <w:t xml:space="preserve"> </w:t>
      </w:r>
      <w:r>
        <w:t xml:space="preserve">adaptations need to be made.</w:t>
      </w:r>
      <w:r>
        <w:br/>
      </w:r>
      <w:r>
        <w:t xml:space="preserve">Further adaptations include the urgency procedure for scheduling substances. Also, the catch-</w:t>
      </w:r>
      <w:r>
        <w:t xml:space="preserve"> </w:t>
      </w:r>
      <w:r>
        <w:t xml:space="preserve">all clause for non-scheduled substances is further strengthened, by requesting authorities to</w:t>
      </w:r>
      <w:r>
        <w:t xml:space="preserve"> </w:t>
      </w:r>
      <w:r>
        <w:t xml:space="preserve">assess and decide whether to investigate transactions with substances identified as designer</w:t>
      </w:r>
      <w:r>
        <w:t xml:space="preserve"> </w:t>
      </w:r>
      <w:r>
        <w:t xml:space="preserve">precursors in the EUDA information repository.</w:t>
      </w:r>
      <w:r>
        <w:t xml:space="preserve"> </w:t>
      </w:r>
      <w:r>
        <w:t xml:space="preserve">Option 3 incrementally builds on the previous two options. It contains also the EUDA</w:t>
      </w:r>
      <w:r>
        <w:t xml:space="preserve"> </w:t>
      </w:r>
      <w:r>
        <w:t xml:space="preserve">information repository. In comparison to Option 2, more emphasis is placed on enhancing</w:t>
      </w:r>
      <w:r>
        <w:t xml:space="preserve"> </w:t>
      </w:r>
      <w:r>
        <w:t xml:space="preserve">controls of drug precursors and reducing the risk of diversion.</w:t>
      </w:r>
      <w:r>
        <w:t xml:space="preserve"> </w:t>
      </w:r>
      <w:r>
        <w:t xml:space="preserve">As in Option 2, the two existing regulations are merged, and a new category is created for</w:t>
      </w:r>
      <w:r>
        <w:t xml:space="preserve"> </w:t>
      </w:r>
      <w:r>
        <w:t xml:space="preserve">designer precursors. However, when streamlining the current categories more substances would</w:t>
      </w:r>
      <w:r>
        <w:t xml:space="preserve"> </w:t>
      </w:r>
      <w:r>
        <w:t xml:space="preserve">be placed under the strictest control of the new Category 1 (current categories 1with known</w:t>
      </w:r>
      <w:r>
        <w:t xml:space="preserve"> </w:t>
      </w:r>
      <w:r>
        <w:t xml:space="preserve">legal use and 2A). The obligations of economic operators are changed to reinforce the</w:t>
      </w:r>
      <w:r>
        <w:t xml:space="preserve"> </w:t>
      </w:r>
      <w:r>
        <w:t xml:space="preserve">monitoring of legal trade. While a licence is needed for new Category 1, no exemptions are</w:t>
      </w:r>
      <w:r>
        <w:t xml:space="preserve"> </w:t>
      </w:r>
      <w:r>
        <w:t xml:space="preserve">possible for low quantities transactions. The self-registration for the new Category 2 (current</w:t>
      </w:r>
      <w:r>
        <w:t xml:space="preserve"> </w:t>
      </w:r>
      <w:r>
        <w:t xml:space="preserve">Categories 2B and 3) is required both for internal market and external trade. For objective 1,</w:t>
      </w:r>
      <w:r>
        <w:t xml:space="preserve"> </w:t>
      </w:r>
      <w:r>
        <w:t xml:space="preserve">the scope of the new Category 3 on designer precursors is wider (approximately 300-400</w:t>
      </w:r>
      <w:r>
        <w:t xml:space="preserve"> </w:t>
      </w:r>
      <w:r>
        <w:t xml:space="preserve">substances). It extends not only to substances where there is an imminent risk of being used for</w:t>
      </w:r>
      <w:r>
        <w:t xml:space="preserve"> </w:t>
      </w:r>
      <w:r>
        <w:t xml:space="preserve">ATS but covers additional derivatives that may potentially be used for drug production. Option</w:t>
      </w:r>
      <w:r>
        <w:t xml:space="preserve"> </w:t>
      </w:r>
      <w:r>
        <w:t xml:space="preserve">3 would already make use of innovative ways of scheduling, as presented in Figure 9.</w:t>
      </w:r>
      <w:r>
        <w:t xml:space="preserve"> </w:t>
      </w:r>
      <w:r>
        <w:t xml:space="preserve">Like for Option 2, the Commission is empowered to use innovative ways of scheduling (family</w:t>
      </w:r>
      <w:r>
        <w:t xml:space="preserve"> </w:t>
      </w:r>
      <w:r>
        <w:t xml:space="preserve">of derivatives or chemical formula), in addition to individual scheduling, subject to the advice</w:t>
      </w:r>
      <w:r>
        <w:t xml:space="preserve"> </w:t>
      </w:r>
      <w:r>
        <w:t xml:space="preserve">of the EUDA concerning the best method for each case. There is a general ban for these</w:t>
      </w:r>
      <w:r>
        <w:t xml:space="preserve"> </w:t>
      </w:r>
      <w:r>
        <w:t xml:space="preserve">substances, however, operators would need to request a special license rather than just to notify</w:t>
      </w:r>
      <w:r>
        <w:t xml:space="preserve"> </w:t>
      </w:r>
      <w:r>
        <w:t xml:space="preserve">authorities as in Option 2 for small quantities. The urgency procedure for scheduling new</w:t>
      </w:r>
      <w:r>
        <w:t xml:space="preserve"> </w:t>
      </w:r>
      <w:r>
        <w:t xml:space="preserve">substances is also included.</w:t>
      </w:r>
      <w:r>
        <w:t xml:space="preserve"> </w:t>
      </w:r>
      <w:r>
        <w:t xml:space="preserve">The catch-all clause for non-scheduled substances is further strengthened, by requesting</w:t>
      </w:r>
      <w:r>
        <w:t xml:space="preserve"> </w:t>
      </w:r>
      <w:r>
        <w:t xml:space="preserve">authorities to assess and decide whether to investigate transactions with substances identified</w:t>
      </w:r>
      <w:r>
        <w:t xml:space="preserve"> </w:t>
      </w:r>
      <w:r>
        <w:t xml:space="preserve">as designer precursors in the EUDA repository.</w:t>
      </w:r>
      <w:r>
        <w:t xml:space="preserve"> </w:t>
      </w:r>
      <w:r>
        <w:t xml:space="preserve">For objective 2, streamlining measures are implemented to a more limited extent due to Option</w:t>
      </w:r>
      <w:r>
        <w:t xml:space="preserve"> </w:t>
      </w:r>
      <w:r>
        <w:t xml:space="preserve">3’s stronger focus on objective 1. Only trusted economic operators are exempt from pre-export</w:t>
      </w:r>
      <w:r>
        <w:t xml:space="preserve"> </w:t>
      </w:r>
      <w:r>
        <w:t xml:space="preserve">notifications. Self-registration and e-validation requirements would also apply to internal trade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in the new Category 2, therefore effectively extending these obligations to substances that were</w:t>
      </w:r>
      <w:r>
        <w:t xml:space="preserve"> </w:t>
      </w:r>
      <w:r>
        <w:t xml:space="preserve">not previously subject to registration requirements in internal trade. Nevertheless, some</w:t>
      </w:r>
      <w:r>
        <w:t xml:space="preserve"> </w:t>
      </w:r>
      <w:r>
        <w:t xml:space="preserve">obligations of operators imposing administrative burden are removed, more precisely, the</w:t>
      </w:r>
      <w:r>
        <w:t xml:space="preserve"> </w:t>
      </w:r>
      <w:r>
        <w:t xml:space="preserve">obligation to get a paper-based customer declaration, to obtain an import/export authorisation,</w:t>
      </w:r>
      <w:r>
        <w:t xml:space="preserve"> </w:t>
      </w:r>
      <w:r>
        <w:t xml:space="preserve">as well as the obligation to report the annual summary of transactions.</w:t>
      </w:r>
      <w:r>
        <w:t xml:space="preserve"> </w:t>
      </w:r>
      <w:r>
        <w:t xml:space="preserve">Like for Option 2, these measures are underpinned by a centralised digital system for</w:t>
      </w:r>
      <w:r>
        <w:t xml:space="preserve"> </w:t>
      </w:r>
      <w:r>
        <w:t xml:space="preserve">precursors’ formalities and enables automated annual as well as real-time incident reporting.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5.3.1. Deregulation – align the EU rules to the minimum requirements under the UN</w:t>
      </w:r>
      <w:r>
        <w:t xml:space="preserve"> </w:t>
      </w:r>
      <w:r>
        <w:t xml:space="preserve">Convention</w:t>
      </w:r>
      <w:r>
        <w:t xml:space="preserve"> </w:t>
      </w:r>
      <w:r>
        <w:t xml:space="preserve">The deregulation option, presented in the Call for Evidence, consisted in cutting back the</w:t>
      </w:r>
      <w:r>
        <w:t xml:space="preserve"> </w:t>
      </w:r>
      <w:r>
        <w:t xml:space="preserve">regulations by bringing them into line with the UN Convention127. Only drug precursors listed</w:t>
      </w:r>
      <w:r>
        <w:t xml:space="preserve"> </w:t>
      </w:r>
      <w:r>
        <w:t xml:space="preserve">in the UN Convention would remain scheduled at EU level. As a result, 11 substances would</w:t>
      </w:r>
      <w:r>
        <w:t xml:space="preserve"> </w:t>
      </w:r>
      <w:r>
        <w:t xml:space="preserve">no longer be scheduled, and Category 4 would be removed. In combination with the digital</w:t>
      </w:r>
      <w:r>
        <w:t xml:space="preserve"> </w:t>
      </w:r>
      <w:r>
        <w:t xml:space="preserve">transition, these measures would reduce the administrative burden. To counterbalance, more</w:t>
      </w:r>
      <w:r>
        <w:t xml:space="preserve"> </w:t>
      </w:r>
      <w:r>
        <w:t xml:space="preserve">precursors are listed in the VML to prevent diversion.</w:t>
      </w:r>
      <w:r>
        <w:t xml:space="preserve"> </w:t>
      </w:r>
      <w:r>
        <w:t xml:space="preserve">This option was not retained because the existence of substances scheduled only at UN level</w:t>
      </w:r>
      <w:r>
        <w:t xml:space="preserve"> </w:t>
      </w:r>
      <w:r>
        <w:t xml:space="preserve">was regarded as problematic by stakeholders128, as there are substances that are relevant in the</w:t>
      </w:r>
      <w:r>
        <w:t xml:space="preserve"> </w:t>
      </w:r>
      <w:r>
        <w:t xml:space="preserve">EU but not at the global level, such as red phosphorus, that was largely used in the illicit</w:t>
      </w:r>
      <w:r>
        <w:t xml:space="preserve"> </w:t>
      </w:r>
      <w:r>
        <w:t xml:space="preserve">production of methamphetamine in Czechia. In this sense, deregulation was considered</w:t>
      </w:r>
      <w:r>
        <w:t xml:space="preserve"> </w:t>
      </w:r>
      <w:r>
        <w:t xml:space="preserve">counterproductive129.</w:t>
      </w:r>
      <w:r>
        <w:t xml:space="preserve"> </w:t>
      </w:r>
      <w:r>
        <w:t xml:space="preserve">5.3.2. Setting out binding rules for equipment used in the illicit production of drugs</w:t>
      </w:r>
      <w:r>
        <w:t xml:space="preserve"> </w:t>
      </w:r>
      <w:r>
        <w:t xml:space="preserve">One option to fight against the illicit production of drugs is to set out rules at EU level to control</w:t>
      </w:r>
      <w:r>
        <w:t xml:space="preserve"> </w:t>
      </w:r>
      <w:r>
        <w:t xml:space="preserve">and monitor transactions with equipment used in such activities. Such equipment varies from</w:t>
      </w:r>
      <w:r>
        <w:t xml:space="preserve"> </w:t>
      </w:r>
      <w:r>
        <w:t xml:space="preserve">typical laboratory equipment to tabletting and encapsulating machines. Currently, such</w:t>
      </w:r>
      <w:r>
        <w:t xml:space="preserve"> </w:t>
      </w:r>
      <w:r>
        <w:t xml:space="preserve">measures are taken at national level, based on the UN Convention.</w:t>
      </w:r>
      <w:r>
        <w:t xml:space="preserve"> </w:t>
      </w:r>
      <w:r>
        <w:t xml:space="preserve">The results of the stakeholder consultation showed that the lack of control on equipment is often</w:t>
      </w:r>
      <w:r>
        <w:t xml:space="preserve"> </w:t>
      </w:r>
      <w:r>
        <w:t xml:space="preserve">perceived as a weakness of the current rules. In the targeted consultation, a substantial number</w:t>
      </w:r>
      <w:r>
        <w:t xml:space="preserve"> </w:t>
      </w:r>
      <w:r>
        <w:t xml:space="preserve">of national authorities consider this as a major gap (13 out of 28). Similarly, 26 out of 47</w:t>
      </w:r>
      <w:r>
        <w:t xml:space="preserve"> </w:t>
      </w:r>
      <w:r>
        <w:t xml:space="preserve">respondents to the public consultation consider this as highly or moderately problematic.</w:t>
      </w:r>
      <w:r>
        <w:t xml:space="preserve"> </w:t>
      </w:r>
      <w:r>
        <w:t xml:space="preserve">However, the share of incidents involving equipment that are reported to the UN does not</w:t>
      </w:r>
      <w:r>
        <w:t xml:space="preserve"> </w:t>
      </w:r>
      <w:r>
        <w:t xml:space="preserve">exceed 1 %. A regulatory approach involving, for instance, a licensing or registration at national</w:t>
      </w:r>
      <w:r>
        <w:t xml:space="preserve"> </w:t>
      </w:r>
      <w:r>
        <w:t xml:space="preserve">level, would require substantial resources to effectively combat illicit drug production. Based</w:t>
      </w:r>
      <w:r>
        <w:t xml:space="preserve"> </w:t>
      </w:r>
      <w:r>
        <w:t xml:space="preserve">on national authorities’ estimates, the adoption of control measures for equipment is associated</w:t>
      </w:r>
      <w:r>
        <w:t xml:space="preserve"> </w:t>
      </w:r>
      <w:r>
        <w:t xml:space="preserve">with a cost increase for authorities of 35 % to 70 %. This approach was also discarded by the</w:t>
      </w:r>
    </w:p>
    <w:p>
      <w:pPr>
        <w:pStyle w:val="BodyText"/>
      </w:pPr>
      <w:r>
        <w:t xml:space="preserve">127 Annex 9 points out the most essential aspects on which the EU went beyond the minimum requirements of the</w:t>
      </w:r>
      <w:r>
        <w:t xml:space="preserve"> </w:t>
      </w:r>
      <w:r>
        <w:t xml:space="preserve">UN Convention, also in terms of reporting obligations.</w:t>
      </w:r>
      <w:r>
        <w:t xml:space="preserve"> </w:t>
      </w:r>
      <w:r>
        <w:t xml:space="preserve">128 Only 4 out of 27 national authorities believe that the control of such substances causes an unnecessary burden,</w:t>
      </w:r>
      <w:r>
        <w:t xml:space="preserve"> </w:t>
      </w:r>
      <w:r>
        <w:t xml:space="preserve">and likewise only 3 to 4 respondents out of 24) expect benefits from the deregulation of these substances. Similarly,</w:t>
      </w:r>
      <w:r>
        <w:t xml:space="preserve"> </w:t>
      </w:r>
      <w:r>
        <w:t xml:space="preserve">only 4 out of 67 economic operators surveyed consider as a ‘major problem’ the EU scheduling of substances not</w:t>
      </w:r>
      <w:r>
        <w:t xml:space="preserve"> </w:t>
      </w:r>
      <w:r>
        <w:t xml:space="preserve">under control at international level.</w:t>
      </w:r>
      <w:r>
        <w:br/>
      </w:r>
      <w:r>
        <w:t xml:space="preserve">129 Conversely, the literature review has shown that the effect of scheduling is greater if a substance is scheduled</w:t>
      </w:r>
      <w:r>
        <w:t xml:space="preserve"> </w:t>
      </w:r>
      <w:r>
        <w:t xml:space="preserve">at both EU and international level. The study, Annex 6, p. 32.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totality of economic operators interviewed, due the substantial administrative burden involved.</w:t>
      </w:r>
      <w:r>
        <w:t xml:space="preserve"> </w:t>
      </w:r>
      <w:r>
        <w:t xml:space="preserve">Therefore, this option has been discarded as disproportionate.</w:t>
      </w:r>
      <w:r>
        <w:t xml:space="preserve"> </w:t>
      </w:r>
      <w:r>
        <w:t xml:space="preserve">5.3.3. Decentralised and hybrid IT systems</w:t>
      </w:r>
      <w:r>
        <w:t xml:space="preserve"> </w:t>
      </w:r>
      <w:r>
        <w:t xml:space="preserve">Interconnected decentralised or hybrid IT systems are detailed arrangements for providing</w:t>
      </w:r>
      <w:r>
        <w:t xml:space="preserve"> </w:t>
      </w:r>
      <w:r>
        <w:t xml:space="preserve">digital solutions for drug precursors formalities, alternatives to the proposed IT centralised</w:t>
      </w:r>
      <w:r>
        <w:t xml:space="preserve"> </w:t>
      </w:r>
      <w:r>
        <w:t xml:space="preserve">system.130</w:t>
      </w:r>
      <w:r>
        <w:t xml:space="preserve"> </w:t>
      </w:r>
      <w:r>
        <w:t xml:space="preserve">While the interconnected decentralised option offers flexibility, it would introduce</w:t>
      </w:r>
      <w:r>
        <w:t xml:space="preserve"> </w:t>
      </w:r>
      <w:r>
        <w:t xml:space="preserve">disproportionate complexities in cross-border validation and does not align with the long-term</w:t>
      </w:r>
      <w:r>
        <w:t xml:space="preserve"> </w:t>
      </w:r>
      <w:r>
        <w:t xml:space="preserve">customs policy related to the establishment of the EU Customs Data Hub. Due to a potential</w:t>
      </w:r>
      <w:r>
        <w:t xml:space="preserve"> </w:t>
      </w:r>
      <w:r>
        <w:t xml:space="preserve">for 27 duplications, the costs would be disproportionate in comparison to other solutions. A</w:t>
      </w:r>
      <w:r>
        <w:t xml:space="preserve"> </w:t>
      </w:r>
      <w:r>
        <w:t xml:space="preserve">hybrid option may grant flexibility but introduces an additional layer of complexity by having</w:t>
      </w:r>
      <w:r>
        <w:t xml:space="preserve"> </w:t>
      </w:r>
      <w:r>
        <w:t xml:space="preserve">to create a system-to-system interface for the replication of data from national systems to the</w:t>
      </w:r>
      <w:r>
        <w:t xml:space="preserve"> </w:t>
      </w:r>
      <w:r>
        <w:t xml:space="preserve">central database. From a cost-efficiency perspective, such systems bear higher costs on Member</w:t>
      </w:r>
      <w:r>
        <w:t xml:space="preserve"> </w:t>
      </w:r>
      <w:r>
        <w:t xml:space="preserve">States by design.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The analysis of economic, social and environmental impacts of the policy options is based on</w:t>
      </w:r>
      <w:r>
        <w:t xml:space="preserve"> </w:t>
      </w:r>
      <w:r>
        <w:t xml:space="preserve">the impact assessment study which analysed qualitative and quantitative sources, namely</w:t>
      </w:r>
      <w:r>
        <w:t xml:space="preserve"> </w:t>
      </w:r>
      <w:r>
        <w:t xml:space="preserve">extensive stakeholder consultations, analysis of relevant databases on drug precursors (the</w:t>
      </w:r>
      <w:r>
        <w:t xml:space="preserve"> </w:t>
      </w:r>
      <w:r>
        <w:t xml:space="preserve">European drug precursors database and the DG TAXUD Surveillance database), and the review</w:t>
      </w:r>
      <w:r>
        <w:t xml:space="preserve"> </w:t>
      </w:r>
      <w:r>
        <w:t xml:space="preserve">of literature, i.e. relevant EU and INCB reports, academic literature etc131.</w:t>
      </w:r>
      <w:r>
        <w:t xml:space="preserve"> </w:t>
      </w:r>
      <w:r>
        <w:t xml:space="preserve">On economic impacts, the assessment covers the impacts on public authorities, at national and</w:t>
      </w:r>
      <w:r>
        <w:t xml:space="preserve"> </w:t>
      </w:r>
      <w:r>
        <w:t xml:space="preserve">EU level, on economic operators and on research and innovation. The number of companies is</w:t>
      </w:r>
      <w:r>
        <w:t xml:space="preserve"> </w:t>
      </w:r>
      <w:r>
        <w:t xml:space="preserve">dealing with drug precursors is quite limited when comparing to the overall chemical sector.</w:t>
      </w:r>
      <w:r>
        <w:t xml:space="preserve"> </w:t>
      </w:r>
      <w:r>
        <w:t xml:space="preserve">Findings on costs are based on a relatively small sample of responses and may therefore not be</w:t>
      </w:r>
      <w:r>
        <w:t xml:space="preserve"> </w:t>
      </w:r>
      <w:r>
        <w:t xml:space="preserve">entirely representative. On innovation, drug precursor rules do not directly address research and</w:t>
      </w:r>
      <w:r>
        <w:t xml:space="preserve"> </w:t>
      </w:r>
      <w:r>
        <w:t xml:space="preserve">innovation, their impacts are most likely an indirect result of the ease or lack of access to a wide</w:t>
      </w:r>
      <w:r>
        <w:t xml:space="preserve"> </w:t>
      </w:r>
      <w:r>
        <w:t xml:space="preserve">range of novel substances.</w:t>
      </w:r>
      <w:r>
        <w:t xml:space="preserve"> </w:t>
      </w:r>
      <w:r>
        <w:t xml:space="preserve">On social and environmental impacts, there are important caveats in their assessment, which</w:t>
      </w:r>
      <w:r>
        <w:t xml:space="preserve"> </w:t>
      </w:r>
      <w:r>
        <w:t xml:space="preserve">make it very difficult to quantitatively assess these impacts.</w:t>
      </w:r>
      <w:r>
        <w:t xml:space="preserve"> </w:t>
      </w:r>
      <w:r>
        <w:t xml:space="preserve">For social impacts, including public health and safety and crime, while not explicitly</w:t>
      </w:r>
      <w:r>
        <w:t xml:space="preserve"> </w:t>
      </w:r>
      <w:r>
        <w:t xml:space="preserve">mentioned as objectives in the regulations, the ultimate purpose of controlling drug precursors</w:t>
      </w:r>
      <w:r>
        <w:t xml:space="preserve"> </w:t>
      </w:r>
      <w:r>
        <w:t xml:space="preserve">trade is to contribute to the fight against illicit drugs, with impacts on public health and</w:t>
      </w:r>
      <w:r>
        <w:t xml:space="preserve"> </w:t>
      </w:r>
      <w:r>
        <w:t xml:space="preserve">healthcare systems132. The aim of preventing drug producers from getting their hands on drug</w:t>
      </w:r>
      <w:r>
        <w:t xml:space="preserve"> </w:t>
      </w:r>
      <w:r>
        <w:t xml:space="preserve">precursors is to disrupt the drug production and supply. A disrupted drug precursors supply</w:t>
      </w:r>
      <w:r>
        <w:t xml:space="preserve"> </w:t>
      </w:r>
      <w:r>
        <w:t xml:space="preserve">should subsequently lead to a more complex drug production and thus to potentially a reduced</w:t>
      </w:r>
      <w:r>
        <w:t xml:space="preserve"> </w:t>
      </w:r>
      <w:r>
        <w:t xml:space="preserve">drug availability. This should have a positive impact on public health and healthcare systems.</w:t>
      </w:r>
      <w:r>
        <w:t xml:space="preserve"> </w:t>
      </w:r>
      <w:r>
        <w:t xml:space="preserve">The extent and robustness of such indirect impact is however difficult to prove and even more</w:t>
      </w:r>
    </w:p>
    <w:p>
      <w:pPr>
        <w:pStyle w:val="BodyText"/>
      </w:pPr>
      <w:r>
        <w:t xml:space="preserve">130 The analysis carried out by the Commission with the support of a project group of Member State authorities is</w:t>
      </w:r>
      <w:r>
        <w:t xml:space="preserve"> </w:t>
      </w:r>
      <w:r>
        <w:t xml:space="preserve">included in Annex 8.</w:t>
      </w:r>
      <w:r>
        <w:t xml:space="preserve"> </w:t>
      </w:r>
      <w:r>
        <w:t xml:space="preserve">131 An overview of the methodology is provided in Annex 4.</w:t>
      </w:r>
      <w:r>
        <w:br/>
      </w:r>
      <w:r>
        <w:t xml:space="preserve">132 For a lack of quantifiable data, it is therefore not possible to carry out a sensitivity analysis. A Sensitivity</w:t>
      </w:r>
      <w:r>
        <w:t xml:space="preserve"> </w:t>
      </w:r>
      <w:r>
        <w:t xml:space="preserve">analysis would require a quantifiable causal relation between the independent variable (in this case</w:t>
      </w:r>
      <w:r>
        <w:t xml:space="preserve"> </w:t>
      </w:r>
      <w:r>
        <w:t xml:space="preserve">“effective</w:t>
      </w:r>
      <w:r>
        <w:t xml:space="preserve"> </w:t>
      </w:r>
      <w:r>
        <w:t xml:space="preserve">enforcement”</w:t>
      </w:r>
      <w:r>
        <w:t xml:space="preserve">) and the dependent variable (</w:t>
      </w:r>
      <w:r>
        <w:t xml:space="preserve">“illicit precursors flow”</w:t>
      </w:r>
      <w:r>
        <w:t xml:space="preserve">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difficult to quantify as a lot of external factors may influence the drug production and</w:t>
      </w:r>
      <w:r>
        <w:t xml:space="preserve"> </w:t>
      </w:r>
      <w:r>
        <w:t xml:space="preserve">availability. Europol reported that criminal networks are highly adaptable, innovative and</w:t>
      </w:r>
      <w:r>
        <w:t xml:space="preserve"> </w:t>
      </w:r>
      <w:r>
        <w:t xml:space="preserve">resilient to global crisis, instability and political and economic changes133. This reiterates a well-</w:t>
      </w:r>
      <w:r>
        <w:t xml:space="preserve"> </w:t>
      </w:r>
      <w:r>
        <w:t xml:space="preserve">articulated policy precept that policing drug markets can, at best, shape and manage these</w:t>
      </w:r>
      <w:r>
        <w:t xml:space="preserve"> </w:t>
      </w:r>
      <w:r>
        <w:t xml:space="preserve">markets134.</w:t>
      </w:r>
      <w:r>
        <w:t xml:space="preserve"> </w:t>
      </w:r>
      <w:r>
        <w:t xml:space="preserve">Evaluating the societal effectiveness of enforcing prohibitions on drugs depends on whether</w:t>
      </w:r>
      <w:r>
        <w:t xml:space="preserve"> </w:t>
      </w:r>
      <w:r>
        <w:t xml:space="preserve">one is examining the marginal effects of enforcement or the aggregate effects of prohibition. It</w:t>
      </w:r>
      <w:r>
        <w:t xml:space="preserve"> </w:t>
      </w:r>
      <w:r>
        <w:t xml:space="preserve">also depends on the relative maturity of drug markets. Enforcement against emerging drug</w:t>
      </w:r>
      <w:r>
        <w:t xml:space="preserve"> </w:t>
      </w:r>
      <w:r>
        <w:t xml:space="preserve">markets may severely curtail, or at least delay their development, with a potentially significant</w:t>
      </w:r>
      <w:r>
        <w:t xml:space="preserve"> </w:t>
      </w:r>
      <w:r>
        <w:t xml:space="preserve">societal gain in terms of limitation, or delayed onset, of health and social costs that derive from</w:t>
      </w:r>
      <w:r>
        <w:t xml:space="preserve"> </w:t>
      </w:r>
      <w:r>
        <w:t xml:space="preserve">drug use135.</w:t>
      </w:r>
      <w:r>
        <w:br/>
      </w:r>
      <w:r>
        <w:t xml:space="preserve">However, as pointed out by the EUDA, illegal drugs affect societies as whole. There is addiction</w:t>
      </w:r>
      <w:r>
        <w:t xml:space="preserve"> </w:t>
      </w:r>
      <w:r>
        <w:t xml:space="preserve">and youth criminality, public health effects and social costs for communities Directly, or</w:t>
      </w:r>
      <w:r>
        <w:t xml:space="preserve"> </w:t>
      </w:r>
      <w:r>
        <w:t xml:space="preserve">businesses are undermined by corruption or criminal practices. The overall effects of drugs</w:t>
      </w:r>
      <w:r>
        <w:t xml:space="preserve"> </w:t>
      </w:r>
      <w:r>
        <w:t xml:space="preserve">exacerbate other complex policy problems, such as homelessness or the management of</w:t>
      </w:r>
      <w:r>
        <w:t xml:space="preserve"> </w:t>
      </w:r>
      <w:r>
        <w:t xml:space="preserve">psychiatric disorders136.</w:t>
      </w:r>
      <w:r>
        <w:br/>
      </w:r>
      <w:r>
        <w:t xml:space="preserve">A general concern is that drug use is, to some extent, associated with behaviours that can</w:t>
      </w:r>
      <w:r>
        <w:t xml:space="preserve"> </w:t>
      </w:r>
      <w:r>
        <w:t xml:space="preserve">represent health risks, such as overdoses, mental health problems and infectious diseases. The</w:t>
      </w:r>
      <w:r>
        <w:t xml:space="preserve"> </w:t>
      </w:r>
      <w:r>
        <w:t xml:space="preserve">mortality rate due to overdoses in the EU in 2022 is estimated at 22.5 deaths per million</w:t>
      </w:r>
      <w:r>
        <w:t xml:space="preserve"> </w:t>
      </w:r>
      <w:r>
        <w:t xml:space="preserve">population aged 15 to 64 (at least 6 392 overdose deaths involving drugs occurred in 2022,</w:t>
      </w:r>
      <w:r>
        <w:t xml:space="preserve"> </w:t>
      </w:r>
      <w:r>
        <w:t xml:space="preserve">increasing from 6 166 in 2021). In addition, cohort studies show that all-cause mortality is much</w:t>
      </w:r>
      <w:r>
        <w:t xml:space="preserve"> </w:t>
      </w:r>
      <w:r>
        <w:t xml:space="preserve">higher among people who use drugs. Furthermore, in 2022, the number of new HIV</w:t>
      </w:r>
      <w:r>
        <w:t xml:space="preserve"> </w:t>
      </w:r>
      <w:r>
        <w:t xml:space="preserve">notifications linked to injecting drug use increased to 968, compared with 662 the previous</w:t>
      </w:r>
      <w:r>
        <w:t xml:space="preserve"> </w:t>
      </w:r>
      <w:r>
        <w:t xml:space="preserve">year. Data from treatment programmes in Greece indicated that 26 % of people who inject drugs</w:t>
      </w:r>
      <w:r>
        <w:t xml:space="preserve"> </w:t>
      </w:r>
      <w:r>
        <w:t xml:space="preserve">tested positive for HCV-RNA. While mortalities mostly occur in older age groups, young adults</w:t>
      </w:r>
      <w:r>
        <w:t xml:space="preserve"> </w:t>
      </w:r>
      <w:r>
        <w:t xml:space="preserve">have a large share in the estimated drug use across all drug categories.137Research by the EUDA</w:t>
      </w:r>
      <w:r>
        <w:t xml:space="preserve"> </w:t>
      </w:r>
      <w:r>
        <w:t xml:space="preserve">shows that it is not possible to quantify the impact of the drug precursors policies on public</w:t>
      </w:r>
      <w:r>
        <w:t xml:space="preserve"> </w:t>
      </w:r>
      <w:r>
        <w:t xml:space="preserve">health, because the impact is indirect, data are incomplete or have quality and coverage</w:t>
      </w:r>
      <w:r>
        <w:t xml:space="preserve"> </w:t>
      </w:r>
      <w:r>
        <w:t xml:space="preserve">limitations138.</w:t>
      </w:r>
      <w:r>
        <w:t xml:space="preserve"> </w:t>
      </w:r>
      <w:r>
        <w:t xml:space="preserve">Drug production has an environmental impact, apart from the effects of the cultivation of</w:t>
      </w:r>
      <w:r>
        <w:t xml:space="preserve"> </w:t>
      </w:r>
      <w:r>
        <w:t xml:space="preserve">drugs, especially the production of synthetic drugs and the dumping of toxic waste can lead to</w:t>
      </w:r>
      <w:r>
        <w:t xml:space="preserve"> </w:t>
      </w:r>
      <w:r>
        <w:t xml:space="preserve">considerable environmental damage. However, there is limited knowledge about this despite</w:t>
      </w:r>
      <w:r>
        <w:t xml:space="preserve"> </w:t>
      </w:r>
      <w:r>
        <w:t xml:space="preserve">signals of increasing cocaine processing and production of synthetic cathinones. The</w:t>
      </w:r>
      <w:r>
        <w:t xml:space="preserve"> </w:t>
      </w:r>
      <w:r>
        <w:t xml:space="preserve">environmental impact of MDMA production in Europe is significant, with each kilogram of</w:t>
      </w:r>
      <w:r>
        <w:t xml:space="preserve"> </w:t>
      </w:r>
      <w:r>
        <w:t xml:space="preserve">MDMA generating approximately 58 kilograms of toxic waste. Overall, MDMA production in</w:t>
      </w:r>
      <w:r>
        <w:t xml:space="preserve"> </w:t>
      </w:r>
      <w:r>
        <w:t xml:space="preserve">the European Union potentially generates between 1000 and 3000 tonnes of chemical waste</w:t>
      </w:r>
    </w:p>
    <w:p>
      <w:pPr>
        <w:pStyle w:val="BodyText"/>
      </w:pPr>
      <w:r>
        <w:t xml:space="preserve">133 Europol, Decoding the EU’s most threatening criminal networks, 2024.</w:t>
      </w:r>
      <w:r>
        <w:t xml:space="preserve"> </w:t>
      </w:r>
      <w:r>
        <w:t xml:space="preserve">134 Evaluating Cocaine Market Interventions: How External Shocks and Disruption of Criminal Networks Impact</w:t>
      </w:r>
      <w:r>
        <w:t xml:space="preserve"> </w:t>
      </w:r>
      <w:r>
        <w:t xml:space="preserve">the Cocaine Trade and Social Outcomes, Final Report, Monitoring and Support Project for the Global Illicit Flows</w:t>
      </w:r>
      <w:r>
        <w:t xml:space="preserve"> </w:t>
      </w:r>
      <w:r>
        <w:t xml:space="preserve">Programme (MASIF)</w:t>
      </w:r>
      <w:r>
        <w:t xml:space="preserve"> </w:t>
      </w:r>
      <w:r>
        <w:t xml:space="preserve">135 Ibid.</w:t>
      </w:r>
      <w:r>
        <w:t xml:space="preserve"> </w:t>
      </w:r>
      <w:r>
        <w:t xml:space="preserve">136 European Drug Report 2025, p. 11.</w:t>
      </w:r>
      <w:r>
        <w:t xml:space="preserve"> </w:t>
      </w:r>
      <w:r>
        <w:t xml:space="preserve">137 European Drug Report 2024.</w:t>
      </w:r>
      <w:r>
        <w:t xml:space="preserve"> </w:t>
      </w:r>
      <w:r>
        <w:t xml:space="preserve">138 Ibid.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each year. Production sites are also prone to accidents, explosions and fires due to the volatile</w:t>
      </w:r>
      <w:r>
        <w:t xml:space="preserve"> </w:t>
      </w:r>
      <w:r>
        <w:t xml:space="preserve">chemicals involved – posing significant risks to surrounding communities139.</w:t>
      </w:r>
      <w:r>
        <w:t xml:space="preserve"> </w:t>
      </w:r>
      <w:r>
        <w:t xml:space="preserve">In this sense, it is not feasible to provide a quantitative estimate of the environmental costs of</w:t>
      </w:r>
      <w:r>
        <w:t xml:space="preserve"> </w:t>
      </w:r>
      <w:r>
        <w:t xml:space="preserve">illicit drugs manufacturing in the EU and of the estimated savings that the policy options could</w:t>
      </w:r>
      <w:r>
        <w:t xml:space="preserve"> </w:t>
      </w:r>
      <w:r>
        <w:t xml:space="preserve">deliver. Overall, it can be assumed that the environmental benefits would be roughly</w:t>
      </w:r>
      <w:r>
        <w:t xml:space="preserve"> </w:t>
      </w:r>
      <w:r>
        <w:t xml:space="preserve">proportional to the reduction of the production of illicit drugs.</w:t>
      </w:r>
      <w:r>
        <w:t xml:space="preserve"> </w:t>
      </w:r>
      <w:r>
        <w:t xml:space="preserve">Fundamental rights impacts are not considered significant. The objectives of the intervention</w:t>
      </w:r>
      <w:r>
        <w:t xml:space="preserve"> </w:t>
      </w:r>
      <w:r>
        <w:t xml:space="preserve">as presented in Section 4.2 are consistent with EU fundamental rights and, specifically, the</w:t>
      </w:r>
      <w:r>
        <w:t xml:space="preserve"> </w:t>
      </w:r>
      <w:r>
        <w:t xml:space="preserve">freedom to conduct business set out in the EU Charter of Fundamental Rights. This freedom is</w:t>
      </w:r>
      <w:r>
        <w:t xml:space="preserve"> </w:t>
      </w:r>
      <w:r>
        <w:t xml:space="preserve">not absolute, but restriction could be set out insofar it is needed to provide for high level of</w:t>
      </w:r>
      <w:r>
        <w:t xml:space="preserve"> </w:t>
      </w:r>
      <w:r>
        <w:t xml:space="preserve">human health protection in the definition and implementation of all the Union’s policies.</w:t>
      </w:r>
      <w:r>
        <w:t xml:space="preserve"> </w:t>
      </w:r>
      <w:r>
        <w:t xml:space="preserve">6.1. Option 1: Technical adaptations</w:t>
      </w:r>
      <w:r>
        <w:t xml:space="preserve"> </w:t>
      </w:r>
      <w:r>
        <w:t xml:space="preserve">➢ Economic impacts</w:t>
      </w:r>
      <w:r>
        <w:br/>
      </w:r>
      <w:r>
        <w:t xml:space="preserve">Public Authorities</w:t>
      </w:r>
      <w:r>
        <w:t xml:space="preserve"> </w:t>
      </w:r>
      <w:r>
        <w:t xml:space="preserve">The guidance on mixtures would enable national authorities to take inspiration when dealing</w:t>
      </w:r>
      <w:r>
        <w:t xml:space="preserve"> </w:t>
      </w:r>
      <w:r>
        <w:t xml:space="preserve">with individual cases but, of course, it would not be binding thresholds leading to uniform</w:t>
      </w:r>
      <w:r>
        <w:t xml:space="preserve"> </w:t>
      </w:r>
      <w:r>
        <w:t xml:space="preserve">interpretations across the EU.</w:t>
      </w:r>
      <w:r>
        <w:br/>
      </w:r>
      <w:r>
        <w:t xml:space="preserve">EUDA requested 1 FTE and EUR 182 000 for the repository for the period of the first two</w:t>
      </w:r>
      <w:r>
        <w:t xml:space="preserve"> </w:t>
      </w:r>
      <w:r>
        <w:t xml:space="preserve">years.140 The voluntary adoption of IT systems at national level (i.e. de-centralised) following</w:t>
      </w:r>
      <w:r>
        <w:t xml:space="preserve"> </w:t>
      </w:r>
      <w:r>
        <w:t xml:space="preserve">EU guidance received mixed feedback in the targeted survey of public authorities141. Many</w:t>
      </w:r>
      <w:r>
        <w:t xml:space="preserve"> </w:t>
      </w:r>
      <w:r>
        <w:t xml:space="preserve">national administrations thought that Member States who already have an IT system in place</w:t>
      </w:r>
      <w:r>
        <w:t xml:space="preserve"> </w:t>
      </w:r>
      <w:r>
        <w:t xml:space="preserve">should be able to continue using their national system (14 out of 25). Yet, asked about their</w:t>
      </w:r>
      <w:r>
        <w:t xml:space="preserve"> </w:t>
      </w:r>
      <w:r>
        <w:t xml:space="preserve">preference for the set-up of any digital system not a single authority suggested a de-centralised</w:t>
      </w:r>
      <w:r>
        <w:t xml:space="preserve"> </w:t>
      </w:r>
      <w:r>
        <w:t xml:space="preserve">system. From a cost perspective, the direct one-off investment cost of such guidance would be</w:t>
      </w:r>
      <w:r>
        <w:t xml:space="preserve"> </w:t>
      </w:r>
      <w:r>
        <w:t xml:space="preserve">borne by the Commission and be limited to the staff costs (one or two staff members for a matter</w:t>
      </w:r>
      <w:r>
        <w:t xml:space="preserve"> </w:t>
      </w:r>
      <w:r>
        <w:t xml:space="preserve">of weeks). This is not a significant cost. However, benefits of this measure are also likely to</w:t>
      </w:r>
      <w:r>
        <w:t xml:space="preserve"> </w:t>
      </w:r>
      <w:r>
        <w:t xml:space="preserve">be marginal as a fragmentation of IT systems between various Member States would</w:t>
      </w:r>
      <w:r>
        <w:t xml:space="preserve"> </w:t>
      </w:r>
      <w:r>
        <w:t xml:space="preserve">persist. This could to some extent be mitigated by the provisions of the Interoperable Europe</w:t>
      </w:r>
      <w:r>
        <w:t xml:space="preserve"> </w:t>
      </w:r>
      <w:r>
        <w:t xml:space="preserve">Act142.</w:t>
      </w:r>
      <w:r>
        <w:br/>
      </w:r>
      <w:r>
        <w:t xml:space="preserve">Economic operators</w:t>
      </w:r>
      <w:r>
        <w:t xml:space="preserve"> </w:t>
      </w:r>
      <w:r>
        <w:t xml:space="preserve">As the burden reduction measures of Option 1 concern internal trade only, benefits are limited</w:t>
      </w:r>
      <w:r>
        <w:t xml:space="preserve"> </w:t>
      </w:r>
      <w:r>
        <w:t xml:space="preserve">to operators in the internal market. Furthermore, this option creates discrepancies between</w:t>
      </w:r>
    </w:p>
    <w:p>
      <w:pPr>
        <w:pStyle w:val="BodyText"/>
      </w:pPr>
      <w:r>
        <w:t xml:space="preserve">139 EUDA, European Drug Report 2025, p. 24.; Thomas L. ter Laak, Erik, ‘Environmental impact of synthetic drug</w:t>
      </w:r>
      <w:r>
        <w:t xml:space="preserve"> </w:t>
      </w:r>
      <w:r>
        <w:t xml:space="preserve">production: analysis of groundwater samples for contaminants derived from illicit synthetic drug production</w:t>
      </w:r>
      <w:r>
        <w:t xml:space="preserve"> </w:t>
      </w:r>
      <w:r>
        <w:t xml:space="preserve">waste’, EMCDDA Background Paper, p. 6.</w:t>
      </w:r>
    </w:p>
    <w:p>
      <w:pPr>
        <w:pStyle w:val="BodyText"/>
      </w:pPr>
      <w:r>
        <w:t xml:space="preserve">140 Calculations provided by EUDA.</w:t>
      </w:r>
      <w:r>
        <w:t xml:space="preserve"> </w:t>
      </w:r>
      <w:r>
        <w:t xml:space="preserve">141 See Annex 2 for more details.</w:t>
      </w:r>
      <w:r>
        <w:t xml:space="preserve"> </w:t>
      </w:r>
      <w:r>
        <w:t xml:space="preserve">142 Regulation (EU) 2024/903 of the European Parliament and of the Council of 13 March 2024 laying down</w:t>
      </w:r>
      <w:r>
        <w:t xml:space="preserve"> </w:t>
      </w:r>
      <w:r>
        <w:t xml:space="preserve">measures for a high level of public sector interoperability across the Union (Interoperable Europe Act), OJ L,</w:t>
      </w:r>
      <w:r>
        <w:t xml:space="preserve"> </w:t>
      </w:r>
      <w:r>
        <w:t xml:space="preserve">2024/903, 22.3.2024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internal and external trade requirements. It could therefore rather confuse than streamline the</w:t>
      </w:r>
      <w:r>
        <w:t xml:space="preserve"> </w:t>
      </w:r>
      <w:r>
        <w:t xml:space="preserve">existing drug precursor rules.</w:t>
      </w:r>
      <w:r>
        <w:t xml:space="preserve"> </w:t>
      </w:r>
      <w:r>
        <w:t xml:space="preserve">The guidance on mixtures would provide negligible and uncertain cost savings in comparison</w:t>
      </w:r>
      <w:r>
        <w:t xml:space="preserve"> </w:t>
      </w:r>
      <w:r>
        <w:t xml:space="preserve">to the baseline scenario. Member States would remain free to follow the guidance or not. So,</w:t>
      </w:r>
      <w:r>
        <w:t xml:space="preserve"> </w:t>
      </w:r>
      <w:r>
        <w:t xml:space="preserve">the potential of divergent interpretations is not fully removed.</w:t>
      </w:r>
      <w:r>
        <w:t xml:space="preserve"> </w:t>
      </w:r>
      <w:r>
        <w:t xml:space="preserve">In the targeted survey, economic operators estimate that closing the loophole on users’</w:t>
      </w:r>
      <w:r>
        <w:t xml:space="preserve"> </w:t>
      </w:r>
      <w:r>
        <w:t xml:space="preserve">obligations is expected to come with a limited to moderate increase of administrative costs of</w:t>
      </w:r>
      <w:r>
        <w:t xml:space="preserve"> </w:t>
      </w:r>
      <w:r>
        <w:t xml:space="preserve">5 %-20 %. However, half of the MS authorities in the targeted consultation143 and some 43%</w:t>
      </w:r>
      <w:r>
        <w:t xml:space="preserve"> </w:t>
      </w:r>
      <w:r>
        <w:t xml:space="preserve">of economic operators call for aligning these obligations144.</w:t>
      </w:r>
      <w:r>
        <w:t xml:space="preserve"> </w:t>
      </w:r>
      <w:r>
        <w:t xml:space="preserve">It is difficult to predict the exact cost impact of moving designer precursors to Category 2A for</w:t>
      </w:r>
      <w:r>
        <w:t xml:space="preserve"> </w:t>
      </w:r>
      <w:r>
        <w:t xml:space="preserve">internal trade, but it is likely to be negligible. Currently, there are 401 active licenses for</w:t>
      </w:r>
      <w:r>
        <w:t xml:space="preserve"> </w:t>
      </w:r>
      <w:r>
        <w:t xml:space="preserve">scheduled designer precursors in the EU, and 105 individual entities licensed. These entities do</w:t>
      </w:r>
      <w:r>
        <w:t xml:space="preserve"> </w:t>
      </w:r>
      <w:r>
        <w:t xml:space="preserve">not benefit if they are also active in external trade. Also, if these operators also have other</w:t>
      </w:r>
      <w:r>
        <w:t xml:space="preserve"> </w:t>
      </w:r>
      <w:r>
        <w:t xml:space="preserve">Category 1 substances in their portfolio, they would still need to fulfil the stricter requirements</w:t>
      </w:r>
      <w:r>
        <w:t xml:space="preserve"> </w:t>
      </w:r>
      <w:r>
        <w:t xml:space="preserve">of Category 1. They would still have to secure their premises. In addition, in the targeted survey</w:t>
      </w:r>
      <w:r>
        <w:t xml:space="preserve"> </w:t>
      </w:r>
      <w:r>
        <w:t xml:space="preserve">74 % of large firms and 56 % of SMEs145 confirmed that they made such investments</w:t>
      </w:r>
      <w:r>
        <w:t xml:space="preserve"> </w:t>
      </w:r>
      <w:r>
        <w:t xml:space="preserve">regardless.</w:t>
      </w:r>
      <w:r>
        <w:br/>
      </w:r>
      <w:r>
        <w:t xml:space="preserve">In the same vein, changing reporting requirements for internal trade but not for external trade</w:t>
      </w:r>
      <w:r>
        <w:t xml:space="preserve"> </w:t>
      </w:r>
      <w:r>
        <w:t xml:space="preserve">would likely benefit only a small number of businesses. Based on the assumption that about</w:t>
      </w:r>
      <w:r>
        <w:t xml:space="preserve"> </w:t>
      </w:r>
      <w:r>
        <w:t xml:space="preserve">30 % of businesses are active in internal trade only – this would lead to a 30 % reduction of</w:t>
      </w:r>
      <w:r>
        <w:t xml:space="preserve"> </w:t>
      </w:r>
      <w:r>
        <w:t xml:space="preserve">reporting burdens146.</w:t>
      </w:r>
      <w:r>
        <w:t xml:space="preserve"> </w:t>
      </w:r>
      <w:r>
        <w:t xml:space="preserve">Figure 10: Reporting costs for operators</w:t>
      </w:r>
      <w:r>
        <w:t xml:space="preserve"> </w:t>
      </w:r>
      <w:r>
        <w:t xml:space="preserve">Cost (million EUR)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Reporting</w:t>
      </w:r>
      <w:r>
        <w:br/>
      </w:r>
      <w:r>
        <w:t xml:space="preserve">SME</w:t>
      </w:r>
      <w:r>
        <w:t xml:space="preserve"> </w:t>
      </w:r>
      <w:r>
        <w:t xml:space="preserve">2.57</w:t>
      </w:r>
      <w:r>
        <w:t xml:space="preserve"> </w:t>
      </w:r>
      <w:r>
        <w:t xml:space="preserve">1.80</w:t>
      </w:r>
      <w:r>
        <w:t xml:space="preserve"> </w:t>
      </w:r>
      <w:r>
        <w:t xml:space="preserve">large firm</w:t>
      </w:r>
      <w:r>
        <w:t xml:space="preserve"> </w:t>
      </w:r>
      <w:r>
        <w:t xml:space="preserve">0.64</w:t>
      </w:r>
      <w:r>
        <w:t xml:space="preserve"> </w:t>
      </w:r>
      <w:r>
        <w:t xml:space="preserve">0.45</w:t>
      </w:r>
      <w:r>
        <w:t xml:space="preserve"> </w:t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Making use of the existing empowerment to have the customer declaration in electronic form</w:t>
      </w:r>
      <w:r>
        <w:t xml:space="preserve"> </w:t>
      </w:r>
      <w:r>
        <w:t xml:space="preserve">will not change the requested content of the declaration. It will therefore continue to be</w:t>
      </w:r>
      <w:r>
        <w:t xml:space="preserve"> </w:t>
      </w:r>
      <w:r>
        <w:t xml:space="preserve">necessary for individual transactions. This will lead to a reduction of printing and sending paper</w:t>
      </w:r>
      <w:r>
        <w:t xml:space="preserve"> </w:t>
      </w:r>
      <w:r>
        <w:t xml:space="preserve">but not to a substantive reduction of requirements.</w:t>
      </w:r>
      <w:r>
        <w:t xml:space="preserve"> </w:t>
      </w:r>
      <w:r>
        <w:t xml:space="preserve">Similarly, economic operators clearly indicated their support for an EU-integrated digital</w:t>
      </w:r>
      <w:r>
        <w:t xml:space="preserve"> </w:t>
      </w:r>
      <w:r>
        <w:t xml:space="preserve">solution147, meaning by conversion that setting up guidelines for voluntary implementation of</w:t>
      </w:r>
      <w:r>
        <w:t xml:space="preserve"> </w:t>
      </w:r>
      <w:r>
        <w:t xml:space="preserve">national IT systems is less appreciated by the private sector. This option’s benefits for economic</w:t>
      </w:r>
    </w:p>
    <w:p>
      <w:pPr>
        <w:pStyle w:val="BodyText"/>
      </w:pPr>
      <w:r>
        <w:t xml:space="preserve">143 14 out of 28 authorities who replied to this question.</w:t>
      </w:r>
      <w:r>
        <w:t xml:space="preserve"> </w:t>
      </w:r>
      <w:r>
        <w:t xml:space="preserve">144 29 out of 68 who replied to this question.</w:t>
      </w:r>
      <w:r>
        <w:t xml:space="preserve"> </w:t>
      </w:r>
      <w:r>
        <w:t xml:space="preserve">145 the remainder of SMEs most commonly responded “don’t know” 4/16, but a few said their costs would increase</w:t>
      </w:r>
      <w:r>
        <w:t xml:space="preserve"> </w:t>
      </w:r>
      <w:r>
        <w:t xml:space="preserve">either moderately 2/16 or significantly 1/16).</w:t>
      </w:r>
      <w:r>
        <w:t xml:space="preserve"> </w:t>
      </w:r>
      <w:r>
        <w:t xml:space="preserve">146 The exact share at an individual company level of their shares of internal or external trade would have to be</w:t>
      </w:r>
      <w:r>
        <w:t xml:space="preserve"> </w:t>
      </w:r>
      <w:r>
        <w:t xml:space="preserve">assessed. This is impossible. The 30 % reporting burden reduction is therefore likely to be a slight underestimation.</w:t>
      </w:r>
      <w:r>
        <w:t xml:space="preserve"> </w:t>
      </w:r>
      <w:r>
        <w:t xml:space="preserve">147 For example, in the targeted survey economic operators, 41 out of 73 respondents expect savings ranging from</w:t>
      </w:r>
      <w:r>
        <w:t xml:space="preserve"> </w:t>
      </w:r>
      <w:r>
        <w:t xml:space="preserve">10 % to over 75 % (with 20 respondents anticipating ‘high’ or ‘very high’ savings, i.e. from 50 % to more than</w:t>
      </w:r>
      <w:r>
        <w:t xml:space="preserve"> </w:t>
      </w:r>
      <w:r>
        <w:t xml:space="preserve">75 %) from the availability of information on licensing / registration of other operators – this would require a more</w:t>
      </w:r>
      <w:r>
        <w:t xml:space="preserve"> </w:t>
      </w:r>
      <w:r>
        <w:t xml:space="preserve">centralised digital solution.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operators depend on how many Member States would follow the guidance and cannot be</w:t>
      </w:r>
      <w:r>
        <w:t xml:space="preserve"> </w:t>
      </w:r>
      <w:r>
        <w:t xml:space="preserve">reasonably estimated. In any case, economic operators would still need to interact with a diverse</w:t>
      </w:r>
      <w:r>
        <w:t xml:space="preserve"> </w:t>
      </w:r>
      <w:r>
        <w:t xml:space="preserve">set of systems. Furthermore, this option does increase coherence with relevant customs rules</w:t>
      </w:r>
      <w:r>
        <w:t xml:space="preserve"> </w:t>
      </w:r>
      <w:r>
        <w:t xml:space="preserve">(which require digitised procedures). Not all Member States may have the business case to</w:t>
      </w:r>
      <w:r>
        <w:t xml:space="preserve"> </w:t>
      </w:r>
      <w:r>
        <w:t xml:space="preserve">digitise their procedures given the rather limited volumes concerned148. It is also more difficult</w:t>
      </w:r>
      <w:r>
        <w:t xml:space="preserve"> </w:t>
      </w:r>
      <w:r>
        <w:t xml:space="preserve">to rationalise processes or automate exchanges without a system that is not centrally developed</w:t>
      </w:r>
      <w:r>
        <w:t xml:space="preserve"> </w:t>
      </w:r>
      <w:r>
        <w:t xml:space="preserve">and managed. This option contributes lightly to the ‘digital by default’ principle.</w:t>
      </w:r>
      <w:r>
        <w:t xml:space="preserve"> </w:t>
      </w:r>
      <w:r>
        <w:t xml:space="preserve">As a result, Option 1 is likely to have a limited impact on competitiveness, including for</w:t>
      </w:r>
      <w:r>
        <w:t xml:space="preserve"> </w:t>
      </w:r>
      <w:r>
        <w:t xml:space="preserve">SMEs. It does not drastically alter the status quo in which businesses conduct their trade. By</w:t>
      </w:r>
      <w:r>
        <w:t xml:space="preserve"> </w:t>
      </w:r>
      <w:r>
        <w:t xml:space="preserve">extension, it does not have any relevant impact on international trade.</w:t>
      </w:r>
      <w:r>
        <w:t xml:space="preserve"> </w:t>
      </w:r>
      <w:r>
        <w:t xml:space="preserve">Research and innovation</w:t>
      </w:r>
      <w:r>
        <w:br/>
      </w:r>
      <w:r>
        <w:t xml:space="preserve">As Option 1 does not alter the current approach (baseline) to traditional drug precursors use in</w:t>
      </w:r>
      <w:r>
        <w:t xml:space="preserve"> </w:t>
      </w:r>
      <w:r>
        <w:t xml:space="preserve">research, this option has a negligible impact on research and innovation. Marginal</w:t>
      </w:r>
      <w:r>
        <w:t xml:space="preserve"> </w:t>
      </w:r>
      <w:r>
        <w:t xml:space="preserve">improvements are to be expected for designer precursors scheduled in the internal market rules,</w:t>
      </w:r>
      <w:r>
        <w:t xml:space="preserve"> </w:t>
      </w:r>
      <w:r>
        <w:t xml:space="preserve">as transactions with low quantities needed for research could be exempted from the registration</w:t>
      </w:r>
      <w:r>
        <w:t xml:space="preserve"> </w:t>
      </w:r>
      <w:r>
        <w:t xml:space="preserve">requirement. As most designer precursors are produced outside of the EU, their import for</w:t>
      </w:r>
      <w:r>
        <w:t xml:space="preserve"> </w:t>
      </w:r>
      <w:r>
        <w:t xml:space="preserve">research purposes would require a license.</w:t>
      </w:r>
      <w:r>
        <w:t xml:space="preserve"> </w:t>
      </w:r>
      <w:r>
        <w:t xml:space="preserve">➢ Social impacts</w:t>
      </w:r>
      <w:r>
        <w:t xml:space="preserve"> </w:t>
      </w:r>
      <w:r>
        <w:t xml:space="preserve">Option 1 is expected to have a positive contribution on Member States’ capacity to detect and</w:t>
      </w:r>
      <w:r>
        <w:t xml:space="preserve"> </w:t>
      </w:r>
      <w:r>
        <w:t xml:space="preserve">prevent crime. The proposed EUDA repository will improve competent authorities’ knowledge</w:t>
      </w:r>
      <w:r>
        <w:t xml:space="preserve"> </w:t>
      </w:r>
      <w:r>
        <w:t xml:space="preserve">and capacity to detect emerging threats. Additional benefits derive from the shortening of</w:t>
      </w:r>
      <w:r>
        <w:t xml:space="preserve"> </w:t>
      </w:r>
      <w:r>
        <w:t xml:space="preserve">scheduling time, even if limited to about one month. Previous experience shows that the rapidity</w:t>
      </w:r>
      <w:r>
        <w:t xml:space="preserve"> </w:t>
      </w:r>
      <w:r>
        <w:t xml:space="preserve">of response plays a major role in curbing the availability of precursors. Incidents with the</w:t>
      </w:r>
      <w:r>
        <w:t xml:space="preserve"> </w:t>
      </w:r>
      <w:r>
        <w:t xml:space="preserve">MDMA precursors PMK glycidic acid and PMK methyl glycidate have occurred since 2013,</w:t>
      </w:r>
      <w:r>
        <w:t xml:space="preserve"> </w:t>
      </w:r>
      <w:r>
        <w:t xml:space="preserve">but these substances were eventually scheduled in late 2020. Since then, annual seizure</w:t>
      </w:r>
      <w:r>
        <w:t xml:space="preserve"> </w:t>
      </w:r>
      <w:r>
        <w:t xml:space="preserve">amounted to 8 000 kg, while after scheduling they dropped dramatically, down to 51 kg in</w:t>
      </w:r>
      <w:r>
        <w:t xml:space="preserve"> </w:t>
      </w:r>
      <w:r>
        <w:t xml:space="preserve">2023. Conversely, designer precursors like EAPA and MAMDPA, which were first seized in</w:t>
      </w:r>
      <w:r>
        <w:t xml:space="preserve"> </w:t>
      </w:r>
      <w:r>
        <w:t xml:space="preserve">2020 and 2021 respectively and were scheduled in 2022, did not have time to establish and</w:t>
      </w:r>
      <w:r>
        <w:t xml:space="preserve"> </w:t>
      </w:r>
      <w:r>
        <w:t xml:space="preserve">develop: in 2023 MAMDPA’s seizures amounted to around 500 kg – nearly one-tenth than in</w:t>
      </w:r>
      <w:r>
        <w:t xml:space="preserve"> </w:t>
      </w:r>
      <w:r>
        <w:t xml:space="preserve">2021 – while EAPA was no longer seized.149 A shorter reaction time is therefore expected to</w:t>
      </w:r>
      <w:r>
        <w:t xml:space="preserve"> </w:t>
      </w:r>
      <w:r>
        <w:t xml:space="preserve">have an impact – albeit limited - on the availability of designer precursors for illicit drug</w:t>
      </w:r>
      <w:r>
        <w:t xml:space="preserve"> </w:t>
      </w:r>
      <w:r>
        <w:t xml:space="preserve">production (see also Figure 6).</w:t>
      </w:r>
      <w:r>
        <w:br/>
      </w:r>
      <w:r>
        <w:t xml:space="preserve">Monitoring loopholes such as exempting users from notification obligations are closed, and</w:t>
      </w:r>
      <w:r>
        <w:t xml:space="preserve"> </w:t>
      </w:r>
      <w:r>
        <w:t xml:space="preserve">stronger engagement of precursors ‘users’ is secured. However, the de minimis exemption to</w:t>
      </w:r>
      <w:r>
        <w:t xml:space="preserve"> </w:t>
      </w:r>
      <w:r>
        <w:t xml:space="preserve">facilitate research and innovation might encourage illicit small-scale shipments and a possible</w:t>
      </w:r>
      <w:r>
        <w:t xml:space="preserve"> </w:t>
      </w:r>
      <w:r>
        <w:t xml:space="preserve">shift to e-commerce, which is more difficult for authorities to control. The risk would remain</w:t>
      </w:r>
      <w:r>
        <w:t xml:space="preserve"> </w:t>
      </w:r>
      <w:r>
        <w:t xml:space="preserve">limited: an abusive shipment of 1 g of pseudoephedrine would add shipment costs that would</w:t>
      </w:r>
      <w:r>
        <w:t xml:space="preserve"> </w:t>
      </w:r>
      <w:r>
        <w:t xml:space="preserve">largely exceed the price of the good itself, however it would create a legal loophole.</w:t>
      </w:r>
      <w:r>
        <w:t xml:space="preserve"> </w:t>
      </w:r>
      <w:r>
        <w:t xml:space="preserve">Pseudoephedrine is typically used is small-scale kitchen laboratories.</w:t>
      </w:r>
    </w:p>
    <w:p>
      <w:pPr>
        <w:pStyle w:val="BodyText"/>
      </w:pPr>
      <w:r>
        <w:t xml:space="preserve">148 Data from the European drug precursor database indicate that slightly less than 60 % of operators – whether</w:t>
      </w:r>
      <w:r>
        <w:t xml:space="preserve"> </w:t>
      </w:r>
      <w:r>
        <w:t xml:space="preserve">licensed or registered – are based in Germany (24.2 %), Spain (21.3 %) and France (13.4 %), and at the other end</w:t>
      </w:r>
      <w:r>
        <w:t xml:space="preserve"> </w:t>
      </w:r>
      <w:r>
        <w:t xml:space="preserve">of the spectrum four Member States have under 5 licensed or registered operators.</w:t>
      </w:r>
      <w:r>
        <w:br/>
      </w:r>
      <w:r>
        <w:t xml:space="preserve">149 See Figure 6.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updated guidance on tackling suspicious transactions would enable economic operators to</w:t>
      </w:r>
      <w:r>
        <w:t xml:space="preserve"> </w:t>
      </w:r>
      <w:r>
        <w:t xml:space="preserve">better identify suspicious transactions and contribute to improving businesses’ cooperation in</w:t>
      </w:r>
      <w:r>
        <w:t xml:space="preserve"> </w:t>
      </w:r>
      <w:r>
        <w:t xml:space="preserve">addressing the threat of designer precursors.</w:t>
      </w:r>
      <w:r>
        <w:t xml:space="preserve"> </w:t>
      </w:r>
      <w:r>
        <w:t xml:space="preserve">On the other hand, Option 1 does not envisage ad hoc measures addressing the proliferation of</w:t>
      </w:r>
      <w:r>
        <w:t xml:space="preserve"> </w:t>
      </w:r>
      <w:r>
        <w:t xml:space="preserve">designer precursors and does not strengthen existing tools concerning unscheduled designer</w:t>
      </w:r>
      <w:r>
        <w:t xml:space="preserve"> </w:t>
      </w:r>
      <w:r>
        <w:t xml:space="preserve">precursors addressing suspicious transactions involving non-scheduled precursors (the catch-</w:t>
      </w:r>
      <w:r>
        <w:t xml:space="preserve"> </w:t>
      </w:r>
      <w:r>
        <w:t xml:space="preserve">all clause). By largely relying on the current legal framework and on voluntary efforts, Option</w:t>
      </w:r>
      <w:r>
        <w:t xml:space="preserve"> </w:t>
      </w:r>
      <w:r>
        <w:t xml:space="preserve">1 cannot be expected to make a real difference on the illicit trade of precursors and on drug-</w:t>
      </w:r>
      <w:r>
        <w:t xml:space="preserve"> </w:t>
      </w:r>
      <w:r>
        <w:t xml:space="preserve">related crime.</w:t>
      </w:r>
      <w:r>
        <w:br/>
      </w:r>
      <w:r>
        <w:t xml:space="preserve">Therefore, indirect effects on public health are also expected to be negligible under this policy</w:t>
      </w:r>
      <w:r>
        <w:t xml:space="preserve"> </w:t>
      </w:r>
      <w:r>
        <w:t xml:space="preserve">option. Benefits should not be overestimated, as option 1 relies largely on voluntary</w:t>
      </w:r>
      <w:r>
        <w:t xml:space="preserve"> </w:t>
      </w:r>
      <w:r>
        <w:t xml:space="preserve">implementation by authorities and operators.</w:t>
      </w:r>
      <w:r>
        <w:t xml:space="preserve"> </w:t>
      </w:r>
      <w:r>
        <w:t xml:space="preserve">➢ Environmental impacts</w:t>
      </w:r>
      <w:r>
        <w:t xml:space="preserve"> </w:t>
      </w:r>
      <w:r>
        <w:t xml:space="preserve">As described above, it is difficult to reasonably assess the difference in environmental impacts</w:t>
      </w:r>
      <w:r>
        <w:t xml:space="preserve"> </w:t>
      </w:r>
      <w:r>
        <w:t xml:space="preserve">between the policy options. However, as the impact on illegal drug manufacturing is expected</w:t>
      </w:r>
      <w:r>
        <w:t xml:space="preserve"> </w:t>
      </w:r>
      <w:r>
        <w:t xml:space="preserve">to be limited, illegal waste disposal is also not expected to be reduced significantly. There</w:t>
      </w:r>
      <w:r>
        <w:t xml:space="preserve"> </w:t>
      </w:r>
      <w:r>
        <w:t xml:space="preserve">continues to be a risk that criminals will eventually rely on more remote chemical derivatives</w:t>
      </w:r>
      <w:r>
        <w:t xml:space="preserve"> </w:t>
      </w:r>
      <w:r>
        <w:t xml:space="preserve">that create more toxic waste.</w:t>
      </w:r>
      <w:r>
        <w:t xml:space="preserve"> </w:t>
      </w:r>
      <w:r>
        <w:t xml:space="preserve">Figure 11: Summary of impacts of Option 1</w:t>
      </w:r>
      <w:r>
        <w:t xml:space="preserve"> </w:t>
      </w:r>
      <w:r>
        <w:t xml:space="preserve">Impacts</w:t>
      </w:r>
      <w:r>
        <w:t xml:space="preserve"> </w:t>
      </w:r>
      <w:r>
        <w:t xml:space="preserve">Rating</w:t>
      </w:r>
      <w:r>
        <w:br/>
      </w:r>
      <w:r>
        <w:t xml:space="preserve">Economic</w:t>
      </w:r>
      <w:r>
        <w:br/>
      </w:r>
      <w:r>
        <w:t xml:space="preserve">Facilitation of legal trade</w:t>
      </w:r>
      <w:r>
        <w:t xml:space="preserve"> </w:t>
      </w:r>
      <w:r>
        <w:t xml:space="preserve">0</w:t>
      </w:r>
      <w:r>
        <w:t xml:space="preserve"> </w:t>
      </w:r>
      <w:r>
        <w:t xml:space="preserve">Costs / savings for economic operators</w:t>
      </w:r>
      <w:r>
        <w:t xml:space="preserve"> </w:t>
      </w:r>
      <w:r>
        <w:t xml:space="preserve">0</w:t>
      </w:r>
      <w:r>
        <w:t xml:space="preserve"> </w:t>
      </w:r>
      <w:r>
        <w:t xml:space="preserve">Costs / savings for MS authorities</w:t>
      </w:r>
      <w:r>
        <w:br/>
      </w:r>
      <w:r>
        <w:t xml:space="preserve">-1</w:t>
      </w:r>
      <w:r>
        <w:t xml:space="preserve"> </w:t>
      </w:r>
      <w:r>
        <w:t xml:space="preserve">Cost / savings for Commission</w:t>
      </w:r>
      <w:r>
        <w:t xml:space="preserve"> </w:t>
      </w:r>
      <w:r>
        <w:t xml:space="preserve">0</w:t>
      </w:r>
      <w:r>
        <w:t xml:space="preserve"> </w:t>
      </w:r>
      <w:r>
        <w:t xml:space="preserve">Research and innovation in the chemical sector</w:t>
      </w:r>
      <w:r>
        <w:t xml:space="preserve"> </w:t>
      </w:r>
      <w:r>
        <w:t xml:space="preserve">-0</w:t>
      </w:r>
      <w:r>
        <w:t xml:space="preserve"> </w:t>
      </w:r>
      <w:r>
        <w:t xml:space="preserve">Digitalisation of the EU system</w:t>
      </w:r>
      <w:r>
        <w:t xml:space="preserve"> </w:t>
      </w:r>
      <w:r>
        <w:t xml:space="preserve">0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Social</w:t>
      </w:r>
      <w:r>
        <w:br/>
      </w:r>
      <w:r>
        <w:t xml:space="preserve">Impact on control / prevention of illicit trade</w:t>
      </w:r>
      <w:r>
        <w:t xml:space="preserve"> </w:t>
      </w:r>
      <w:r>
        <w:t xml:space="preserve">+1</w:t>
      </w:r>
      <w:r>
        <w:t xml:space="preserve"> </w:t>
      </w:r>
      <w:r>
        <w:t xml:space="preserve">Drug-related health impact</w:t>
      </w:r>
      <w:r>
        <w:t xml:space="preserve"> </w:t>
      </w:r>
      <w:r>
        <w:t xml:space="preserve">+1</w:t>
      </w:r>
      <w:r>
        <w:t xml:space="preserve"> </w:t>
      </w:r>
      <w:r>
        <w:t xml:space="preserve">Environmental</w:t>
      </w:r>
      <w:r>
        <w:br/>
      </w:r>
      <w:r>
        <w:t xml:space="preserve">Impact on toxic waste disposal</w:t>
      </w:r>
      <w:r>
        <w:t xml:space="preserve"> </w:t>
      </w:r>
      <w:r>
        <w:t xml:space="preserve">0</w:t>
      </w:r>
      <w:r>
        <w:t xml:space="preserve"> </w:t>
      </w:r>
      <w:r>
        <w:t xml:space="preserve">Legend: Impact ratings: +3 = highly positive; +2 = positive; +1 = moderately positive; 0=neutral/modest impact;</w:t>
      </w:r>
      <w:r>
        <w:t xml:space="preserve"> </w:t>
      </w:r>
      <w:r>
        <w:t xml:space="preserve">-1 moderately negative; -2 = negative; -3 = highly negative; N/A=not applicable</w:t>
      </w:r>
    </w:p>
    <w:p>
      <w:pPr>
        <w:pStyle w:val="BodyText"/>
      </w:pPr>
      <w:r>
        <w:t xml:space="preserve">6.2. Option 2: Comprehensive Review</w:t>
      </w:r>
      <w:r>
        <w:t xml:space="preserve"> </w:t>
      </w:r>
      <w:r>
        <w:t xml:space="preserve">➢ Economic impacts</w:t>
      </w:r>
      <w:r>
        <w:br/>
      </w:r>
      <w:r>
        <w:t xml:space="preserve">Public authorities</w:t>
      </w:r>
      <w:r>
        <w:t xml:space="preserve"> </w:t>
      </w:r>
      <w:r>
        <w:t xml:space="preserve">Option 2 is expected to facilitate public authorities’ tasks and the enforcement of rules. It should</w:t>
      </w:r>
      <w:r>
        <w:t xml:space="preserve"> </w:t>
      </w:r>
      <w:r>
        <w:t xml:space="preserve">overall reduce their administrative costs for reporting, licensing as well as import/export</w:t>
      </w:r>
      <w:r>
        <w:t xml:space="preserve"> </w:t>
      </w:r>
      <w:r>
        <w:t xml:space="preserve">authorisations. The enforcement costs associated with the introduction of a ban on designer</w:t>
      </w:r>
      <w:r>
        <w:t xml:space="preserve"> </w:t>
      </w:r>
      <w:r>
        <w:t xml:space="preserve">precursors and for IT infrastructure should be offset by the reduction in other administrative</w:t>
      </w:r>
      <w:r>
        <w:t xml:space="preserve"> </w:t>
      </w:r>
      <w:r>
        <w:t xml:space="preserve">burdens.</w:t>
      </w:r>
      <w:r>
        <w:t xml:space="preserve"> </w:t>
      </w:r>
      <w:r>
        <w:t xml:space="preserve">The ban on designer precursors is likely to imply moderate additional costs to public</w:t>
      </w:r>
      <w:r>
        <w:t xml:space="preserve"> </w:t>
      </w:r>
      <w:r>
        <w:t xml:space="preserve">authorities, but this will depend on the scope of the ban. Those authorities who provided a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prediction in the targeted survey assume that their burden would increase between 10 % and</w:t>
      </w:r>
      <w:r>
        <w:t xml:space="preserve"> </w:t>
      </w:r>
      <w:r>
        <w:t xml:space="preserve">50 % in comparison to the baseline. The burden is assumed to increase with a larger scope of</w:t>
      </w:r>
      <w:r>
        <w:t xml:space="preserve"> </w:t>
      </w:r>
      <w:r>
        <w:t xml:space="preserve">substances banned. National authorities’ feedback on the proactive scheduling approach</w:t>
      </w:r>
      <w:r>
        <w:t xml:space="preserve"> </w:t>
      </w:r>
      <w:r>
        <w:t xml:space="preserve">suggests a preference for moderate rather than a wide extension. Indeed, only 6 respondents out</w:t>
      </w:r>
      <w:r>
        <w:t xml:space="preserve"> </w:t>
      </w:r>
      <w:r>
        <w:t xml:space="preserve">of 27 would be in favour of extending the proactive approach as much as possible, while for 13</w:t>
      </w:r>
      <w:r>
        <w:t xml:space="preserve"> </w:t>
      </w:r>
      <w:r>
        <w:t xml:space="preserve">authorities the extension should be limited or none. At the final workshop, national authorities</w:t>
      </w:r>
      <w:r>
        <w:t xml:space="preserve"> </w:t>
      </w:r>
      <w:r>
        <w:t xml:space="preserve">raised the need for a clear identification of the substances. Otherwise, in their view, there would</w:t>
      </w:r>
      <w:r>
        <w:t xml:space="preserve"> </w:t>
      </w:r>
      <w:r>
        <w:t xml:space="preserve">be a lack of legal certainty and authorities would not be able to enforce the rules in practice. As</w:t>
      </w:r>
      <w:r>
        <w:t xml:space="preserve"> </w:t>
      </w:r>
      <w:r>
        <w:t xml:space="preserve">it is not possible to quantify this cost, it cannot be directly offset against other cost savings in</w:t>
      </w:r>
      <w:r>
        <w:t xml:space="preserve"> </w:t>
      </w:r>
      <w:r>
        <w:t xml:space="preserve">licensing and registration.</w:t>
      </w:r>
      <w:r>
        <w:t xml:space="preserve"> </w:t>
      </w:r>
      <w:r>
        <w:t xml:space="preserve">The streamlining of the legal texts is expected to have a limited impact on public</w:t>
      </w:r>
      <w:r>
        <w:t xml:space="preserve"> </w:t>
      </w:r>
      <w:r>
        <w:t xml:space="preserve">authorities. It will not change obligations as such but make them more easily readable and</w:t>
      </w:r>
      <w:r>
        <w:t xml:space="preserve"> </w:t>
      </w:r>
      <w:r>
        <w:t xml:space="preserve">understood. 4 out of 22 respondents to the survey of public authorities who provided feedback</w:t>
      </w:r>
      <w:r>
        <w:t xml:space="preserve"> </w:t>
      </w:r>
      <w:r>
        <w:t xml:space="preserve">on this proposed measure anticipated a limited or no change in burden. It is expected that there</w:t>
      </w:r>
      <w:r>
        <w:t xml:space="preserve"> </w:t>
      </w:r>
      <w:r>
        <w:t xml:space="preserve">would be some administrative effort in the short term, offset by the long-term improvement in</w:t>
      </w:r>
      <w:r>
        <w:t xml:space="preserve"> </w:t>
      </w:r>
      <w:r>
        <w:t xml:space="preserve">clarity. At the same time, binding rules on thresholds for mixtures were welcomed, as they</w:t>
      </w:r>
      <w:r>
        <w:t xml:space="preserve"> </w:t>
      </w:r>
      <w:r>
        <w:t xml:space="preserve">reduce ambiguity and aid compliance. For public authorities, the benefit of such rules would be</w:t>
      </w:r>
      <w:r>
        <w:t xml:space="preserve"> </w:t>
      </w:r>
      <w:r>
        <w:t xml:space="preserve">that they would not need to spend effort determining nationally the best approach for mixtures.</w:t>
      </w:r>
      <w:r>
        <w:t xml:space="preserve"> </w:t>
      </w:r>
      <w:r>
        <w:t xml:space="preserve">The biggest economic impact for authorities is expected by the introduction of a</w:t>
      </w:r>
      <w:r>
        <w:t xml:space="preserve"> </w:t>
      </w:r>
      <w:r>
        <w:t xml:space="preserve">centralised IT system that would streamline all administrative procedures linked to drug</w:t>
      </w:r>
      <w:r>
        <w:t xml:space="preserve"> </w:t>
      </w:r>
      <w:r>
        <w:t xml:space="preserve">precursors. For the vast majority of public authorities consulted (70 %, 17/24), e-license and e-</w:t>
      </w:r>
      <w:r>
        <w:t xml:space="preserve"> </w:t>
      </w:r>
      <w:r>
        <w:t xml:space="preserve">registrations are expected to reduce administrative burden either moderately (25-50 % of costs,</w:t>
      </w:r>
      <w:r>
        <w:t xml:space="preserve"> </w:t>
      </w:r>
      <w:r>
        <w:t xml:space="preserve">13/24), or substantially (more than 50 % of current costs, 4/24).</w:t>
      </w:r>
      <w:r>
        <w:t xml:space="preserve"> </w:t>
      </w:r>
      <w:r>
        <w:t xml:space="preserve">Setting up an IT system that would digitise internal trade is estimated to cost the Commission</w:t>
      </w:r>
      <w:r>
        <w:t xml:space="preserve"> </w:t>
      </w:r>
      <w:r>
        <w:t xml:space="preserve">about EUR M 1.575 in one-off cost. This would include evolutive maintenance of the system</w:t>
      </w:r>
      <w:r>
        <w:t xml:space="preserve"> </w:t>
      </w:r>
      <w:r>
        <w:t xml:space="preserve">during its first years of existence.150</w:t>
      </w:r>
      <w:r>
        <w:t xml:space="preserve"> </w:t>
      </w:r>
      <w:r>
        <w:t xml:space="preserve">For external trade, in addition to the costs for the Commission detailed in Figure 12, national</w:t>
      </w:r>
      <w:r>
        <w:t xml:space="preserve"> </w:t>
      </w:r>
      <w:r>
        <w:t xml:space="preserve">authorities would also face adjustment costs to make any necessary connections, to revise</w:t>
      </w:r>
      <w:r>
        <w:t xml:space="preserve"> </w:t>
      </w:r>
      <w:r>
        <w:t xml:space="preserve">standard operating procedures and for training, as well as recurrent costs for maintenance and</w:t>
      </w:r>
      <w:r>
        <w:t xml:space="preserve"> </w:t>
      </w:r>
      <w:r>
        <w:t xml:space="preserve">updates, and ongoing support for users (EUR 1.38 million per year).151</w:t>
      </w:r>
      <w:r>
        <w:br/>
      </w:r>
      <w:r>
        <w:t xml:space="preserve">Figure 12: Costs for the Commission to develop and maintain the external trade IT system</w:t>
      </w:r>
      <w:r>
        <w:t xml:space="preserve"> </w:t>
      </w:r>
      <w:r>
        <w:t xml:space="preserve">Cost estimate</w:t>
      </w:r>
      <w:r>
        <w:t xml:space="preserve"> </w:t>
      </w:r>
      <w:r>
        <w:t xml:space="preserve">(million EUR)</w:t>
      </w:r>
      <w:r>
        <w:t xml:space="preserve"> </w:t>
      </w:r>
      <w:r>
        <w:t xml:space="preserve">Time</w:t>
      </w:r>
      <w:r>
        <w:t xml:space="preserve"> </w:t>
      </w:r>
      <w:r>
        <w:t xml:space="preserve">horizon</w:t>
      </w:r>
      <w:r>
        <w:t xml:space="preserve"> </w:t>
      </w:r>
      <w:r>
        <w:t xml:space="preserve">Details</w:t>
      </w:r>
      <w:r>
        <w:br/>
      </w:r>
      <w:r>
        <w:t xml:space="preserve">0.9</w:t>
      </w:r>
      <w:r>
        <w:br/>
      </w:r>
      <w:r>
        <w:t xml:space="preserve">2026-</w:t>
      </w:r>
      <w:r>
        <w:t xml:space="preserve"> </w:t>
      </w:r>
      <w:r>
        <w:t xml:space="preserve">2027</w:t>
      </w:r>
      <w:r>
        <w:br/>
      </w:r>
      <w:r>
        <w:t xml:space="preserve">Pre-inception activities, business analysis, digitalisation policy and</w:t>
      </w:r>
      <w:r>
        <w:t xml:space="preserve"> </w:t>
      </w:r>
      <w:r>
        <w:t xml:space="preserve">business architecture input, coordination and work with external</w:t>
      </w:r>
      <w:r>
        <w:t xml:space="preserve"> </w:t>
      </w:r>
      <w:r>
        <w:t xml:space="preserve">stakeholders (notably the Project Group with Member States),</w:t>
      </w:r>
      <w:r>
        <w:t xml:space="preserve"> </w:t>
      </w:r>
      <w:r>
        <w:t xml:space="preserve">digitalisation legal input during the preparation of internal COM legal</w:t>
      </w:r>
      <w:r>
        <w:t xml:space="preserve"> </w:t>
      </w:r>
      <w:r>
        <w:t xml:space="preserve">proposals, cooperation during the co-legislation phase and</w:t>
      </w:r>
      <w:r>
        <w:t xml:space="preserve"> </w:t>
      </w:r>
      <w:r>
        <w:t xml:space="preserve">preparation for the next phases to build the solutions (e.g. COM IT</w:t>
      </w:r>
      <w:r>
        <w:t xml:space="preserve"> </w:t>
      </w:r>
      <w:r>
        <w:t xml:space="preserve">Governance).</w:t>
      </w:r>
    </w:p>
    <w:p>
      <w:pPr>
        <w:pStyle w:val="BodyText"/>
      </w:pPr>
      <w:r>
        <w:t xml:space="preserve">150 See Annex 8 for more details. This would be in addition to the baseline cost of EUR 430 000 for developing</w:t>
      </w:r>
      <w:r>
        <w:t xml:space="preserve"> </w:t>
      </w:r>
      <w:r>
        <w:t xml:space="preserve">function 3 of the existing database.</w:t>
      </w:r>
      <w:r>
        <w:t xml:space="preserve"> </w:t>
      </w:r>
      <w:r>
        <w:t xml:space="preserve">151 Again, the Impact Assessment for the Single window environment for customs is used as a benchmark given</w:t>
      </w:r>
      <w:r>
        <w:t xml:space="preserve"> </w:t>
      </w:r>
      <w:r>
        <w:t xml:space="preserve">that the approach would be similar.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Cost estimate</w:t>
      </w:r>
      <w:r>
        <w:t xml:space="preserve"> </w:t>
      </w:r>
      <w:r>
        <w:t xml:space="preserve">(million EUR)</w:t>
      </w:r>
      <w:r>
        <w:t xml:space="preserve"> </w:t>
      </w:r>
      <w:r>
        <w:t xml:space="preserve">Time</w:t>
      </w:r>
      <w:r>
        <w:t xml:space="preserve"> </w:t>
      </w:r>
      <w:r>
        <w:t xml:space="preserve">horizon</w:t>
      </w:r>
      <w:r>
        <w:t xml:space="preserve"> </w:t>
      </w:r>
      <w:r>
        <w:t xml:space="preserve">Details</w:t>
      </w:r>
      <w:r>
        <w:br/>
      </w:r>
      <w:r>
        <w:t xml:space="preserve">17 - 25</w:t>
      </w:r>
      <w:r>
        <w:br/>
      </w:r>
      <w:r>
        <w:t xml:space="preserve">(2.83-4.16 per year)</w:t>
      </w:r>
      <w:r>
        <w:t xml:space="preserve"> </w:t>
      </w:r>
      <w:r>
        <w:t xml:space="preserve">2028-</w:t>
      </w:r>
      <w:r>
        <w:t xml:space="preserve"> </w:t>
      </w:r>
      <w:r>
        <w:t xml:space="preserve">2033152</w:t>
      </w:r>
      <w:r>
        <w:t xml:space="preserve"> </w:t>
      </w:r>
      <w:r>
        <w:t xml:space="preserve">Core digitalisation work (i.e. technical specifications, development of</w:t>
      </w:r>
      <w:r>
        <w:t xml:space="preserve"> </w:t>
      </w:r>
      <w:r>
        <w:t xml:space="preserve">system).</w:t>
      </w:r>
      <w:r>
        <w:t xml:space="preserve"> </w:t>
      </w:r>
      <w:r>
        <w:t xml:space="preserve">2.3 per year</w:t>
      </w:r>
      <w:r>
        <w:t xml:space="preserve"> </w:t>
      </w:r>
      <w:r>
        <w:t xml:space="preserve">2034+</w:t>
      </w:r>
      <w:r>
        <w:t xml:space="preserve"> </w:t>
      </w:r>
      <w:r>
        <w:t xml:space="preserve">Yearly maintenance cost could be expected once</w:t>
      </w:r>
      <w:r>
        <w:br/>
      </w:r>
      <w:r>
        <w:t xml:space="preserve">implementation is complete.</w:t>
      </w:r>
      <w:r>
        <w:t xml:space="preserve"> </w:t>
      </w:r>
      <w:r>
        <w:t xml:space="preserve">Source: European Commission</w:t>
      </w:r>
    </w:p>
    <w:p>
      <w:pPr>
        <w:pStyle w:val="BodyText"/>
      </w:pPr>
      <w:r>
        <w:t xml:space="preserve">Public authorities can also expect costs savings from the digitalisation of processes.</w:t>
      </w:r>
      <w:r>
        <w:br/>
      </w:r>
      <w:r>
        <w:t xml:space="preserve">Removing annual reporting to the Commission would be appreciated by national authorities</w:t>
      </w:r>
      <w:r>
        <w:t xml:space="preserve"> </w:t>
      </w:r>
      <w:r>
        <w:t xml:space="preserve">as they have a significant burden to compile and validate data across multiple formats for many</w:t>
      </w:r>
      <w:r>
        <w:t xml:space="preserve"> </w:t>
      </w:r>
      <w:r>
        <w:t xml:space="preserve">entities (at the higher end, a country like Germany has close to 1 000 entities reporting data on</w:t>
      </w:r>
      <w:r>
        <w:t xml:space="preserve"> </w:t>
      </w:r>
      <w:r>
        <w:t xml:space="preserve">legitimate trade). Instead of national authorities reporting to the Commission, the data to be</w:t>
      </w:r>
      <w:r>
        <w:t xml:space="preserve"> </w:t>
      </w:r>
      <w:r>
        <w:t xml:space="preserve">submitted to the UN would be generated by the digital solution. Authorities could use time</w:t>
      </w:r>
      <w:r>
        <w:t xml:space="preserve"> </w:t>
      </w:r>
      <w:r>
        <w:t xml:space="preserve">saved to conduct targeted spot checks and perform ex-post compliance checks. The</w:t>
      </w:r>
      <w:r>
        <w:t xml:space="preserve"> </w:t>
      </w:r>
      <w:r>
        <w:t xml:space="preserve">administrative cost saving by automating the annual reporting is estimated at</w:t>
      </w:r>
      <w:r>
        <w:t xml:space="preserve"> </w:t>
      </w:r>
      <w:r>
        <w:t xml:space="preserve">EUR 3.2 million153. Risks due to this removal would be mitigated through the ex-ante nature of</w:t>
      </w:r>
      <w:r>
        <w:t xml:space="preserve"> </w:t>
      </w:r>
      <w:r>
        <w:t xml:space="preserve">quantities to be included in licenses and registrations and the automatic checks via quantity</w:t>
      </w:r>
      <w:r>
        <w:t xml:space="preserve"> </w:t>
      </w:r>
      <w:r>
        <w:t xml:space="preserve">management in external trade.</w:t>
      </w:r>
      <w:r>
        <w:t xml:space="preserve"> </w:t>
      </w:r>
      <w:r>
        <w:t xml:space="preserve">It was assumed that replacing the current quarterly incident reporting with a real-time</w:t>
      </w:r>
      <w:r>
        <w:t xml:space="preserve"> </w:t>
      </w:r>
      <w:r>
        <w:t xml:space="preserve">reporting obligation for analytical purposes would be cost-neutral if integrated and linked</w:t>
      </w:r>
      <w:r>
        <w:t xml:space="preserve"> </w:t>
      </w:r>
      <w:r>
        <w:t xml:space="preserve">to the existing UN based incident reporting system PICS.154 However, at the final workshop,</w:t>
      </w:r>
      <w:r>
        <w:t xml:space="preserve"> </w:t>
      </w:r>
      <w:r>
        <w:t xml:space="preserve">this measure was met with criticism by national authorities for introducing new and duplicate</w:t>
      </w:r>
      <w:r>
        <w:t xml:space="preserve"> </w:t>
      </w:r>
      <w:r>
        <w:t xml:space="preserve">reporting obligations for Member States. This is so because the current PICS only concerns</w:t>
      </w:r>
      <w:r>
        <w:t xml:space="preserve"> </w:t>
      </w:r>
      <w:r>
        <w:t xml:space="preserve">incidents that are of international interest, while other incident reporting needs to be in summary</w:t>
      </w:r>
      <w:r>
        <w:t xml:space="preserve"> </w:t>
      </w:r>
      <w:r>
        <w:t xml:space="preserve">form at UN level. Nevertheless, in the event interoperability with PICS is enabled, the</w:t>
      </w:r>
      <w:r>
        <w:t xml:space="preserve"> </w:t>
      </w:r>
      <w:r>
        <w:t xml:space="preserve">administrative costs for reporting would be roughly halved, in monetary terms to</w:t>
      </w:r>
      <w:r>
        <w:t xml:space="preserve"> </w:t>
      </w:r>
      <w:r>
        <w:t xml:space="preserve">EUR 240 000 EU-wide, per year.155</w:t>
      </w:r>
      <w:r>
        <w:t xml:space="preserve"> </w:t>
      </w:r>
      <w:r>
        <w:t xml:space="preserve">Similarly, as shown in Figure 13 cost savings for public authorities are expected when relying</w:t>
      </w:r>
      <w:r>
        <w:t xml:space="preserve"> </w:t>
      </w:r>
      <w:r>
        <w:t xml:space="preserve">on the digital system to process licensing and registrations and to automatically issue import</w:t>
      </w:r>
      <w:r>
        <w:t xml:space="preserve"> </w:t>
      </w:r>
      <w:r>
        <w:t xml:space="preserve">and export authorisations based on the quantity management functionality.</w:t>
      </w:r>
    </w:p>
    <w:p>
      <w:pPr>
        <w:pStyle w:val="BodyText"/>
      </w:pPr>
      <w:r>
        <w:t xml:space="preserve">152 This timeline assumes that the updated regulation(s) on drug precursors come into force mid /late 2027</w:t>
      </w:r>
      <w:r>
        <w:t xml:space="preserve"> </w:t>
      </w:r>
      <w:r>
        <w:t xml:space="preserve">(assuming the Impact Assessment presented at the Regulatory Scrutiny Board in Jun. 2025, possible adoption by</w:t>
      </w:r>
      <w:r>
        <w:t xml:space="preserve"> </w:t>
      </w:r>
      <w:r>
        <w:t xml:space="preserve">the College by Q4 2025, followed by at least 18 months of co-legislation).</w:t>
      </w:r>
      <w:r>
        <w:t xml:space="preserve"> </w:t>
      </w:r>
      <w:r>
        <w:t xml:space="preserve">153 See Annex 4</w:t>
      </w:r>
      <w:r>
        <w:br/>
      </w:r>
      <w:r>
        <w:t xml:space="preserve">154 As regards connection of Union systems to UN systems (PEN and PICS), in the case of both options, this would</w:t>
      </w:r>
      <w:r>
        <w:t xml:space="preserve"> </w:t>
      </w:r>
      <w:r>
        <w:t xml:space="preserve">be subject to the approach which UN services would take to interoperability with a Union system. It is not possible</w:t>
      </w:r>
      <w:r>
        <w:t xml:space="preserve"> </w:t>
      </w:r>
      <w:r>
        <w:t xml:space="preserve">to estimate currently their appetite for this or their cost-benefit perspective. Therefore, while the Hub could in</w:t>
      </w:r>
      <w:r>
        <w:t xml:space="preserve"> </w:t>
      </w:r>
      <w:r>
        <w:t xml:space="preserve">principle be used for exchange of information with the UN systems, the potential additional cost in this option is</w:t>
      </w:r>
      <w:r>
        <w:t xml:space="preserve"> </w:t>
      </w:r>
      <w:r>
        <w:t xml:space="preserve">not assessed. The systematic exchange of information may also be subject to a prior international agreement.</w:t>
      </w:r>
      <w:r>
        <w:t xml:space="preserve"> </w:t>
      </w:r>
      <w:r>
        <w:t xml:space="preserve">155 The annual administrative costs for national authorities were estimated based on survey feedback. As the survey</w:t>
      </w:r>
      <w:r>
        <w:t xml:space="preserve"> </w:t>
      </w:r>
      <w:r>
        <w:t xml:space="preserve">question included also the efforts required to report legal trade figures, the average number of days reported – i.e. </w:t>
      </w:r>
      <w:r>
        <w:t xml:space="preserve"> </w:t>
      </w:r>
      <w:r>
        <w:t xml:space="preserve">approx. 40, based on 14 authorities that provided an estimate – was divided by two, assuming the two reporting</w:t>
      </w:r>
      <w:r>
        <w:t xml:space="preserve"> </w:t>
      </w:r>
      <w:r>
        <w:t xml:space="preserve">tasks (incidents and legal trade) have the same weight.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Figure 13: Expected administrative cost savings for national authorities in Option 2</w:t>
      </w:r>
      <w:r>
        <w:t xml:space="preserve"> </w:t>
      </w:r>
      <w:r>
        <w:t xml:space="preserve">(licences, registrations, authorisations and reporting)</w:t>
      </w:r>
      <w:r>
        <w:t xml:space="preserve"> </w:t>
      </w:r>
      <w:r>
        <w:t xml:space="preserve">Action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Costs</w:t>
      </w:r>
      <w:r>
        <w:br/>
      </w:r>
      <w:r>
        <w:t xml:space="preserve">(million EUR)</w:t>
      </w:r>
      <w:r>
        <w:t xml:space="preserve"> </w:t>
      </w:r>
      <w:r>
        <w:t xml:space="preserve">Costs</w:t>
      </w:r>
      <w:r>
        <w:br/>
      </w:r>
      <w:r>
        <w:t xml:space="preserve">(million EUR)</w:t>
      </w:r>
      <w:r>
        <w:t xml:space="preserve"> </w:t>
      </w:r>
      <w:r>
        <w:t xml:space="preserve">Cost savings</w:t>
      </w:r>
      <w:r>
        <w:br/>
      </w:r>
      <w:r>
        <w:t xml:space="preserve">(million EUR)</w:t>
      </w:r>
      <w:r>
        <w:t xml:space="preserve"> </w:t>
      </w:r>
      <w:r>
        <w:t xml:space="preserve">To issue new license/registration (one-off)</w:t>
      </w:r>
      <w:r>
        <w:t xml:space="preserve"> </w:t>
      </w:r>
      <w:r>
        <w:t xml:space="preserve">1.3</w:t>
      </w:r>
      <w:r>
        <w:t xml:space="preserve"> </w:t>
      </w:r>
      <w:r>
        <w:t xml:space="preserve">0.8</w:t>
      </w:r>
      <w:r>
        <w:t xml:space="preserve"> </w:t>
      </w:r>
      <w:r>
        <w:t xml:space="preserve">0.5</w:t>
      </w:r>
      <w:r>
        <w:br/>
      </w:r>
      <w:r>
        <w:t xml:space="preserve">To renew license/registration (annually)</w:t>
      </w:r>
      <w:r>
        <w:t xml:space="preserve"> </w:t>
      </w:r>
      <w:r>
        <w:t xml:space="preserve">0.23</w:t>
      </w:r>
      <w:r>
        <w:t xml:space="preserve"> </w:t>
      </w:r>
      <w:r>
        <w:t xml:space="preserve">0.15</w:t>
      </w:r>
      <w:r>
        <w:t xml:space="preserve"> </w:t>
      </w:r>
      <w:r>
        <w:t xml:space="preserve">0.09</w:t>
      </w:r>
      <w:r>
        <w:t xml:space="preserve"> </w:t>
      </w:r>
      <w:r>
        <w:t xml:space="preserve">To issue import authorisation (annually)</w:t>
      </w:r>
      <w:r>
        <w:t xml:space="preserve"> </w:t>
      </w:r>
      <w:r>
        <w:t xml:space="preserve">0.2</w:t>
      </w:r>
      <w:r>
        <w:br/>
      </w:r>
      <w:r>
        <w:t xml:space="preserve">0</w:t>
      </w:r>
      <w:r>
        <w:t xml:space="preserve"> </w:t>
      </w:r>
      <w:r>
        <w:t xml:space="preserve">0.2</w:t>
      </w:r>
      <w:r>
        <w:t xml:space="preserve"> </w:t>
      </w:r>
      <w:r>
        <w:t xml:space="preserve">To issue export authorisation (annually)</w:t>
      </w:r>
      <w:r>
        <w:t xml:space="preserve"> </w:t>
      </w:r>
      <w:r>
        <w:t xml:space="preserve">6.7</w:t>
      </w:r>
      <w:r>
        <w:br/>
      </w:r>
      <w:r>
        <w:t xml:space="preserve">0</w:t>
      </w:r>
      <w:r>
        <w:t xml:space="preserve"> </w:t>
      </w:r>
      <w:r>
        <w:t xml:space="preserve">6.7</w:t>
      </w:r>
      <w:r>
        <w:t xml:space="preserve"> </w:t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Economic operators</w:t>
      </w:r>
      <w:r>
        <w:t xml:space="preserve"> </w:t>
      </w:r>
      <w:r>
        <w:t xml:space="preserve">Option 2 equally provides for a reduction of administrative and compliance costs for economic</w:t>
      </w:r>
      <w:r>
        <w:t xml:space="preserve"> </w:t>
      </w:r>
      <w:r>
        <w:t xml:space="preserve">operators through the digitisation and streamlining of procedures for drug precursors. As for</w:t>
      </w:r>
      <w:r>
        <w:t xml:space="preserve"> </w:t>
      </w:r>
      <w:r>
        <w:t xml:space="preserve">public authorities, additional costs linked to the introduction of specific controls for designer</w:t>
      </w:r>
      <w:r>
        <w:t xml:space="preserve"> </w:t>
      </w:r>
      <w:r>
        <w:t xml:space="preserve">precursors depend on the scope of the measures but should be mitigated by the overall reduction</w:t>
      </w:r>
      <w:r>
        <w:t xml:space="preserve"> </w:t>
      </w:r>
      <w:r>
        <w:t xml:space="preserve">in costs for the economic operators concerned.</w:t>
      </w:r>
      <w:r>
        <w:t xml:space="preserve"> </w:t>
      </w:r>
      <w:r>
        <w:t xml:space="preserve">The ban of designer precursors is largely supported by economic operators (35 out of 70 agree</w:t>
      </w:r>
      <w:r>
        <w:t xml:space="preserve"> </w:t>
      </w:r>
      <w:r>
        <w:t xml:space="preserve">with this solution, and only 6 disagree), and is clearly preferred over an extension of the current</w:t>
      </w:r>
      <w:r>
        <w:t xml:space="preserve"> </w:t>
      </w:r>
      <w:r>
        <w:t xml:space="preserve">practice of requesting a licence for scheduled designer precursors (24 ‘strong’ agreements</w:t>
      </w:r>
      <w:r>
        <w:t xml:space="preserve"> </w:t>
      </w:r>
      <w:r>
        <w:t xml:space="preserve">against 15). There is a lighter burden associated with the ban (prior notification instead of</w:t>
      </w:r>
      <w:r>
        <w:t xml:space="preserve"> </w:t>
      </w:r>
      <w:r>
        <w:t xml:space="preserve">licence). The surveyed economic operators expect the ban to increase cost by nil to +15 %.156</w:t>
      </w:r>
      <w:r>
        <w:t xml:space="preserve"> </w:t>
      </w:r>
      <w:r>
        <w:t xml:space="preserve">Concerning the prior notification of transactions in these substances, the frequency of such</w:t>
      </w:r>
      <w:r>
        <w:t xml:space="preserve"> </w:t>
      </w:r>
      <w:r>
        <w:t xml:space="preserve">instances is difficult to predict. However, for perspective, in 2018-2022, declared licit uses of</w:t>
      </w:r>
      <w:r>
        <w:t xml:space="preserve"> </w:t>
      </w:r>
      <w:r>
        <w:t xml:space="preserve">designer precursors amounted to around 70 kg/year, i.e. 0.002 % of total declared licit use for</w:t>
      </w:r>
      <w:r>
        <w:t xml:space="preserve"> </w:t>
      </w:r>
      <w:r>
        <w:t xml:space="preserve">Category 1 substances. Imports and exports amounted to some 52 transactions/year – i.e. 2 %</w:t>
      </w:r>
      <w:r>
        <w:t xml:space="preserve"> </w:t>
      </w:r>
      <w:r>
        <w:t xml:space="preserve">of total yearly transactions involving Category 1 substances. So, extending the notification</w:t>
      </w:r>
      <w:r>
        <w:t xml:space="preserve"> </w:t>
      </w:r>
      <w:r>
        <w:t xml:space="preserve">obligation to other substances is not expected to have relevant impact on burden.157</w:t>
      </w:r>
      <w:r>
        <w:t xml:space="preserve"> </w:t>
      </w:r>
      <w:r>
        <w:t xml:space="preserve">While designer precursors do not have known legal use (except research)158, economic</w:t>
      </w:r>
      <w:r>
        <w:t xml:space="preserve"> </w:t>
      </w:r>
      <w:r>
        <w:t xml:space="preserve">operators, especially those that produce or sell a broad range of specialty chemicals, need</w:t>
      </w:r>
      <w:r>
        <w:t xml:space="preserve"> </w:t>
      </w:r>
      <w:r>
        <w:t xml:space="preserve">nevertheless to continuously check their portfolio to provide for legal compliance (‘due</w:t>
      </w:r>
      <w:r>
        <w:t xml:space="preserve"> </w:t>
      </w:r>
      <w:r>
        <w:t xml:space="preserve">diligence tasks’).These tasks are already performed whenever a new substance is added to the</w:t>
      </w:r>
      <w:r>
        <w:t xml:space="preserve"> </w:t>
      </w:r>
      <w:r>
        <w:t xml:space="preserve">regulations, so the ban would not require to introduce a new procedure but to extend checks</w:t>
      </w:r>
      <w:r>
        <w:t xml:space="preserve"> </w:t>
      </w:r>
      <w:r>
        <w:t xml:space="preserve">to a larger number of substances that do not always have clear identifiers.</w:t>
      </w:r>
      <w:r>
        <w:br/>
      </w:r>
      <w:r>
        <w:t xml:space="preserve">As described above, the cost of the regulations is directly related to the number of substances</w:t>
      </w:r>
      <w:r>
        <w:t xml:space="preserve"> </w:t>
      </w:r>
      <w:r>
        <w:t xml:space="preserve">in a given company’s portfolio. The due diligence costs also depend on the scheduling method.</w:t>
      </w:r>
      <w:r>
        <w:t xml:space="preserve"> </w:t>
      </w:r>
      <w:r>
        <w:t xml:space="preserve">It is straightforward for companies to conduct due diligence check when a newly scheduled</w:t>
      </w:r>
      <w:r>
        <w:t xml:space="preserve"> </w:t>
      </w:r>
      <w:r>
        <w:t xml:space="preserve">substance is identified through a CAS number, as most chemical companies already use it as</w:t>
      </w:r>
    </w:p>
    <w:p>
      <w:pPr>
        <w:pStyle w:val="BodyText"/>
      </w:pPr>
      <w:r>
        <w:t xml:space="preserve">156 Compared to the baseline situation. The dynamic baseline changed as the Commission started to schedule</w:t>
      </w:r>
      <w:r>
        <w:t xml:space="preserve"> </w:t>
      </w:r>
      <w:r>
        <w:t xml:space="preserve">proactively during the impact assessment. Therefore, here the baseline refers to a situation where this had not yet</w:t>
      </w:r>
      <w:r>
        <w:t xml:space="preserve"> </w:t>
      </w:r>
      <w:r>
        <w:t xml:space="preserve">taken place.</w:t>
      </w:r>
      <w:r>
        <w:t xml:space="preserve"> </w:t>
      </w:r>
      <w:r>
        <w:t xml:space="preserve">157 Additionally, the burden reduction benefits of using the EU central portal for notifications should be considered,</w:t>
      </w:r>
      <w:r>
        <w:t xml:space="preserve"> </w:t>
      </w:r>
      <w:r>
        <w:t xml:space="preserve">as discussed in Section 6.2.7.</w:t>
      </w:r>
      <w:r>
        <w:t xml:space="preserve"> </w:t>
      </w:r>
      <w:r>
        <w:t xml:space="preserve">158 The annual legal trade reports from the EU drug precursors database affirms that there is no legal trade for these</w:t>
      </w:r>
      <w:r>
        <w:t xml:space="preserve"> </w:t>
      </w:r>
      <w:r>
        <w:t xml:space="preserve">substances. Currently, only105 operators hold a license for designer precursors for research purposes and each of</w:t>
      </w:r>
      <w:r>
        <w:t xml:space="preserve"> </w:t>
      </w:r>
      <w:r>
        <w:t xml:space="preserve">them also possesses a license for the corresponding scheduled key precursor.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portfolio identifier. More substantial effort is required to check substances identified through</w:t>
      </w:r>
      <w:r>
        <w:t xml:space="preserve"> </w:t>
      </w:r>
      <w:r>
        <w:t xml:space="preserve">the derivative description (i.e. substances designated by adding terms like ‘and its esters’ or</w:t>
      </w:r>
      <w:r>
        <w:t xml:space="preserve"> </w:t>
      </w:r>
      <w:r>
        <w:t xml:space="preserve">‘and its carbamates’ to the definition of scheduled substances). In this case, checks cannot be</w:t>
      </w:r>
      <w:r>
        <w:t xml:space="preserve"> </w:t>
      </w:r>
      <w:r>
        <w:t xml:space="preserve">automated but require chemical expertise and manual work (as substances may appear under</w:t>
      </w:r>
      <w:r>
        <w:t xml:space="preserve"> </w:t>
      </w:r>
      <w:r>
        <w:t xml:space="preserve">various chemical names). Similar considerations apply to the designation of substances through</w:t>
      </w:r>
      <w:r>
        <w:t xml:space="preserve"> </w:t>
      </w:r>
      <w:r>
        <w:t xml:space="preserve">chemical formula. Qualitative feedback indicates that, in the absence of CAS number,</w:t>
      </w:r>
      <w:r>
        <w:t xml:space="preserve"> </w:t>
      </w:r>
      <w:r>
        <w:t xml:space="preserve">alternative identifiers would be SMILES strings159 (mentioned by nine companies), InChI /</w:t>
      </w:r>
      <w:r>
        <w:t xml:space="preserve"> </w:t>
      </w:r>
      <w:r>
        <w:t xml:space="preserve">InChI Key (mentioned by two companies) 160, MDL number, Pub-Chem Number (mentioned</w:t>
      </w:r>
      <w:r>
        <w:t xml:space="preserve"> </w:t>
      </w:r>
      <w:r>
        <w:t xml:space="preserve">by one company).</w:t>
      </w:r>
      <w:r>
        <w:t xml:space="preserve"> </w:t>
      </w:r>
      <w:r>
        <w:t xml:space="preserve">According to the estimate collected, the due diligence for a new substance requires only 1-2</w:t>
      </w:r>
      <w:r>
        <w:t xml:space="preserve"> </w:t>
      </w:r>
      <w:r>
        <w:t xml:space="preserve">hour per substance if the CAS number is provided, while it may rise to 7-12 hours in case of</w:t>
      </w:r>
      <w:r>
        <w:t xml:space="preserve"> </w:t>
      </w:r>
      <w:r>
        <w:t xml:space="preserve">the other identification methods discussed. As the precise models were not available at the time</w:t>
      </w:r>
      <w:r>
        <w:t xml:space="preserve"> </w:t>
      </w:r>
      <w:r>
        <w:t xml:space="preserve">of the consultations, a number of assumptions are needed to estimate the extent of due diligence</w:t>
      </w:r>
      <w:r>
        <w:t xml:space="preserve"> </w:t>
      </w:r>
      <w:r>
        <w:t xml:space="preserve">costs that the proposed ban would impose on economic operators:</w:t>
      </w:r>
      <w:r>
        <w:br/>
      </w:r>
      <w:r>
        <w:t xml:space="preserve">•</w:t>
      </w:r>
      <w:r>
        <w:t xml:space="preserve"> </w:t>
      </w:r>
      <w:r>
        <w:t xml:space="preserve">it is assumed that the time input required to conduct due diligence on listed designer</w:t>
      </w:r>
      <w:r>
        <w:t xml:space="preserve"> </w:t>
      </w:r>
      <w:r>
        <w:t xml:space="preserve">precursors will be in line with what is currently required for new scheduled substances with</w:t>
      </w:r>
      <w:r>
        <w:t xml:space="preserve"> </w:t>
      </w:r>
      <w:r>
        <w:t xml:space="preserve">a CAS number, i.e. 1.5 hour (on average). It is reasonable to estimate that bulk scheduling</w:t>
      </w:r>
      <w:r>
        <w:t xml:space="preserve"> </w:t>
      </w:r>
      <w:r>
        <w:t xml:space="preserve">is less burdensome than one-by-one scheduling, when the substances concerned are</w:t>
      </w:r>
      <w:r>
        <w:t xml:space="preserve"> </w:t>
      </w:r>
      <w:r>
        <w:t xml:space="preserve">derivatives of the same core molecule.</w:t>
      </w:r>
      <w:r>
        <w:br/>
      </w:r>
      <w:r>
        <w:t xml:space="preserve">•</w:t>
      </w:r>
      <w:r>
        <w:t xml:space="preserve"> </w:t>
      </w:r>
      <w:r>
        <w:t xml:space="preserve">From a single company perspective this is a one-off cost, however, from the regulation</w:t>
      </w:r>
      <w:r>
        <w:t xml:space="preserve"> </w:t>
      </w:r>
      <w:r>
        <w:t xml:space="preserve">perspective it is a recurrent cost, as new substances are continuously added to the regulation,</w:t>
      </w:r>
      <w:r>
        <w:t xml:space="preserve"> </w:t>
      </w:r>
      <w:r>
        <w:t xml:space="preserve">and businesses need to conduct due diligence checks whenever they start producing or</w:t>
      </w:r>
      <w:r>
        <w:t xml:space="preserve"> </w:t>
      </w:r>
      <w:r>
        <w:t xml:space="preserve">selling new families of chemicals.</w:t>
      </w:r>
      <w:r>
        <w:t xml:space="preserve"> </w:t>
      </w:r>
      <w:r>
        <w:t xml:space="preserve">•</w:t>
      </w:r>
      <w:r>
        <w:t xml:space="preserve"> </w:t>
      </w:r>
      <w:r>
        <w:t xml:space="preserve">The number of affected companies cannot be precisely estimated; however, it can safely be</w:t>
      </w:r>
      <w:r>
        <w:t xml:space="preserve"> </w:t>
      </w:r>
      <w:r>
        <w:t xml:space="preserve">assumed that all companies that are licensed to deal with precursors falling under Category</w:t>
      </w:r>
      <w:r>
        <w:t xml:space="preserve"> </w:t>
      </w:r>
      <w:r>
        <w:t xml:space="preserve">1 - i.e. approx. 1 200 companies - regularly conduct due diligence checks.</w:t>
      </w:r>
      <w:r>
        <w:t xml:space="preserve"> </w:t>
      </w:r>
      <w:r>
        <w:t xml:space="preserve">Assuming an average cost of labour of EUR 35.65 / hour, the aggregate ‘one-off’ impact on</w:t>
      </w:r>
      <w:r>
        <w:t xml:space="preserve"> </w:t>
      </w:r>
      <w:r>
        <w:t xml:space="preserve">administrative costs for businesses (EU-wide) would result in EUR 7.7 million.</w:t>
      </w:r>
      <w:r>
        <w:br/>
      </w:r>
      <w:r>
        <w:t xml:space="preserve">The EUDA has confirmed the availability of easily accessible automated chemical structure</w:t>
      </w:r>
      <w:r>
        <w:t xml:space="preserve"> </w:t>
      </w:r>
      <w:r>
        <w:t xml:space="preserve">search tools. Currently, it appears that not all economic operators make use of such tools. This</w:t>
      </w:r>
      <w:r>
        <w:t xml:space="preserve"> </w:t>
      </w:r>
      <w:r>
        <w:t xml:space="preserve">concerns SMEs in particular.161 In an additional follow up survey by the Commission, those</w:t>
      </w:r>
      <w:r>
        <w:t xml:space="preserve"> </w:t>
      </w:r>
      <w:r>
        <w:t xml:space="preserve">that did use a specific software reported one-time costs from EUR 0 to 4 000 for their use162 .</w:t>
      </w:r>
      <w:r>
        <w:t xml:space="preserve"> </w:t>
      </w:r>
      <w:r>
        <w:t xml:space="preserve">To provide for a level playing field for SMEs, the EUDA could be invited to develop such a</w:t>
      </w:r>
    </w:p>
    <w:p>
      <w:pPr>
        <w:pStyle w:val="BodyText"/>
      </w:pPr>
      <w:r>
        <w:t xml:space="preserve">159 SMILES stands for “Simplified Molecular Input Line Entry System,” and translates a chemical’s three-</w:t>
      </w:r>
      <w:r>
        <w:t xml:space="preserve"> </w:t>
      </w:r>
      <w:r>
        <w:t xml:space="preserve">dimensional structure into a string of symbols that is easily understood by computer software.</w:t>
      </w:r>
      <w:r>
        <w:br/>
      </w:r>
      <w:r>
        <w:t xml:space="preserve">160 InChI is an international chemical textual identifier developed by the International Union of Pure and Applied</w:t>
      </w:r>
      <w:r>
        <w:t xml:space="preserve"> </w:t>
      </w:r>
      <w:r>
        <w:t xml:space="preserve">Chemistry (IUPAC). Differently from CAS number, the InChI is non-proprietary, can be computed from structural</w:t>
      </w:r>
      <w:r>
        <w:t xml:space="preserve"> </w:t>
      </w:r>
      <w:r>
        <w:t xml:space="preserve">information (it is not ‘assigned’) and is human readable. It contains more information than SMILES. InChI Key is</w:t>
      </w:r>
      <w:r>
        <w:t xml:space="preserve"> </w:t>
      </w:r>
      <w:r>
        <w:t xml:space="preserve">the condense machine-readable string version of InChI.</w:t>
      </w:r>
      <w:r>
        <w:br/>
      </w:r>
      <w:r>
        <w:t xml:space="preserve">161 According to the follow-up survey, SMEs reported higher due diligence costs due to less accessible IT tools.</w:t>
      </w:r>
      <w:r>
        <w:t xml:space="preserve"> </w:t>
      </w:r>
      <w:r>
        <w:t xml:space="preserve">162 An additional follow-up survey was conducted to gain a clearer understanding of the due diligence costs</w:t>
      </w:r>
      <w:r>
        <w:t xml:space="preserve"> </w:t>
      </w:r>
      <w:r>
        <w:t xml:space="preserve">associated with family scheduling.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tool and make it accessible to everyone 163. This initiative will help SMEs to reduce their due</w:t>
      </w:r>
      <w:r>
        <w:t xml:space="preserve"> </w:t>
      </w:r>
      <w:r>
        <w:t xml:space="preserve">diligence costs.</w:t>
      </w:r>
      <w:r>
        <w:t xml:space="preserve"> </w:t>
      </w:r>
      <w:r>
        <w:t xml:space="preserve">Concerning, the simplification of procedures, more than half of the 60 economic operators</w:t>
      </w:r>
      <w:r>
        <w:t xml:space="preserve"> </w:t>
      </w:r>
      <w:r>
        <w:t xml:space="preserve">responding to the survey considered consolidating the two regulations into a single act as</w:t>
      </w:r>
      <w:r>
        <w:t xml:space="preserve"> </w:t>
      </w:r>
      <w:r>
        <w:t xml:space="preserve">cost-neutral164. Disaggregating the responses from SMEs, roughly the same proportion expect</w:t>
      </w:r>
      <w:r>
        <w:t xml:space="preserve"> </w:t>
      </w:r>
      <w:r>
        <w:t xml:space="preserve">no relevant change in their costs. In a similar vein, streamlining definitions and aligning them</w:t>
      </w:r>
      <w:r>
        <w:t xml:space="preserve"> </w:t>
      </w:r>
      <w:r>
        <w:t xml:space="preserve">to other pieces of legislation is not expected to have any impact. Concerning mixtures,</w:t>
      </w:r>
      <w:r>
        <w:t xml:space="preserve"> </w:t>
      </w:r>
      <w:r>
        <w:t xml:space="preserve">economic operators had mixed approaches, some advocated for flexibility while others would</w:t>
      </w:r>
      <w:r>
        <w:t xml:space="preserve"> </w:t>
      </w:r>
      <w:r>
        <w:t xml:space="preserve">welcome clear rules.</w:t>
      </w:r>
      <w:r>
        <w:t xml:space="preserve"> </w:t>
      </w:r>
      <w:r>
        <w:t xml:space="preserve">Economic operators were supportive of an integrated EU digital solution. Most economic</w:t>
      </w:r>
      <w:r>
        <w:t xml:space="preserve"> </w:t>
      </w:r>
      <w:r>
        <w:t xml:space="preserve">operators who responded to the survey expected cost savings of varying degrees. Adjustment</w:t>
      </w:r>
      <w:r>
        <w:t xml:space="preserve"> </w:t>
      </w:r>
      <w:r>
        <w:t xml:space="preserve">costs for economic operators should be low given that the IT system would be developed by</w:t>
      </w:r>
      <w:r>
        <w:t xml:space="preserve"> </w:t>
      </w:r>
      <w:r>
        <w:t xml:space="preserve">authorities. The economic operators who responded to the survey had mixed views on whether</w:t>
      </w:r>
      <w:r>
        <w:t xml:space="preserve"> </w:t>
      </w:r>
      <w:r>
        <w:t xml:space="preserve">IT investments would be required (35 out of 77 anticipated such costs, and 32 viewed them as</w:t>
      </w:r>
      <w:r>
        <w:t xml:space="preserve"> </w:t>
      </w:r>
      <w:r>
        <w:t xml:space="preserve">unlikely or were unsure). Much more probable, also in accordance with operators, is that they</w:t>
      </w:r>
      <w:r>
        <w:t xml:space="preserve"> </w:t>
      </w:r>
      <w:r>
        <w:t xml:space="preserve">would entail the costs of familiarisation with the new system and adapting internal procedures</w:t>
      </w:r>
      <w:r>
        <w:t xml:space="preserve"> </w:t>
      </w:r>
      <w:r>
        <w:t xml:space="preserve">(48 out of 78 operators were of this view).</w:t>
      </w:r>
      <w:r>
        <w:t xml:space="preserve"> </w:t>
      </w:r>
      <w:r>
        <w:t xml:space="preserve">On average, large firms expected cost savings of around 35-36 % for license applications (new</w:t>
      </w:r>
      <w:r>
        <w:t xml:space="preserve"> </w:t>
      </w:r>
      <w:r>
        <w:t xml:space="preserve">or renewal) and 28-29 % for registrations (new or renewal), while SMEs estimated savings at</w:t>
      </w:r>
      <w:r>
        <w:t xml:space="preserve"> </w:t>
      </w:r>
      <w:r>
        <w:t xml:space="preserve">21-22 % in all cases. As large firms had higher estimated costs on average to begin with, they</w:t>
      </w:r>
      <w:r>
        <w:t xml:space="preserve"> </w:t>
      </w:r>
      <w:r>
        <w:t xml:space="preserve">stand to make higher savings.</w:t>
      </w:r>
      <w:r>
        <w:t xml:space="preserve"> </w:t>
      </w:r>
      <w:r>
        <w:t xml:space="preserve">Figure 14 highlights the expected cost savings related to introduction of e-licences and self-</w:t>
      </w:r>
      <w:r>
        <w:t xml:space="preserve"> </w:t>
      </w:r>
      <w:r>
        <w:t xml:space="preserve">registration, as well as the removal of the reporting obligation.</w:t>
      </w:r>
      <w:r>
        <w:br/>
      </w:r>
      <w:r>
        <w:t xml:space="preserve">An estimated 600 operators who are currently required to register for Category 2 but only trade</w:t>
      </w:r>
      <w:r>
        <w:t xml:space="preserve"> </w:t>
      </w:r>
      <w:r>
        <w:t xml:space="preserve">internally would be exempt from self-registration compared to the baseline. An estimated</w:t>
      </w:r>
      <w:r>
        <w:t xml:space="preserve"> </w:t>
      </w:r>
      <w:r>
        <w:t xml:space="preserve">additional 100 operators trading in Category 4 would be expected to self-register for external</w:t>
      </w:r>
      <w:r>
        <w:t xml:space="preserve"> </w:t>
      </w:r>
      <w:r>
        <w:t xml:space="preserve">trade.</w:t>
      </w:r>
      <w:r>
        <w:t xml:space="preserve"> </w:t>
      </w:r>
      <w:r>
        <w:t xml:space="preserve">The elimination of annual reporting requirements by economic operators would be</w:t>
      </w:r>
      <w:r>
        <w:t xml:space="preserve"> </w:t>
      </w:r>
      <w:r>
        <w:t xml:space="preserve">supported and is in line with the Commission’s goal of reducing reporting requirements. The</w:t>
      </w:r>
      <w:r>
        <w:t xml:space="preserve"> </w:t>
      </w:r>
      <w:r>
        <w:t xml:space="preserve">figure likely underestimates the reality since the estimation for the number of entities is derived</w:t>
      </w:r>
      <w:r>
        <w:t xml:space="preserve"> </w:t>
      </w:r>
      <w:r>
        <w:t xml:space="preserve">from the information in the European drug precursors database, which does not include</w:t>
      </w:r>
      <w:r>
        <w:t xml:space="preserve"> </w:t>
      </w:r>
      <w:r>
        <w:t xml:space="preserve">Category 4.</w:t>
      </w:r>
    </w:p>
    <w:p>
      <w:pPr>
        <w:pStyle w:val="BodyText"/>
      </w:pPr>
      <w:r>
        <w:t xml:space="preserve">163 In accordance with the follow-up survey, SMEs reported higher due diligence costs due to less accessible IT</w:t>
      </w:r>
      <w:r>
        <w:t xml:space="preserve"> </w:t>
      </w:r>
      <w:r>
        <w:t xml:space="preserve">tools.</w:t>
      </w:r>
      <w:r>
        <w:t xml:space="preserve"> </w:t>
      </w:r>
      <w:r>
        <w:t xml:space="preserve">164 35 out of 60 respondents anticipate</w:t>
      </w:r>
      <w:r>
        <w:t xml:space="preserve"> </w:t>
      </w:r>
      <w:r>
        <w:t xml:space="preserve">“No Relevant Change”</w:t>
      </w:r>
      <w:r>
        <w:t xml:space="preserve"> </w:t>
      </w:r>
      <w:r>
        <w:t xml:space="preserve">(+/- 5 %) in their costs.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Figure 14: Expected administrative cost savings for economic operators in Option 2</w:t>
      </w:r>
      <w:r>
        <w:t xml:space="preserve"> </w:t>
      </w:r>
      <w:r>
        <w:t xml:space="preserve">(license, registrations and reporting)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 2</w:t>
      </w:r>
      <w:r>
        <w:t xml:space="preserve"> </w:t>
      </w:r>
      <w:r>
        <w:t xml:space="preserve">Cost</w:t>
      </w:r>
      <w:r>
        <w:br/>
      </w:r>
      <w:r>
        <w:t xml:space="preserve">(million EUR)</w:t>
      </w:r>
      <w:r>
        <w:t xml:space="preserve"> </w:t>
      </w:r>
      <w:r>
        <w:t xml:space="preserve">Cost</w:t>
      </w:r>
      <w:r>
        <w:br/>
      </w:r>
      <w:r>
        <w:t xml:space="preserve">(million EUR)</w:t>
      </w:r>
      <w:r>
        <w:t xml:space="preserve"> </w:t>
      </w:r>
      <w:r>
        <w:t xml:space="preserve">Cost saving</w:t>
      </w:r>
      <w:r>
        <w:t xml:space="preserve"> </w:t>
      </w:r>
      <w:r>
        <w:t xml:space="preserve">(million EUR)</w:t>
      </w:r>
      <w:r>
        <w:t xml:space="preserve"> </w:t>
      </w:r>
      <w:r>
        <w:t xml:space="preserve">New license/ registration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0.65</w:t>
      </w:r>
      <w:r>
        <w:t xml:space="preserve"> </w:t>
      </w:r>
      <w:r>
        <w:t xml:space="preserve">0.44</w:t>
      </w:r>
      <w:r>
        <w:t xml:space="preserve"> </w:t>
      </w:r>
      <w:r>
        <w:t xml:space="preserve">0.25</w:t>
      </w:r>
      <w:r>
        <w:br/>
      </w:r>
      <w:r>
        <w:t xml:space="preserve">(one off)</w:t>
      </w:r>
      <w:r>
        <w:t xml:space="preserve"> </w:t>
      </w:r>
      <w:r>
        <w:t xml:space="preserve">large firm</w:t>
      </w:r>
      <w:r>
        <w:t xml:space="preserve"> </w:t>
      </w:r>
      <w:r>
        <w:t xml:space="preserve">0.09</w:t>
      </w:r>
      <w:r>
        <w:t xml:space="preserve"> </w:t>
      </w:r>
      <w:r>
        <w:t xml:space="preserve">0.05</w:t>
      </w:r>
      <w:r>
        <w:t xml:space="preserve"> </w:t>
      </w:r>
      <w:r>
        <w:t xml:space="preserve">License/ registration renewal</w:t>
      </w:r>
      <w:r>
        <w:br/>
      </w:r>
      <w:r>
        <w:t xml:space="preserve">SME</w:t>
      </w:r>
      <w:r>
        <w:t xml:space="preserve"> </w:t>
      </w:r>
      <w:r>
        <w:t xml:space="preserve">0.21</w:t>
      </w:r>
      <w:r>
        <w:t xml:space="preserve"> </w:t>
      </w:r>
      <w:r>
        <w:t xml:space="preserve">0.14</w:t>
      </w:r>
      <w:r>
        <w:t xml:space="preserve"> </w:t>
      </w:r>
      <w:r>
        <w:t xml:space="preserve">0.07</w:t>
      </w:r>
      <w:r>
        <w:br/>
      </w:r>
      <w:r>
        <w:t xml:space="preserve">(annual)</w:t>
      </w:r>
      <w:r>
        <w:t xml:space="preserve"> </w:t>
      </w:r>
      <w:r>
        <w:t xml:space="preserve">large firm</w:t>
      </w:r>
      <w:r>
        <w:t xml:space="preserve"> </w:t>
      </w:r>
      <w:r>
        <w:t xml:space="preserve">0.02</w:t>
      </w:r>
      <w:r>
        <w:t xml:space="preserve"> </w:t>
      </w:r>
      <w:r>
        <w:t xml:space="preserve">0.01</w:t>
      </w:r>
      <w:r>
        <w:t xml:space="preserve"> </w:t>
      </w:r>
      <w:r>
        <w:t xml:space="preserve">Reporting</w:t>
      </w:r>
      <w:r>
        <w:br/>
      </w:r>
      <w:r>
        <w:t xml:space="preserve">SME</w:t>
      </w:r>
      <w:r>
        <w:t xml:space="preserve"> </w:t>
      </w:r>
      <w:r>
        <w:t xml:space="preserve">2.57</w:t>
      </w:r>
      <w:r>
        <w:t xml:space="preserve"> </w:t>
      </w:r>
      <w:r>
        <w:t xml:space="preserve">0</w:t>
      </w:r>
      <w:r>
        <w:t xml:space="preserve"> </w:t>
      </w:r>
      <w:r>
        <w:t xml:space="preserve">(no reporting)</w:t>
      </w:r>
      <w:r>
        <w:t xml:space="preserve"> </w:t>
      </w:r>
      <w:r>
        <w:t xml:space="preserve">3.21</w:t>
      </w:r>
      <w:r>
        <w:t xml:space="preserve"> </w:t>
      </w:r>
      <w:r>
        <w:t xml:space="preserve">(annual)</w:t>
      </w:r>
      <w:r>
        <w:t xml:space="preserve"> </w:t>
      </w:r>
      <w:r>
        <w:t xml:space="preserve">large firm</w:t>
      </w:r>
      <w:r>
        <w:t xml:space="preserve"> </w:t>
      </w:r>
      <w:r>
        <w:t xml:space="preserve">0.64</w:t>
      </w:r>
      <w:r>
        <w:t xml:space="preserve"> </w:t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The automation of import and export authorisations would lead to the estimated direct</w:t>
      </w:r>
      <w:r>
        <w:t xml:space="preserve"> </w:t>
      </w:r>
      <w:r>
        <w:t xml:space="preserve">administrative cost-savings for economic operators in Figure 15. The risk of extending this to</w:t>
      </w:r>
      <w:r>
        <w:t xml:space="preserve"> </w:t>
      </w:r>
      <w:r>
        <w:t xml:space="preserve">all economic operators is considered relatively manageable as these operators will still have to</w:t>
      </w:r>
      <w:r>
        <w:t xml:space="preserve"> </w:t>
      </w:r>
      <w:r>
        <w:t xml:space="preserve">go the formalities for licences and registrations.</w:t>
      </w:r>
      <w:r>
        <w:t xml:space="preserve"> </w:t>
      </w:r>
      <w:r>
        <w:t xml:space="preserve">Figure 15: Expected administrative cost savings for economic operators in Option 2 (import</w:t>
      </w:r>
      <w:r>
        <w:t xml:space="preserve"> </w:t>
      </w:r>
      <w:r>
        <w:t xml:space="preserve">and export authorisations)</w:t>
      </w:r>
    </w:p>
    <w:p>
      <w:pPr>
        <w:pStyle w:val="BodyText"/>
      </w:pPr>
      <w:r>
        <w:t xml:space="preserve">Transactions/year</w:t>
      </w:r>
      <w:r>
        <w:t xml:space="preserve"> </w:t>
      </w:r>
      <w:r>
        <w:t xml:space="preserve">(2020-2023)</w:t>
      </w:r>
      <w:r>
        <w:br/>
      </w:r>
      <w:r>
        <w:t xml:space="preserve">Average effort</w:t>
      </w:r>
      <w:r>
        <w:t xml:space="preserve"> </w:t>
      </w:r>
      <w:r>
        <w:t xml:space="preserve">(minutes)</w:t>
      </w:r>
      <w:r>
        <w:br/>
      </w:r>
      <w:r>
        <w:t xml:space="preserve">Labour cost</w:t>
      </w:r>
      <w:r>
        <w:t xml:space="preserve"> </w:t>
      </w:r>
      <w:r>
        <w:t xml:space="preserve">(EUR/min)</w:t>
      </w:r>
      <w:r>
        <w:t xml:space="preserve"> </w:t>
      </w:r>
      <w:r>
        <w:t xml:space="preserve">Annual cost savings</w:t>
      </w:r>
      <w:r>
        <w:t xml:space="preserve"> </w:t>
      </w:r>
      <w:r>
        <w:t xml:space="preserve">(million EUR)</w:t>
      </w:r>
      <w:r>
        <w:t xml:space="preserve"> </w:t>
      </w:r>
      <w:r>
        <w:t xml:space="preserve">Import</w:t>
      </w:r>
      <w:r>
        <w:br/>
      </w:r>
      <w:r>
        <w:t xml:space="preserve">2 451</w:t>
      </w:r>
      <w:r>
        <w:br/>
      </w:r>
      <w:r>
        <w:t xml:space="preserve">182 (3 hours)</w:t>
      </w:r>
      <w:r>
        <w:br/>
      </w:r>
      <w:r>
        <w:t xml:space="preserve">0,59</w:t>
      </w:r>
      <w:r>
        <w:t xml:space="preserve"> </w:t>
      </w:r>
      <w:r>
        <w:t xml:space="preserve">0.27</w:t>
      </w:r>
      <w:r>
        <w:br/>
      </w:r>
      <w:r>
        <w:t xml:space="preserve">Export</w:t>
      </w:r>
      <w:r>
        <w:br/>
      </w:r>
      <w:r>
        <w:t xml:space="preserve">31 304</w:t>
      </w:r>
      <w:r>
        <w:br/>
      </w:r>
      <w:r>
        <w:t xml:space="preserve">331 (5 hours)</w:t>
      </w:r>
      <w:r>
        <w:br/>
      </w:r>
      <w:r>
        <w:t xml:space="preserve">0,59</w:t>
      </w:r>
      <w:r>
        <w:t xml:space="preserve"> </w:t>
      </w:r>
      <w:r>
        <w:t xml:space="preserve">6.15</w:t>
      </w:r>
      <w:r>
        <w:br/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Replacing the current paper-based customer declaration by an e-validation is the only measure</w:t>
      </w:r>
      <w:r>
        <w:t xml:space="preserve"> </w:t>
      </w:r>
      <w:r>
        <w:t xml:space="preserve">that concerns business-to-business processes. Consulted operators were keen to modernise the</w:t>
      </w:r>
      <w:r>
        <w:t xml:space="preserve"> </w:t>
      </w:r>
      <w:r>
        <w:t xml:space="preserve">procedure. In accordance with operators, the customer declaration was particularly</w:t>
      </w:r>
      <w:r>
        <w:t xml:space="preserve"> </w:t>
      </w:r>
      <w:r>
        <w:t xml:space="preserve">burdensome because it is required for every transaction. For firms dealing with hundreds or</w:t>
      </w:r>
      <w:r>
        <w:t xml:space="preserve"> </w:t>
      </w:r>
      <w:r>
        <w:t xml:space="preserve">thousands of transactions this quickly adds up. Most economic operators who responded to the</w:t>
      </w:r>
      <w:r>
        <w:t xml:space="preserve"> </w:t>
      </w:r>
      <w:r>
        <w:t xml:space="preserve">survey expected cost savings of varying degrees, on average, 40 %, for large firms and 36 %</w:t>
      </w:r>
      <w:r>
        <w:t xml:space="preserve"> </w:t>
      </w:r>
      <w:r>
        <w:t xml:space="preserve">for SMEs. In absolute terms, about 3 500 operators currently obtaining a customer declaration</w:t>
      </w:r>
      <w:r>
        <w:t xml:space="preserve"> </w:t>
      </w:r>
      <w:r>
        <w:t xml:space="preserve">would save annually EUR 17.6 million by replacing the customer declaration with e-validation.</w:t>
      </w:r>
      <w:r>
        <w:t xml:space="preserve"> </w:t>
      </w:r>
      <w:r>
        <w:t xml:space="preserve">The remaining cost would amount to EUR 3.5 million for SMEs and EUR 1.4 million for large</w:t>
      </w:r>
      <w:r>
        <w:t xml:space="preserve"> </w:t>
      </w:r>
      <w:r>
        <w:t xml:space="preserve">firms165.</w:t>
      </w:r>
      <w:r>
        <w:br/>
      </w:r>
      <w:r>
        <w:t xml:space="preserve">The measures in this option do not specifically address SMEs, but as they are about reducing</w:t>
      </w:r>
      <w:r>
        <w:t xml:space="preserve"> </w:t>
      </w:r>
      <w:r>
        <w:t xml:space="preserve">burdens, SMEs’ bottom lines should be positively affected. Larger companies should</w:t>
      </w:r>
      <w:r>
        <w:t xml:space="preserve"> </w:t>
      </w:r>
      <w:r>
        <w:t xml:space="preserve">nevertheless benefit more due to their larger number of activities and transactions.</w:t>
      </w:r>
      <w:r>
        <w:t xml:space="preserve"> </w:t>
      </w:r>
      <w:r>
        <w:t xml:space="preserve">Overall, this burden reduction should improve both SMEs and larger companies’</w:t>
      </w:r>
      <w:r>
        <w:t xml:space="preserve"> </w:t>
      </w:r>
      <w:r>
        <w:t xml:space="preserve">competitiveness – also internationally. A lighter and more targeted control system should</w:t>
      </w:r>
      <w:r>
        <w:t xml:space="preserve"> </w:t>
      </w:r>
      <w:r>
        <w:t xml:space="preserve">positively affect them in comparison to companies based in other markets. They would also be</w:t>
      </w:r>
      <w:r>
        <w:t xml:space="preserve"> </w:t>
      </w:r>
      <w:r>
        <w:t xml:space="preserve">more flexible in the conduct of their business e.g. due to reduced waiting times in imports and</w:t>
      </w:r>
      <w:r>
        <w:t xml:space="preserve"> </w:t>
      </w:r>
      <w:r>
        <w:t xml:space="preserve">exports.</w:t>
      </w:r>
    </w:p>
    <w:p>
      <w:pPr>
        <w:pStyle w:val="BodyText"/>
      </w:pPr>
      <w:r>
        <w:t xml:space="preserve">165 See Annex 4.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Research and innovation</w:t>
      </w:r>
      <w:r>
        <w:t xml:space="preserve"> </w:t>
      </w:r>
      <w:r>
        <w:t xml:space="preserve">Stakeholders largely concur on the need to avoid unintended adverse impact on chemical</w:t>
      </w:r>
      <w:r>
        <w:t xml:space="preserve"> </w:t>
      </w:r>
      <w:r>
        <w:t xml:space="preserve">research and innovation. The proliferation of designer precursors has made research on new</w:t>
      </w:r>
      <w:r>
        <w:t xml:space="preserve"> </w:t>
      </w:r>
      <w:r>
        <w:t xml:space="preserve">chemicals more difficult and expensive due to restrained access to certain substances.166</w:t>
      </w:r>
      <w:r>
        <w:t xml:space="preserve"> </w:t>
      </w:r>
      <w:r>
        <w:t xml:space="preserve">Economic operators consider exemptions for legitimate R&amp;D activities as an essential</w:t>
      </w:r>
      <w:r>
        <w:t xml:space="preserve"> </w:t>
      </w:r>
      <w:r>
        <w:t xml:space="preserve">component of the revised policy on precursors. Considering that nearly one-third (10 out of 36)</w:t>
      </w:r>
      <w:r>
        <w:t xml:space="preserve"> </w:t>
      </w:r>
      <w:r>
        <w:t xml:space="preserve">of surveyed companies engaged in Category 1 precursors-related activities perform research</w:t>
      </w:r>
      <w:r>
        <w:t xml:space="preserve"> </w:t>
      </w:r>
      <w:r>
        <w:t xml:space="preserve">activities, this issue does not regard only universities or research entities. A chemical distributor</w:t>
      </w:r>
      <w:r>
        <w:t xml:space="preserve"> </w:t>
      </w:r>
      <w:r>
        <w:t xml:space="preserve">specialised in supplying pharmaceutical laboratories with screening drug compounds reported,</w:t>
      </w:r>
      <w:r>
        <w:t xml:space="preserve"> </w:t>
      </w:r>
      <w:r>
        <w:t xml:space="preserve">during an interview, that their transactions seldom exceed 5-10 mg. Therefore, a blanket ban on</w:t>
      </w:r>
      <w:r>
        <w:t xml:space="preserve"> </w:t>
      </w:r>
      <w:r>
        <w:t xml:space="preserve">designer precursors without any exemptions would have a negative impact on research and</w:t>
      </w:r>
      <w:r>
        <w:t xml:space="preserve"> </w:t>
      </w:r>
      <w:r>
        <w:t xml:space="preserve">innovation. Also, the scope of scheduling needs to be very clear so as not to deter research from</w:t>
      </w:r>
      <w:r>
        <w:t xml:space="preserve"> </w:t>
      </w:r>
      <w:r>
        <w:t xml:space="preserve">substances that might potentially be subject to controls. This is mitigated by the possibility to</w:t>
      </w:r>
      <w:r>
        <w:t xml:space="preserve"> </w:t>
      </w:r>
      <w:r>
        <w:t xml:space="preserve">use these substances if authorities are notified of their use, or by the possibility to request a</w:t>
      </w:r>
      <w:r>
        <w:t xml:space="preserve"> </w:t>
      </w:r>
      <w:r>
        <w:t xml:space="preserve">license if larger quantities are required. Likewise, the ‘de minimis’ exemption for Category 1</w:t>
      </w:r>
      <w:r>
        <w:t xml:space="preserve"> </w:t>
      </w:r>
      <w:r>
        <w:t xml:space="preserve">substances enables companies to use them for research purposes without having to undergo the</w:t>
      </w:r>
      <w:r>
        <w:t xml:space="preserve"> </w:t>
      </w:r>
      <w:r>
        <w:t xml:space="preserve">administrative procedures for a license. The expectation is that this measure will not have any</w:t>
      </w:r>
      <w:r>
        <w:t xml:space="preserve"> </w:t>
      </w:r>
      <w:r>
        <w:t xml:space="preserve">economic effect on potential innovations as research access to substances is facilitated.</w:t>
      </w:r>
      <w:r>
        <w:t xml:space="preserve"> </w:t>
      </w:r>
      <w:r>
        <w:t xml:space="preserve">These exemptions should also positively affect competitiveness by facilitating innovation in</w:t>
      </w:r>
      <w:r>
        <w:t xml:space="preserve"> </w:t>
      </w:r>
      <w:r>
        <w:t xml:space="preserve">comparison to the baseline.</w:t>
      </w:r>
      <w:r>
        <w:br/>
      </w:r>
      <w:r>
        <w:t xml:space="preserve">➢ Social impacts</w:t>
      </w:r>
      <w:r>
        <w:t xml:space="preserve"> </w:t>
      </w:r>
      <w:r>
        <w:t xml:space="preserve">The impact on detection and prevention of drug precursors crime is estimated to be highly</w:t>
      </w:r>
      <w:r>
        <w:t xml:space="preserve"> </w:t>
      </w:r>
      <w:r>
        <w:t xml:space="preserve">positive.</w:t>
      </w:r>
      <w:r>
        <w:t xml:space="preserve"> </w:t>
      </w:r>
      <w:r>
        <w:t xml:space="preserve">The time to detect and respond to new threats will be reduced. The urgency procedure will</w:t>
      </w:r>
      <w:r>
        <w:t xml:space="preserve"> </w:t>
      </w:r>
      <w:r>
        <w:t xml:space="preserve">shorten the adoption time by 3 months. The real-time seizure reporting will allow the EUDA</w:t>
      </w:r>
      <w:r>
        <w:t xml:space="preserve"> </w:t>
      </w:r>
      <w:r>
        <w:t xml:space="preserve">to detect new trends immediately, speeding up the availability of critical data to detect new</w:t>
      </w:r>
      <w:r>
        <w:t xml:space="preserve"> </w:t>
      </w:r>
      <w:r>
        <w:t xml:space="preserve">threats by 4 to 18 months.</w:t>
      </w:r>
      <w:r>
        <w:br/>
      </w:r>
      <w:r>
        <w:t xml:space="preserve">As data analysis and literature showed, the benefits of placing new substances under control is</w:t>
      </w:r>
      <w:r>
        <w:t xml:space="preserve"> </w:t>
      </w:r>
      <w:r>
        <w:t xml:space="preserve">temporary, but comprehensive interventions covering several substances have deeper effects,</w:t>
      </w:r>
      <w:r>
        <w:t xml:space="preserve"> </w:t>
      </w:r>
      <w:r>
        <w:t xml:space="preserve">as it takes longer for organised crime groups to find alternative chemicals and establish the</w:t>
      </w:r>
      <w:r>
        <w:t xml:space="preserve"> </w:t>
      </w:r>
      <w:r>
        <w:t xml:space="preserve">supply chain167. Some of these interventions, while limited in time may still have a long-term</w:t>
      </w:r>
      <w:r>
        <w:t xml:space="preserve"> </w:t>
      </w:r>
      <w:r>
        <w:t xml:space="preserve">effect for the persons concerned. It was found that the control of ephedrine and pseudoephedrine</w:t>
      </w:r>
      <w:r>
        <w:t xml:space="preserve"> </w:t>
      </w:r>
      <w:r>
        <w:t xml:space="preserve">in the 1990s in the US lead to a reduction of the availability of methamphetamine. As a result,</w:t>
      </w:r>
      <w:r>
        <w:t xml:space="preserve"> </w:t>
      </w:r>
      <w:r>
        <w:t xml:space="preserve">less children were put in foster care168. This is a long-term benefit for the children concerned</w:t>
      </w:r>
      <w:r>
        <w:t xml:space="preserve"> </w:t>
      </w:r>
      <w:r>
        <w:t xml:space="preserve">that will last beyond the market effects of the measures concerned169.</w:t>
      </w:r>
    </w:p>
    <w:p>
      <w:pPr>
        <w:pStyle w:val="BodyText"/>
      </w:pPr>
      <w:r>
        <w:t xml:space="preserve">166 This issue was reported by 6 out of 15 economic operators who reported adverse side-effects for the industry</w:t>
      </w:r>
      <w:r>
        <w:t xml:space="preserve"> </w:t>
      </w:r>
      <w:r>
        <w:t xml:space="preserve">linked to the growth in illicit trade of designer precursors.</w:t>
      </w:r>
      <w:r>
        <w:br/>
      </w:r>
      <w:r>
        <w:t xml:space="preserve">167 The study, Annex 6, p. 53.</w:t>
      </w:r>
      <w:r>
        <w:t xml:space="preserve"> </w:t>
      </w:r>
      <w:r>
        <w:t xml:space="preserve">168 Scott Cunningham and Keith Finlay, ‘Parental Substance Abuse and Foster care: Evidence from two</w:t>
      </w:r>
      <w:r>
        <w:t xml:space="preserve"> </w:t>
      </w:r>
      <w:r>
        <w:t xml:space="preserve">methamphetamine supply shocks’, Economic Inquiry, Vol. 51, No. 1, 2013, pp. 764-782</w:t>
      </w:r>
      <w:r>
        <w:t xml:space="preserve"> </w:t>
      </w:r>
      <w:r>
        <w:t xml:space="preserve">169 Benjamin Blemings, Scott Cunningham, ‘Temporary gains and permanent costs in methamphetaime precursor</w:t>
      </w:r>
      <w:r>
        <w:t xml:space="preserve"> </w:t>
      </w:r>
      <w:r>
        <w:t xml:space="preserve">controls’, International Journal of Drug Policy, vol. 138, (2025), p. 3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 robust prediction of the effect of the proposed ban on designer precursors availability is,</w:t>
      </w:r>
      <w:r>
        <w:t xml:space="preserve"> </w:t>
      </w:r>
      <w:r>
        <w:t xml:space="preserve">however, not feasible. Nevertheless, the analysis of incidents reported in the European drug</w:t>
      </w:r>
      <w:r>
        <w:t xml:space="preserve"> </w:t>
      </w:r>
      <w:r>
        <w:t xml:space="preserve">precursors database and comparison with similar regulations, such as the rules on new</w:t>
      </w:r>
      <w:r>
        <w:t xml:space="preserve"> </w:t>
      </w:r>
      <w:r>
        <w:t xml:space="preserve">psychoactive substances (NPS), provide some useful indications of possible impacts. In analogy</w:t>
      </w:r>
      <w:r>
        <w:t xml:space="preserve"> </w:t>
      </w:r>
      <w:r>
        <w:t xml:space="preserve">with the national rules using a moderate scope based on chemical formula scheduling of</w:t>
      </w:r>
      <w:r>
        <w:t xml:space="preserve"> </w:t>
      </w:r>
      <w:r>
        <w:t xml:space="preserve">new psychoactive substances, the prohibition of specific designer precursors is likely to</w:t>
      </w:r>
      <w:r>
        <w:t xml:space="preserve"> </w:t>
      </w:r>
      <w:r>
        <w:t xml:space="preserve">significantly reduce their circulation and use. However, a key factor in this respect is the</w:t>
      </w:r>
      <w:r>
        <w:t xml:space="preserve"> </w:t>
      </w:r>
      <w:r>
        <w:t xml:space="preserve">consistency in the regime applied in the EU and internationally, notably in alliance with the</w:t>
      </w:r>
      <w:r>
        <w:t xml:space="preserve"> </w:t>
      </w:r>
      <w:r>
        <w:t xml:space="preserve">United States.</w:t>
      </w:r>
      <w:r>
        <w:t xml:space="preserve"> </w:t>
      </w:r>
      <w:r>
        <w:t xml:space="preserve">A clear ban on designer precursors will also facilitate the enforcement of rules on online</w:t>
      </w:r>
      <w:r>
        <w:t xml:space="preserve"> </w:t>
      </w:r>
      <w:r>
        <w:t xml:space="preserve">marketplaces.</w:t>
      </w:r>
      <w:r>
        <w:t xml:space="preserve"> </w:t>
      </w:r>
      <w:r>
        <w:t xml:space="preserve">The same impacts for closing the loopholes on user as in Option 1 are expected.</w:t>
      </w:r>
      <w:r>
        <w:t xml:space="preserve"> </w:t>
      </w:r>
      <w:r>
        <w:t xml:space="preserve">The strengthened catch-all clause will substantially increase the competent authorities’ capacity</w:t>
      </w:r>
      <w:r>
        <w:t xml:space="preserve"> </w:t>
      </w:r>
      <w:r>
        <w:t xml:space="preserve">to identify and prosecute offences involving new, non-scheduled substances. Obliging the</w:t>
      </w:r>
      <w:r>
        <w:t xml:space="preserve"> </w:t>
      </w:r>
      <w:r>
        <w:t xml:space="preserve">Member States to adopt necessary measures to enforce the catch-all clause for non-scheduled</w:t>
      </w:r>
      <w:r>
        <w:t xml:space="preserve"> </w:t>
      </w:r>
      <w:r>
        <w:t xml:space="preserve">precursors, including the possibility to select goods for investigation purpose, was supported</w:t>
      </w:r>
      <w:r>
        <w:t xml:space="preserve"> </w:t>
      </w:r>
      <w:r>
        <w:t xml:space="preserve">by most authorities surveyed (18 out of 25). Authorities largely agreed with adopting the</w:t>
      </w:r>
      <w:r>
        <w:t xml:space="preserve"> </w:t>
      </w:r>
      <w:r>
        <w:t xml:space="preserve">provision of false information as a criterion for identifying suspicious transactions of non-</w:t>
      </w:r>
      <w:r>
        <w:t xml:space="preserve"> </w:t>
      </w:r>
      <w:r>
        <w:t xml:space="preserve">scheduled substances (22 out of 26 agreed, of which 16 ‘strongly’). Overall, the strengthening</w:t>
      </w:r>
      <w:r>
        <w:t xml:space="preserve"> </w:t>
      </w:r>
      <w:r>
        <w:t xml:space="preserve">of the catch-all clause is associated with major positive impacts on the reduction in the</w:t>
      </w:r>
      <w:r>
        <w:t xml:space="preserve"> </w:t>
      </w:r>
      <w:r>
        <w:t xml:space="preserve">availability of drug precursors (12 out of 23 respondents) and on enforcement (11 out of 23).</w:t>
      </w:r>
      <w:r>
        <w:br/>
      </w:r>
      <w:r>
        <w:t xml:space="preserve">The effects of the ban on designer precursors and on the strengthening of the catch all</w:t>
      </w:r>
      <w:r>
        <w:t xml:space="preserve"> </w:t>
      </w:r>
      <w:r>
        <w:t xml:space="preserve">clause are expected to contribute substantially to reduce the availability of precursors for</w:t>
      </w:r>
      <w:r>
        <w:t xml:space="preserve"> </w:t>
      </w:r>
      <w:r>
        <w:t xml:space="preserve">illicit drug manufacturing. Based on previous interventions, it could be assumed that the large</w:t>
      </w:r>
      <w:r>
        <w:t xml:space="preserve"> </w:t>
      </w:r>
      <w:r>
        <w:t xml:space="preserve">scale measures introduced may lead to an estimated decrease of around 60 %170 of the baseline</w:t>
      </w:r>
      <w:r>
        <w:t xml:space="preserve"> </w:t>
      </w:r>
      <w:r>
        <w:t xml:space="preserve">lasting for at least two years (assuming 2020 as benchmark).</w:t>
      </w:r>
      <w:r>
        <w:t xml:space="preserve"> </w:t>
      </w:r>
      <w:r>
        <w:t xml:space="preserve">The central digital system should further enhance the capacity of competent authorities to</w:t>
      </w:r>
      <w:r>
        <w:t xml:space="preserve"> </w:t>
      </w:r>
      <w:r>
        <w:t xml:space="preserve">identify and stop suspicious transactions. This system should be more robust against fraud</w:t>
      </w:r>
      <w:r>
        <w:t xml:space="preserve"> </w:t>
      </w:r>
      <w:r>
        <w:t xml:space="preserve">and facilitate more targeted risk management and analysis compared to the current fractioned</w:t>
      </w:r>
      <w:r>
        <w:t xml:space="preserve"> </w:t>
      </w:r>
      <w:r>
        <w:t xml:space="preserve">paper-based environment. Benefits are likely to be magnified by the planned Customs reform</w:t>
      </w:r>
      <w:r>
        <w:t xml:space="preserve"> </w:t>
      </w:r>
      <w:r>
        <w:t xml:space="preserve">and the establishment of the new European Customs Authority and of the EU Customs Data</w:t>
      </w:r>
      <w:r>
        <w:t xml:space="preserve"> </w:t>
      </w:r>
      <w:r>
        <w:t xml:space="preserve">Hub, as this would likely boost the probability of mislabelled / mis-declared consignments</w:t>
      </w:r>
      <w:r>
        <w:t xml:space="preserve"> </w:t>
      </w:r>
      <w:r>
        <w:t xml:space="preserve">to be detected through improved risk management capabilities which will reduce the</w:t>
      </w:r>
      <w:r>
        <w:t xml:space="preserve"> </w:t>
      </w:r>
      <w:r>
        <w:t xml:space="preserve">availability of drug precursors for illicit manufacture of drugs. In addition, the EU wide risk</w:t>
      </w:r>
      <w:r>
        <w:t xml:space="preserve"> </w:t>
      </w:r>
      <w:r>
        <w:t xml:space="preserve">analysis capabilities will end or at least reduce significantly the paths of least resistance171</w:t>
      </w:r>
      <w:r>
        <w:t xml:space="preserve"> </w:t>
      </w:r>
      <w:r>
        <w:t xml:space="preserve">created by the uneven enforcement by Member States.</w:t>
      </w:r>
      <w:r>
        <w:br/>
      </w:r>
      <w:r>
        <w:t xml:space="preserve">Recent seizures of designer precursors in Liège Airport amounting to 2.5 tonnes in March 2024</w:t>
      </w:r>
      <w:r>
        <w:t xml:space="preserve"> </w:t>
      </w:r>
      <w:r>
        <w:t xml:space="preserve">only made possible by the implementation of the ICS 2 (Import Control System) are a good</w:t>
      </w:r>
      <w:r>
        <w:t xml:space="preserve"> </w:t>
      </w:r>
      <w:r>
        <w:t xml:space="preserve">example of the benefits of performing joint risk analysis. This system allows for Member States,</w:t>
      </w:r>
      <w:r>
        <w:t xml:space="preserve"> </w:t>
      </w:r>
      <w:r>
        <w:t xml:space="preserve">for the first time, to perform joint risk analysis still in specific situations and on a limited set of</w:t>
      </w:r>
      <w:r>
        <w:t xml:space="preserve"> </w:t>
      </w:r>
      <w:r>
        <w:t xml:space="preserve">data. The ICS 2 is only a first step towards an EU wide risk analysis for all consignments where</w:t>
      </w:r>
    </w:p>
    <w:p>
      <w:pPr>
        <w:pStyle w:val="BodyText"/>
      </w:pPr>
      <w:r>
        <w:t xml:space="preserve">170 While a quantitative projection is not possible. Annex 4 provides a qualitative assessment of the factors that</w:t>
      </w:r>
      <w:r>
        <w:t xml:space="preserve"> </w:t>
      </w:r>
      <w:r>
        <w:t xml:space="preserve">would presumably lead to a substantial reduction of the availability of drug precursors for illicit drug production.</w:t>
      </w:r>
      <w:r>
        <w:br/>
      </w:r>
      <w:r>
        <w:t xml:space="preserve">171 EU drug precursors policy is unevenly implemented or enforced across EU countries, creating paths of ‘least</w:t>
      </w:r>
      <w:r>
        <w:t xml:space="preserve"> </w:t>
      </w:r>
      <w:r>
        <w:t xml:space="preserve">resistance’ that Organised crime groups can exploit for trafficking designer precursors into and across the EU.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other data sources can be integrated working with advanced analytics and managed by the EU</w:t>
      </w:r>
      <w:r>
        <w:t xml:space="preserve"> </w:t>
      </w:r>
      <w:r>
        <w:t xml:space="preserve">Customs authority.</w:t>
      </w:r>
      <w:r>
        <w:t xml:space="preserve"> </w:t>
      </w:r>
      <w:r>
        <w:t xml:space="preserve">The scientific literature172 on the impact of precursors regulation suggests that a reduction in the</w:t>
      </w:r>
      <w:r>
        <w:t xml:space="preserve"> </w:t>
      </w:r>
      <w:r>
        <w:t xml:space="preserve">illicit trade of precursors can lead to public health benefits, in particular a reduction in the demand</w:t>
      </w:r>
      <w:r>
        <w:t xml:space="preserve"> </w:t>
      </w:r>
      <w:r>
        <w:t xml:space="preserve">for treatments related to the use of synthetic drugs. However, the extent of such impact can hardly</w:t>
      </w:r>
      <w:r>
        <w:t xml:space="preserve"> </w:t>
      </w:r>
      <w:r>
        <w:t xml:space="preserve">be estimated, due to the numerous and decisive confounding factors.</w:t>
      </w:r>
      <w:r>
        <w:br/>
      </w:r>
      <w:r>
        <w:t xml:space="preserve">➢ Environmental impacts</w:t>
      </w:r>
      <w:r>
        <w:t xml:space="preserve"> </w:t>
      </w:r>
      <w:r>
        <w:t xml:space="preserve">As described above, cascading benefits can be expected in the area of environmental impact, as</w:t>
      </w:r>
      <w:r>
        <w:t xml:space="preserve"> </w:t>
      </w:r>
      <w:r>
        <w:t xml:space="preserve">the decline of illicit drug manufacturing activities in the EU would reduce the amount of</w:t>
      </w:r>
      <w:r>
        <w:t xml:space="preserve"> </w:t>
      </w:r>
      <w:r>
        <w:t xml:space="preserve">chemical waste illegally disposed, and the costs of cleaning dumps, laboratories and storage</w:t>
      </w:r>
      <w:r>
        <w:t xml:space="preserve"> </w:t>
      </w:r>
      <w:r>
        <w:t xml:space="preserve">sites. On the other hand, eventually criminals will adapt and have recourse to chemical</w:t>
      </w:r>
      <w:r>
        <w:t xml:space="preserve"> </w:t>
      </w:r>
      <w:r>
        <w:t xml:space="preserve">alternatives which may well have detrimental effects on the environment and human health. It</w:t>
      </w:r>
      <w:r>
        <w:t xml:space="preserve"> </w:t>
      </w:r>
      <w:r>
        <w:t xml:space="preserve">is not feasible to reasonably compare the impacts of the various options in this field.</w:t>
      </w:r>
      <w:r>
        <w:t xml:space="preserve"> </w:t>
      </w:r>
      <w:r>
        <w:t xml:space="preserve">Figure 16: Summary of impacts of Option 2</w:t>
      </w:r>
      <w:r>
        <w:t xml:space="preserve"> </w:t>
      </w:r>
      <w:r>
        <w:t xml:space="preserve">impacts</w:t>
      </w:r>
      <w:r>
        <w:t xml:space="preserve"> </w:t>
      </w:r>
      <w:r>
        <w:t xml:space="preserve">Rating</w:t>
      </w:r>
      <w:r>
        <w:br/>
      </w:r>
      <w:r>
        <w:t xml:space="preserve">Economic</w:t>
      </w:r>
      <w:r>
        <w:br/>
      </w:r>
      <w:r>
        <w:t xml:space="preserve">Facilitation of legal trade</w:t>
      </w:r>
      <w:r>
        <w:t xml:space="preserve"> </w:t>
      </w:r>
      <w:r>
        <w:t xml:space="preserve">+2</w:t>
      </w:r>
      <w:r>
        <w:t xml:space="preserve"> </w:t>
      </w:r>
      <w:r>
        <w:t xml:space="preserve">Costs / savings for economic operators</w:t>
      </w:r>
      <w:r>
        <w:t xml:space="preserve"> </w:t>
      </w:r>
      <w:r>
        <w:t xml:space="preserve">+2</w:t>
      </w:r>
      <w:r>
        <w:t xml:space="preserve"> </w:t>
      </w:r>
      <w:r>
        <w:t xml:space="preserve">costs / savings for MS authorities</w:t>
      </w:r>
      <w:r>
        <w:br/>
      </w:r>
      <w:r>
        <w:t xml:space="preserve">+2</w:t>
      </w:r>
      <w:r>
        <w:t xml:space="preserve"> </w:t>
      </w:r>
      <w:r>
        <w:t xml:space="preserve">Cost / savings for Commission</w:t>
      </w:r>
      <w:r>
        <w:t xml:space="preserve"> </w:t>
      </w:r>
      <w:r>
        <w:t xml:space="preserve">-2</w:t>
      </w:r>
      <w:r>
        <w:t xml:space="preserve"> </w:t>
      </w:r>
      <w:r>
        <w:t xml:space="preserve">Research and innovation in the chemical sector</w:t>
      </w:r>
      <w:r>
        <w:t xml:space="preserve"> </w:t>
      </w:r>
      <w:r>
        <w:t xml:space="preserve">0</w:t>
      </w:r>
      <w:r>
        <w:t xml:space="preserve"> </w:t>
      </w:r>
      <w:r>
        <w:t xml:space="preserve">Digitalisation of the EU system</w:t>
      </w:r>
      <w:r>
        <w:t xml:space="preserve"> </w:t>
      </w:r>
      <w:r>
        <w:t xml:space="preserve">+3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+2</w:t>
      </w:r>
      <w:r>
        <w:t xml:space="preserve"> </w:t>
      </w:r>
      <w:r>
        <w:t xml:space="preserve">Social</w:t>
      </w:r>
      <w:r>
        <w:br/>
      </w:r>
      <w:r>
        <w:t xml:space="preserve">Impact on control/prevention of illicit trade</w:t>
      </w:r>
      <w:r>
        <w:t xml:space="preserve"> </w:t>
      </w:r>
      <w:r>
        <w:t xml:space="preserve">+3</w:t>
      </w:r>
      <w:r>
        <w:t xml:space="preserve"> </w:t>
      </w:r>
      <w:r>
        <w:t xml:space="preserve">Drug-related health impact</w:t>
      </w:r>
      <w:r>
        <w:t xml:space="preserve"> </w:t>
      </w:r>
      <w:r>
        <w:t xml:space="preserve">+2</w:t>
      </w:r>
      <w:r>
        <w:t xml:space="preserve"> </w:t>
      </w:r>
      <w:r>
        <w:t xml:space="preserve">Environmental</w:t>
      </w:r>
      <w:r>
        <w:br/>
      </w:r>
      <w:r>
        <w:t xml:space="preserve">Impact on toxic waste disposal</w:t>
      </w:r>
      <w:r>
        <w:t xml:space="preserve"> </w:t>
      </w:r>
      <w:r>
        <w:t xml:space="preserve">+1</w:t>
      </w:r>
      <w:r>
        <w:t xml:space="preserve"> </w:t>
      </w:r>
      <w:r>
        <w:t xml:space="preserve">Legend: Impact ratings: +3 = highly positive; +2 = positive; +1 = moderately positive; 0=neutral/modest impact;</w:t>
      </w:r>
      <w:r>
        <w:t xml:space="preserve"> </w:t>
      </w:r>
      <w:r>
        <w:t xml:space="preserve">-1 moderately negative; -2 = negative; -3 = highly negative; N/A=not applicable; ?=impact conditional to other</w:t>
      </w:r>
      <w:r>
        <w:t xml:space="preserve"> </w:t>
      </w:r>
      <w:r>
        <w:t xml:space="preserve">factors / conditions.</w:t>
      </w:r>
    </w:p>
    <w:p>
      <w:pPr>
        <w:pStyle w:val="BodyText"/>
      </w:pPr>
      <w:r>
        <w:t xml:space="preserve">6.3. Option 3: Comprehensive Review with stronger controls</w:t>
      </w:r>
      <w:r>
        <w:t xml:space="preserve"> </w:t>
      </w:r>
      <w:r>
        <w:t xml:space="preserve">➢ Economic impacts</w:t>
      </w:r>
      <w:r>
        <w:br/>
      </w:r>
      <w:r>
        <w:t xml:space="preserve">Public authorities</w:t>
      </w:r>
      <w:r>
        <w:t xml:space="preserve"> </w:t>
      </w:r>
      <w:r>
        <w:t xml:space="preserve">Option 3 puts greater emphasis on objective 1 than objective 2. Therefore, a substantially</w:t>
      </w:r>
      <w:r>
        <w:t xml:space="preserve"> </w:t>
      </w:r>
      <w:r>
        <w:t xml:space="preserve">greater burden is placed on national authorities to enforce Option 3.</w:t>
      </w:r>
      <w:r>
        <w:t xml:space="preserve"> </w:t>
      </w:r>
      <w:r>
        <w:t xml:space="preserve">As the ban of designer precursors would comprise around 300-400 substances, some of them</w:t>
      </w:r>
      <w:r>
        <w:t xml:space="preserve"> </w:t>
      </w:r>
      <w:r>
        <w:t xml:space="preserve">listed individually, others using innovative ways of scheduling, the increase in cost would be</w:t>
      </w:r>
      <w:r>
        <w:t xml:space="preserve"> </w:t>
      </w:r>
      <w:r>
        <w:t xml:space="preserve">towards the larger end of the predicted 10 % to 50 % increase indicated by the targeted survey.</w:t>
      </w:r>
      <w:r>
        <w:t xml:space="preserve"> </w:t>
      </w:r>
      <w:r>
        <w:t xml:space="preserve">As highlighted for option 2, only 6 respondents out of 27 would be in favour of extending the</w:t>
      </w:r>
      <w:r>
        <w:t xml:space="preserve"> </w:t>
      </w:r>
      <w:r>
        <w:t xml:space="preserve">proactive approach as much as possible, while for 13 authorities the extension should be limited</w:t>
      </w:r>
      <w:r>
        <w:t xml:space="preserve"> </w:t>
      </w:r>
      <w:r>
        <w:t xml:space="preserve">or none. At the final workshop, national authorities raised the need for a clear identification of</w:t>
      </w:r>
      <w:r>
        <w:t xml:space="preserve"> </w:t>
      </w:r>
      <w:r>
        <w:t xml:space="preserve">the substances. Otherwise, in their view, there would be a lack of legal certainty and authorities</w:t>
      </w:r>
      <w:r>
        <w:t xml:space="preserve"> </w:t>
      </w:r>
      <w:r>
        <w:t xml:space="preserve">would not be able to enforce the rules in practice. Such risks would be aggravated by the larger</w:t>
      </w:r>
    </w:p>
    <w:p>
      <w:pPr>
        <w:pStyle w:val="BodyText"/>
      </w:pPr>
      <w:r>
        <w:t xml:space="preserve">172 See Annex 4, section 3.1 on the reduction in the availability of precursors for illicit drugs manufacturing.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number of substances scheduled by option 3. Like for option 2, as these costs cannot be</w:t>
      </w:r>
      <w:r>
        <w:t xml:space="preserve"> </w:t>
      </w:r>
      <w:r>
        <w:t xml:space="preserve">quantified, it was impossible to offset them against other burden reduction measures in licensing</w:t>
      </w:r>
      <w:r>
        <w:t xml:space="preserve"> </w:t>
      </w:r>
      <w:r>
        <w:t xml:space="preserve">and registration173.</w:t>
      </w:r>
      <w:r>
        <w:t xml:space="preserve"> </w:t>
      </w:r>
      <w:r>
        <w:t xml:space="preserve">A relative majority of authorities expects that this will lead to an increase of implementation</w:t>
      </w:r>
      <w:r>
        <w:t xml:space="preserve"> </w:t>
      </w:r>
      <w:r>
        <w:t xml:space="preserve">burden174 as it would require, in accordance with a respondent: ‘more extensive monitoring and</w:t>
      </w:r>
      <w:r>
        <w:t xml:space="preserve"> </w:t>
      </w:r>
      <w:r>
        <w:t xml:space="preserve">enforcement efforts, necessitating significant additional resources. The analysis of authorities’</w:t>
      </w:r>
      <w:r>
        <w:t xml:space="preserve"> </w:t>
      </w:r>
      <w:r>
        <w:t xml:space="preserve">estimates on the expected impact on enforcement costs indicates a limited to moderate increase,</w:t>
      </w:r>
      <w:r>
        <w:t xml:space="preserve"> </w:t>
      </w:r>
      <w:r>
        <w:t xml:space="preserve">likely comprised between 0 % and 35 %.</w:t>
      </w:r>
      <w:r>
        <w:br/>
      </w:r>
      <w:r>
        <w:t xml:space="preserve">For public authorities and the Commission, the costs of digitisation are the same as in</w:t>
      </w:r>
      <w:r>
        <w:t xml:space="preserve"> </w:t>
      </w:r>
      <w:r>
        <w:t xml:space="preserve">Option 2. Thus, national authorities would likely incur an annual cost of EUR 1.38 million for</w:t>
      </w:r>
      <w:r>
        <w:t xml:space="preserve"> </w:t>
      </w:r>
      <w:r>
        <w:t xml:space="preserve">digitisation. Equally, they would benefit from the removal of annual reporting obligations,</w:t>
      </w:r>
      <w:r>
        <w:t xml:space="preserve"> </w:t>
      </w:r>
      <w:r>
        <w:t xml:space="preserve">administrative costs related to import and export authorisations as well as the streamlining of</w:t>
      </w:r>
      <w:r>
        <w:t xml:space="preserve"> </w:t>
      </w:r>
      <w:r>
        <w:t xml:space="preserve">incident reporting.</w:t>
      </w:r>
      <w:r>
        <w:t xml:space="preserve"> </w:t>
      </w:r>
      <w:r>
        <w:t xml:space="preserve">On licensing and registration, the savings are marginally lower than in Option 2 due to the</w:t>
      </w:r>
      <w:r>
        <w:t xml:space="preserve"> </w:t>
      </w:r>
      <w:r>
        <w:t xml:space="preserve">larger number of substances that would be subject to licensing and registration requirements for</w:t>
      </w:r>
      <w:r>
        <w:t xml:space="preserve"> </w:t>
      </w:r>
      <w:r>
        <w:t xml:space="preserve">internal trade. However, national authorities would benefit from an available list of economic</w:t>
      </w:r>
      <w:r>
        <w:t xml:space="preserve"> </w:t>
      </w:r>
      <w:r>
        <w:t xml:space="preserve">operators dealing in these bulk materials.</w:t>
      </w:r>
      <w:r>
        <w:t xml:space="preserve"> </w:t>
      </w:r>
      <w:r>
        <w:t xml:space="preserve">Figure 17: Expected administrative cost savings for public authorities in Option 3 (license,</w:t>
      </w:r>
      <w:r>
        <w:t xml:space="preserve"> </w:t>
      </w:r>
      <w:r>
        <w:t xml:space="preserve">registrations)</w:t>
      </w:r>
      <w:r>
        <w:br/>
      </w:r>
      <w:r>
        <w:t xml:space="preserve">License/</w:t>
      </w:r>
      <w:r>
        <w:t xml:space="preserve"> </w:t>
      </w:r>
      <w:r>
        <w:t xml:space="preserve">registration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3</w:t>
      </w:r>
      <w:r>
        <w:t xml:space="preserve"> </w:t>
      </w:r>
      <w:r>
        <w:t xml:space="preserve">Cost</w:t>
      </w:r>
      <w:r>
        <w:br/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Cost</w:t>
      </w:r>
      <w:r>
        <w:br/>
      </w:r>
      <w:r>
        <w:t xml:space="preserve">(million EUR)</w:t>
      </w:r>
      <w:r>
        <w:t xml:space="preserve"> </w:t>
      </w:r>
      <w:r>
        <w:t xml:space="preserve">Cost saving</w:t>
      </w:r>
      <w:r>
        <w:t xml:space="preserve"> </w:t>
      </w:r>
      <w:r>
        <w:t xml:space="preserve">(million EUR)</w:t>
      </w:r>
      <w:r>
        <w:t xml:space="preserve"> </w:t>
      </w:r>
      <w:r>
        <w:t xml:space="preserve">New</w:t>
      </w:r>
      <w:r>
        <w:br/>
      </w:r>
      <w:r>
        <w:t xml:space="preserve">1.3</w:t>
      </w:r>
      <w:r>
        <w:t xml:space="preserve"> </w:t>
      </w:r>
      <w:r>
        <w:t xml:space="preserve">0.9</w:t>
      </w:r>
      <w:r>
        <w:br/>
      </w:r>
      <w:r>
        <w:t xml:space="preserve">0.4 (one-off)</w:t>
      </w:r>
      <w:r>
        <w:t xml:space="preserve"> </w:t>
      </w:r>
      <w:r>
        <w:t xml:space="preserve">Renewal</w:t>
      </w:r>
      <w:r>
        <w:br/>
      </w:r>
      <w:r>
        <w:t xml:space="preserve">0.23</w:t>
      </w:r>
      <w:r>
        <w:t xml:space="preserve"> </w:t>
      </w:r>
      <w:r>
        <w:t xml:space="preserve">0.2</w:t>
      </w:r>
      <w:r>
        <w:br/>
      </w:r>
      <w:r>
        <w:t xml:space="preserve">0.1 (annual)</w:t>
      </w:r>
      <w:r>
        <w:t xml:space="preserve"> </w:t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In comparison to the baseline, there is an overall reduction in the cost of licensing and</w:t>
      </w:r>
      <w:r>
        <w:t xml:space="preserve"> </w:t>
      </w:r>
      <w:r>
        <w:t xml:space="preserve">registration formalities to be carried out by authorities, but authorities will need to broaden their</w:t>
      </w:r>
      <w:r>
        <w:t xml:space="preserve"> </w:t>
      </w:r>
      <w:r>
        <w:t xml:space="preserve">enforcement and inspection activities for a much larger scope of substances. Depending on the</w:t>
      </w:r>
      <w:r>
        <w:t xml:space="preserve"> </w:t>
      </w:r>
      <w:r>
        <w:t xml:space="preserve">resources and expertise available, especially in the context of extended scheduling, the</w:t>
      </w:r>
      <w:r>
        <w:t xml:space="preserve"> </w:t>
      </w:r>
      <w:r>
        <w:t xml:space="preserve">enforcement of controls may become less targeted and as a result less effective. These costs</w:t>
      </w:r>
      <w:r>
        <w:t xml:space="preserve"> </w:t>
      </w:r>
      <w:r>
        <w:t xml:space="preserve">may in fact exceed the enforcement costs of inspections identified in the baseline.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As in Option 2, legitimate economic operators also benefit from a simplification and</w:t>
      </w:r>
      <w:r>
        <w:t xml:space="preserve"> </w:t>
      </w:r>
      <w:r>
        <w:t xml:space="preserve">standardisation of the framework, through streamlined obligations that can be automated /</w:t>
      </w:r>
      <w:r>
        <w:t xml:space="preserve"> </w:t>
      </w:r>
      <w:r>
        <w:t xml:space="preserve">require less manual intervention from authorities (i.e. e-license applications, self e-registration,</w:t>
      </w:r>
      <w:r>
        <w:t xml:space="preserve"> </w:t>
      </w:r>
      <w:r>
        <w:t xml:space="preserve">authorisations for external trade and annual reporting) This makes obligations easier to comply</w:t>
      </w:r>
    </w:p>
    <w:p>
      <w:pPr>
        <w:pStyle w:val="BodyText"/>
      </w:pPr>
      <w:r>
        <w:t xml:space="preserve">173 For further details, please refer to Annex 2.</w:t>
      </w:r>
      <w:r>
        <w:t xml:space="preserve"> </w:t>
      </w:r>
      <w:r>
        <w:t xml:space="preserve">174 Specifically, 7 respondents expect an increase of which 4 a ‘major’ one, against 4 expecting a moderate</w:t>
      </w:r>
      <w:r>
        <w:t xml:space="preserve"> </w:t>
      </w:r>
      <w:r>
        <w:t xml:space="preserve">reduction. Qualitative feedback indicates that the reduction of burden would stem from a ‘reversal of proof’</w:t>
      </w:r>
      <w:r>
        <w:t xml:space="preserve"> </w:t>
      </w:r>
      <w:r>
        <w:t xml:space="preserve">provision, requiring operators to demonstrate the legitimate use of non-scheduled precursors. This hypothetical</w:t>
      </w:r>
      <w:r>
        <w:t xml:space="preserve"> </w:t>
      </w:r>
      <w:r>
        <w:t xml:space="preserve">provision was however dropped at a later stage as not consistent with the mandate and principles of the EU policy</w:t>
      </w:r>
      <w:r>
        <w:t xml:space="preserve"> </w:t>
      </w:r>
      <w:r>
        <w:t xml:space="preserve">concerned.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with and to comply with and reduces administrative (compliance) costs, but cutting hassle costs</w:t>
      </w:r>
      <w:r>
        <w:t xml:space="preserve"> </w:t>
      </w:r>
      <w:r>
        <w:t xml:space="preserve">for authorised economic operators (AEO) / equivalent only. This would possibly reduce the risk</w:t>
      </w:r>
      <w:r>
        <w:t xml:space="preserve"> </w:t>
      </w:r>
      <w:r>
        <w:t xml:space="preserve">of diversion further but would lead to a double requirement of control – licenses and</w:t>
      </w:r>
      <w:r>
        <w:t xml:space="preserve"> </w:t>
      </w:r>
      <w:r>
        <w:t xml:space="preserve">registrations and an additional AEO status to benefit from trade facilitation.</w:t>
      </w:r>
      <w:r>
        <w:t xml:space="preserve"> </w:t>
      </w:r>
      <w:r>
        <w:t xml:space="preserve">The establishment of a separate category for designer precursors with an ad hoc license</w:t>
      </w:r>
      <w:r>
        <w:t xml:space="preserve"> </w:t>
      </w:r>
      <w:r>
        <w:t xml:space="preserve">requirement is not expected to make any relevant change. More operators might need to request</w:t>
      </w:r>
      <w:r>
        <w:t xml:space="preserve"> </w:t>
      </w:r>
      <w:r>
        <w:t xml:space="preserve">special licences due to the larger scope but the burden of obtaining a license is generally</w:t>
      </w:r>
      <w:r>
        <w:t xml:space="preserve"> </w:t>
      </w:r>
      <w:r>
        <w:t xml:space="preserve">considered as manageable – i.e. between EUR 165 and EUR 300 per license/company,</w:t>
      </w:r>
      <w:r>
        <w:t xml:space="preserve"> </w:t>
      </w:r>
      <w:r>
        <w:t xml:space="preserve">EUR 232 on average - and the introduction of e-licensing is expected to further reduce burdens.</w:t>
      </w:r>
      <w:r>
        <w:t xml:space="preserve"> </w:t>
      </w:r>
      <w:r>
        <w:t xml:space="preserve">The aggregated administrative one-off costs would be EUR 22 060175.</w:t>
      </w:r>
      <w:r>
        <w:br/>
      </w:r>
      <w:r>
        <w:t xml:space="preserve">However, like for public authorities, the larger scope of substances scheduled under</w:t>
      </w:r>
      <w:r>
        <w:t xml:space="preserve"> </w:t>
      </w:r>
      <w:r>
        <w:t xml:space="preserve">Option 3 will increase economic operators’ administrative costs for checking portfolios.</w:t>
      </w:r>
      <w:r>
        <w:t xml:space="preserve"> </w:t>
      </w:r>
      <w:r>
        <w:t xml:space="preserve">As highlighted under Option 2, the due diligence costs for operators are difficult to calculate</w:t>
      </w:r>
      <w:r>
        <w:t xml:space="preserve"> </w:t>
      </w:r>
      <w:r>
        <w:t xml:space="preserve">and are subject to several assumptions. Based on these assumptions, scheduling an additional</w:t>
      </w:r>
      <w:r>
        <w:t xml:space="preserve"> </w:t>
      </w:r>
      <w:r>
        <w:t xml:space="preserve">300-400 substances could result in a total one-off cost of EUR 20.5 million.</w:t>
      </w:r>
      <w:r>
        <w:br/>
      </w:r>
      <w:r>
        <w:t xml:space="preserve">While savings are expected from digitisation, the stricter rules on the control of substances</w:t>
      </w:r>
      <w:r>
        <w:t xml:space="preserve"> </w:t>
      </w:r>
      <w:r>
        <w:t xml:space="preserve">imposed by Option 3 directly translate into reduced cost savings and sometimes increased costs</w:t>
      </w:r>
      <w:r>
        <w:t xml:space="preserve"> </w:t>
      </w:r>
      <w:r>
        <w:t xml:space="preserve">for economic operators.</w:t>
      </w:r>
      <w:r>
        <w:br/>
      </w:r>
      <w:r>
        <w:t xml:space="preserve">For internal trade, Option 3 would extend the requirement for self-registration for substances</w:t>
      </w:r>
      <w:r>
        <w:t xml:space="preserve"> </w:t>
      </w:r>
      <w:r>
        <w:t xml:space="preserve">of the new Category 2 also. This would affect an additional 363 operators176.</w:t>
      </w:r>
      <w:r>
        <w:t xml:space="preserve"> </w:t>
      </w:r>
      <w:r>
        <w:t xml:space="preserve">The stricter controls of current Category 2A substances would impose substantial</w:t>
      </w:r>
      <w:r>
        <w:t xml:space="preserve"> </w:t>
      </w:r>
      <w:r>
        <w:t xml:space="preserve">additional burdens on trade. Feedback at the workshop and written feedback received</w:t>
      </w:r>
      <w:r>
        <w:t xml:space="preserve"> </w:t>
      </w:r>
      <w:r>
        <w:t xml:space="preserve">subsequently confirmed significant concerns on the extension of the licensing requirements for</w:t>
      </w:r>
      <w:r>
        <w:t xml:space="preserve"> </w:t>
      </w:r>
      <w:r>
        <w:t xml:space="preserve">companies operating with Category 1 substances to Category 2A, especially for SMEs.</w:t>
      </w:r>
      <w:r>
        <w:br/>
      </w:r>
      <w:r>
        <w:t xml:space="preserve">Figure 18: Expected administrative cost savings for operators in Option 3 (license and</w:t>
      </w:r>
      <w:r>
        <w:t xml:space="preserve"> </w:t>
      </w:r>
      <w:r>
        <w:t xml:space="preserve">registrations)</w:t>
      </w:r>
    </w:p>
    <w:p>
      <w:pPr>
        <w:pStyle w:val="BodyText"/>
      </w:pPr>
      <w:r>
        <w:t xml:space="preserve">Baseline</w:t>
      </w:r>
      <w:r>
        <w:br/>
      </w:r>
      <w:r>
        <w:t xml:space="preserve">Option 3</w:t>
      </w:r>
      <w:r>
        <w:t xml:space="preserve"> </w:t>
      </w:r>
      <w:r>
        <w:t xml:space="preserve">License/ registration</w:t>
      </w:r>
      <w:r>
        <w:t xml:space="preserve"> </w:t>
      </w:r>
      <w:r>
        <w:t xml:space="preserve">Cost</w:t>
      </w:r>
      <w:r>
        <w:br/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Cost</w:t>
      </w:r>
      <w:r>
        <w:br/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Cost saving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New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0.65</w:t>
      </w:r>
      <w:r>
        <w:t xml:space="preserve"> </w:t>
      </w:r>
      <w:r>
        <w:t xml:space="preserve">0.52</w:t>
      </w:r>
      <w:r>
        <w:t xml:space="preserve"> </w:t>
      </w:r>
      <w:r>
        <w:t xml:space="preserve">0.16</w:t>
      </w:r>
      <w:r>
        <w:br/>
      </w:r>
      <w:r>
        <w:t xml:space="preserve">(one-off)</w:t>
      </w:r>
      <w:r>
        <w:t xml:space="preserve"> </w:t>
      </w:r>
      <w:r>
        <w:t xml:space="preserve">large firm</w:t>
      </w:r>
      <w:r>
        <w:t xml:space="preserve"> </w:t>
      </w:r>
      <w:r>
        <w:t xml:space="preserve">0.09</w:t>
      </w:r>
      <w:r>
        <w:t xml:space="preserve"> </w:t>
      </w:r>
      <w:r>
        <w:t xml:space="preserve">0.6</w:t>
      </w:r>
      <w:r>
        <w:t xml:space="preserve"> </w:t>
      </w:r>
      <w:r>
        <w:t xml:space="preserve">Renewal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0.21</w:t>
      </w:r>
      <w:r>
        <w:t xml:space="preserve"> </w:t>
      </w:r>
      <w:r>
        <w:t xml:space="preserve">0.17</w:t>
      </w:r>
      <w:r>
        <w:t xml:space="preserve"> </w:t>
      </w:r>
      <w:r>
        <w:t xml:space="preserve">0.04</w:t>
      </w:r>
      <w:r>
        <w:t xml:space="preserve"> </w:t>
      </w:r>
      <w:r>
        <w:t xml:space="preserve">(annual)</w:t>
      </w:r>
      <w:r>
        <w:t xml:space="preserve"> </w:t>
      </w:r>
      <w:r>
        <w:t xml:space="preserve">large firm</w:t>
      </w:r>
      <w:r>
        <w:t xml:space="preserve"> </w:t>
      </w:r>
      <w:r>
        <w:t xml:space="preserve">0.02</w:t>
      </w:r>
      <w:r>
        <w:t xml:space="preserve"> </w:t>
      </w:r>
      <w:r>
        <w:t xml:space="preserve">0.12</w:t>
      </w:r>
      <w:r>
        <w:t xml:space="preserve"> </w:t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175 The study, p. 91.</w:t>
      </w:r>
      <w:r>
        <w:t xml:space="preserve"> </w:t>
      </w:r>
      <w:r>
        <w:t xml:space="preserve">176 Self-registration would be required for all substances, and the process would be the same regardless of whether</w:t>
      </w:r>
      <w:r>
        <w:t xml:space="preserve"> </w:t>
      </w:r>
      <w:r>
        <w:t xml:space="preserve">an operator was already registered for other substances.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There are currently 689 firms registered to trade in Category 2A substances. Based on industry</w:t>
      </w:r>
      <w:r>
        <w:t xml:space="preserve"> </w:t>
      </w:r>
      <w:r>
        <w:t xml:space="preserve">feedback their costs would increase to comply with the licensing requirements, among others177.</w:t>
      </w:r>
      <w:r>
        <w:t xml:space="preserve"> </w:t>
      </w:r>
      <w:r>
        <w:t xml:space="preserve">Yet, a proportion of those trading in Category 2A currently already trade in Category 1, and it</w:t>
      </w:r>
      <w:r>
        <w:t xml:space="preserve"> </w:t>
      </w:r>
      <w:r>
        <w:t xml:space="preserve">can be assumed that those trading also in Category 1, would already fulfil the criteria and have</w:t>
      </w:r>
      <w:r>
        <w:t xml:space="preserve"> </w:t>
      </w:r>
      <w:r>
        <w:t xml:space="preserve">limited additional costs. Discounting these operators, the number of firms who would have new</w:t>
      </w:r>
      <w:r>
        <w:t xml:space="preserve"> </w:t>
      </w:r>
      <w:r>
        <w:t xml:space="preserve">obligations is estimated to be 498 based on the European drug precursors database. To meet</w:t>
      </w:r>
      <w:r>
        <w:t xml:space="preserve"> </w:t>
      </w:r>
      <w:r>
        <w:t xml:space="preserve">these obligations, a significant potential cost would be the need to secure their premises</w:t>
      </w:r>
      <w:r>
        <w:t xml:space="preserve"> </w:t>
      </w:r>
      <w:r>
        <w:t xml:space="preserve">against unauthorised removal and theft. 74 % of large firms confirmed that they made such</w:t>
      </w:r>
      <w:r>
        <w:t xml:space="preserve"> </w:t>
      </w:r>
      <w:r>
        <w:t xml:space="preserve">investments regardless and 56 % of SMEs178. Securing premises is estimated to imply</w:t>
      </w:r>
      <w:r>
        <w:t xml:space="preserve"> </w:t>
      </w:r>
      <w:r>
        <w:t xml:space="preserve">EUR 2.7 million one-off adjustment costs and EUR 1.5 million annual cost but the estimate is</w:t>
      </w:r>
      <w:r>
        <w:t xml:space="preserve"> </w:t>
      </w:r>
      <w:r>
        <w:t xml:space="preserve">likely to be above the real costs.</w:t>
      </w:r>
      <w:r>
        <w:t xml:space="preserve"> </w:t>
      </w:r>
      <w:r>
        <w:t xml:space="preserve">As only AEO benefit from lifting the PEN wait period, hassle cost for non-AEO will increase,</w:t>
      </w:r>
      <w:r>
        <w:t xml:space="preserve"> </w:t>
      </w:r>
      <w:r>
        <w:t xml:space="preserve">with a more detrimental effect on their competitiveness as it will reduce their ability to process</w:t>
      </w:r>
      <w:r>
        <w:t xml:space="preserve"> </w:t>
      </w:r>
      <w:r>
        <w:t xml:space="preserve">business transactions in a timelier manner. It is not possible to calculate potential numbers of</w:t>
      </w:r>
      <w:r>
        <w:t xml:space="preserve"> </w:t>
      </w:r>
      <w:r>
        <w:t xml:space="preserve">non-AEO or a proportion of SMEs. Yet, SMEs are likely to be less well represented given the</w:t>
      </w:r>
      <w:r>
        <w:t xml:space="preserve"> </w:t>
      </w:r>
      <w:r>
        <w:t xml:space="preserve">efforts of certification.</w:t>
      </w:r>
      <w:r>
        <w:t xml:space="preserve"> </w:t>
      </w:r>
      <w:r>
        <w:t xml:space="preserve">Also, under Option 3 an additional 700 operators would need to verify their customers</w:t>
      </w:r>
      <w:r>
        <w:t xml:space="preserve"> </w:t>
      </w:r>
      <w:r>
        <w:t xml:space="preserve">which could be a significant burden when the numbers of transactions are high. This measure</w:t>
      </w:r>
      <w:r>
        <w:t xml:space="preserve"> </w:t>
      </w:r>
      <w:r>
        <w:t xml:space="preserve">would imply an estimated annual cost of EUR 12.5 million for SMEs, and EUR 5.2 million for</w:t>
      </w:r>
      <w:r>
        <w:t xml:space="preserve"> </w:t>
      </w:r>
      <w:r>
        <w:t xml:space="preserve">large firms. The overall cost saving in comparison to the baseline would be EUR 4.7 million.179</w:t>
      </w:r>
      <w:r>
        <w:br/>
      </w:r>
      <w:r>
        <w:t xml:space="preserve">Figure 19: Expected administrative annual cost savings e-validation</w:t>
      </w:r>
    </w:p>
    <w:p>
      <w:pPr>
        <w:pStyle w:val="BodyText"/>
      </w:pPr>
      <w:r>
        <w:t xml:space="preserve">Baseline</w:t>
      </w:r>
      <w:r>
        <w:br/>
      </w:r>
      <w:r>
        <w:t xml:space="preserve">Option 3</w:t>
      </w:r>
      <w:r>
        <w:br/>
      </w:r>
      <w:r>
        <w:t xml:space="preserve">(Category 1 and 2)</w:t>
      </w:r>
      <w:r>
        <w:t xml:space="preserve"> </w:t>
      </w:r>
      <w:r>
        <w:t xml:space="preserve">Cost</w:t>
      </w:r>
      <w:r>
        <w:br/>
      </w:r>
      <w:r>
        <w:t xml:space="preserve">(million EUR)</w:t>
      </w:r>
      <w:r>
        <w:t xml:space="preserve"> </w:t>
      </w:r>
      <w:r>
        <w:t xml:space="preserve">Cost</w:t>
      </w:r>
      <w:r>
        <w:t xml:space="preserve"> </w:t>
      </w:r>
      <w:r>
        <w:t xml:space="preserve">(million EUR)</w:t>
      </w:r>
      <w:r>
        <w:t xml:space="preserve"> </w:t>
      </w:r>
      <w:r>
        <w:t xml:space="preserve">Cost saving</w:t>
      </w:r>
      <w:r>
        <w:t xml:space="preserve"> </w:t>
      </w:r>
      <w:r>
        <w:t xml:space="preserve">(million EUR)</w:t>
      </w:r>
      <w:r>
        <w:t xml:space="preserve"> </w:t>
      </w:r>
      <w:r>
        <w:t xml:space="preserve">SME</w:t>
      </w:r>
      <w:r>
        <w:br/>
      </w:r>
      <w:r>
        <w:t xml:space="preserve">15.6</w:t>
      </w:r>
      <w:r>
        <w:br/>
      </w:r>
      <w:r>
        <w:t xml:space="preserve">12.5</w:t>
      </w:r>
      <w:r>
        <w:t xml:space="preserve"> </w:t>
      </w:r>
      <w:r>
        <w:t xml:space="preserve">4.7</w:t>
      </w:r>
      <w:r>
        <w:br/>
      </w:r>
      <w:r>
        <w:t xml:space="preserve">Large firm</w:t>
      </w:r>
      <w:r>
        <w:br/>
      </w:r>
      <w:r>
        <w:t xml:space="preserve">6.9</w:t>
      </w:r>
      <w:r>
        <w:br/>
      </w:r>
      <w:r>
        <w:t xml:space="preserve">5.2</w:t>
      </w:r>
      <w:r>
        <w:br/>
      </w:r>
      <w:r>
        <w:t xml:space="preserve">Source: the study (see Annex 4 for more details on assumptions and calculations based on standard costs model)</w:t>
      </w:r>
    </w:p>
    <w:p>
      <w:pPr>
        <w:pStyle w:val="BodyText"/>
      </w:pPr>
      <w:r>
        <w:t xml:space="preserve">Overall, Option 3 has a lower economic benefit and introduces new administrative and hassle</w:t>
      </w:r>
      <w:r>
        <w:t xml:space="preserve"> </w:t>
      </w:r>
      <w:r>
        <w:t xml:space="preserve">costs for businesses. These additional costs are likely to affect SMEs rather than larger firms as</w:t>
      </w:r>
      <w:r>
        <w:t xml:space="preserve"> </w:t>
      </w:r>
      <w:r>
        <w:t xml:space="preserve">they are not as well placed to benefit from economies of scale through existing licenses or the</w:t>
      </w:r>
      <w:r>
        <w:t xml:space="preserve"> </w:t>
      </w:r>
      <w:r>
        <w:t xml:space="preserve">AEO status. These measures also have a much more limited effect on facilitating trade within</w:t>
      </w:r>
      <w:r>
        <w:t xml:space="preserve"> </w:t>
      </w:r>
      <w:r>
        <w:t xml:space="preserve">the single market as well as internationally. Benefits for competitiveness are therefore more</w:t>
      </w:r>
      <w:r>
        <w:t xml:space="preserve"> </w:t>
      </w:r>
      <w:r>
        <w:t xml:space="preserve">mitigated.</w:t>
      </w:r>
      <w:r>
        <w:t xml:space="preserve"> </w:t>
      </w:r>
      <w:r>
        <w:t xml:space="preserve">Research and Innovation</w:t>
      </w:r>
      <w:r>
        <w:t xml:space="preserve"> </w:t>
      </w:r>
      <w:r>
        <w:t xml:space="preserve">The administrative burdens introduced by the option, while enhancing controls are also likely</w:t>
      </w:r>
      <w:r>
        <w:t xml:space="preserve"> </w:t>
      </w:r>
      <w:r>
        <w:t xml:space="preserve">to create obstacles to research, the acquisition of samples by national laboratories and other</w:t>
      </w:r>
      <w:r>
        <w:t xml:space="preserve"> </w:t>
      </w:r>
      <w:r>
        <w:t xml:space="preserve">legitimate activities. In this sense this option might eventually affect capacity to innovate</w:t>
      </w:r>
    </w:p>
    <w:p>
      <w:pPr>
        <w:pStyle w:val="BodyText"/>
      </w:pPr>
      <w:r>
        <w:t xml:space="preserve">177 For instance, additional needs for training, additional communication with suppliers, special arrangements for</w:t>
      </w:r>
      <w:r>
        <w:t xml:space="preserve"> </w:t>
      </w:r>
      <w:r>
        <w:t xml:space="preserve">the disposal of substances and so on.</w:t>
      </w:r>
      <w:r>
        <w:t xml:space="preserve"> </w:t>
      </w:r>
      <w:r>
        <w:t xml:space="preserve">178 The remainder of SMEs most commonly responded “don’t know” 4/16, but a few said their costs would increase</w:t>
      </w:r>
      <w:r>
        <w:t xml:space="preserve"> </w:t>
      </w:r>
      <w:r>
        <w:t xml:space="preserve">either moderately 2/16 or significantly 1/16).</w:t>
      </w:r>
      <w:r>
        <w:t xml:space="preserve"> </w:t>
      </w:r>
      <w:r>
        <w:t xml:space="preserve">179 Calculation based on the study. See Annex 4.p.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(innovation competitiveness), although not in a significant way (as special license for legal</w:t>
      </w:r>
      <w:r>
        <w:t xml:space="preserve"> </w:t>
      </w:r>
      <w:r>
        <w:t xml:space="preserve">trade of designer precursors will be possible). By not enabling exemptions for small quantities</w:t>
      </w:r>
      <w:r>
        <w:t xml:space="preserve"> </w:t>
      </w:r>
      <w:r>
        <w:t xml:space="preserve">of the new Category 1, research on the substances will come with higher administrative costs</w:t>
      </w:r>
      <w:r>
        <w:t xml:space="preserve"> </w:t>
      </w:r>
      <w:r>
        <w:t xml:space="preserve">and burdens.</w:t>
      </w:r>
      <w:r>
        <w:t xml:space="preserve"> </w:t>
      </w:r>
      <w:r>
        <w:t xml:space="preserve">In the same vein, the automatic labelling as ‘suspicious’ of certain transactions based on the</w:t>
      </w:r>
      <w:r>
        <w:t xml:space="preserve"> </w:t>
      </w:r>
      <w:r>
        <w:t xml:space="preserve">beefed-up catch-all clause was also regarded critically. In accordance with a respondent, this</w:t>
      </w:r>
      <w:r>
        <w:t xml:space="preserve"> </w:t>
      </w:r>
      <w:r>
        <w:t xml:space="preserve">might negatively impact on the willingness of legal operators to engage in the trade of such</w:t>
      </w:r>
      <w:r>
        <w:t xml:space="preserve"> </w:t>
      </w:r>
      <w:r>
        <w:t xml:space="preserve">substances even if they are not included in the legislation, thus eventually hampering research</w:t>
      </w:r>
      <w:r>
        <w:t xml:space="preserve"> </w:t>
      </w:r>
      <w:r>
        <w:t xml:space="preserve">and innovation involving such substances. It was not possible to quantify the effects of these</w:t>
      </w:r>
      <w:r>
        <w:t xml:space="preserve"> </w:t>
      </w:r>
      <w:r>
        <w:t xml:space="preserve">measures for innovation and research.</w:t>
      </w:r>
      <w:r>
        <w:t xml:space="preserve"> </w:t>
      </w:r>
      <w:r>
        <w:t xml:space="preserve">➢ Social impacts</w:t>
      </w:r>
      <w:r>
        <w:t xml:space="preserve"> </w:t>
      </w:r>
      <w:r>
        <w:t xml:space="preserve">The impact on control and prevention of illicit trade is estimated to be highly positive.</w:t>
      </w:r>
      <w:r>
        <w:t xml:space="preserve"> </w:t>
      </w:r>
      <w:r>
        <w:t xml:space="preserve">As the measures to improve the time to detect and respond to new threats are the same as for</w:t>
      </w:r>
      <w:r>
        <w:t xml:space="preserve"> </w:t>
      </w:r>
      <w:r>
        <w:t xml:space="preserve">Option 2 the impact will be the same.</w:t>
      </w:r>
      <w:r>
        <w:t xml:space="preserve"> </w:t>
      </w:r>
      <w:r>
        <w:t xml:space="preserve">The effects of the ban on a wider scope of designer precursors and the mandatory investigation</w:t>
      </w:r>
      <w:r>
        <w:t xml:space="preserve"> </w:t>
      </w:r>
      <w:r>
        <w:t xml:space="preserve">by competent authorities on the strengthening of the catch-all clause are expected to strongly</w:t>
      </w:r>
      <w:r>
        <w:t xml:space="preserve"> </w:t>
      </w:r>
      <w:r>
        <w:t xml:space="preserve">reduce the availability of drug precursors for illicit drug manufacturing and will increase the</w:t>
      </w:r>
      <w:r>
        <w:t xml:space="preserve"> </w:t>
      </w:r>
      <w:r>
        <w:t xml:space="preserve">competent authorities’ capacity to identify and prosecute offences involving non-scheduled</w:t>
      </w:r>
      <w:r>
        <w:t xml:space="preserve"> </w:t>
      </w:r>
      <w:r>
        <w:t xml:space="preserve">substances. A robust prediction of the effect of the proposed measures on designer precursors</w:t>
      </w:r>
      <w:r>
        <w:t xml:space="preserve"> </w:t>
      </w:r>
      <w:r>
        <w:t xml:space="preserve">availability is, however, not feasible.</w:t>
      </w:r>
      <w:r>
        <w:br/>
      </w:r>
      <w:r>
        <w:t xml:space="preserve">It is assumed that, as the scope of the ban would be wider the more difficult it would be for</w:t>
      </w:r>
      <w:r>
        <w:t xml:space="preserve"> </w:t>
      </w:r>
      <w:r>
        <w:t xml:space="preserve">criminals to create and use designer precursors that are not yet scheduled.</w:t>
      </w:r>
      <w:r>
        <w:t xml:space="preserve"> </w:t>
      </w:r>
      <w:r>
        <w:t xml:space="preserve">As data analysis showed, the benefits of placing new substances under control is temporary180,</w:t>
      </w:r>
      <w:r>
        <w:t xml:space="preserve"> </w:t>
      </w:r>
      <w:r>
        <w:t xml:space="preserve">but comprehensive interventions covering several substances have deeper effects, as it takes</w:t>
      </w:r>
      <w:r>
        <w:t xml:space="preserve"> </w:t>
      </w:r>
      <w:r>
        <w:t xml:space="preserve">longer for organised crime groups to find alternative chemicals and establish the supply chain.</w:t>
      </w:r>
      <w:r>
        <w:t xml:space="preserve"> </w:t>
      </w:r>
      <w:r>
        <w:t xml:space="preserve">As the number of substances is significantly higher than with Option 2 the impact on drug</w:t>
      </w:r>
      <w:r>
        <w:t xml:space="preserve"> </w:t>
      </w:r>
      <w:r>
        <w:t xml:space="preserve">precursors availability is expected to be magnified. The combined measures related to</w:t>
      </w:r>
      <w:r>
        <w:t xml:space="preserve"> </w:t>
      </w:r>
      <w:r>
        <w:t xml:space="preserve">scheduling and the ban on designer precursors are estimated to contribute approximately a</w:t>
      </w:r>
      <w:r>
        <w:t xml:space="preserve"> </w:t>
      </w:r>
      <w:r>
        <w:t xml:space="preserve">60 %181 of the reduction in the availability of precursors used in illicit drug manufacturing.</w:t>
      </w:r>
      <w:r>
        <w:t xml:space="preserve"> </w:t>
      </w:r>
      <w:r>
        <w:t xml:space="preserve">In addition, threshold exemptions will further close the legal loopholes that criminals can abuse</w:t>
      </w:r>
      <w:r>
        <w:t xml:space="preserve"> </w:t>
      </w:r>
      <w:r>
        <w:t xml:space="preserve">to obtain designer precursors.</w:t>
      </w:r>
      <w:r>
        <w:t xml:space="preserve"> </w:t>
      </w:r>
      <w:r>
        <w:t xml:space="preserve">The mandatory registration of Category 2 operators, including automated reporting, will</w:t>
      </w:r>
      <w:r>
        <w:t xml:space="preserve"> </w:t>
      </w:r>
      <w:r>
        <w:t xml:space="preserve">increase the capacity of competent authorities to monitor legal trade and detect diversion.</w:t>
      </w:r>
      <w:r>
        <w:t xml:space="preserve"> </w:t>
      </w:r>
      <w:r>
        <w:t xml:space="preserve">As with Option 2, the central digital system should further enhance the capacity of competent</w:t>
      </w:r>
      <w:r>
        <w:t xml:space="preserve"> </w:t>
      </w:r>
      <w:r>
        <w:t xml:space="preserve">authorities to identify and stop suspicious transactions. This system should be more robust</w:t>
      </w:r>
      <w:r>
        <w:t xml:space="preserve"> </w:t>
      </w:r>
      <w:r>
        <w:t xml:space="preserve">against fraud and facilitate more targeted risk management and analysis compared to the current</w:t>
      </w:r>
    </w:p>
    <w:p>
      <w:pPr>
        <w:pStyle w:val="BodyText"/>
      </w:pPr>
      <w:r>
        <w:t xml:space="preserve">180 Literature documented in the study. Here, due to the larger number of scheduled substances, therefore, the</w:t>
      </w:r>
      <w:r>
        <w:t xml:space="preserve"> </w:t>
      </w:r>
      <w:r>
        <w:t xml:space="preserve">overall number of seizures of unscheduled substances should also be reduced in this option.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fractioned paper-based environment. Benefits are likely to be magnified by the planned</w:t>
      </w:r>
      <w:r>
        <w:t xml:space="preserve"> </w:t>
      </w:r>
      <w:r>
        <w:t xml:space="preserve">Customs reform and the establishment of the new European Customs Authority and of the EU</w:t>
      </w:r>
      <w:r>
        <w:t xml:space="preserve"> </w:t>
      </w:r>
      <w:r>
        <w:t xml:space="preserve">Customs Data Hub, as this would likely boost the probability of mislabelled / mis declared</w:t>
      </w:r>
      <w:r>
        <w:t xml:space="preserve"> </w:t>
      </w:r>
      <w:r>
        <w:t xml:space="preserve">consignments to be detected through improved risk management capabilities which will reduce</w:t>
      </w:r>
      <w:r>
        <w:t xml:space="preserve"> </w:t>
      </w:r>
      <w:r>
        <w:t xml:space="preserve">the availability of drug precursors.</w:t>
      </w:r>
      <w:r>
        <w:t xml:space="preserve"> </w:t>
      </w:r>
      <w:r>
        <w:t xml:space="preserve">The scientific literature182 on the impact of precursors regulation suggests that a reduction in the</w:t>
      </w:r>
      <w:r>
        <w:t xml:space="preserve"> </w:t>
      </w:r>
      <w:r>
        <w:t xml:space="preserve">illicit trade of precursors can reasonably lead to a disruption of drug supply and reduction of drug</w:t>
      </w:r>
      <w:r>
        <w:t xml:space="preserve"> </w:t>
      </w:r>
      <w:r>
        <w:t xml:space="preserve">availability, which in return may have public health benefits, and in particular linked to a possible</w:t>
      </w:r>
      <w:r>
        <w:t xml:space="preserve"> </w:t>
      </w:r>
      <w:r>
        <w:t xml:space="preserve">reduction in the demand for treatments related to the use of synthetic illicit drugs. On the other</w:t>
      </w:r>
      <w:r>
        <w:t xml:space="preserve"> </w:t>
      </w:r>
      <w:r>
        <w:t xml:space="preserve">hand, and in line with possible consequences for the environment, the recourse to more toxic</w:t>
      </w:r>
      <w:r>
        <w:t xml:space="preserve"> </w:t>
      </w:r>
      <w:r>
        <w:t xml:space="preserve">substances may lead to higher health risks for those producing and consuming the drugs.</w:t>
      </w:r>
      <w:r>
        <w:t xml:space="preserve"> </w:t>
      </w:r>
      <w:r>
        <w:t xml:space="preserve">However, the extent and robustness of such impact can hardly be estimated, due to the numerous</w:t>
      </w:r>
      <w:r>
        <w:t xml:space="preserve"> </w:t>
      </w:r>
      <w:r>
        <w:t xml:space="preserve">confounding factors that play a decisive role on success.</w:t>
      </w:r>
      <w:r>
        <w:t xml:space="preserve"> </w:t>
      </w:r>
      <w:r>
        <w:t xml:space="preserve">➢ Environmental impacts:</w:t>
      </w:r>
      <w:r>
        <w:t xml:space="preserve"> </w:t>
      </w:r>
      <w:r>
        <w:t xml:space="preserve">Similarly, cascading benefits can be expected in the area of environmental impact, as the decline</w:t>
      </w:r>
      <w:r>
        <w:t xml:space="preserve"> </w:t>
      </w:r>
      <w:r>
        <w:t xml:space="preserve">of illicit drug manufacturing activities in the EU would reduce the amount of chemical waste</w:t>
      </w:r>
      <w:r>
        <w:t xml:space="preserve"> </w:t>
      </w:r>
      <w:r>
        <w:t xml:space="preserve">illegally disposed, and the costs of cleaning dumps, laboratories and storage sites. On the other</w:t>
      </w:r>
      <w:r>
        <w:t xml:space="preserve"> </w:t>
      </w:r>
      <w:r>
        <w:t xml:space="preserve">hand, if criminals resort to more remote chemical derivatives, this may in fact increase the</w:t>
      </w:r>
      <w:r>
        <w:t xml:space="preserve"> </w:t>
      </w:r>
      <w:r>
        <w:t xml:space="preserve">chemical waste produced by illegal drug production. It is not feasible to quantify these impacts</w:t>
      </w:r>
      <w:r>
        <w:t xml:space="preserve"> </w:t>
      </w:r>
      <w:r>
        <w:t xml:space="preserve">as the volume of illicit drug production in the EU is unknown.</w:t>
      </w:r>
      <w:r>
        <w:br/>
      </w:r>
      <w:r>
        <w:t xml:space="preserve">Figure 20: Summary of impacts of Option 3</w:t>
      </w:r>
      <w:r>
        <w:t xml:space="preserve"> </w:t>
      </w:r>
      <w:r>
        <w:t xml:space="preserve">Impacts</w:t>
      </w:r>
      <w:r>
        <w:t xml:space="preserve"> </w:t>
      </w:r>
      <w:r>
        <w:t xml:space="preserve">Rating</w:t>
      </w:r>
      <w:r>
        <w:br/>
      </w:r>
      <w:r>
        <w:t xml:space="preserve">Economic</w:t>
      </w:r>
      <w:r>
        <w:br/>
      </w:r>
      <w:r>
        <w:t xml:space="preserve">Facilitation of legal trade</w:t>
      </w:r>
      <w:r>
        <w:t xml:space="preserve"> </w:t>
      </w:r>
      <w:r>
        <w:t xml:space="preserve">-2</w:t>
      </w:r>
      <w:r>
        <w:t xml:space="preserve"> </w:t>
      </w:r>
      <w:r>
        <w:t xml:space="preserve">Costs / savings for economic operators</w:t>
      </w:r>
      <w:r>
        <w:t xml:space="preserve"> </w:t>
      </w:r>
      <w:r>
        <w:t xml:space="preserve">0</w:t>
      </w:r>
      <w:r>
        <w:t xml:space="preserve"> </w:t>
      </w:r>
      <w:r>
        <w:t xml:space="preserve">Costs / savings for MS authorities</w:t>
      </w:r>
      <w:r>
        <w:br/>
      </w:r>
      <w:r>
        <w:t xml:space="preserve">+1</w:t>
      </w:r>
      <w:r>
        <w:t xml:space="preserve"> </w:t>
      </w:r>
      <w:r>
        <w:t xml:space="preserve">Cost / savings for Commission</w:t>
      </w:r>
      <w:r>
        <w:t xml:space="preserve"> </w:t>
      </w:r>
      <w:r>
        <w:t xml:space="preserve">-2</w:t>
      </w:r>
      <w:r>
        <w:t xml:space="preserve"> </w:t>
      </w:r>
      <w:r>
        <w:t xml:space="preserve">Research and innovation in the chemical sector</w:t>
      </w:r>
      <w:r>
        <w:t xml:space="preserve"> </w:t>
      </w:r>
      <w:r>
        <w:t xml:space="preserve">-1</w:t>
      </w:r>
      <w:r>
        <w:t xml:space="preserve"> </w:t>
      </w:r>
      <w:r>
        <w:t xml:space="preserve">Digitalisation of the EU system</w:t>
      </w:r>
      <w:r>
        <w:t xml:space="preserve"> </w:t>
      </w:r>
      <w:r>
        <w:t xml:space="preserve">+3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-1</w:t>
      </w:r>
      <w:r>
        <w:t xml:space="preserve"> </w:t>
      </w:r>
      <w:r>
        <w:t xml:space="preserve">Social</w:t>
      </w:r>
      <w:r>
        <w:br/>
      </w:r>
      <w:r>
        <w:t xml:space="preserve">Impact on control / prevention of illicit trade</w:t>
      </w:r>
      <w:r>
        <w:t xml:space="preserve"> </w:t>
      </w:r>
      <w:r>
        <w:t xml:space="preserve">+3</w:t>
      </w:r>
      <w:r>
        <w:t xml:space="preserve"> </w:t>
      </w:r>
      <w:r>
        <w:t xml:space="preserve">Drug-related health impact</w:t>
      </w:r>
      <w:r>
        <w:t xml:space="preserve"> </w:t>
      </w:r>
      <w:r>
        <w:t xml:space="preserve">+2?</w:t>
      </w:r>
      <w:r>
        <w:t xml:space="preserve"> </w:t>
      </w:r>
      <w:r>
        <w:t xml:space="preserve">Environmental</w:t>
      </w:r>
      <w:r>
        <w:br/>
      </w:r>
      <w:r>
        <w:t xml:space="preserve">Impact on toxic waste disposal</w:t>
      </w:r>
      <w:r>
        <w:t xml:space="preserve"> </w:t>
      </w:r>
      <w:r>
        <w:t xml:space="preserve">+1?</w:t>
      </w:r>
      <w:r>
        <w:t xml:space="preserve"> </w:t>
      </w:r>
      <w:r>
        <w:t xml:space="preserve">Legend: Impact ratings: +3 = highly positive; +2 = positive; +1 = moderately positive; 0=neutral/modest impact;</w:t>
      </w:r>
      <w:r>
        <w:t xml:space="preserve"> </w:t>
      </w:r>
      <w:r>
        <w:t xml:space="preserve">-1 moderately negative; -2 = negative; -3 = highly negative; N/A=not applicable; ?=impact conditional to other</w:t>
      </w:r>
      <w:r>
        <w:t xml:space="preserve"> </w:t>
      </w:r>
      <w:r>
        <w:t xml:space="preserve">factors / conditions.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br/>
      </w:r>
      <w:r>
        <w:t xml:space="preserve">7.1. Effectiveness</w:t>
      </w:r>
      <w:r>
        <w:t xml:space="preserve"> </w:t>
      </w:r>
      <w:r>
        <w:t xml:space="preserve">The purpose of the effectiveness evaluation is to determine how well the proposed options</w:t>
      </w:r>
      <w:r>
        <w:t xml:space="preserve"> </w:t>
      </w:r>
      <w:r>
        <w:t xml:space="preserve">would achieve both objectives at the same time and in a satisfactory manner, i.e. taking into</w:t>
      </w:r>
      <w:r>
        <w:t xml:space="preserve"> </w:t>
      </w:r>
      <w:r>
        <w:t xml:space="preserve">account the trade-off that exists between them.</w:t>
      </w:r>
      <w:r>
        <w:t xml:space="preserve"> </w:t>
      </w:r>
      <w:r>
        <w:t xml:space="preserve">Option 1 will help reduce the time for a newly detected substance to be placed under control</w:t>
      </w:r>
      <w:r>
        <w:t xml:space="preserve"> </w:t>
      </w:r>
      <w:r>
        <w:t xml:space="preserve">and will improve national authorities’ knowledge. Similarly, the EUDA repository will</w:t>
      </w:r>
      <w:r>
        <w:t xml:space="preserve"> </w:t>
      </w:r>
      <w:r>
        <w:t xml:space="preserve">strengthen economic operators’ awareness, and engagement. However, this option will fall</w:t>
      </w:r>
    </w:p>
    <w:p>
      <w:pPr>
        <w:pStyle w:val="FirstParagraph"/>
      </w:pPr>
      <w:r>
        <w:t xml:space="preserve">182 See Annex 4, section 3.2 on the impact on drugs availability.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short of expectations regarding the proliferation of designer precursors. Also, it is not very</w:t>
      </w:r>
      <w:r>
        <w:t xml:space="preserve"> </w:t>
      </w:r>
      <w:r>
        <w:t xml:space="preserve">effective in facilitating trade as the success of the soft measures will depend on their uptake and</w:t>
      </w:r>
      <w:r>
        <w:t xml:space="preserve"> </w:t>
      </w:r>
      <w:r>
        <w:t xml:space="preserve">only limited improvements for internal trade can be done by delegated or implementing acts.</w:t>
      </w:r>
      <w:r>
        <w:t xml:space="preserve"> </w:t>
      </w:r>
      <w:r>
        <w:t xml:space="preserve">Option 2 will prove effective against the proliferation of designer precursors and the trafficking</w:t>
      </w:r>
      <w:r>
        <w:t xml:space="preserve"> </w:t>
      </w:r>
      <w:r>
        <w:t xml:space="preserve">of non-scheduled substances. If well implemented, the real-time seizure reporting and urgency</w:t>
      </w:r>
      <w:r>
        <w:t xml:space="preserve"> </w:t>
      </w:r>
      <w:r>
        <w:t xml:space="preserve">procedure will reduce significantly the time to detect and respond to new threats, while enabling</w:t>
      </w:r>
      <w:r>
        <w:t xml:space="preserve"> </w:t>
      </w:r>
      <w:r>
        <w:t xml:space="preserve">authorities to target controls more specifically on those substances that are at a higher risk of</w:t>
      </w:r>
      <w:r>
        <w:t xml:space="preserve"> </w:t>
      </w:r>
      <w:r>
        <w:t xml:space="preserve">being used in illegal drug production. Option 2 will also help closing the existing monitoring</w:t>
      </w:r>
      <w:r>
        <w:t xml:space="preserve"> </w:t>
      </w:r>
      <w:r>
        <w:t xml:space="preserve">gap regarding potential diversion occurring at the level of final users of precursors. Overall, this</w:t>
      </w:r>
      <w:r>
        <w:t xml:space="preserve"> </w:t>
      </w:r>
      <w:r>
        <w:t xml:space="preserve">is expected to help reduce the availability of precursors used in the manufacturing of illicit</w:t>
      </w:r>
      <w:r>
        <w:t xml:space="preserve"> </w:t>
      </w:r>
      <w:r>
        <w:t xml:space="preserve">drugs (especially synthetic drugs) and allows to align with the United States’ family scheduling.</w:t>
      </w:r>
      <w:r>
        <w:t xml:space="preserve"> </w:t>
      </w:r>
      <w:r>
        <w:t xml:space="preserve">Economic operators’ awareness, and engagement will improve. The regulatory framework is</w:t>
      </w:r>
      <w:r>
        <w:t xml:space="preserve"> </w:t>
      </w:r>
      <w:r>
        <w:t xml:space="preserve">effectively simplified and streamlined. The development of an EU portal provides for the</w:t>
      </w:r>
      <w:r>
        <w:t xml:space="preserve"> </w:t>
      </w:r>
      <w:r>
        <w:t xml:space="preserve">modernisation of the control system, alongside the provisions for digital verification of</w:t>
      </w:r>
      <w:r>
        <w:t xml:space="preserve"> </w:t>
      </w:r>
      <w:r>
        <w:t xml:space="preserve">customers in the internal trade of Category 1 substances. The burden of the EU control system</w:t>
      </w:r>
      <w:r>
        <w:t xml:space="preserve"> </w:t>
      </w:r>
      <w:r>
        <w:t xml:space="preserve">for legal trade is reduced through the lifting/automation of various requirements. These should</w:t>
      </w:r>
      <w:r>
        <w:t xml:space="preserve"> </w:t>
      </w:r>
      <w:r>
        <w:t xml:space="preserve">offset the slight increase in authorities’ enforcement costs for the additional substances</w:t>
      </w:r>
      <w:r>
        <w:t xml:space="preserve"> </w:t>
      </w:r>
      <w:r>
        <w:t xml:space="preserve">scheduled. These changes should contribute to effectively facilitating trade and promoting the</w:t>
      </w:r>
      <w:r>
        <w:t xml:space="preserve"> </w:t>
      </w:r>
      <w:r>
        <w:t xml:space="preserve">competitiveness of the sector without affecting the overall control framework for drug</w:t>
      </w:r>
      <w:r>
        <w:t xml:space="preserve"> </w:t>
      </w:r>
      <w:r>
        <w:t xml:space="preserve">precursors. Option 2’s impacts are more balanced considering the two objectives with a</w:t>
      </w:r>
      <w:r>
        <w:t xml:space="preserve"> </w:t>
      </w:r>
      <w:r>
        <w:t xml:space="preserve">comparatively stronger focus on facilitating legal trade.</w:t>
      </w:r>
      <w:r>
        <w:br/>
      </w:r>
      <w:r>
        <w:t xml:space="preserve">Option 3 will largely deliver the same results as Option 2. It is expected to maximise Objective</w:t>
      </w:r>
      <w:r>
        <w:t xml:space="preserve"> </w:t>
      </w:r>
      <w:r>
        <w:t xml:space="preserve">#1 of the intervention, i.e. the reduction in the availability of precursors used in the</w:t>
      </w:r>
      <w:r>
        <w:t xml:space="preserve"> </w:t>
      </w:r>
      <w:r>
        <w:t xml:space="preserve">manufacturing of illicit drugs. Given the greater number of scheduled substances, than in option</w:t>
      </w:r>
      <w:r>
        <w:t xml:space="preserve"> </w:t>
      </w:r>
      <w:r>
        <w:t xml:space="preserve">2, there should be more seizures of scheduled rather than un-scheduled substances. It is,</w:t>
      </w:r>
      <w:r>
        <w:t xml:space="preserve"> </w:t>
      </w:r>
      <w:r>
        <w:t xml:space="preserve">however, not possible to predict to what extent this would effectively lead to a greater reduction</w:t>
      </w:r>
      <w:r>
        <w:t xml:space="preserve"> </w:t>
      </w:r>
      <w:r>
        <w:t xml:space="preserve">of drug precursor supplies for illicit drug production. Given that it would be more costly to</w:t>
      </w:r>
      <w:r>
        <w:t xml:space="preserve"> </w:t>
      </w:r>
      <w:r>
        <w:t xml:space="preserve">enforce option 3 due to the larger number of substances to be screened and higher control</w:t>
      </w:r>
      <w:r>
        <w:t xml:space="preserve"> </w:t>
      </w:r>
      <w:r>
        <w:t xml:space="preserve">burdens on legitimate businesses, some Member States did not support excessively broad</w:t>
      </w:r>
      <w:r>
        <w:t xml:space="preserve"> </w:t>
      </w:r>
      <w:r>
        <w:t xml:space="preserve">scheduling of substances as they may not be in the position to cope with the required effort.</w:t>
      </w:r>
      <w:r>
        <w:t xml:space="preserve"> </w:t>
      </w:r>
      <w:r>
        <w:t xml:space="preserve">There is a substantial risk of leading to sub-optimal enforcement. This may pose problems for</w:t>
      </w:r>
      <w:r>
        <w:t xml:space="preserve"> </w:t>
      </w:r>
      <w:r>
        <w:t xml:space="preserve">effectiveness. As with Option 2, Option 3 sees the Regulatory framework streamlined and the</w:t>
      </w:r>
      <w:r>
        <w:t xml:space="preserve"> </w:t>
      </w:r>
      <w:r>
        <w:t xml:space="preserve">processes modernised. However, the extension of obligations for Category 1 substances to also</w:t>
      </w:r>
      <w:r>
        <w:t xml:space="preserve"> </w:t>
      </w:r>
      <w:r>
        <w:t xml:space="preserve">cover Category 2A, and to cover internal trade of now Category 3 substances stands to create</w:t>
      </w:r>
      <w:r>
        <w:t xml:space="preserve"> </w:t>
      </w:r>
      <w:r>
        <w:t xml:space="preserve">considerable additional burden for affected firms. Option 3’s impacts are addressing both</w:t>
      </w:r>
      <w:r>
        <w:t xml:space="preserve"> </w:t>
      </w:r>
      <w:r>
        <w:t xml:space="preserve">objectives, but the balance between reducing illegal trade without unduly affecting legitimate</w:t>
      </w:r>
      <w:r>
        <w:t xml:space="preserve"> </w:t>
      </w:r>
      <w:r>
        <w:t xml:space="preserve">activities is more heavily skewed towards controls.</w:t>
      </w:r>
      <w:r>
        <w:br/>
      </w:r>
      <w:r>
        <w:t xml:space="preserve">7.2. Efficiency</w:t>
      </w:r>
      <w:r>
        <w:t xml:space="preserve"> </w:t>
      </w:r>
      <w:r>
        <w:t xml:space="preserve">A greater ‘efficiency’ – in the sense of a need for reducing implementation and administrative</w:t>
      </w:r>
      <w:r>
        <w:t xml:space="preserve"> </w:t>
      </w:r>
      <w:r>
        <w:t xml:space="preserve">costs and burden – is indeed one of the purposes of the intervention. In this section, the impact</w:t>
      </w:r>
      <w:r>
        <w:t xml:space="preserve"> </w:t>
      </w:r>
      <w:r>
        <w:t xml:space="preserve">of the proposed option on costs (i.e. cost savings) are combined with those expected from</w:t>
      </w:r>
      <w:r>
        <w:t xml:space="preserve"> </w:t>
      </w:r>
      <w:r>
        <w:t xml:space="preserve">measures addressing illicit trade, for an aggregate comparison of the overall costs and benefits</w:t>
      </w:r>
      <w:r>
        <w:t xml:space="preserve"> </w:t>
      </w:r>
      <w:r>
        <w:t xml:space="preserve">balance (see also Annex 3). However, not all impacts can be quantified or monetised, especially</w:t>
      </w:r>
      <w:r>
        <w:t xml:space="preserve"> </w:t>
      </w:r>
      <w:r>
        <w:t xml:space="preserve">benefits. Therefore, an aggregate monetary impact cannot be fully predicted. This particularly</w:t>
      </w:r>
      <w:r>
        <w:t xml:space="preserve"> </w:t>
      </w:r>
      <w:r>
        <w:t xml:space="preserve">so for the enforcement costs (inspections and controls) of authorities that do not pertain to the</w:t>
      </w:r>
      <w:r>
        <w:t xml:space="preserve"> </w:t>
      </w:r>
      <w:r>
        <w:t xml:space="preserve">regular implementation of licensing and registration formalities. They cannot be quantified</w:t>
      </w:r>
      <w:r>
        <w:t xml:space="preserve"> </w:t>
      </w:r>
      <w:r>
        <w:t xml:space="preserve">precisely as authorities were only able to provide estimates in percentage bands.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Figure 21 presents the respective benefits and costs from the intervention envisaged under the</w:t>
      </w:r>
      <w:r>
        <w:t xml:space="preserve"> </w:t>
      </w:r>
      <w:r>
        <w:t xml:space="preserve">two main objectives, and aggregate efficiency conclusions.</w:t>
      </w:r>
      <w:r>
        <w:t xml:space="preserve"> </w:t>
      </w:r>
      <w:r>
        <w:t xml:space="preserve">Figure 21: Comparison of options regarding the ‘efficiency’ criterion assessed over a</w:t>
      </w:r>
      <w:r>
        <w:t xml:space="preserve"> </w:t>
      </w:r>
      <w:r>
        <w:t xml:space="preserve">period of 3 years, with costs/cost savings annualised.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Objective #1 - Benefits</w:t>
      </w:r>
    </w:p>
    <w:p>
      <w:pPr>
        <w:pStyle w:val="BodyText"/>
      </w:pPr>
      <w:r>
        <w:t xml:space="preserve">Substantial decline in designer precursors and other non-scheduled precursors trafficking</w:t>
      </w:r>
      <w:r>
        <w:t xml:space="preserve"> </w:t>
      </w:r>
      <w:r>
        <w:t xml:space="preserve">(about -60 % for two years based on similar previous measures) (+++)</w:t>
      </w:r>
      <w:r>
        <w:t xml:space="preserve"> </w:t>
      </w:r>
      <w:r>
        <w:t xml:space="preserve">More robust supply chain control system (qualitative) (+)</w:t>
      </w:r>
      <w:r>
        <w:t xml:space="preserve"> </w:t>
      </w:r>
      <w:r>
        <w:t xml:space="preserve">Objective #1 - Costs</w:t>
      </w:r>
      <w:r>
        <w:t xml:space="preserve"> </w:t>
      </w:r>
      <w:r>
        <w:t xml:space="preserve">EUDA repository costs (1FTE 183 + 182000 EUR one-off 184): EUR 0.252 million</w:t>
      </w:r>
      <w:r>
        <w:t xml:space="preserve"> </w:t>
      </w:r>
      <w:r>
        <w:t xml:space="preserve">Baseline</w:t>
      </w:r>
      <w:r>
        <w:t xml:space="preserve"> </w:t>
      </w:r>
      <w:r>
        <w:t xml:space="preserve">Due diligence administrative costs for operators linked to the ban of designer precursors</w:t>
      </w:r>
      <w:r>
        <w:t xml:space="preserve"> </w:t>
      </w:r>
      <w:r>
        <w:t xml:space="preserve">(EUR):</w:t>
      </w:r>
      <w:r>
        <w:t xml:space="preserve"> </w:t>
      </w:r>
      <w:r>
        <w:t xml:space="preserve">2.72 million185 (-)</w:t>
      </w:r>
      <w:r>
        <w:t xml:space="preserve"> </w:t>
      </w:r>
      <w:r>
        <w:t xml:space="preserve">7.25 million186 (—)</w:t>
      </w:r>
    </w:p>
    <w:p>
      <w:pPr>
        <w:pStyle w:val="BodyText"/>
      </w:pPr>
      <w:r>
        <w:t xml:space="preserve">One-off costs for operators to obtain special</w:t>
      </w:r>
      <w:r>
        <w:t xml:space="preserve"> </w:t>
      </w:r>
      <w:r>
        <w:t xml:space="preserve">license for designer precursors: EUR 0.01187 (-)</w:t>
      </w:r>
      <w:r>
        <w:t xml:space="preserve"> </w:t>
      </w:r>
      <w:r>
        <w:t xml:space="preserve">Moderate additional costs (est. +10 %)</w:t>
      </w:r>
      <w:r>
        <w:t xml:space="preserve"> </w:t>
      </w:r>
      <w:r>
        <w:t xml:space="preserve">for MS to implement the ban (-)</w:t>
      </w:r>
      <w:r>
        <w:t xml:space="preserve"> </w:t>
      </w:r>
      <w:r>
        <w:t xml:space="preserve">Substantial additional costs (est. +50 %) for MS</w:t>
      </w:r>
      <w:r>
        <w:t xml:space="preserve"> </w:t>
      </w:r>
      <w:r>
        <w:t xml:space="preserve">to implement the ban (–)</w:t>
      </w:r>
      <w:r>
        <w:t xml:space="preserve"> </w:t>
      </w:r>
      <w:r>
        <w:t xml:space="preserve">Moderate enforcement costs increase for MS</w:t>
      </w:r>
      <w:r>
        <w:t xml:space="preserve"> </w:t>
      </w:r>
      <w:r>
        <w:t xml:space="preserve">from the need to decide if to follow up on every</w:t>
      </w:r>
      <w:r>
        <w:t xml:space="preserve"> </w:t>
      </w:r>
      <w:r>
        <w:t xml:space="preserve">transaction that meets ‘suspicion’ criteria (up to</w:t>
      </w:r>
      <w:r>
        <w:t xml:space="preserve"> </w:t>
      </w:r>
      <w:r>
        <w:t xml:space="preserve">+35 %) (-)</w:t>
      </w:r>
      <w:r>
        <w:t xml:space="preserve"> </w:t>
      </w:r>
      <w:r>
        <w:t xml:space="preserve">Alignment of</w:t>
      </w:r>
      <w:r>
        <w:t xml:space="preserve"> </w:t>
      </w:r>
      <w:r>
        <w:t xml:space="preserve">obligations for users:</w:t>
      </w:r>
      <w:r>
        <w:t xml:space="preserve"> </w:t>
      </w:r>
      <w:r>
        <w:t xml:space="preserve">limited to moderate</w:t>
      </w:r>
      <w:r>
        <w:t xml:space="preserve"> </w:t>
      </w:r>
      <w:r>
        <w:t xml:space="preserve">increase of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(5 %-20 %) (-)</w:t>
      </w:r>
    </w:p>
    <w:p>
      <w:pPr>
        <w:pStyle w:val="BodyText"/>
      </w:pPr>
      <w:r>
        <w:t xml:space="preserve">Objective #2 - Benefits</w:t>
      </w:r>
      <w:r>
        <w:t xml:space="preserve"> </w:t>
      </w:r>
      <w:r>
        <w:t xml:space="preserve">Negligible benefits</w:t>
      </w:r>
      <w:r>
        <w:t xml:space="preserve"> </w:t>
      </w:r>
      <w:r>
        <w:t xml:space="preserve">(if any) expected</w:t>
      </w:r>
      <w:r>
        <w:t xml:space="preserve"> </w:t>
      </w:r>
      <w:r>
        <w:t xml:space="preserve">without change to</w:t>
      </w:r>
      <w:r>
        <w:t xml:space="preserve"> </w:t>
      </w:r>
      <w:r>
        <w:t xml:space="preserve">legal framework or</w:t>
      </w:r>
      <w:r>
        <w:t xml:space="preserve"> </w:t>
      </w:r>
      <w:r>
        <w:t xml:space="preserve">Mandatory EU</w:t>
      </w:r>
      <w:r>
        <w:t xml:space="preserve"> </w:t>
      </w:r>
      <w:r>
        <w:t xml:space="preserve">centralised system</w:t>
      </w:r>
    </w:p>
    <w:p>
      <w:pPr>
        <w:pStyle w:val="BodyText"/>
      </w:pPr>
      <w:r>
        <w:t xml:space="preserve">Minor benefits for</w:t>
      </w:r>
      <w:r>
        <w:t xml:space="preserve"> </w:t>
      </w:r>
      <w:r>
        <w:t xml:space="preserve">reducing burden on</w:t>
      </w:r>
      <w:r>
        <w:t xml:space="preserve"> </w:t>
      </w:r>
      <w:r>
        <w:t xml:space="preserve">internal trade, but the</w:t>
      </w:r>
      <w:r>
        <w:t xml:space="preserve"> </w:t>
      </w:r>
      <w:r>
        <w:t xml:space="preserve">overall coherence of</w:t>
      </w:r>
      <w:r>
        <w:t xml:space="preserve"> </w:t>
      </w:r>
      <w:r>
        <w:t xml:space="preserve">rules is further</w:t>
      </w:r>
      <w:r>
        <w:t xml:space="preserve"> </w:t>
      </w:r>
      <w:r>
        <w:t xml:space="preserve">reduced (0)</w:t>
      </w:r>
    </w:p>
    <w:p>
      <w:pPr>
        <w:pStyle w:val="BodyText"/>
      </w:pPr>
      <w:r>
        <w:t xml:space="preserve">Quicker and more efficient processes</w:t>
      </w:r>
      <w:r>
        <w:t xml:space="preserve"> </w:t>
      </w:r>
      <w:r>
        <w:t xml:space="preserve">that are more harmonised and less prone</w:t>
      </w:r>
      <w:r>
        <w:t xml:space="preserve"> </w:t>
      </w:r>
      <w:r>
        <w:t xml:space="preserve">to error</w:t>
      </w:r>
      <w:r>
        <w:t xml:space="preserve"> </w:t>
      </w:r>
      <w:r>
        <w:t xml:space="preserve">Benefits akin to Option 2 but diminished to a</w:t>
      </w:r>
      <w:r>
        <w:t xml:space="preserve"> </w:t>
      </w:r>
      <w:r>
        <w:t xml:space="preserve">lesser extent due to extension of obligations to</w:t>
      </w:r>
      <w:r>
        <w:t xml:space="preserve"> </w:t>
      </w:r>
      <w:r>
        <w:t xml:space="preserve">Category 2A substances and internal trade in</w:t>
      </w:r>
      <w:r>
        <w:t xml:space="preserve"> </w:t>
      </w:r>
      <w:r>
        <w:t xml:space="preserve">current Category 3 substances</w:t>
      </w:r>
      <w:r>
        <w:br/>
      </w:r>
      <w:r>
        <w:t xml:space="preserve">Reduced compliance costs for economic operators compared to baseline (EUR):</w:t>
      </w:r>
    </w:p>
    <w:p>
      <w:pPr>
        <w:pStyle w:val="BodyText"/>
      </w:pPr>
      <w:r>
        <w:t xml:space="preserve">Reduction of costs for licenses and registrations (EUR):</w:t>
      </w:r>
      <w:r>
        <w:t xml:space="preserve"> </w:t>
      </w:r>
      <w:r>
        <w:t xml:space="preserve">- 0.09 million188 (one-off) (+)</w:t>
      </w:r>
      <w:r>
        <w:t xml:space="preserve"> </w:t>
      </w:r>
      <w:r>
        <w:t xml:space="preserve">- 0.072 million (recurring)</w:t>
      </w:r>
      <w:r>
        <w:t xml:space="preserve"> </w:t>
      </w:r>
      <w:r>
        <w:t xml:space="preserve">- 0.09 million189 (one-off) (+)</w:t>
      </w:r>
      <w:r>
        <w:t xml:space="preserve"> </w:t>
      </w:r>
      <w:r>
        <w:t xml:space="preserve">- 0.072 million (recurring)</w:t>
      </w:r>
      <w:r>
        <w:t xml:space="preserve"> </w:t>
      </w:r>
      <w:r>
        <w:t xml:space="preserve">Digitisation of customer verification brings cost reduction (EUR):</w:t>
      </w:r>
      <w:r>
        <w:t xml:space="preserve"> </w:t>
      </w:r>
      <w:r>
        <w:t xml:space="preserve">- 17.6 million/year (+++)</w:t>
      </w:r>
      <w:r>
        <w:t xml:space="preserve"> </w:t>
      </w:r>
      <w:r>
        <w:t xml:space="preserve">- 17.6 million/year (+++)</w:t>
      </w:r>
      <w:r>
        <w:t xml:space="preserve"> </w:t>
      </w:r>
      <w:r>
        <w:t xml:space="preserve">100 % cost reduction on import / export authorisations</w:t>
      </w:r>
      <w:r>
        <w:t xml:space="preserve"> </w:t>
      </w:r>
      <w:r>
        <w:t xml:space="preserve">- 6.4 million/year) (+++)</w:t>
      </w:r>
      <w:r>
        <w:t xml:space="preserve"> </w:t>
      </w:r>
      <w:r>
        <w:t xml:space="preserve">- 6.4 million/year) (+++)</w:t>
      </w:r>
      <w:r>
        <w:t xml:space="preserve"> </w:t>
      </w:r>
      <w:r>
        <w:t xml:space="preserve">100 % cost reduction on annual reporting</w:t>
      </w:r>
    </w:p>
    <w:p>
      <w:pPr>
        <w:pStyle w:val="BodyText"/>
      </w:pPr>
      <w:r>
        <w:t xml:space="preserve">183 1 FTE: EUR 188,000 EUR/year according to the Legislative financial and digital statement.</w:t>
      </w:r>
      <w:r>
        <w:t xml:space="preserve"> </w:t>
      </w:r>
      <w:r>
        <w:t xml:space="preserve">184 Annualised according to the standard cost model formula: “= total cost*(years/100)/(1-((1+years/100) ^-3))”</w:t>
      </w:r>
      <w:r>
        <w:br/>
      </w:r>
      <w:r>
        <w:t xml:space="preserve">185 Annualised according to the standard cost model formula above with total cost = EUR 7.70 million.</w:t>
      </w:r>
      <w:r>
        <w:t xml:space="preserve"> </w:t>
      </w:r>
      <w:r>
        <w:t xml:space="preserve">186 Annualised according to the standard cost model formula above with total cost = EUR 20.53 million.</w:t>
      </w:r>
      <w:r>
        <w:t xml:space="preserve"> </w:t>
      </w:r>
      <w:r>
        <w:t xml:space="preserve">187 Annualised according to the standard cost model formula above with total cost = EUR 0.022 million.</w:t>
      </w:r>
      <w:r>
        <w:t xml:space="preserve"> </w:t>
      </w:r>
      <w:r>
        <w:t xml:space="preserve">188 Annualised according to the standard cost model formula above with total cost = EUR 0.25 million</w:t>
      </w:r>
      <w:r>
        <w:br/>
      </w:r>
      <w:r>
        <w:t xml:space="preserve">189 Annualised according to the standard cost model formula above with total cost = EUR 0.25 million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30 % cost reduction</w:t>
      </w:r>
      <w:r>
        <w:t xml:space="preserve"> </w:t>
      </w:r>
      <w:r>
        <w:t xml:space="preserve">on annual reporting</w:t>
      </w:r>
      <w:r>
        <w:t xml:space="preserve"> </w:t>
      </w:r>
      <w:r>
        <w:t xml:space="preserve">1 million/year (+)</w:t>
      </w:r>
    </w:p>
    <w:p>
      <w:pPr>
        <w:pStyle w:val="BodyText"/>
      </w:pPr>
      <w:r>
        <w:t xml:space="preserve">1 million/year</w:t>
      </w:r>
      <w:r>
        <w:t xml:space="preserve"> </w:t>
      </w:r>
      <w:r>
        <w:t xml:space="preserve">- 3.2 million/year (++)</w:t>
      </w:r>
      <w:r>
        <w:t xml:space="preserve"> </w:t>
      </w:r>
      <w:r>
        <w:t xml:space="preserve">- 3.2 million/year (++)</w:t>
      </w:r>
      <w:r>
        <w:t xml:space="preserve"> </w:t>
      </w:r>
      <w:r>
        <w:t xml:space="preserve">Hassle costs saved (qualitative) (++)</w:t>
      </w:r>
      <w:r>
        <w:t xml:space="preserve"> </w:t>
      </w:r>
      <w:r>
        <w:t xml:space="preserve">Hassle costs saved (qualitative) (++)</w:t>
      </w:r>
    </w:p>
    <w:p>
      <w:pPr>
        <w:pStyle w:val="BodyText"/>
      </w:pPr>
      <w:r>
        <w:t xml:space="preserve">Public authorities benefit from more efficient processes compared to baseline (EUR):</w:t>
      </w:r>
    </w:p>
    <w:p>
      <w:pPr>
        <w:pStyle w:val="BodyText"/>
      </w:pPr>
      <w:r>
        <w:t xml:space="preserve">Reduction of costs for licenses and registrations compared to baseline (EUR):</w:t>
      </w:r>
      <w:r>
        <w:t xml:space="preserve"> </w:t>
      </w:r>
      <w:r>
        <w:t xml:space="preserve">- 0.16 million190 (one-off) (+)</w:t>
      </w:r>
      <w:r>
        <w:t xml:space="preserve"> </w:t>
      </w:r>
      <w:r>
        <w:t xml:space="preserve">- 0.086 (recurring)</w:t>
      </w:r>
      <w:r>
        <w:t xml:space="preserve"> </w:t>
      </w:r>
      <w:r>
        <w:t xml:space="preserve">- 0.16 million191 (one-off) (+)</w:t>
      </w:r>
      <w:r>
        <w:t xml:space="preserve"> </w:t>
      </w:r>
      <w:r>
        <w:t xml:space="preserve">- 0.086 (recurring)</w:t>
      </w:r>
      <w:r>
        <w:t xml:space="preserve"> </w:t>
      </w:r>
      <w:r>
        <w:t xml:space="preserve">100 % cost reduction on import / export authorisations</w:t>
      </w:r>
      <w:r>
        <w:t xml:space="preserve"> </w:t>
      </w:r>
      <w:r>
        <w:t xml:space="preserve">- 6.9 million/year (+++)</w:t>
      </w:r>
      <w:r>
        <w:t xml:space="preserve"> </w:t>
      </w:r>
      <w:r>
        <w:t xml:space="preserve">- 6.9 million/year (+++)</w:t>
      </w:r>
      <w:r>
        <w:t xml:space="preserve"> </w:t>
      </w:r>
      <w:r>
        <w:t xml:space="preserve">100 % cost reduction on annual reporting</w:t>
      </w:r>
      <w:r>
        <w:t xml:space="preserve"> </w:t>
      </w:r>
      <w:r>
        <w:t xml:space="preserve">- 3.2 million/year (++)</w:t>
      </w:r>
      <w:r>
        <w:t xml:space="preserve"> </w:t>
      </w:r>
      <w:r>
        <w:t xml:space="preserve">- 3.2 million/year (++)</w:t>
      </w:r>
      <w:r>
        <w:t xml:space="preserve"> </w:t>
      </w:r>
      <w:r>
        <w:t xml:space="preserve">Possible EUR 240 000 savings for national authorities, if the new incident platform is</w:t>
      </w:r>
      <w:r>
        <w:t xml:space="preserve"> </w:t>
      </w:r>
      <w:r>
        <w:t xml:space="preserve">interconnected with PICS (+)</w:t>
      </w:r>
      <w:r>
        <w:t xml:space="preserve"> </w:t>
      </w:r>
      <w:r>
        <w:t xml:space="preserve">Objective #2 - Costs</w:t>
      </w:r>
      <w:r>
        <w:t xml:space="preserve"> </w:t>
      </w:r>
      <w:r>
        <w:t xml:space="preserve">Potential costs</w:t>
      </w:r>
      <w:r>
        <w:t xml:space="preserve"> </w:t>
      </w:r>
      <w:r>
        <w:t xml:space="preserve">incurred by MS who</w:t>
      </w:r>
      <w:r>
        <w:t xml:space="preserve"> </w:t>
      </w:r>
      <w:r>
        <w:t xml:space="preserve">engage with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requirements and</w:t>
      </w:r>
      <w:r>
        <w:t xml:space="preserve"> </w:t>
      </w:r>
      <w:r>
        <w:t xml:space="preserve">invest in their national</w:t>
      </w:r>
      <w:r>
        <w:t xml:space="preserve"> </w:t>
      </w:r>
      <w:r>
        <w:t xml:space="preserve">systems (-)</w:t>
      </w:r>
      <w:r>
        <w:t xml:space="preserve"> </w:t>
      </w:r>
      <w:r>
        <w:t xml:space="preserve">Adjustment costs borne primarily by the Commission (EUR):</w:t>
      </w:r>
      <w:r>
        <w:t xml:space="preserve"> </w:t>
      </w:r>
      <w:r>
        <w:t xml:space="preserve">6.01 – 8.84 million192 (one off)</w:t>
      </w:r>
      <w:r>
        <w:t xml:space="preserve"> </w:t>
      </w:r>
      <w:r>
        <w:t xml:space="preserve">3.3 million/year</w:t>
      </w:r>
    </w:p>
    <w:p>
      <w:pPr>
        <w:pStyle w:val="BodyText"/>
      </w:pPr>
      <w:r>
        <w:t xml:space="preserve">MSs bear costs of approximately a third (EUR):</w:t>
      </w:r>
      <w:r>
        <w:t xml:space="preserve"> </w:t>
      </w:r>
      <w:r>
        <w:t xml:space="preserve">3.1 million 193(one off)</w:t>
      </w:r>
      <w:r>
        <w:br/>
      </w:r>
      <w:r>
        <w:t xml:space="preserve">1.1 million/year</w:t>
      </w:r>
      <w:r>
        <w:t xml:space="preserve"> </w:t>
      </w:r>
      <w:r>
        <w:t xml:space="preserve">Registration costs for category 4 economic operators: EUR 0.01 million.</w:t>
      </w:r>
    </w:p>
    <w:p>
      <w:pPr>
        <w:pStyle w:val="BodyText"/>
      </w:pPr>
      <w:r>
        <w:t xml:space="preserve">7.3. Coherence</w:t>
      </w:r>
      <w:r>
        <w:t xml:space="preserve"> </w:t>
      </w:r>
      <w:r>
        <w:t xml:space="preserve">All policy options are consistent with the EU’s international obligations towards the UN and</w:t>
      </w:r>
      <w:r>
        <w:t xml:space="preserve"> </w:t>
      </w:r>
      <w:r>
        <w:t xml:space="preserve">follow their recommendations to address designer precursors. Options 2 and 3 reduce certain</w:t>
      </w:r>
      <w:r>
        <w:t xml:space="preserve"> </w:t>
      </w:r>
      <w:r>
        <w:t xml:space="preserve">reporting activities to the UN which has so far been done on a voluntary basis by the EU.</w:t>
      </w:r>
      <w:r>
        <w:t xml:space="preserve"> </w:t>
      </w:r>
      <w:r>
        <w:t xml:space="preserve">While Option 1 improves the enforcement of rules and synergies with the EUDA, options 2 and</w:t>
      </w:r>
      <w:r>
        <w:t xml:space="preserve"> </w:t>
      </w:r>
      <w:r>
        <w:t xml:space="preserve">3 go further in contributing to the objectives of EU drug policy. By extending scheduling and</w:t>
      </w:r>
      <w:r>
        <w:t xml:space="preserve"> </w:t>
      </w:r>
      <w:r>
        <w:t xml:space="preserve">introducing a separate category of drug precursors, they strengthen the application of the</w:t>
      </w:r>
      <w:r>
        <w:t xml:space="preserve"> </w:t>
      </w:r>
      <w:r>
        <w:t xml:space="preserve">Framework Decision on combatting drug trafficking and should also reduce the amount of drug</w:t>
      </w:r>
      <w:r>
        <w:t xml:space="preserve"> </w:t>
      </w:r>
      <w:r>
        <w:t xml:space="preserve">precursors available for illegal drug production.</w:t>
      </w:r>
      <w:r>
        <w:t xml:space="preserve"> </w:t>
      </w:r>
      <w:r>
        <w:t xml:space="preserve">Concerning general customs policy, Option 1 does not have any positive impacts apart from the</w:t>
      </w:r>
      <w:r>
        <w:t xml:space="preserve"> </w:t>
      </w:r>
      <w:r>
        <w:t xml:space="preserve">baseline, while under Option 2 and 3 the IT system, including the real-time seizure reporting,</w:t>
      </w:r>
      <w:r>
        <w:t xml:space="preserve"> </w:t>
      </w:r>
      <w:r>
        <w:t xml:space="preserve">and use of CUS numbers should improve interoperability and risk management.</w:t>
      </w:r>
      <w:r>
        <w:br/>
      </w:r>
      <w:r>
        <w:t xml:space="preserve">Finally, concerning the digital by default principle, option 1 can make some small contribution</w:t>
      </w:r>
      <w:r>
        <w:t xml:space="preserve"> </w:t>
      </w:r>
      <w:r>
        <w:t xml:space="preserve">through guidance, but options 2 and 3 have a much larger impact through the full digitisation</w:t>
      </w:r>
      <w:r>
        <w:t xml:space="preserve"> </w:t>
      </w:r>
      <w:r>
        <w:t xml:space="preserve">of all procedures. In addition, the digitisation has the benefit of enabling a drastic reduction of</w:t>
      </w:r>
      <w:r>
        <w:t xml:space="preserve"> </w:t>
      </w:r>
      <w:r>
        <w:t xml:space="preserve">reporting requirements for both national authorities and economic operators – while respecting</w:t>
      </w:r>
      <w:r>
        <w:t xml:space="preserve"> </w:t>
      </w:r>
      <w:r>
        <w:t xml:space="preserve">UN reporting obligations.</w:t>
      </w:r>
    </w:p>
    <w:p>
      <w:pPr>
        <w:pStyle w:val="BodyText"/>
      </w:pPr>
      <w:r>
        <w:t xml:space="preserve">190 Annualised according to the standard cost model formula above with total cost = EUR 0.46 million</w:t>
      </w:r>
      <w:r>
        <w:t xml:space="preserve"> </w:t>
      </w:r>
      <w:r>
        <w:t xml:space="preserve">191 Annualised according to the standard cost model formula above with total cost = EUR 0.46 million</w:t>
      </w:r>
      <w:r>
        <w:t xml:space="preserve"> </w:t>
      </w:r>
      <w:r>
        <w:t xml:space="preserve">192 Annualised according to the standard cost model formula above with total cost = EUR 17-25 million</w:t>
      </w:r>
      <w:r>
        <w:t xml:space="preserve"> </w:t>
      </w:r>
      <w:r>
        <w:t xml:space="preserve">193 Annualised according to the standard cost model formula above with total cost = EUR 8.9 million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7.4. Subsidiarity and proportionality</w:t>
      </w:r>
      <w:r>
        <w:br/>
      </w:r>
      <w:r>
        <w:t xml:space="preserve">Option 1 moderately complies with subsidiarity and proportionality principles. However, the</w:t>
      </w:r>
      <w:r>
        <w:t xml:space="preserve"> </w:t>
      </w:r>
      <w:r>
        <w:t xml:space="preserve">‘technical approach’ appears weak considering EU competence in this area and, in some cases,</w:t>
      </w:r>
      <w:r>
        <w:t xml:space="preserve"> </w:t>
      </w:r>
      <w:r>
        <w:t xml:space="preserve">the proposed measures are disproportionately limited compared to objectives. They entail</w:t>
      </w:r>
      <w:r>
        <w:t xml:space="preserve"> </w:t>
      </w:r>
      <w:r>
        <w:t xml:space="preserve">limited implementation costs, but these correspond to more limited benefits also. Given the</w:t>
      </w:r>
      <w:r>
        <w:t xml:space="preserve"> </w:t>
      </w:r>
      <w:r>
        <w:t xml:space="preserve">EU’s competence to act on both internal and external trade, these benefits appear to be unduly</w:t>
      </w:r>
      <w:r>
        <w:t xml:space="preserve"> </w:t>
      </w:r>
      <w:r>
        <w:t xml:space="preserve">limited. Member States and economic operators showed a moderate support of Option 1.</w:t>
      </w:r>
      <w:r>
        <w:br/>
      </w:r>
      <w:r>
        <w:t xml:space="preserve">Option 2 has the benefit of removing some of the disparities of implementation between</w:t>
      </w:r>
      <w:r>
        <w:t xml:space="preserve"> </w:t>
      </w:r>
      <w:r>
        <w:t xml:space="preserve">Member States and therefore facilitating trade. It is proportional in the sense that measures are</w:t>
      </w:r>
      <w:r>
        <w:t xml:space="preserve"> </w:t>
      </w:r>
      <w:r>
        <w:t xml:space="preserve">targeted to a limited number of designer precursors, thus increasing benefits on tackling illegal</w:t>
      </w:r>
      <w:r>
        <w:t xml:space="preserve"> </w:t>
      </w:r>
      <w:r>
        <w:t xml:space="preserve">trade without unduly hampering legal trade and innovation. Costs can be considered</w:t>
      </w:r>
      <w:r>
        <w:t xml:space="preserve"> </w:t>
      </w:r>
      <w:r>
        <w:t xml:space="preserve">proportional to the risk despite a reduction on controls notably on bulk materials. Member</w:t>
      </w:r>
      <w:r>
        <w:t xml:space="preserve"> </w:t>
      </w:r>
      <w:r>
        <w:t xml:space="preserve">States showed support to the measures proposed in Option 2 and considered them to be well-</w:t>
      </w:r>
      <w:r>
        <w:t xml:space="preserve"> </w:t>
      </w:r>
      <w:r>
        <w:t xml:space="preserve">balanced. Economic operators equally welcomed stricter rules if legal trade is safeguarded.</w:t>
      </w:r>
      <w:r>
        <w:t xml:space="preserve"> </w:t>
      </w:r>
      <w:r>
        <w:t xml:space="preserve">Option 3 shares many of the benefits of Option 2. Also, the option does consider risks but rather</w:t>
      </w:r>
      <w:r>
        <w:t xml:space="preserve"> </w:t>
      </w:r>
      <w:r>
        <w:t xml:space="preserve">favours controls. In this sense, the wide scope of designer precursors scheduled as well as the</w:t>
      </w:r>
      <w:r>
        <w:t xml:space="preserve"> </w:t>
      </w:r>
      <w:r>
        <w:t xml:space="preserve">increased controls of other precursors such as bulk materials may lead to some burdens that are</w:t>
      </w:r>
      <w:r>
        <w:t xml:space="preserve"> </w:t>
      </w:r>
      <w:r>
        <w:t xml:space="preserve">not entirely proportionate to the risk of diversion. This is corroborated by the fact that</w:t>
      </w:r>
      <w:r>
        <w:t xml:space="preserve"> </w:t>
      </w:r>
      <w:r>
        <w:t xml:space="preserve">authorities also associated this policy option with an increased cost of enforcement that could</w:t>
      </w:r>
      <w:r>
        <w:t xml:space="preserve"> </w:t>
      </w:r>
      <w:r>
        <w:t xml:space="preserve">potentially be considered disproportionate enough to no longer be implemented effectively.</w:t>
      </w:r>
      <w:r>
        <w:br/>
      </w:r>
      <w:r>
        <w:t xml:space="preserve">Ranking of options</w:t>
      </w:r>
      <w:r>
        <w:t xml:space="preserve"> </w:t>
      </w:r>
      <w:r>
        <w:t xml:space="preserve">The results of the comparison are summarised in Figure 22.</w:t>
      </w:r>
    </w:p>
    <w:p>
      <w:pPr>
        <w:pStyle w:val="BodyText"/>
      </w:pPr>
      <w:r>
        <w:t xml:space="preserve">Figure 22: Summary of comparison ratings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Efficiency</w:t>
      </w:r>
      <w:r>
        <w:t xml:space="preserve"> </w:t>
      </w:r>
      <w:r>
        <w:t xml:space="preserve">low</w:t>
      </w:r>
      <w:r>
        <w:t xml:space="preserve"> </w:t>
      </w:r>
      <w:r>
        <w:t xml:space="preserve">moderate</w:t>
      </w:r>
      <w:r>
        <w:t xml:space="preserve"> </w:t>
      </w:r>
      <w:r>
        <w:t xml:space="preserve">low</w:t>
      </w:r>
      <w:r>
        <w:t xml:space="preserve"> </w:t>
      </w:r>
      <w:r>
        <w:t xml:space="preserve">Coherence</w:t>
      </w:r>
      <w:r>
        <w:t xml:space="preserve"> </w:t>
      </w:r>
      <w:r>
        <w:t xml:space="preserve">moderate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Subsidiarity</w:t>
      </w:r>
      <w:r>
        <w:t xml:space="preserve"> </w:t>
      </w:r>
      <w:r>
        <w:t xml:space="preserve">moderate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low</w:t>
      </w:r>
      <w:r>
        <w:t xml:space="preserve"> </w:t>
      </w:r>
      <w:r>
        <w:t xml:space="preserve">moderate</w:t>
      </w:r>
      <w:r>
        <w:t xml:space="preserve"> </w:t>
      </w:r>
      <w:r>
        <w:t xml:space="preserve">low</w:t>
      </w:r>
      <w:r>
        <w:t xml:space="preserve"> </w:t>
      </w:r>
      <w:r>
        <w:t xml:space="preserve">Summary</w:t>
      </w:r>
      <w:r>
        <w:t xml:space="preserve"> </w:t>
      </w:r>
      <w:r>
        <w:t xml:space="preserve">moderate/low</w:t>
      </w:r>
      <w:r>
        <w:t xml:space="preserve"> </w:t>
      </w:r>
      <w:r>
        <w:t xml:space="preserve">high/moderate</w:t>
      </w:r>
      <w:r>
        <w:t xml:space="preserve"> </w:t>
      </w:r>
      <w:r>
        <w:t xml:space="preserve">moderate</w:t>
      </w:r>
    </w:p>
    <w:p>
      <w:pPr>
        <w:pStyle w:val="Compact"/>
        <w:numPr>
          <w:ilvl w:val="0"/>
          <w:numId w:val="1004"/>
        </w:numPr>
      </w:pPr>
      <w:r>
        <w:t xml:space="preserve">Preferred option</w:t>
      </w:r>
      <w:r>
        <w:t xml:space="preserve"> </w:t>
      </w:r>
      <w:r>
        <w:t xml:space="preserve">The results of comparison indicate that Option 2 is the approach that would best address the</w:t>
      </w:r>
      <w:r>
        <w:t xml:space="preserve"> </w:t>
      </w:r>
      <w:r>
        <w:t xml:space="preserve">policy problems identified and maximize the achievement of both objectives. It addresses the</w:t>
      </w:r>
      <w:r>
        <w:t xml:space="preserve"> </w:t>
      </w:r>
      <w:r>
        <w:t xml:space="preserve">risks of diversion in a targeted manner while balancing these with a burden reduction for legal</w:t>
      </w:r>
      <w:r>
        <w:t xml:space="preserve"> </w:t>
      </w:r>
      <w:r>
        <w:t xml:space="preserve">trade through the introduction of modern digital procedures.</w:t>
      </w:r>
      <w:r>
        <w:t xml:space="preserve"> </w:t>
      </w:r>
      <w:r>
        <w:t xml:space="preserve">8.1. REFIT (simplification and improved efficiency)</w:t>
      </w:r>
      <w:r>
        <w:t xml:space="preserve"> </w:t>
      </w:r>
      <w:r>
        <w:t xml:space="preserve">The preferred option would lead to significant simplifications of the rules, namely: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 merger of the two regulations into a single regulation, removing the unnecessary</w:t>
      </w:r>
      <w:r>
        <w:t xml:space="preserve"> </w:t>
      </w:r>
      <w:r>
        <w:t xml:space="preserve">differences, aligning and updating definitions and identifiers (i.e. the use of the CUS number</w:t>
      </w:r>
      <w:r>
        <w:t xml:space="preserve"> </w:t>
      </w:r>
      <w:r>
        <w:t xml:space="preserve">instead of CN code) to make it easier to follow the rules.</w:t>
      </w:r>
    </w:p>
    <w:p>
      <w:pPr>
        <w:pStyle w:val="Compact"/>
        <w:numPr>
          <w:ilvl w:val="0"/>
          <w:numId w:val="1005"/>
        </w:numPr>
      </w:pPr>
      <w:r>
        <w:t xml:space="preserve">A lower of the number of categories of scheduled substances, from 5 to 3.</w:t>
      </w:r>
    </w:p>
    <w:p>
      <w:pPr>
        <w:pStyle w:val="FirstParagraph"/>
      </w:pPr>
      <w:r>
        <w:t xml:space="preserve">58</w:t>
      </w:r>
      <w:r>
        <w:t xml:space="preserve"> </w:t>
      </w:r>
      <w:r>
        <w:t xml:space="preserve">3) A revision and modernisation of procedures for legal trade, the development of a central</w:t>
      </w:r>
      <w:r>
        <w:t xml:space="preserve"> </w:t>
      </w:r>
      <w:r>
        <w:t xml:space="preserve">web portal allows for digital applications for license (new Category 1) and self e-registration</w:t>
      </w:r>
      <w:r>
        <w:t xml:space="preserve"> </w:t>
      </w:r>
      <w:r>
        <w:t xml:space="preserve">for external trade (new Category 2) and the automation of authorisation for imports and</w:t>
      </w:r>
      <w:r>
        <w:t xml:space="preserve"> </w:t>
      </w:r>
      <w:r>
        <w:t xml:space="preserve">exports based on quantity management as well as the lifting of the PEN wait period, the</w:t>
      </w:r>
      <w:r>
        <w:t xml:space="preserve"> </w:t>
      </w:r>
      <w:r>
        <w:t xml:space="preserve">aggregation of data on legal trade for annual reporting to the UN on legal use, and the</w:t>
      </w:r>
      <w:r>
        <w:t xml:space="preserve"> </w:t>
      </w:r>
      <w:r>
        <w:t xml:space="preserve">digitisation of the process of requesting and verification of customers.</w:t>
      </w:r>
      <w:r>
        <w:br/>
      </w:r>
      <w:r>
        <w:t xml:space="preserve">4) An introducing a de minimis rule for mixtures, i.e. thresholds that are objectively defined</w:t>
      </w:r>
      <w:r>
        <w:t xml:space="preserve"> </w:t>
      </w:r>
      <w:r>
        <w:t xml:space="preserve">to create a standardised approach that does not differ across Member States, nor rely on the</w:t>
      </w:r>
      <w:r>
        <w:t xml:space="preserve"> </w:t>
      </w:r>
      <w:r>
        <w:t xml:space="preserve">expert judgment of operators.</w:t>
      </w:r>
      <w:r>
        <w:t xml:space="preserve"> </w:t>
      </w:r>
      <w:r>
        <w:t xml:space="preserve">5) An exemption of small quantities to enable research and innovation.</w:t>
      </w:r>
      <w:r>
        <w:br/>
      </w:r>
      <w:r>
        <w:t xml:space="preserve">The above should lead to reduced administrative costs for operators and public authorities. The</w:t>
      </w:r>
      <w:r>
        <w:t xml:space="preserve"> </w:t>
      </w:r>
      <w:r>
        <w:t xml:space="preserve">benefits accruing from the consolidation of the two regulations and the introduction of the de</w:t>
      </w:r>
      <w:r>
        <w:t xml:space="preserve"> </w:t>
      </w:r>
      <w:r>
        <w:t xml:space="preserve">minimis rule for mixtures are difficult to quantify since they relate to the time spent</w:t>
      </w:r>
      <w:r>
        <w:t xml:space="preserve"> </w:t>
      </w:r>
      <w:r>
        <w:t xml:space="preserve">understanding the rules and how to comply with them (i.e. they are a complementary action for</w:t>
      </w:r>
      <w:r>
        <w:t xml:space="preserve"> </w:t>
      </w:r>
      <w:r>
        <w:t xml:space="preserve">the compliance with the actual obligations themselves). Based on the feedback there is an</w:t>
      </w:r>
      <w:r>
        <w:t xml:space="preserve"> </w:t>
      </w:r>
      <w:r>
        <w:t xml:space="preserve">expectation that the measures envisaged to simplify would (over time) lead to a reduction in the</w:t>
      </w:r>
      <w:r>
        <w:t xml:space="preserve"> </w:t>
      </w:r>
      <w:r>
        <w:t xml:space="preserve">time needed to understand the rules. Meanwhile, the cost savings from digitalisation and</w:t>
      </w:r>
      <w:r>
        <w:t xml:space="preserve"> </w:t>
      </w:r>
      <w:r>
        <w:t xml:space="preserve">automation of processes (alongside the revision of substance categorisation) are estimated in</w:t>
      </w:r>
      <w:r>
        <w:t xml:space="preserve"> </w:t>
      </w:r>
      <w:r>
        <w:t xml:space="preserve">section 6.2 based on the methodology in Annex 4 and summarised below.</w:t>
      </w:r>
      <w:r>
        <w:t xml:space="preserve"> </w:t>
      </w:r>
      <w:r>
        <w:t xml:space="preserve">8.2. Application of the ‘one in, one out’ approach</w:t>
      </w:r>
      <w:r>
        <w:br/>
      </w:r>
      <w:r>
        <w:t xml:space="preserve">The proposed option would entail the removal of administrative costs associated with reduced</w:t>
      </w:r>
      <w:r>
        <w:t xml:space="preserve"> </w:t>
      </w:r>
      <w:r>
        <w:t xml:space="preserve">obligations for certain substances to better facilitate trade where risks are low, and the</w:t>
      </w:r>
      <w:r>
        <w:t xml:space="preserve"> </w:t>
      </w:r>
      <w:r>
        <w:t xml:space="preserve">introduction of new administrative costs related to new obligations to support enhanced control</w:t>
      </w:r>
      <w:r>
        <w:t xml:space="preserve"> </w:t>
      </w:r>
      <w:r>
        <w:t xml:space="preserve">(where risks are high, or the additional administrative cost is negligible). Figure 23 lists one by</w:t>
      </w:r>
      <w:r>
        <w:t xml:space="preserve"> </w:t>
      </w:r>
      <w:r>
        <w:t xml:space="preserve">one which administrative costs are removed (OUTs) under the proposal, and which are</w:t>
      </w:r>
      <w:r>
        <w:t xml:space="preserve"> </w:t>
      </w:r>
      <w:r>
        <w:t xml:space="preserve">introduced (INs). The preferred option would lead to net administrative costs lower than the</w:t>
      </w:r>
      <w:r>
        <w:t xml:space="preserve"> </w:t>
      </w:r>
      <w:r>
        <w:t xml:space="preserve">baseline. Specifically, the net benefits of the proposed option for economic operators would</w:t>
      </w:r>
      <w:r>
        <w:t xml:space="preserve"> </w:t>
      </w:r>
      <w:r>
        <w:t xml:space="preserve">amount to approximately EUR 25.27 million per year.</w:t>
      </w:r>
      <w:r>
        <w:t xml:space="preserve"> </w:t>
      </w:r>
      <w:r>
        <w:t xml:space="preserve">Figure 23: Overview of administrative costs (and corresponding obligations) added or</w:t>
      </w:r>
      <w:r>
        <w:t xml:space="preserve"> </w:t>
      </w:r>
      <w:r>
        <w:t xml:space="preserve">removed, assessed over a period of 3 years, with costs annualised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OUT</w:t>
      </w:r>
      <w:r>
        <w:t xml:space="preserve"> </w:t>
      </w:r>
      <w:r>
        <w:t xml:space="preserve">(Obligations removed)</w:t>
      </w:r>
      <w:r>
        <w:t xml:space="preserve"> </w:t>
      </w:r>
      <w:r>
        <w:t xml:space="preserve">Cost</w:t>
      </w:r>
      <w:r>
        <w:br/>
      </w:r>
      <w:r>
        <w:t xml:space="preserve">(M EUR)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br/>
      </w:r>
      <w:r>
        <w:t xml:space="preserve">(New obligations)</w:t>
      </w:r>
      <w:r>
        <w:t xml:space="preserve"> </w:t>
      </w:r>
      <w:r>
        <w:t xml:space="preserve">Cost</w:t>
      </w:r>
      <w:r>
        <w:br/>
      </w:r>
      <w:r>
        <w:t xml:space="preserve">( M EUR)</w:t>
      </w:r>
    </w:p>
    <w:p>
      <w:pPr>
        <w:pStyle w:val="BodyText"/>
      </w:pPr>
      <w:r>
        <w:t xml:space="preserve">• Due diligence for the implementation</w:t>
      </w:r>
      <w:r>
        <w:t xml:space="preserve"> </w:t>
      </w:r>
      <w:r>
        <w:t xml:space="preserve">of the ban on designer precursors</w:t>
      </w:r>
      <w:r>
        <w:br/>
      </w:r>
      <w:r>
        <w:t xml:space="preserve">2.72</w:t>
      </w:r>
      <w:r>
        <w:br/>
      </w:r>
      <w:r>
        <w:t xml:space="preserve">• New registrations</w:t>
      </w:r>
      <w:r>
        <w:t xml:space="preserve"> </w:t>
      </w:r>
      <w:r>
        <w:t xml:space="preserve">0.09</w:t>
      </w:r>
    </w:p>
    <w:p>
      <w:pPr>
        <w:pStyle w:val="BodyText"/>
      </w:pPr>
      <w:r>
        <w:t xml:space="preserve">• Annual renewal of registrations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• Annual administrative costs for e-</w:t>
      </w:r>
      <w:r>
        <w:t xml:space="preserve"> </w:t>
      </w:r>
      <w:r>
        <w:t xml:space="preserve">verification</w:t>
      </w:r>
      <w:r>
        <w:t xml:space="preserve"> </w:t>
      </w:r>
      <w:r>
        <w:t xml:space="preserve">17.6</w:t>
      </w:r>
    </w:p>
    <w:p>
      <w:pPr>
        <w:pStyle w:val="BodyText"/>
      </w:pPr>
      <w:r>
        <w:t xml:space="preserve">• Annual administrative costs for</w:t>
      </w:r>
      <w:r>
        <w:t xml:space="preserve"> </w:t>
      </w:r>
      <w:r>
        <w:t xml:space="preserve">import and export authorisations</w:t>
      </w:r>
      <w:r>
        <w:t xml:space="preserve"> </w:t>
      </w:r>
      <w:r>
        <w:t xml:space="preserve">6.4</w:t>
      </w:r>
    </w:p>
    <w:p>
      <w:pPr>
        <w:pStyle w:val="BodyText"/>
      </w:pPr>
      <w:r>
        <w:t xml:space="preserve">• Annual administrative costs for</w:t>
      </w:r>
      <w:r>
        <w:t xml:space="preserve"> </w:t>
      </w:r>
      <w:r>
        <w:t xml:space="preserve">reporting</w:t>
      </w:r>
      <w:r>
        <w:t xml:space="preserve"> </w:t>
      </w:r>
      <w:r>
        <w:t xml:space="preserve">3.2</w:t>
      </w:r>
    </w:p>
    <w:p>
      <w:pPr>
        <w:pStyle w:val="Compact"/>
        <w:numPr>
          <w:ilvl w:val="0"/>
          <w:numId w:val="1006"/>
        </w:numPr>
      </w:pPr>
      <w:r>
        <w:t xml:space="preserve">How will actual impacts be monitored and evaluated?</w:t>
      </w:r>
      <w:r>
        <w:t xml:space="preserve"> </w:t>
      </w:r>
      <w:r>
        <w:t xml:space="preserve">This Section provides a list of indicators that can be embedded in plans for future monitoring</w:t>
      </w:r>
      <w:r>
        <w:t xml:space="preserve"> </w:t>
      </w:r>
      <w:r>
        <w:t xml:space="preserve">and evaluation of the regulatory framework and, in particular, of the interventions proposed</w:t>
      </w:r>
      <w:r>
        <w:t xml:space="preserve"> </w:t>
      </w:r>
      <w:r>
        <w:t xml:space="preserve">under the preferred Option 2. An evaluation of drug precursor rules should be carried out no</w:t>
      </w:r>
    </w:p>
    <w:p>
      <w:pPr>
        <w:pStyle w:val="FirstParagraph"/>
      </w:pPr>
      <w:r>
        <w:t xml:space="preserve">59</w:t>
      </w:r>
      <w:r>
        <w:t xml:space="preserve"> </w:t>
      </w:r>
      <w:r>
        <w:t xml:space="preserve">later than 10 years after the entry into application of the revised rules. This would enable the</w:t>
      </w:r>
      <w:r>
        <w:t xml:space="preserve"> </w:t>
      </w:r>
      <w:r>
        <w:t xml:space="preserve">Commission to analyse a period of approximately five years of practical implementation of the</w:t>
      </w:r>
      <w:r>
        <w:t xml:space="preserve"> </w:t>
      </w:r>
      <w:r>
        <w:t xml:space="preserve">rules.</w:t>
      </w:r>
      <w:r>
        <w:br/>
      </w:r>
      <w:r>
        <w:t xml:space="preserve">It needs to be recognised, however, that especially indicators used for illegal drug supply</w:t>
      </w:r>
      <w:r>
        <w:t xml:space="preserve"> </w:t>
      </w:r>
      <w:r>
        <w:t xml:space="preserve">concern a clandestine activity in which many factors intervene. They will therefore not</w:t>
      </w:r>
      <w:r>
        <w:t xml:space="preserve"> </w:t>
      </w:r>
      <w:r>
        <w:t xml:space="preserve">necessarily always accurately reflect the effects of policy and would have to be assessed in the</w:t>
      </w:r>
      <w:r>
        <w:t xml:space="preserve"> </w:t>
      </w:r>
      <w:r>
        <w:t xml:space="preserve">overall context of drug policy indicators194.</w:t>
      </w:r>
    </w:p>
    <w:p>
      <w:pPr>
        <w:pStyle w:val="BodyText"/>
      </w:pPr>
      <w:r>
        <w:t xml:space="preserve">The monitoring framework includes two lists of indicators, i.e. output and impact indicators.</w:t>
      </w:r>
      <w:r>
        <w:t xml:space="preserve"> </w:t>
      </w:r>
      <w:r>
        <w:t xml:space="preserve">Output indicators in Figure 24 connected to the operational objective of the intervention</w:t>
      </w:r>
      <w:r>
        <w:t xml:space="preserve"> </w:t>
      </w:r>
      <w:r>
        <w:t xml:space="preserve">supported, where available, by the baseline situation, as a point for comparison for future</w:t>
      </w:r>
      <w:r>
        <w:t xml:space="preserve"> </w:t>
      </w:r>
      <w:r>
        <w:t xml:space="preserve">evaluations.</w:t>
      </w:r>
    </w:p>
    <w:p>
      <w:pPr>
        <w:pStyle w:val="BodyText"/>
      </w:pPr>
      <w:r>
        <w:t xml:space="preserve">194 In accordance with to Singleton et al, interpretation and comparative analysis can be difficult. “Examples of</w:t>
      </w:r>
      <w:r>
        <w:t xml:space="preserve"> </w:t>
      </w:r>
      <w:r>
        <w:t xml:space="preserve">limitations of these data sources include: the extent to which they reflect operational priorities rather than market</w:t>
      </w:r>
      <w:r>
        <w:t xml:space="preserve"> </w:t>
      </w:r>
      <w:r>
        <w:t xml:space="preserve">changes; question marks over the robustness of and consistency in data collection methods, and issues around the</w:t>
      </w:r>
      <w:r>
        <w:t xml:space="preserve"> </w:t>
      </w:r>
      <w:r>
        <w:t xml:space="preserve">timeliness of data availability.” Singleton et al., “Drug supply indicators: Pitfalls and possibilities for</w:t>
      </w:r>
      <w:r>
        <w:t xml:space="preserve"> </w:t>
      </w:r>
      <w:r>
        <w:t xml:space="preserve">improvements to assist comparative analysis”, International Journal of Drug Policy, 2018.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Figure 24: Provisional list of output indicators for future monitoring and evaluation of operational objectives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Output Indicator</w:t>
      </w:r>
      <w:r>
        <w:t xml:space="preserve"> </w:t>
      </w:r>
      <w:r>
        <w:t xml:space="preserve">Key</w:t>
      </w:r>
      <w:r>
        <w:t xml:space="preserve"> </w:t>
      </w:r>
      <w:r>
        <w:t xml:space="preserve">indicator</w:t>
      </w:r>
      <w:r>
        <w:t xml:space="preserve"> </w:t>
      </w:r>
      <w:r>
        <w:t xml:space="preserve">Baseline</w:t>
      </w:r>
      <w:r>
        <w:t xml:space="preserve"> </w:t>
      </w:r>
      <w:r>
        <w:t xml:space="preserve">Goal</w:t>
      </w:r>
      <w:r>
        <w:t xml:space="preserve"> </w:t>
      </w:r>
      <w:r>
        <w:t xml:space="preserve">Tentative</w:t>
      </w:r>
      <w:r>
        <w:t xml:space="preserve"> </w:t>
      </w:r>
      <w:r>
        <w:t xml:space="preserve">source</w:t>
      </w:r>
      <w:r>
        <w:t xml:space="preserve"> </w:t>
      </w:r>
      <w:r>
        <w:t xml:space="preserve">Objective #1</w:t>
      </w:r>
      <w:r>
        <w:t xml:space="preserve"> </w:t>
      </w:r>
      <w:r>
        <w:t xml:space="preserve">To reduce the time</w:t>
      </w:r>
      <w:r>
        <w:t xml:space="preserve"> </w:t>
      </w:r>
      <w:r>
        <w:t xml:space="preserve">to schedule a new</w:t>
      </w:r>
      <w:r>
        <w:t xml:space="preserve"> </w:t>
      </w:r>
      <w:r>
        <w:t xml:space="preserve">precursor</w:t>
      </w:r>
      <w:r>
        <w:br/>
      </w:r>
      <w:r>
        <w:t xml:space="preserve">Reduction of # of</w:t>
      </w:r>
      <w:r>
        <w:t xml:space="preserve"> </w:t>
      </w:r>
      <w:r>
        <w:t xml:space="preserve">months from first</w:t>
      </w:r>
      <w:r>
        <w:t xml:space="preserve"> </w:t>
      </w:r>
      <w:r>
        <w:t xml:space="preserve">detection to</w:t>
      </w:r>
      <w:r>
        <w:t xml:space="preserve"> </w:t>
      </w:r>
      <w:r>
        <w:t xml:space="preserve">adoption of</w:t>
      </w:r>
      <w:r>
        <w:t xml:space="preserve"> </w:t>
      </w:r>
      <w:r>
        <w:t xml:space="preserve">response measure</w:t>
      </w:r>
      <w:r>
        <w:t xml:space="preserve"> </w:t>
      </w:r>
      <w:r>
        <w:t xml:space="preserve">No</w:t>
      </w:r>
      <w:r>
        <w:t xml:space="preserve"> </w:t>
      </w:r>
      <w:r>
        <w:t xml:space="preserve">14 months</w:t>
      </w:r>
      <w:r>
        <w:t xml:space="preserve"> </w:t>
      </w:r>
      <w:r>
        <w:t xml:space="preserve">10 months</w:t>
      </w:r>
      <w:r>
        <w:t xml:space="preserve"> </w:t>
      </w:r>
      <w:r>
        <w:t xml:space="preserve">Drug precursors</w:t>
      </w:r>
      <w:r>
        <w:t xml:space="preserve"> </w:t>
      </w:r>
      <w:r>
        <w:t xml:space="preserve">database</w:t>
      </w:r>
      <w:r>
        <w:t xml:space="preserve"> </w:t>
      </w:r>
      <w:r>
        <w:t xml:space="preserve">To reduce illicit</w:t>
      </w:r>
      <w:r>
        <w:t xml:space="preserve"> </w:t>
      </w:r>
      <w:r>
        <w:t xml:space="preserve">trade of precursors</w:t>
      </w:r>
    </w:p>
    <w:p>
      <w:pPr>
        <w:pStyle w:val="BodyText"/>
      </w:pPr>
      <w:r>
        <w:t xml:space="preserve">Reduction of</w:t>
      </w:r>
      <w:r>
        <w:t xml:space="preserve"> </w:t>
      </w:r>
      <w:r>
        <w:t xml:space="preserve">annual volume of</w:t>
      </w:r>
      <w:r>
        <w:t xml:space="preserve"> </w:t>
      </w:r>
      <w:r>
        <w:t xml:space="preserve">seized scheduled</w:t>
      </w:r>
      <w:r>
        <w:t xml:space="preserve"> </w:t>
      </w:r>
      <w:r>
        <w:t xml:space="preserve">precursors</w:t>
      </w:r>
      <w:r>
        <w:t xml:space="preserve"> </w:t>
      </w:r>
      <w:r>
        <w:t xml:space="preserve">Yes</w:t>
      </w:r>
      <w:r>
        <w:t xml:space="preserve"> </w:t>
      </w:r>
      <w:r>
        <w:t xml:space="preserve">2 100 incidents, corresponding to</w:t>
      </w:r>
      <w:r>
        <w:t xml:space="preserve"> </w:t>
      </w:r>
      <w:r>
        <w:t xml:space="preserve">approximately 541 tonnes of precursors</w:t>
      </w:r>
      <w:r>
        <w:t xml:space="preserve"> </w:t>
      </w:r>
      <w:r>
        <w:t xml:space="preserve">seized in 2023</w:t>
      </w:r>
      <w:r>
        <w:t xml:space="preserve"> </w:t>
      </w:r>
      <w:r>
        <w:t xml:space="preserve">60% reduction</w:t>
      </w:r>
      <w:r>
        <w:br/>
      </w:r>
      <w:r>
        <w:t xml:space="preserve">Drug precursors</w:t>
      </w:r>
      <w:r>
        <w:t xml:space="preserve"> </w:t>
      </w:r>
      <w:r>
        <w:t xml:space="preserve">database</w:t>
      </w:r>
      <w:r>
        <w:t xml:space="preserve"> </w:t>
      </w:r>
      <w:r>
        <w:t xml:space="preserve">Lower share of</w:t>
      </w:r>
      <w:r>
        <w:t xml:space="preserve"> </w:t>
      </w:r>
      <w:r>
        <w:t xml:space="preserve">designer</w:t>
      </w:r>
      <w:r>
        <w:t xml:space="preserve"> </w:t>
      </w:r>
      <w:r>
        <w:t xml:space="preserve">precursors</w:t>
      </w:r>
      <w:r>
        <w:t xml:space="preserve"> </w:t>
      </w:r>
      <w:r>
        <w:t xml:space="preserve">amongst seizures</w:t>
      </w:r>
      <w:r>
        <w:t xml:space="preserve"> </w:t>
      </w:r>
      <w:r>
        <w:t xml:space="preserve">Yes</w:t>
      </w:r>
      <w:r>
        <w:t xml:space="preserve"> </w:t>
      </w:r>
      <w:r>
        <w:t xml:space="preserve">88 % of seizures of key precursors included</w:t>
      </w:r>
      <w:r>
        <w:t xml:space="preserve"> </w:t>
      </w:r>
      <w:r>
        <w:t xml:space="preserve">designer precursors</w:t>
      </w:r>
      <w:r>
        <w:t xml:space="preserve"> </w:t>
      </w:r>
      <w:r>
        <w:t xml:space="preserve">60 % reduction</w:t>
      </w:r>
      <w:r>
        <w:t xml:space="preserve"> </w:t>
      </w:r>
      <w:r>
        <w:t xml:space="preserve">Reduced volume</w:t>
      </w:r>
      <w:r>
        <w:t xml:space="preserve"> </w:t>
      </w:r>
      <w:r>
        <w:t xml:space="preserve">of ed non-</w:t>
      </w:r>
      <w:r>
        <w:t xml:space="preserve"> </w:t>
      </w:r>
      <w:r>
        <w:t xml:space="preserve">scheduled</w:t>
      </w:r>
      <w:r>
        <w:t xml:space="preserve"> </w:t>
      </w:r>
      <w:r>
        <w:t xml:space="preserve">precursors seized</w:t>
      </w:r>
      <w:r>
        <w:t xml:space="preserve"> </w:t>
      </w:r>
      <w:r>
        <w:t xml:space="preserve">by MS</w:t>
      </w:r>
      <w:r>
        <w:t xml:space="preserve"> </w:t>
      </w:r>
      <w:r>
        <w:t xml:space="preserve">Yes</w:t>
      </w:r>
      <w:r>
        <w:t xml:space="preserve"> </w:t>
      </w:r>
      <w:r>
        <w:t xml:space="preserve">194 tonnes</w:t>
      </w:r>
      <w:r>
        <w:br/>
      </w:r>
      <w:r>
        <w:t xml:space="preserve">(average 2021-2023)</w:t>
      </w:r>
      <w:r>
        <w:t xml:space="preserve"> </w:t>
      </w:r>
      <w:r>
        <w:t xml:space="preserve">60% reduction195</w:t>
      </w:r>
      <w:r>
        <w:t xml:space="preserve"> </w:t>
      </w:r>
      <w:r>
        <w:t xml:space="preserve">To increased</w:t>
      </w:r>
      <w:r>
        <w:t xml:space="preserve"> </w:t>
      </w:r>
      <w:r>
        <w:t xml:space="preserve">engagement of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No of</w:t>
      </w:r>
      <w:r>
        <w:t xml:space="preserve"> </w:t>
      </w:r>
      <w:r>
        <w:t xml:space="preserve">notifications of</w:t>
      </w:r>
      <w:r>
        <w:t xml:space="preserve"> </w:t>
      </w:r>
      <w:r>
        <w:t xml:space="preserve">suspicious</w:t>
      </w:r>
      <w:r>
        <w:t xml:space="preserve"> </w:t>
      </w:r>
      <w:r>
        <w:t xml:space="preserve">transactions</w:t>
      </w:r>
      <w:r>
        <w:t xml:space="preserve"> </w:t>
      </w:r>
      <w:r>
        <w:t xml:space="preserve">Yes</w:t>
      </w:r>
      <w:r>
        <w:t xml:space="preserve"> </w:t>
      </w:r>
      <w:r>
        <w:t xml:space="preserve">324 notifications</w:t>
      </w:r>
      <w:r>
        <w:br/>
      </w:r>
      <w:r>
        <w:t xml:space="preserve">1900 seizures</w:t>
      </w:r>
      <w:r>
        <w:t xml:space="preserve"> </w:t>
      </w:r>
      <w:r>
        <w:t xml:space="preserve">Better ratio of suspicious transactions vs. seizures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br/>
      </w:r>
      <w:r>
        <w:t xml:space="preserve">No of</w:t>
      </w:r>
      <w:r>
        <w:t xml:space="preserve"> </w:t>
      </w:r>
      <w:r>
        <w:t xml:space="preserve">notifications from</w:t>
      </w:r>
      <w:r>
        <w:t xml:space="preserve"> </w:t>
      </w:r>
      <w:r>
        <w:t xml:space="preserve">online platforms</w:t>
      </w:r>
      <w:r>
        <w:t xml:space="preserve"> </w:t>
      </w:r>
      <w:r>
        <w:t xml:space="preserve">Yes</w:t>
      </w:r>
      <w:r>
        <w:t xml:space="preserve"> </w:t>
      </w:r>
      <w:r>
        <w:t xml:space="preserve">N/A</w:t>
      </w:r>
      <w:r>
        <w:t xml:space="preserve"> </w:t>
      </w:r>
      <w:r>
        <w:t xml:space="preserve">Higher number of notifications</w:t>
      </w:r>
    </w:p>
    <w:p>
      <w:pPr>
        <w:pStyle w:val="BodyText"/>
      </w:pPr>
      <w:r>
        <w:t xml:space="preserve">195 Due to the larger number of scheduled substances, less substances should fall outside of the scope of the regulations and therefore, the overall number of seizures of</w:t>
      </w:r>
      <w:r>
        <w:t xml:space="preserve"> </w:t>
      </w:r>
      <w:r>
        <w:t xml:space="preserve">unscheduled substances should also be reduced. This would also indicate that illegal drug producers find it more difficult to have recourse to new substances.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Objective #2</w:t>
      </w:r>
      <w:r>
        <w:t xml:space="preserve"> </w:t>
      </w:r>
      <w:r>
        <w:t xml:space="preserve">Simpler regulatory</w:t>
      </w:r>
      <w:r>
        <w:t xml:space="preserve"> </w:t>
      </w:r>
      <w:r>
        <w:t xml:space="preserve">framework</w:t>
      </w:r>
    </w:p>
    <w:p>
      <w:pPr>
        <w:pStyle w:val="BodyText"/>
      </w:pPr>
      <w:r>
        <w:t xml:space="preserve">Cost of</w:t>
      </w:r>
      <w:r>
        <w:t xml:space="preserve"> </w:t>
      </w:r>
      <w:r>
        <w:t xml:space="preserve">formalities for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Yes</w:t>
      </w:r>
      <w:r>
        <w:t xml:space="preserve"> </w:t>
      </w:r>
      <w:r>
        <w:t xml:space="preserve">Licenses and registrations:</w:t>
      </w:r>
      <w:r>
        <w:t xml:space="preserve"> </w:t>
      </w:r>
      <w:r>
        <w:t xml:space="preserve">- EUR M 0.74 (one-off)</w:t>
      </w:r>
      <w:r>
        <w:t xml:space="preserve"> </w:t>
      </w:r>
      <w:r>
        <w:t xml:space="preserve">- EUR M 0.23 (annual)</w:t>
      </w:r>
      <w:r>
        <w:t xml:space="preserve"> </w:t>
      </w:r>
      <w:r>
        <w:t xml:space="preserve">Customer declaration:</w:t>
      </w:r>
      <w:r>
        <w:t xml:space="preserve"> </w:t>
      </w:r>
      <w:r>
        <w:t xml:space="preserve">-EUR M 22.5</w:t>
      </w:r>
    </w:p>
    <w:p>
      <w:pPr>
        <w:pStyle w:val="BodyText"/>
      </w:pPr>
      <w:r>
        <w:t xml:space="preserve">Import/export autorisations:</w:t>
      </w:r>
      <w:r>
        <w:t xml:space="preserve"> </w:t>
      </w:r>
      <w:r>
        <w:t xml:space="preserve">- EUR M 6.4 (annual)</w:t>
      </w:r>
      <w:r>
        <w:t xml:space="preserve"> </w:t>
      </w:r>
      <w:r>
        <w:t xml:space="preserve">Annual reporting:</w:t>
      </w:r>
      <w:r>
        <w:br/>
      </w:r>
      <w:r>
        <w:t xml:space="preserve">- EUR M 3.2</w:t>
      </w:r>
    </w:p>
    <w:p>
      <w:pPr>
        <w:pStyle w:val="BodyText"/>
      </w:pPr>
      <w:r>
        <w:t xml:space="preserve">Reduction of costs for licenses and registrations:</w:t>
      </w:r>
      <w:r>
        <w:br/>
      </w:r>
      <w:r>
        <w:t xml:space="preserve">-EUR M 0.25 (one-off)</w:t>
      </w:r>
      <w:r>
        <w:br/>
      </w:r>
      <w:r>
        <w:t xml:space="preserve">- EUR M 0.07 (annual)</w:t>
      </w:r>
      <w:r>
        <w:br/>
      </w:r>
      <w:r>
        <w:t xml:space="preserve">Digitisation of customer verification cost</w:t>
      </w:r>
      <w:r>
        <w:t xml:space="preserve"> </w:t>
      </w:r>
      <w:r>
        <w:t xml:space="preserve">reduction:</w:t>
      </w:r>
      <w:r>
        <w:br/>
      </w:r>
      <w:r>
        <w:t xml:space="preserve">- EUR M 17.6 (annual)</w:t>
      </w:r>
      <w:r>
        <w:t xml:space="preserve"> </w:t>
      </w:r>
      <w:r>
        <w:t xml:space="preserve">Import / export authorisations:</w:t>
      </w:r>
      <w:r>
        <w:br/>
      </w:r>
      <w:r>
        <w:t xml:space="preserve">- EUR M 6.4 (annual)</w:t>
      </w:r>
      <w:r>
        <w:t xml:space="preserve"> </w:t>
      </w:r>
      <w:r>
        <w:t xml:space="preserve">Annual reporting:</w:t>
      </w:r>
      <w:r>
        <w:t xml:space="preserve"> </w:t>
      </w:r>
      <w:r>
        <w:t xml:space="preserve">- EUR M 3.2 (annual)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Cost of</w:t>
      </w:r>
      <w:r>
        <w:t xml:space="preserve"> </w:t>
      </w:r>
      <w:r>
        <w:t xml:space="preserve">formalities for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Yes</w:t>
      </w:r>
      <w:r>
        <w:t xml:space="preserve"> </w:t>
      </w:r>
      <w:r>
        <w:t xml:space="preserve">Licenses and registrations:</w:t>
      </w:r>
      <w:r>
        <w:t xml:space="preserve"> </w:t>
      </w:r>
      <w:r>
        <w:t xml:space="preserve">-EUR M 1.3 (one-off)</w:t>
      </w:r>
      <w:r>
        <w:t xml:space="preserve"> </w:t>
      </w:r>
      <w:r>
        <w:t xml:space="preserve">-EUR M 0.23 (annual)</w:t>
      </w:r>
    </w:p>
    <w:p>
      <w:pPr>
        <w:pStyle w:val="BodyText"/>
      </w:pPr>
      <w:r>
        <w:t xml:space="preserve">Import/export authorisations:</w:t>
      </w:r>
      <w:r>
        <w:t xml:space="preserve"> </w:t>
      </w:r>
      <w:r>
        <w:t xml:space="preserve">-EUR M 6.9 (annual)</w:t>
      </w:r>
    </w:p>
    <w:p>
      <w:pPr>
        <w:pStyle w:val="BodyText"/>
      </w:pPr>
      <w:r>
        <w:t xml:space="preserve">Annual Reporting:</w:t>
      </w:r>
      <w:r>
        <w:t xml:space="preserve"> </w:t>
      </w:r>
      <w:r>
        <w:t xml:space="preserve">-EUR M 3.2</w:t>
      </w:r>
      <w:r>
        <w:t xml:space="preserve"> </w:t>
      </w:r>
      <w:r>
        <w:t xml:space="preserve">Reduction of costs for licenses and registrations:</w:t>
      </w:r>
      <w:r>
        <w:br/>
      </w:r>
      <w:r>
        <w:t xml:space="preserve">- EUR M 0.46(one-off)</w:t>
      </w:r>
      <w:r>
        <w:br/>
      </w:r>
      <w:r>
        <w:t xml:space="preserve">- EUR M 0.086 (annual)</w:t>
      </w:r>
      <w:r>
        <w:br/>
      </w:r>
      <w:r>
        <w:t xml:space="preserve">Cost reduction on import / export authorisations:</w:t>
      </w:r>
      <w:r>
        <w:br/>
      </w:r>
      <w:r>
        <w:t xml:space="preserve">- EUR M 6.9 (annual)</w:t>
      </w:r>
    </w:p>
    <w:p>
      <w:pPr>
        <w:pStyle w:val="BodyText"/>
      </w:pPr>
      <w:r>
        <w:t xml:space="preserve">Cost reduction on annual reporting:</w:t>
      </w:r>
      <w:r>
        <w:br/>
      </w:r>
      <w:r>
        <w:t xml:space="preserve">- EUR M 3.2 (annual)</w:t>
      </w:r>
      <w:r>
        <w:br/>
      </w:r>
      <w:r>
        <w:t xml:space="preserve">Public</w:t>
      </w:r>
      <w:r>
        <w:t xml:space="preserve"> </w:t>
      </w:r>
      <w:r>
        <w:t xml:space="preserve">consultation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Impact indicators in Figure 25, related to the broader objectives of the intervention. At this</w:t>
      </w:r>
      <w:r>
        <w:t xml:space="preserve"> </w:t>
      </w:r>
      <w:r>
        <w:t xml:space="preserve">level, the extent of the impact that is attributable to the policy will have to be carefully</w:t>
      </w:r>
      <w:r>
        <w:t xml:space="preserve"> </w:t>
      </w:r>
      <w:r>
        <w:t xml:space="preserve">considered, through appropriate qualitative / quantitative methodologies. Both EUDA’s work</w:t>
      </w:r>
      <w:r>
        <w:t xml:space="preserve"> </w:t>
      </w:r>
      <w:r>
        <w:t xml:space="preserve">on data collection as well as the EU Drugs Action Plan are based on several indicators that</w:t>
      </w:r>
      <w:r>
        <w:t xml:space="preserve"> </w:t>
      </w:r>
      <w:r>
        <w:t xml:space="preserve">monitor the situation of illegal drugs in the EU. The impact of drug precursor measures on these</w:t>
      </w:r>
      <w:r>
        <w:t xml:space="preserve"> </w:t>
      </w:r>
      <w:r>
        <w:t xml:space="preserve">indicators is largely indirect. Nevertheless, any policy on drug precursor controls also needs to</w:t>
      </w:r>
      <w:r>
        <w:t xml:space="preserve"> </w:t>
      </w:r>
      <w:r>
        <w:t xml:space="preserve">be assessed and analysed in the overall framework of EU drug policy.</w:t>
      </w:r>
      <w:r>
        <w:t xml:space="preserve"> </w:t>
      </w:r>
      <w:r>
        <w:t xml:space="preserve">Figure 25: Provisional list of impact indicators for future monitoring and evaluation of the</w:t>
      </w:r>
      <w:r>
        <w:t xml:space="preserve"> </w:t>
      </w:r>
      <w:r>
        <w:t xml:space="preserve">broader objectives</w:t>
      </w:r>
      <w:r>
        <w:t xml:space="preserve"> </w:t>
      </w:r>
      <w:r>
        <w:t xml:space="preserve">Objectives</w:t>
      </w:r>
      <w:r>
        <w:t xml:space="preserve"> </w:t>
      </w:r>
      <w:r>
        <w:t xml:space="preserve">Impact Indicator</w:t>
      </w:r>
      <w:r>
        <w:t xml:space="preserve"> </w:t>
      </w:r>
      <w:r>
        <w:t xml:space="preserve">Tentative source</w:t>
      </w:r>
      <w:r>
        <w:t xml:space="preserve"> </w:t>
      </w:r>
      <w:r>
        <w:t xml:space="preserve">Objective #1</w:t>
      </w:r>
      <w:r>
        <w:t xml:space="preserve"> </w:t>
      </w:r>
      <w:r>
        <w:t xml:space="preserve">Reduction in the illicit drugs</w:t>
      </w:r>
      <w:r>
        <w:t xml:space="preserve"> </w:t>
      </w:r>
      <w:r>
        <w:t xml:space="preserve">manufacturing in the EU</w:t>
      </w:r>
      <w:r>
        <w:t xml:space="preserve"> </w:t>
      </w:r>
      <w:r>
        <w:t xml:space="preserve">No. of clandestine laboratories dismantled per</w:t>
      </w:r>
      <w:r>
        <w:t xml:space="preserve"> </w:t>
      </w:r>
      <w:r>
        <w:t xml:space="preserve">year, per type of (synthetic) drugs</w:t>
      </w:r>
    </w:p>
    <w:p>
      <w:pPr>
        <w:pStyle w:val="BodyText"/>
      </w:pPr>
      <w:r>
        <w:t xml:space="preserve">Drug precursors</w:t>
      </w:r>
      <w:r>
        <w:t xml:space="preserve"> </w:t>
      </w:r>
      <w:r>
        <w:t xml:space="preserve">database</w:t>
      </w:r>
    </w:p>
    <w:p>
      <w:pPr>
        <w:pStyle w:val="BodyText"/>
      </w:pPr>
      <w:r>
        <w:t xml:space="preserve">MS authorities’ estimate on the illicit drug</w:t>
      </w:r>
      <w:r>
        <w:t xml:space="preserve"> </w:t>
      </w:r>
      <w:r>
        <w:t xml:space="preserve">production trends in the EU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Reduction in the illicit drugs</w:t>
      </w:r>
      <w:r>
        <w:t xml:space="preserve"> </w:t>
      </w:r>
      <w:r>
        <w:t xml:space="preserve">market</w:t>
      </w:r>
      <w:r>
        <w:t xml:space="preserve"> </w:t>
      </w:r>
      <w:r>
        <w:t xml:space="preserve">Prevalence of drugs uses in Europe, per type of</w:t>
      </w:r>
      <w:r>
        <w:t xml:space="preserve"> </w:t>
      </w:r>
      <w:r>
        <w:t xml:space="preserve">(synthetic) drugs</w:t>
      </w:r>
      <w:r>
        <w:t xml:space="preserve"> </w:t>
      </w:r>
      <w:r>
        <w:t xml:space="preserve">Sewage analysis score in Europe, per type of</w:t>
      </w:r>
      <w:r>
        <w:t xml:space="preserve"> </w:t>
      </w:r>
      <w:r>
        <w:t xml:space="preserve">(synthetic) drugs</w:t>
      </w:r>
      <w:r>
        <w:t xml:space="preserve"> </w:t>
      </w:r>
      <w:r>
        <w:t xml:space="preserve">Indexed price and purity, retail</w:t>
      </w:r>
      <w:r>
        <w:t xml:space="preserve"> </w:t>
      </w:r>
      <w:r>
        <w:t xml:space="preserve">Annual EUDA Drug</w:t>
      </w:r>
      <w:r>
        <w:t xml:space="preserve"> </w:t>
      </w:r>
      <w:r>
        <w:t xml:space="preserve">report</w:t>
      </w:r>
      <w:r>
        <w:t xml:space="preserve"> </w:t>
      </w:r>
      <w:r>
        <w:t xml:space="preserve">Public health impact</w:t>
      </w:r>
      <w:r>
        <w:t xml:space="preserve"> </w:t>
      </w:r>
      <w:r>
        <w:t xml:space="preserve">Treatment entrants in Europe, per type of</w:t>
      </w:r>
      <w:r>
        <w:t xml:space="preserve"> </w:t>
      </w:r>
      <w:r>
        <w:t xml:space="preserve">(synthetic) drugs</w:t>
      </w:r>
    </w:p>
    <w:p>
      <w:pPr>
        <w:pStyle w:val="BodyText"/>
      </w:pPr>
      <w:r>
        <w:t xml:space="preserve">Environmental Impact</w:t>
      </w:r>
      <w:r>
        <w:t xml:space="preserve"> </w:t>
      </w:r>
      <w:r>
        <w:t xml:space="preserve">N/A (not possible to establish direct link)</w:t>
      </w:r>
    </w:p>
    <w:p>
      <w:pPr>
        <w:pStyle w:val="BodyText"/>
      </w:pPr>
      <w:r>
        <w:t xml:space="preserve">Objective #2</w:t>
      </w:r>
      <w:r>
        <w:t xml:space="preserve"> </w:t>
      </w:r>
      <w:r>
        <w:t xml:space="preserve">Smooth trade of legal drug</w:t>
      </w:r>
      <w:r>
        <w:t xml:space="preserve"> </w:t>
      </w:r>
      <w:r>
        <w:t xml:space="preserve">precursors</w:t>
      </w:r>
      <w:r>
        <w:t xml:space="preserve"> </w:t>
      </w:r>
      <w:r>
        <w:t xml:space="preserve">Evolution of use of drug precursors within the</w:t>
      </w:r>
      <w:r>
        <w:t xml:space="preserve"> </w:t>
      </w:r>
      <w:r>
        <w:t xml:space="preserve">EU (volume)</w:t>
      </w:r>
      <w:r>
        <w:t xml:space="preserve"> </w:t>
      </w:r>
      <w:r>
        <w:t xml:space="preserve">Drug precursors</w:t>
      </w:r>
      <w:r>
        <w:t xml:space="preserve"> </w:t>
      </w:r>
      <w:r>
        <w:t xml:space="preserve">database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2026-07-31T16:48:33Z</dcterms:created>
  <dcterms:modified xsi:type="dcterms:W3CDTF">2026-07-31T16:48:33Z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