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3.12.2025</w:t>
      </w:r>
      <w:r>
        <w:br/>
      </w:r>
      <w:r>
        <w:t xml:space="preserve">SWD(2025) 398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monitoring and controlling drug precursors and repealing Regulations (EC) No</w:t>
      </w:r>
      <w:r>
        <w:t xml:space="preserve"> </w:t>
      </w:r>
      <w:r>
        <w:t xml:space="preserve">273/2004 and (EC) No 111/2005</w:t>
      </w:r>
      <w:r>
        <w:t xml:space="preserve"> </w:t>
      </w:r>
      <w:r>
        <w:t xml:space="preserve">{COM(2025) 747 final} - {SEC(2025) 328 final} - {SWD(2025) 397 final} -</w:t>
      </w:r>
      <w:r>
        <w:t xml:space="preserve"> </w:t>
      </w:r>
      <w:r>
        <w:t xml:space="preserve">{SWD(2025) 399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1: PROCEDURAL INFORMATION …………………………………………………………………………………. 4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………………………………………………………….. 4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………………………………………………………………………………………….. 4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…………………………………………………………………………………………… 4</w:t>
      </w:r>
      <w:r>
        <w:t xml:space="preserve"> </w:t>
      </w:r>
      <w:r>
        <w:t xml:space="preserve">3.</w:t>
      </w:r>
      <w:r>
        <w:t xml:space="preserve"> </w:t>
      </w:r>
      <w:r>
        <w:t xml:space="preserve">EVIDENCE, SOURCES AND QUALITY ………………………………………………………………………………. 7</w:t>
      </w:r>
      <w:r>
        <w:t xml:space="preserve"> </w:t>
      </w:r>
      <w:r>
        <w:t xml:space="preserve">ANNEX 2: STAKEHOLDER CONSULTATION (SYNOPSIS REPORT) ………………………………………….. 8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STAKEHOLDER CONSULTATION ACTIVITIES ……………………………………….. 8</w:t>
      </w:r>
      <w:r>
        <w:t xml:space="preserve"> </w:t>
      </w:r>
      <w:r>
        <w:t xml:space="preserve">2.</w:t>
      </w:r>
      <w:r>
        <w:t xml:space="preserve"> </w:t>
      </w:r>
      <w:r>
        <w:t xml:space="preserve">REDUCTION OF THE AVAILABILITY OF DRUG PRECURSORS FOR ILLICIT DRUG</w:t>
      </w:r>
      <w:r>
        <w:t xml:space="preserve"> </w:t>
      </w:r>
      <w:r>
        <w:t xml:space="preserve">MANUFACTURING ………………………………………………………………………………………………………….. 10</w:t>
      </w:r>
      <w:r>
        <w:t xml:space="preserve"> </w:t>
      </w:r>
      <w:r>
        <w:t xml:space="preserve">3.</w:t>
      </w:r>
      <w:r>
        <w:t xml:space="preserve"> </w:t>
      </w:r>
      <w:r>
        <w:t xml:space="preserve">FACILITATION OF LEGAL TRADE ………………………………………………………………………………….. 17</w:t>
      </w:r>
      <w:r>
        <w:t xml:space="preserve"> </w:t>
      </w:r>
      <w:r>
        <w:t xml:space="preserve">ANNEX 3: WHO IS AFFECTED ON HOW? ………………………………………………………………………………… 21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 21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……………………………………………………………………………. 22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25</w:t>
      </w:r>
      <w:r>
        <w:t xml:space="preserve"> </w:t>
      </w:r>
      <w:r>
        <w:t xml:space="preserve">ANNEX 4: ANALYTICAL METHODS ………………………………………………………………………………………… 26</w:t>
      </w:r>
      <w:r>
        <w:t xml:space="preserve"> </w:t>
      </w:r>
      <w:r>
        <w:t xml:space="preserve">1.</w:t>
      </w:r>
      <w:r>
        <w:t xml:space="preserve"> </w:t>
      </w:r>
      <w:r>
        <w:t xml:space="preserve">DATA COLLECTION ………………………………………………………………………………………………………… 26</w:t>
      </w:r>
      <w:r>
        <w:t xml:space="preserve"> </w:t>
      </w:r>
      <w:r>
        <w:t xml:space="preserve">2.</w:t>
      </w:r>
      <w:r>
        <w:t xml:space="preserve"> </w:t>
      </w:r>
      <w:r>
        <w:t xml:space="preserve">STANDARD COST MODEL ………………………………………………………………………………………………. 26</w:t>
      </w:r>
      <w:r>
        <w:t xml:space="preserve"> </w:t>
      </w:r>
      <w:r>
        <w:t xml:space="preserve">2.1. GENERAL PARAMETERS ………………………………………………………………………………………………… 26</w:t>
      </w:r>
      <w:r>
        <w:t xml:space="preserve"> </w:t>
      </w:r>
      <w:r>
        <w:t xml:space="preserve">2.2. LICENSE AND REGISTRATION ……………………………………………………………………………………….. 29</w:t>
      </w:r>
      <w:r>
        <w:t xml:space="preserve"> </w:t>
      </w:r>
      <w:r>
        <w:t xml:space="preserve">2.3. DIGITAL CUSTOMER VERIFICATION …………………………………………………………………………….. 30</w:t>
      </w:r>
      <w:r>
        <w:t xml:space="preserve"> </w:t>
      </w:r>
      <w:r>
        <w:t xml:space="preserve">2.4. IMPORT/EXPORT AUTHORISATION ……………………………………………………………………………….. 32</w:t>
      </w:r>
      <w:r>
        <w:t xml:space="preserve"> </w:t>
      </w:r>
      <w:r>
        <w:t xml:space="preserve">2.5. ANNUAL REPORTING ……………………………………………………………………………………………………… 33</w:t>
      </w:r>
      <w:r>
        <w:t xml:space="preserve"> </w:t>
      </w:r>
      <w:r>
        <w:t xml:space="preserve">2.6. DUE DILIGENCE COSTS: …………………………………………………………………………………………………. 33</w:t>
      </w:r>
      <w:r>
        <w:t xml:space="preserve"> </w:t>
      </w:r>
      <w:r>
        <w:t xml:space="preserve">2.7. SPECIAL LICENSE FOR DESIGNER PRECURSORS ………………………………………………………….. 34</w:t>
      </w:r>
      <w:r>
        <w:t xml:space="preserve"> </w:t>
      </w:r>
      <w:r>
        <w:t xml:space="preserve">2.8. ADJUSTMENT COSTS FROM CONSOLIDATION OF CATEGORIES …………………………………. 35</w:t>
      </w:r>
      <w:r>
        <w:t xml:space="preserve"> </w:t>
      </w:r>
      <w:r>
        <w:t xml:space="preserve">2.9. DIGITALISATION …………………………………………………………………………………………………………….. 35</w:t>
      </w:r>
      <w:r>
        <w:t xml:space="preserve"> </w:t>
      </w:r>
      <w:r>
        <w:t xml:space="preserve">3.</w:t>
      </w:r>
      <w:r>
        <w:t xml:space="preserve"> </w:t>
      </w:r>
      <w:r>
        <w:t xml:space="preserve">LIMITATIONS IN QUANTIFYING IMPACT ON CRIME, HEALTH AND ENVIRONMENT. … 36</w:t>
      </w:r>
      <w:r>
        <w:t xml:space="preserve"> </w:t>
      </w:r>
      <w:r>
        <w:t xml:space="preserve">3.1. REDUCTION IN THE AVAILABILITY OF PRECURSORS FOR ILLICIT DRUGS</w:t>
      </w:r>
      <w:r>
        <w:t xml:space="preserve"> </w:t>
      </w:r>
      <w:r>
        <w:t xml:space="preserve">MANUFACTURING ………………………………………………………………………………………………………….. 37</w:t>
      </w:r>
      <w:r>
        <w:t xml:space="preserve"> </w:t>
      </w:r>
      <w:r>
        <w:t xml:space="preserve">3.2. INDIRECT IMPACT ON DRUGS AVAILABILITY ……………………………………………………………… 39</w:t>
      </w:r>
      <w:r>
        <w:t xml:space="preserve"> </w:t>
      </w:r>
      <w:r>
        <w:t xml:space="preserve">3.3. ENVIRONMENTAL IMPACT ……………………………………………………………………………………………. 40</w:t>
      </w:r>
      <w:r>
        <w:t xml:space="preserve"> </w:t>
      </w:r>
      <w:r>
        <w:t xml:space="preserve">ANNEX 5: COMPETITIVENESS CHECK ……………………………………………………………………………………. 41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COMPETITIVENESS………………………………………………………….. 41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……………………………………………………………………………………………… 41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 ……………………………………… 42</w:t>
      </w:r>
      <w:r>
        <w:t xml:space="preserve"> </w:t>
      </w:r>
      <w:r>
        <w:t xml:space="preserve">ANNEX 6: SME TEST ………………………………………………………………………………………………………………… 44</w:t>
      </w:r>
      <w:r>
        <w:t xml:space="preserve"> </w:t>
      </w:r>
      <w:r>
        <w:t xml:space="preserve">ANNEX 7: INNOVATIVE WAYS OF SCHEDULING …………………………………………………………………… 48</w:t>
      </w:r>
      <w:r>
        <w:t xml:space="preserve"> </w:t>
      </w:r>
      <w:r>
        <w:t xml:space="preserve">1.</w:t>
      </w:r>
      <w:r>
        <w:t xml:space="preserve"> </w:t>
      </w:r>
      <w:r>
        <w:t xml:space="preserve">USE CASE OF DESIGNER PRECURSORS USED FOR THE MANUFACTURING OF</w:t>
      </w:r>
      <w:r>
        <w:t xml:space="preserve"> </w:t>
      </w:r>
      <w:r>
        <w:t xml:space="preserve">AMPHETAMINE TYPE STIMULANTS (ATS) ……………………………………………………………………. 48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</w:t>
      </w:r>
      <w:r>
        <w:t xml:space="preserve"> </w:t>
      </w:r>
      <w:r>
        <w:t xml:space="preserve">INTERNATIONAL DEVELOPMENTS AND THIRD COUNTRY LEGISLATION …………………. 58</w:t>
      </w:r>
      <w:r>
        <w:t xml:space="preserve"> </w:t>
      </w:r>
      <w:r>
        <w:t xml:space="preserve">ANNEX 8: DIGITALIZATION OF EU DRUG PRECURSORS FORMALITIES AND PROCEDURES.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…………………………………………………………………………………………………………………………………………. 62</w:t>
      </w:r>
      <w:r>
        <w:t xml:space="preserve"> </w:t>
      </w:r>
      <w:r>
        <w:t xml:space="preserve">I.</w:t>
      </w:r>
      <w:r>
        <w:t xml:space="preserve"> </w:t>
      </w:r>
      <w:r>
        <w:t xml:space="preserve">INTERNAL TRADE: ………………………………………………………………………………………………………….. 62</w:t>
      </w:r>
      <w:r>
        <w:t xml:space="preserve"> </w:t>
      </w:r>
      <w:r>
        <w:t xml:space="preserve">II.</w:t>
      </w:r>
      <w:r>
        <w:t xml:space="preserve"> </w:t>
      </w:r>
      <w:r>
        <w:t xml:space="preserve">EXTERNAL TRADE ………………………………………………………………………………………………………….. 63</w:t>
      </w:r>
      <w:r>
        <w:t xml:space="preserve"> </w:t>
      </w:r>
      <w:r>
        <w:t xml:space="preserve">1.</w:t>
      </w:r>
      <w:r>
        <w:t xml:space="preserve"> </w:t>
      </w:r>
      <w:r>
        <w:t xml:space="preserve">BACKGROUND ………………………………………………………………………………………………………………… 63</w:t>
      </w:r>
      <w:r>
        <w:t xml:space="preserve"> </w:t>
      </w:r>
      <w:r>
        <w:t xml:space="preserve">2.</w:t>
      </w:r>
      <w:r>
        <w:t xml:space="preserve"> </w:t>
      </w:r>
      <w:r>
        <w:t xml:space="preserve">DESCRIPTION OF OPTIONS …………………………………………………………………………………………….. 65</w:t>
      </w:r>
      <w:r>
        <w:t xml:space="preserve"> </w:t>
      </w:r>
      <w:r>
        <w:t xml:space="preserve">3.</w:t>
      </w:r>
      <w:r>
        <w:t xml:space="preserve"> </w:t>
      </w:r>
      <w:r>
        <w:t xml:space="preserve">ANALYSIS OF OPTIONS ………………………………………………………………………………………………….. 66</w:t>
      </w:r>
      <w:r>
        <w:t xml:space="preserve"> </w:t>
      </w:r>
      <w:r>
        <w:t xml:space="preserve">3.1. EFFECTIVENESS ……………………………………………………………………………………………………………… 66</w:t>
      </w:r>
      <w:r>
        <w:t xml:space="preserve"> </w:t>
      </w:r>
      <w:r>
        <w:t xml:space="preserve">3.2. COHERENCE ……………………………………………………………………………………………………………………. 68</w:t>
      </w:r>
      <w:r>
        <w:t xml:space="preserve"> </w:t>
      </w:r>
      <w:r>
        <w:t xml:space="preserve">3.3. PROPORTIONALITY ………………………………………………………………………………………………………… 69</w:t>
      </w:r>
      <w:r>
        <w:t xml:space="preserve"> </w:t>
      </w:r>
      <w:r>
        <w:t xml:space="preserve">3.4. FEASIBILITY ……………………………………………………………………………………………………………………. 70</w:t>
      </w:r>
      <w:r>
        <w:t xml:space="preserve"> </w:t>
      </w:r>
      <w:r>
        <w:t xml:space="preserve">3.5. CONCLUSION ………………………………………………………………………………………………………………….. 70</w:t>
      </w:r>
      <w:r>
        <w:t xml:space="preserve"> </w:t>
      </w:r>
      <w:r>
        <w:t xml:space="preserve">4.</w:t>
      </w:r>
      <w:r>
        <w:t xml:space="preserve"> </w:t>
      </w:r>
      <w:r>
        <w:t xml:space="preserve">COSTING ………………………………………………………………………………………………………………………….. 71</w:t>
      </w:r>
      <w:r>
        <w:t xml:space="preserve"> </w:t>
      </w:r>
      <w:r>
        <w:t xml:space="preserve">5.</w:t>
      </w:r>
      <w:r>
        <w:t xml:space="preserve"> </w:t>
      </w:r>
      <w:r>
        <w:t xml:space="preserve">BREAKDOWN OF THE COST ESTIMATE FOR A CENTRALISED SOLUTION ………………….. 72</w:t>
      </w:r>
      <w:r>
        <w:t xml:space="preserve"> </w:t>
      </w:r>
      <w:r>
        <w:t xml:space="preserve">6.</w:t>
      </w:r>
      <w:r>
        <w:t xml:space="preserve"> </w:t>
      </w:r>
      <w:r>
        <w:t xml:space="preserve">FALL-BACK SOLUTION – INTEGRATION OF THE DRUG PRECURSORS FORMALITIES</w:t>
      </w:r>
      <w:r>
        <w:t xml:space="preserve"> </w:t>
      </w:r>
      <w:r>
        <w:t xml:space="preserve">IN THE EU CUSTOMS DATA HUB ……………………………………………………………………………………. 72</w:t>
      </w:r>
      <w:r>
        <w:t xml:space="preserve"> </w:t>
      </w:r>
      <w:r>
        <w:t xml:space="preserve">ANNEX 9: CURRENT REGULATORY FRAMEWORK AND COMPARISON ……………………………….. 74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THE CURRENT REGULATORY REQUIREMENT …………………………………….. 74</w:t>
      </w:r>
      <w:r>
        <w:t xml:space="preserve"> </w:t>
      </w:r>
      <w:r>
        <w:t xml:space="preserve">2.</w:t>
      </w:r>
      <w:r>
        <w:t xml:space="preserve"> </w:t>
      </w:r>
      <w:r>
        <w:t xml:space="preserve">COMPARISON BETWEEN INTERNAL MARKET AND EXTERNAL TRADE REGULATION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…………………………………………………………………………………………………………………………………………. 75</w:t>
      </w:r>
      <w:r>
        <w:t xml:space="preserve"> </w:t>
      </w:r>
      <w:r>
        <w:t xml:space="preserve">3.</w:t>
      </w:r>
      <w:r>
        <w:t xml:space="preserve"> </w:t>
      </w:r>
      <w:r>
        <w:t xml:space="preserve">CORRELATION BETWEEN ARTICLE 12 OF THE UN CONVENTION AND THE TWO</w:t>
      </w:r>
      <w:r>
        <w:t xml:space="preserve"> </w:t>
      </w:r>
      <w:r>
        <w:t xml:space="preserve">REGULATIONS ………………………………………………………………………………………………………………… 81</w:t>
      </w:r>
      <w:r>
        <w:t xml:space="preserve"> </w:t>
      </w:r>
      <w:r>
        <w:t xml:space="preserve">ANNEX 10: SCHEDULED SUBSTANCES, AND THEIR CONTEXT …………………………………………….. 85</w:t>
      </w:r>
      <w:r>
        <w:t xml:space="preserve"> </w:t>
      </w:r>
      <w:r>
        <w:t xml:space="preserve">1.</w:t>
      </w:r>
      <w:r>
        <w:t xml:space="preserve"> </w:t>
      </w:r>
      <w:r>
        <w:t xml:space="preserve">LIST OF SCHEDULED SUBSTANCES, THEIR LICIT AND ILLICIT USE ……………………………. 85</w:t>
      </w:r>
      <w:r>
        <w:t xml:space="preserve"> </w:t>
      </w:r>
      <w:r>
        <w:t xml:space="preserve">2.</w:t>
      </w:r>
      <w:r>
        <w:t xml:space="preserve"> </w:t>
      </w:r>
      <w:r>
        <w:t xml:space="preserve">COMPETITIVE POSITION OF THE MOST AFFECTED SECTORS ……………………………………… 96</w:t>
      </w:r>
      <w:r>
        <w:t xml:space="preserve"> </w:t>
      </w:r>
      <w:r>
        <w:t xml:space="preserve">3.</w:t>
      </w:r>
      <w:r>
        <w:t xml:space="preserve"> </w:t>
      </w:r>
      <w:r>
        <w:t xml:space="preserve">THE EU DRUG AND DRUG PRECURSORS MARKET ……………………………………………………… 104</w:t>
      </w:r>
      <w:r>
        <w:t xml:space="preserve"> </w:t>
      </w:r>
      <w:r>
        <w:t xml:space="preserve">3.1. SUMMARY PER DRUG …………………………………………………………………………………………………… 104</w:t>
      </w:r>
      <w:r>
        <w:t xml:space="preserve"> </w:t>
      </w:r>
      <w:r>
        <w:t xml:space="preserve">3.2. OVERVIEW TABLE PER MEMBER STATE AND DRUG …………………………………………………. 108</w:t>
      </w:r>
      <w:r>
        <w:t xml:space="preserve"> </w:t>
      </w:r>
      <w:r>
        <w:t xml:space="preserve">3.3. UNEVEN IMPLEMENTATION ACROSS MEMBER STATES – STUDY FINDINGS …………… 123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</w:t>
      </w:r>
      <w:r>
        <w:br/>
      </w:r>
      <w:r>
        <w:t xml:space="preserve">Directorate-General for Taxation and Customs Union (DG TAXUD),</w:t>
      </w:r>
      <w:r>
        <w:t xml:space="preserve"> </w:t>
      </w:r>
      <w:r>
        <w:t xml:space="preserve">Directorate A - Customs</w:t>
      </w:r>
      <w:r>
        <w:t xml:space="preserve"> </w:t>
      </w:r>
      <w:r>
        <w:t xml:space="preserve">Co-lead:</w:t>
      </w:r>
      <w:r>
        <w:br/>
      </w:r>
      <w:r>
        <w:t xml:space="preserve">DG Internal Market, Industry, Entrepreneurship and SMEs (DG GROW),</w:t>
      </w:r>
      <w:r>
        <w:t xml:space="preserve"> </w:t>
      </w:r>
      <w:r>
        <w:t xml:space="preserve">Directorate: Directorate F – Ecosystems I: Chemicals, Food, Retail</w:t>
      </w:r>
      <w:r>
        <w:t xml:space="preserve"> </w:t>
      </w:r>
      <w:r>
        <w:t xml:space="preserve">This impact assessment corresponds to the initiative with the Decide reference</w:t>
      </w:r>
      <w:r>
        <w:t xml:space="preserve"> </w:t>
      </w:r>
      <w:r>
        <w:t xml:space="preserve">PLAN/2022/1454, revision of the EU drug precursors legislation.</w:t>
      </w:r>
      <w:r>
        <w:t xml:space="preserve"> </w:t>
      </w:r>
      <w:r>
        <w:t xml:space="preserve">This initiative is also part of the 2025 CWP, under the header ‘Security’, with COM proposal</w:t>
      </w:r>
      <w:r>
        <w:t xml:space="preserve"> </w:t>
      </w:r>
      <w:r>
        <w:t xml:space="preserve">planned by Q4 2025.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call for evidence feedback period ran from 10 May till 7 June 2023.</w:t>
      </w:r>
      <w:r>
        <w:t xml:space="preserve"> </w:t>
      </w:r>
      <w:r>
        <w:t xml:space="preserve">The public consultation period ran from 17 April till 10 July 2024.</w:t>
      </w:r>
      <w:r>
        <w:t xml:space="preserve"> </w:t>
      </w:r>
      <w:r>
        <w:t xml:space="preserve">An inter-service steering group was convened and chaired by DG TAXUD and DG GROW.</w:t>
      </w:r>
      <w:r>
        <w:t xml:space="preserve"> </w:t>
      </w:r>
      <w:r>
        <w:t xml:space="preserve">The following Directorates-General participated: SG, LS, BUDG, CNECT, DIGIT, EEAS,</w:t>
      </w:r>
      <w:r>
        <w:t xml:space="preserve"> </w:t>
      </w:r>
      <w:r>
        <w:t xml:space="preserve">ENV, GROW, HOME, JRC, JUST, OLAF, SANTE and TAXUD and the agencies EUDA. The</w:t>
      </w:r>
      <w:r>
        <w:t xml:space="preserve"> </w:t>
      </w:r>
      <w:r>
        <w:t xml:space="preserve">ISSG met 8 times. The last meeting on the final draft impact assessment report was held on 9</w:t>
      </w:r>
      <w:r>
        <w:t xml:space="preserve"> </w:t>
      </w:r>
      <w:r>
        <w:t xml:space="preserve">April 2025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RSB was consulted in an informal upstream meeting on 27 May 2024. This impact</w:t>
      </w:r>
      <w:r>
        <w:t xml:space="preserve"> </w:t>
      </w:r>
      <w:r>
        <w:t xml:space="preserve">assessment was submitted to the RSB on 5 May 2025. The meeting with the RSB took place on</w:t>
      </w:r>
      <w:r>
        <w:t xml:space="preserve"> </w:t>
      </w:r>
      <w:r>
        <w:t xml:space="preserve">4 June 2025.</w:t>
      </w:r>
      <w:r>
        <w:t xml:space="preserve"> </w:t>
      </w:r>
      <w:r>
        <w:t xml:space="preserve">Following the opinion of the RSB from 4 June 2025, changes were made to the IA in order to</w:t>
      </w:r>
      <w:r>
        <w:t xml:space="preserve"> </w:t>
      </w:r>
      <w:r>
        <w:t xml:space="preserve">reflect the recommendations of the Board. A summary of the RSB’s recommendations and how</w:t>
      </w:r>
      <w:r>
        <w:t xml:space="preserve"> </w:t>
      </w:r>
      <w:r>
        <w:t xml:space="preserve">these have been addressed is provided below.</w:t>
      </w:r>
      <w:r>
        <w:t xml:space="preserve"> </w:t>
      </w:r>
      <w:r>
        <w:t xml:space="preserve">Summary of the RSB findings and how the comments have been addressed:</w:t>
      </w:r>
      <w:r>
        <w:t xml:space="preserve"> </w:t>
      </w:r>
      <w:r>
        <w:t xml:space="preserve">Opinion of the RSB</w:t>
      </w:r>
      <w:r>
        <w:t xml:space="preserve"> </w:t>
      </w:r>
      <w:r>
        <w:t xml:space="preserve">How the comments have been addressed</w:t>
      </w:r>
      <w:r>
        <w:t xml:space="preserve"> </w:t>
      </w:r>
      <w:r>
        <w:t xml:space="preserve">1.</w:t>
      </w:r>
      <w:r>
        <w:t xml:space="preserve"> </w:t>
      </w:r>
      <w:r>
        <w:t xml:space="preserve">The report should provide evidence to</w:t>
      </w:r>
      <w:r>
        <w:t xml:space="preserve"> </w:t>
      </w:r>
      <w:r>
        <w:t xml:space="preserve">substantiate</w:t>
      </w:r>
      <w:r>
        <w:t xml:space="preserve"> </w:t>
      </w:r>
      <w:r>
        <w:t xml:space="preserve">whether</w:t>
      </w:r>
      <w:r>
        <w:t xml:space="preserve"> </w:t>
      </w:r>
      <w:r>
        <w:t xml:space="preserve">uneven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contribute to the problem, including the</w:t>
      </w:r>
      <w:r>
        <w:t xml:space="preserve"> </w:t>
      </w:r>
      <w:r>
        <w:t xml:space="preserve">extent to which traffickers exploit</w:t>
      </w:r>
      <w:r>
        <w:t xml:space="preserve"> </w:t>
      </w:r>
      <w:r>
        <w:t xml:space="preserve">vulnerabilities for precursor trafficking.</w:t>
      </w:r>
      <w:r>
        <w:t xml:space="preserve"> </w:t>
      </w:r>
      <w:r>
        <w:t xml:space="preserve">It should better account for the</w:t>
      </w:r>
      <w:r>
        <w:t xml:space="preserve"> </w:t>
      </w:r>
      <w:r>
        <w:t xml:space="preserve">variations in illicit market challenges,</w:t>
      </w:r>
      <w:r>
        <w:t xml:space="preserve"> </w:t>
      </w:r>
      <w:r>
        <w:t xml:space="preserve">both in terms of magnitude and types of</w:t>
      </w:r>
      <w:r>
        <w:t xml:space="preserve"> </w:t>
      </w:r>
      <w:r>
        <w:t xml:space="preserve">challenges, across Member States,</w:t>
      </w:r>
      <w:r>
        <w:t xml:space="preserve"> </w:t>
      </w:r>
      <w:r>
        <w:t xml:space="preserve">Section 2.2.3 has been revised to use the</w:t>
      </w:r>
      <w:r>
        <w:t xml:space="preserve"> </w:t>
      </w:r>
      <w:r>
        <w:t xml:space="preserve">evaluation as the basis for the problem</w:t>
      </w:r>
      <w:r>
        <w:t xml:space="preserve"> </w:t>
      </w:r>
      <w:r>
        <w:t xml:space="preserve">statement. Footnotes have been added to</w:t>
      </w:r>
      <w:r>
        <w:t xml:space="preserve"> </w:t>
      </w:r>
      <w:r>
        <w:t xml:space="preserve">clarify the supporting evidence regarding</w:t>
      </w:r>
      <w:r>
        <w:t xml:space="preserve"> </w:t>
      </w:r>
      <w:r>
        <w:t xml:space="preserve">uneven implementation and the exploitation</w:t>
      </w:r>
      <w:r>
        <w:t xml:space="preserve"> </w:t>
      </w:r>
      <w:r>
        <w:t xml:space="preserve">of paths of least resistance by criminals.</w:t>
      </w:r>
      <w:r>
        <w:t xml:space="preserve"> </w:t>
      </w:r>
      <w:r>
        <w:t xml:space="preserve">Variations in drug situations across Member</w:t>
      </w:r>
      <w:r>
        <w:t xml:space="preserve"> </w:t>
      </w:r>
      <w:r>
        <w:t xml:space="preserve">States are now illustrated in Annex 10, under</w:t>
      </w:r>
      <w:r>
        <w:t xml:space="preserve"> </w:t>
      </w:r>
      <w:r>
        <w:t xml:space="preserve">the section ‘The EU Drug and Drug</w:t>
      </w:r>
      <w:r>
        <w:t xml:space="preserve"> </w:t>
      </w:r>
      <w:r>
        <w:t xml:space="preserve">Precursors Market.’ Additionally, Annex 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assessing the rationale, costs and</w:t>
      </w:r>
      <w:r>
        <w:t xml:space="preserve"> </w:t>
      </w:r>
      <w:r>
        <w:t xml:space="preserve">benefits of the different approaches,</w:t>
      </w:r>
      <w:r>
        <w:t xml:space="preserve"> </w:t>
      </w:r>
      <w:r>
        <w:t xml:space="preserve">including the more stringent ones. In</w:t>
      </w:r>
      <w:r>
        <w:t xml:space="preserve"> </w:t>
      </w:r>
      <w:r>
        <w:t xml:space="preserve">addition, the report should make use of</w:t>
      </w:r>
      <w:r>
        <w:t xml:space="preserve"> </w:t>
      </w:r>
      <w:r>
        <w:t xml:space="preserve">the full evaluation and expand on its</w:t>
      </w:r>
      <w:r>
        <w:t xml:space="preserve"> </w:t>
      </w:r>
      <w:r>
        <w:t xml:space="preserve">findings to support and substantiate the</w:t>
      </w:r>
      <w:r>
        <w:t xml:space="preserve"> </w:t>
      </w:r>
      <w:r>
        <w:t xml:space="preserve">identified problems and drivers.</w:t>
      </w:r>
    </w:p>
    <w:p>
      <w:pPr>
        <w:pStyle w:val="BodyText"/>
      </w:pPr>
      <w:r>
        <w:t xml:space="preserve">has been further developed to explain the</w:t>
      </w:r>
      <w:r>
        <w:t xml:space="preserve"> </w:t>
      </w:r>
      <w:r>
        <w:t xml:space="preserve">methodology</w:t>
      </w:r>
      <w:r>
        <w:t xml:space="preserve"> </w:t>
      </w:r>
      <w:r>
        <w:t xml:space="preserve">for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benefit</w:t>
      </w:r>
      <w:r>
        <w:t xml:space="preserve"> </w:t>
      </w:r>
      <w:r>
        <w:t xml:space="preserve">calculations.</w:t>
      </w:r>
    </w:p>
    <w:p>
      <w:pPr>
        <w:pStyle w:val="Compact"/>
        <w:numPr>
          <w:ilvl w:val="0"/>
          <w:numId w:val="1001"/>
        </w:numPr>
      </w:pPr>
      <w:r>
        <w:t xml:space="preserve">The report should provide more robust</w:t>
      </w:r>
      <w:r>
        <w:t xml:space="preserve"> </w:t>
      </w:r>
      <w:r>
        <w:t xml:space="preserve">evidence substantiating to what extent</w:t>
      </w:r>
      <w:r>
        <w:t xml:space="preserve"> </w:t>
      </w:r>
      <w:r>
        <w:t xml:space="preserve">administrative requirements can be</w:t>
      </w:r>
      <w:r>
        <w:t xml:space="preserve"> </w:t>
      </w:r>
      <w:r>
        <w:t xml:space="preserve">streamlined or removed while at the</w:t>
      </w:r>
      <w:r>
        <w:t xml:space="preserve"> </w:t>
      </w:r>
      <w:r>
        <w:t xml:space="preserve">same time ensuring an adequate level of</w:t>
      </w:r>
      <w:r>
        <w:t xml:space="preserve"> </w:t>
      </w:r>
      <w:r>
        <w:t xml:space="preserve">risk protection. It should also provide a</w:t>
      </w:r>
      <w:r>
        <w:t xml:space="preserve"> </w:t>
      </w:r>
      <w:r>
        <w:t xml:space="preserve">more nuanced picture of the mixed</w:t>
      </w:r>
      <w:r>
        <w:t xml:space="preserve"> </w:t>
      </w:r>
      <w:r>
        <w:t xml:space="preserve">stakeholder views on the existence of</w:t>
      </w:r>
      <w:r>
        <w:t xml:space="preserve"> </w:t>
      </w:r>
      <w:r>
        <w:t xml:space="preserve">the problem.</w:t>
      </w:r>
    </w:p>
    <w:p>
      <w:pPr>
        <w:pStyle w:val="FirstParagraph"/>
      </w:pPr>
      <w:r>
        <w:t xml:space="preserve">The report has been updated in section 2.1.2</w:t>
      </w:r>
      <w:r>
        <w:t xml:space="preserve"> </w:t>
      </w:r>
      <w:r>
        <w:t xml:space="preserve">to better highlight the nuanced stakeholder</w:t>
      </w:r>
      <w:r>
        <w:t xml:space="preserve"> </w:t>
      </w:r>
      <w:r>
        <w:t xml:space="preserve">views on existing administrative burdens.</w:t>
      </w:r>
      <w:r>
        <w:br/>
      </w:r>
      <w:r>
        <w:t xml:space="preserve">The analysis of the impacts has been</w:t>
      </w:r>
      <w:r>
        <w:t xml:space="preserve"> </w:t>
      </w:r>
      <w:r>
        <w:t xml:space="preserve">extended</w:t>
      </w:r>
      <w:r>
        <w:t xml:space="preserve"> </w:t>
      </w:r>
      <w:r>
        <w:t xml:space="preserve">to</w:t>
      </w:r>
      <w:r>
        <w:t xml:space="preserve"> </w:t>
      </w:r>
      <w:r>
        <w:t xml:space="preserve">include</w:t>
      </w:r>
      <w:r>
        <w:t xml:space="preserve"> </w:t>
      </w:r>
      <w:r>
        <w:t xml:space="preserve">how</w:t>
      </w:r>
      <w:r>
        <w:t xml:space="preserve"> </w:t>
      </w:r>
      <w:r>
        <w:t xml:space="preserve">especially</w:t>
      </w:r>
      <w:r>
        <w:t xml:space="preserve"> </w:t>
      </w:r>
      <w:r>
        <w:t xml:space="preserve">digitisation should reduce burdens while not</w:t>
      </w:r>
      <w:r>
        <w:t xml:space="preserve"> </w:t>
      </w:r>
      <w:r>
        <w:t xml:space="preserve">as such reducing the levels of control.</w:t>
      </w:r>
      <w:r>
        <w:br/>
      </w:r>
      <w:r>
        <w:t xml:space="preserve">3.</w:t>
      </w:r>
      <w:r>
        <w:t xml:space="preserve"> </w:t>
      </w:r>
      <w:r>
        <w:t xml:space="preserve">The options chapter has an overly</w:t>
      </w:r>
      <w:r>
        <w:t xml:space="preserve"> </w:t>
      </w:r>
      <w:r>
        <w:t xml:space="preserve">complex structure. The report should</w:t>
      </w:r>
      <w:r>
        <w:t xml:space="preserve"> </w:t>
      </w:r>
      <w:r>
        <w:t xml:space="preserve">clearly describe the key novel measures</w:t>
      </w:r>
      <w:r>
        <w:t xml:space="preserve"> </w:t>
      </w:r>
      <w:r>
        <w:t xml:space="preserve">such as innovative scheduling. It should</w:t>
      </w:r>
      <w:r>
        <w:t xml:space="preserve"> </w:t>
      </w:r>
      <w:r>
        <w:t xml:space="preserve">better explain the reasoning and</w:t>
      </w:r>
      <w:r>
        <w:t xml:space="preserve"> </w:t>
      </w:r>
      <w:r>
        <w:t xml:space="preserve">necessity behind the new set of</w:t>
      </w:r>
      <w:r>
        <w:t xml:space="preserve"> </w:t>
      </w:r>
      <w:r>
        <w:t xml:space="preserve">categories. This should be done keeping</w:t>
      </w:r>
      <w:r>
        <w:t xml:space="preserve"> </w:t>
      </w:r>
      <w:r>
        <w:t xml:space="preserve">in mind both general objectives. The</w:t>
      </w:r>
      <w:r>
        <w:t xml:space="preserve"> </w:t>
      </w:r>
      <w:r>
        <w:t xml:space="preserve">differences between policy options</w:t>
      </w:r>
      <w:r>
        <w:t xml:space="preserve"> </w:t>
      </w:r>
      <w:r>
        <w:t xml:space="preserve">should be more clearly outlined.</w:t>
      </w:r>
      <w:r>
        <w:t xml:space="preserve"> </w:t>
      </w:r>
      <w:r>
        <w:t xml:space="preserve">Figure 8 has been replaced to better highlight</w:t>
      </w:r>
      <w:r>
        <w:t xml:space="preserve"> </w:t>
      </w:r>
      <w:r>
        <w:t xml:space="preserve">the rationale for each of the policy options,</w:t>
      </w:r>
      <w:r>
        <w:t xml:space="preserve"> </w:t>
      </w:r>
      <w:r>
        <w:t xml:space="preserve">the respective key policy measures, and the</w:t>
      </w:r>
      <w:r>
        <w:t xml:space="preserve"> </w:t>
      </w:r>
      <w:r>
        <w:t xml:space="preserve">differences of each of the policy options.</w:t>
      </w:r>
      <w:r>
        <w:t xml:space="preserve"> </w:t>
      </w:r>
      <w:r>
        <w:t xml:space="preserve">The detailed description of the policy options</w:t>
      </w:r>
      <w:r>
        <w:t xml:space="preserve"> </w:t>
      </w:r>
      <w:r>
        <w:t xml:space="preserve">explains that the existing categories, and</w:t>
      </w:r>
      <w:r>
        <w:t xml:space="preserve"> </w:t>
      </w:r>
      <w:r>
        <w:t xml:space="preserve">notably the obligations attached to each</w:t>
      </w:r>
      <w:r>
        <w:t xml:space="preserve"> </w:t>
      </w:r>
      <w:r>
        <w:t xml:space="preserve">category have been streamlined based on the</w:t>
      </w:r>
      <w:r>
        <w:t xml:space="preserve"> </w:t>
      </w:r>
      <w:r>
        <w:t xml:space="preserve">perceived risk of the category concerned</w:t>
      </w:r>
      <w:r>
        <w:t xml:space="preserve"> </w:t>
      </w:r>
      <w:r>
        <w:t xml:space="preserve">(objective 1) while simplifying obligations to</w:t>
      </w:r>
      <w:r>
        <w:t xml:space="preserve"> </w:t>
      </w:r>
      <w:r>
        <w:t xml:space="preserve">the extent possible (objective 2).</w:t>
      </w:r>
      <w:r>
        <w:t xml:space="preserve"> </w:t>
      </w:r>
      <w:r>
        <w:t xml:space="preserve">4.</w:t>
      </w:r>
      <w:r>
        <w:t xml:space="preserve"> </w:t>
      </w:r>
      <w:r>
        <w:t xml:space="preserve">The report should elaborate on the</w:t>
      </w:r>
      <w:r>
        <w:t xml:space="preserve"> </w:t>
      </w:r>
      <w:r>
        <w:t xml:space="preserve">expected evolution of the social impact</w:t>
      </w:r>
      <w:r>
        <w:t xml:space="preserve"> </w:t>
      </w:r>
      <w:r>
        <w:t xml:space="preserve">under the baseline scenario, including</w:t>
      </w:r>
      <w:r>
        <w:t xml:space="preserve"> </w:t>
      </w:r>
      <w:r>
        <w:t xml:space="preserve">the anticipated change in illicit trade or</w:t>
      </w:r>
      <w:r>
        <w:t xml:space="preserve"> </w:t>
      </w:r>
      <w:r>
        <w:t xml:space="preserve">manufacturing and clarify whether the</w:t>
      </w:r>
      <w:r>
        <w:t xml:space="preserve"> </w:t>
      </w:r>
      <w:r>
        <w:t xml:space="preserve">baseline is static or dynamic for the</w:t>
      </w:r>
      <w:r>
        <w:t xml:space="preserve"> </w:t>
      </w:r>
      <w:r>
        <w:t xml:space="preserve">purpose of comparing the impacts of the</w:t>
      </w:r>
      <w:r>
        <w:t xml:space="preserve"> </w:t>
      </w:r>
      <w:r>
        <w:t xml:space="preserve">options.</w:t>
      </w:r>
      <w:r>
        <w:t xml:space="preserve"> </w:t>
      </w:r>
      <w:r>
        <w:t xml:space="preserve">Section 5.1 has been revised to explicitly</w:t>
      </w:r>
      <w:r>
        <w:t xml:space="preserve"> </w:t>
      </w:r>
      <w:r>
        <w:t xml:space="preserve">highlight the dynamic nature of the</w:t>
      </w:r>
      <w:r>
        <w:t xml:space="preserve"> </w:t>
      </w:r>
      <w:r>
        <w:t xml:space="preserve">baseline. Additionally, a new paragraph</w:t>
      </w:r>
      <w:r>
        <w:t xml:space="preserve"> </w:t>
      </w:r>
      <w:r>
        <w:t xml:space="preserve">has been added to Section 6 to describe</w:t>
      </w:r>
      <w:r>
        <w:t xml:space="preserve"> </w:t>
      </w:r>
      <w:r>
        <w:t xml:space="preserve">the social impact under the baseline</w:t>
      </w:r>
      <w:r>
        <w:t xml:space="preserve"> </w:t>
      </w:r>
      <w:r>
        <w:t xml:space="preserve">scenario.</w:t>
      </w:r>
    </w:p>
    <w:p>
      <w:pPr>
        <w:pStyle w:val="Compact"/>
        <w:numPr>
          <w:ilvl w:val="0"/>
          <w:numId w:val="1002"/>
        </w:numPr>
      </w:pPr>
      <w:r>
        <w:t xml:space="preserve">The report should clarify the measures</w:t>
      </w:r>
      <w:r>
        <w:t xml:space="preserve"> </w:t>
      </w:r>
      <w:r>
        <w:t xml:space="preserve">for the envisaged IT system for drug</w:t>
      </w:r>
      <w:r>
        <w:t xml:space="preserve"> </w:t>
      </w:r>
      <w:r>
        <w:t xml:space="preserve">precursors and related costs.</w:t>
      </w:r>
    </w:p>
    <w:p>
      <w:pPr>
        <w:pStyle w:val="FirstParagraph"/>
      </w:pPr>
      <w:r>
        <w:t xml:space="preserve">A new section 2.9 has been added in Annex</w:t>
      </w:r>
      <w:r>
        <w:t xml:space="preserve"> </w:t>
      </w:r>
      <w:r>
        <w:t xml:space="preserve">4 to identify the measures to be taken in the</w:t>
      </w:r>
      <w:r>
        <w:t xml:space="preserve"> </w:t>
      </w:r>
      <w:r>
        <w:t xml:space="preserve">short and medium term.</w:t>
      </w:r>
      <w:r>
        <w:t xml:space="preserve"> </w:t>
      </w:r>
      <w:r>
        <w:t xml:space="preserve">6.</w:t>
      </w:r>
      <w:r>
        <w:t xml:space="preserve"> </w:t>
      </w:r>
      <w:r>
        <w:t xml:space="preserve">The report should clearly state the</w:t>
      </w:r>
      <w:r>
        <w:t xml:space="preserve"> </w:t>
      </w:r>
      <w:r>
        <w:t xml:space="preserve">appraisal period used to determine and</w:t>
      </w:r>
      <w:r>
        <w:t xml:space="preserve"> </w:t>
      </w:r>
      <w:r>
        <w:t xml:space="preserve">compare the benefits and costs. Where</w:t>
      </w:r>
      <w:r>
        <w:t xml:space="preserve"> </w:t>
      </w:r>
      <w:r>
        <w:t xml:space="preserve">applicable, one-off costs should be</w:t>
      </w:r>
      <w:r>
        <w:t xml:space="preserve"> </w:t>
      </w:r>
      <w:r>
        <w:t xml:space="preserve">Figures 21 and 23 have been amended to</w:t>
      </w:r>
      <w:r>
        <w:t xml:space="preserve"> </w:t>
      </w:r>
      <w:r>
        <w:t xml:space="preserve">clearly indicate the three-year appraisal</w:t>
      </w:r>
      <w:r>
        <w:t xml:space="preserve"> </w:t>
      </w:r>
      <w:r>
        <w:t xml:space="preserve">period. All one-off costs in these tables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annualised to allow for final comparison</w:t>
      </w:r>
      <w:r>
        <w:t xml:space="preserve"> </w:t>
      </w:r>
      <w:r>
        <w:t xml:space="preserve">of options.</w:t>
      </w:r>
    </w:p>
    <w:p>
      <w:pPr>
        <w:pStyle w:val="BodyText"/>
      </w:pPr>
      <w:r>
        <w:t xml:space="preserve">have been annualised in accordance with</w:t>
      </w:r>
      <w:r>
        <w:t xml:space="preserve"> </w:t>
      </w:r>
      <w:r>
        <w:t xml:space="preserve">the Standard Cost Model formula.</w:t>
      </w:r>
    </w:p>
    <w:p>
      <w:pPr>
        <w:pStyle w:val="Compact"/>
        <w:numPr>
          <w:ilvl w:val="0"/>
          <w:numId w:val="1003"/>
        </w:numPr>
      </w:pPr>
      <w:r>
        <w:t xml:space="preserve">The report should transparently outline</w:t>
      </w:r>
      <w:r>
        <w:t xml:space="preserve"> </w:t>
      </w:r>
      <w:r>
        <w:t xml:space="preserve">the methodology used to calculate the</w:t>
      </w:r>
      <w:r>
        <w:t xml:space="preserve"> </w:t>
      </w:r>
      <w:r>
        <w:t xml:space="preserve">expected percentage reduction in illicit</w:t>
      </w:r>
      <w:r>
        <w:t xml:space="preserve"> </w:t>
      </w:r>
      <w:r>
        <w:t xml:space="preserve">trade for each option, with a clear</w:t>
      </w:r>
      <w:r>
        <w:t xml:space="preserve"> </w:t>
      </w:r>
      <w:r>
        <w:t xml:space="preserve">explanation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assumptions and calculations. Similarly,</w:t>
      </w:r>
      <w:r>
        <w:t xml:space="preserve"> </w:t>
      </w:r>
      <w:r>
        <w:t xml:space="preserve">it should provide a detailed explanation</w:t>
      </w:r>
      <w:r>
        <w:t xml:space="preserve"> </w:t>
      </w:r>
      <w:r>
        <w:t xml:space="preserve">and substantiation behind the estimated</w:t>
      </w:r>
      <w:r>
        <w:t xml:space="preserve"> </w:t>
      </w:r>
      <w:r>
        <w:t xml:space="preserve">60% reduction in the availability of</w:t>
      </w:r>
      <w:r>
        <w:t xml:space="preserve"> </w:t>
      </w:r>
      <w:r>
        <w:t xml:space="preserve">precursors</w:t>
      </w:r>
      <w:r>
        <w:t xml:space="preserve"> </w:t>
      </w:r>
      <w:r>
        <w:t xml:space="preserve">for</w:t>
      </w:r>
      <w:r>
        <w:t xml:space="preserve"> </w:t>
      </w:r>
      <w:r>
        <w:t xml:space="preserve">illicit</w:t>
      </w:r>
      <w:r>
        <w:t xml:space="preserve"> </w:t>
      </w:r>
      <w:r>
        <w:t xml:space="preserve">drug</w:t>
      </w:r>
      <w:r>
        <w:t xml:space="preserve"> </w:t>
      </w:r>
      <w:r>
        <w:t xml:space="preserve">manufacturing.</w:t>
      </w:r>
    </w:p>
    <w:p>
      <w:pPr>
        <w:pStyle w:val="FirstParagraph"/>
      </w:pPr>
      <w:r>
        <w:t xml:space="preserve">Section 3 of Annex 4 has been redrafted to</w:t>
      </w:r>
      <w:r>
        <w:t xml:space="preserve"> </w:t>
      </w:r>
      <w:r>
        <w:t xml:space="preserve">provide a more detailed explanation of the</w:t>
      </w:r>
      <w:r>
        <w:t xml:space="preserve"> </w:t>
      </w:r>
      <w:r>
        <w:t xml:space="preserve">methodology used for the social impact</w:t>
      </w:r>
      <w:r>
        <w:t xml:space="preserve"> </w:t>
      </w:r>
      <w:r>
        <w:t xml:space="preserve">assessment. The limitations and caveats of</w:t>
      </w:r>
      <w:r>
        <w:t xml:space="preserve"> </w:t>
      </w:r>
      <w:r>
        <w:t xml:space="preserve">the estimated 60% reduction have been better</w:t>
      </w:r>
      <w:r>
        <w:t xml:space="preserve"> </w:t>
      </w:r>
      <w:r>
        <w:t xml:space="preserve">highlighted.</w:t>
      </w:r>
      <w:r>
        <w:t xml:space="preserve"> </w:t>
      </w:r>
      <w:r>
        <w:t xml:space="preserve">8.</w:t>
      </w:r>
      <w:r>
        <w:t xml:space="preserve"> </w:t>
      </w:r>
      <w:r>
        <w:t xml:space="preserve">The report should provide a clearer</w:t>
      </w:r>
      <w:r>
        <w:t xml:space="preserve"> </w:t>
      </w:r>
      <w:r>
        <w:t xml:space="preserve">comparison of the options to strengthen</w:t>
      </w:r>
      <w:r>
        <w:t xml:space="preserve"> </w:t>
      </w:r>
      <w:r>
        <w:t xml:space="preserve">the assessment of effectiveness and</w:t>
      </w:r>
      <w:r>
        <w:t xml:space="preserve"> </w:t>
      </w:r>
      <w:r>
        <w:t xml:space="preserve">proportionality. It should assess to what</w:t>
      </w:r>
      <w:r>
        <w:t xml:space="preserve"> </w:t>
      </w:r>
      <w:r>
        <w:t xml:space="preserve">extent the two comprehensive options</w:t>
      </w:r>
      <w:r>
        <w:t xml:space="preserve"> </w:t>
      </w:r>
      <w:r>
        <w:t xml:space="preserve">can be considered equal in terms of</w:t>
      </w:r>
      <w:r>
        <w:t xml:space="preserve"> </w:t>
      </w:r>
      <w:r>
        <w:t xml:space="preserve">social</w:t>
      </w:r>
      <w:r>
        <w:t xml:space="preserve"> </w:t>
      </w:r>
      <w:r>
        <w:t xml:space="preserve">impacts,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difference in ambition and scope. It</w:t>
      </w:r>
      <w:r>
        <w:t xml:space="preserve"> </w:t>
      </w:r>
      <w:r>
        <w:t xml:space="preserve">should also clarify the costs for</w:t>
      </w:r>
      <w:r>
        <w:t xml:space="preserve"> </w:t>
      </w:r>
      <w:r>
        <w:t xml:space="preserve">authorities and economic operators for</w:t>
      </w:r>
      <w:r>
        <w:t xml:space="preserve"> </w:t>
      </w:r>
      <w:r>
        <w:t xml:space="preserve">each option taking into account the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factors</w:t>
      </w:r>
      <w:r>
        <w:t xml:space="preserve"> </w:t>
      </w:r>
      <w:r>
        <w:t xml:space="preserve">in</w:t>
      </w:r>
      <w:r>
        <w:t xml:space="preserve"> </w:t>
      </w:r>
      <w:r>
        <w:t xml:space="preserve">implementation and enforcement.</w:t>
      </w:r>
    </w:p>
    <w:p>
      <w:pPr>
        <w:pStyle w:val="BodyText"/>
      </w:pPr>
      <w:r>
        <w:t xml:space="preserve">Figures 21 and 23 have been amended to</w:t>
      </w:r>
      <w:r>
        <w:t xml:space="preserve"> </w:t>
      </w:r>
      <w:r>
        <w:t xml:space="preserve">ensure consistency and a uniform</w:t>
      </w:r>
      <w:r>
        <w:t xml:space="preserve"> </w:t>
      </w:r>
      <w:r>
        <w:t xml:space="preserve">interpretation. All one-off costs have</w:t>
      </w:r>
      <w:r>
        <w:t xml:space="preserve"> </w:t>
      </w:r>
      <w:r>
        <w:t xml:space="preserve">been annualised using the parameters</w:t>
      </w:r>
      <w:r>
        <w:t xml:space="preserve"> </w:t>
      </w:r>
      <w:r>
        <w:t xml:space="preserve">detailed in the footnotes. Additionally, a</w:t>
      </w:r>
      <w:r>
        <w:t xml:space="preserve"> </w:t>
      </w:r>
      <w:r>
        <w:t xml:space="preserve">paragraph has been added to Section 6.3</w:t>
      </w:r>
      <w:r>
        <w:t xml:space="preserve"> </w:t>
      </w:r>
      <w:r>
        <w:t xml:space="preserve">explaining the rationale behind the</w:t>
      </w:r>
      <w:r>
        <w:t xml:space="preserve"> </w:t>
      </w:r>
      <w:r>
        <w:t xml:space="preserve">similar impact attributed to Options 2 and</w:t>
      </w:r>
      <w:r>
        <w:t xml:space="preserve"> </w:t>
      </w:r>
      <w:r>
        <w:t xml:space="preserve">3.</w:t>
      </w:r>
    </w:p>
    <w:p>
      <w:pPr>
        <w:pStyle w:val="Compact"/>
        <w:numPr>
          <w:ilvl w:val="0"/>
          <w:numId w:val="1004"/>
        </w:numPr>
      </w:pPr>
      <w:r>
        <w:t xml:space="preserve">The report should discuss how reliably</w:t>
      </w:r>
      <w:r>
        <w:t xml:space="preserve"> </w:t>
      </w:r>
      <w:r>
        <w:t xml:space="preserve">it can assess the proportionality of the</w:t>
      </w:r>
      <w:r>
        <w:t xml:space="preserve"> </w:t>
      </w:r>
      <w:r>
        <w:t xml:space="preserve">proposed interventions given that it is</w:t>
      </w:r>
      <w:r>
        <w:t xml:space="preserve"> </w:t>
      </w:r>
      <w:r>
        <w:t xml:space="preserve">unclear to what extent the proposed</w:t>
      </w:r>
      <w:r>
        <w:t xml:space="preserve"> </w:t>
      </w:r>
      <w:r>
        <w:t xml:space="preserve">measures will result in desired social</w:t>
      </w:r>
      <w:r>
        <w:t xml:space="preserve"> </w:t>
      </w:r>
      <w:r>
        <w:t xml:space="preserve">impacts (reduced health detriments and</w:t>
      </w:r>
      <w:r>
        <w:t xml:space="preserve"> </w:t>
      </w:r>
      <w:r>
        <w:t xml:space="preserve">crime etc.); and also unclear to what</w:t>
      </w:r>
      <w:r>
        <w:t xml:space="preserve"> </w:t>
      </w:r>
      <w:r>
        <w:t xml:space="preserve">extent they will have impacts in terms of</w:t>
      </w:r>
      <w:r>
        <w:t xml:space="preserve"> </w:t>
      </w:r>
      <w:r>
        <w:t xml:space="preserve">reduced rates of innovation in the</w:t>
      </w:r>
      <w:r>
        <w:t xml:space="preserve"> </w:t>
      </w:r>
      <w:r>
        <w:t xml:space="preserve">industries concerned.</w:t>
      </w:r>
    </w:p>
    <w:p>
      <w:pPr>
        <w:pStyle w:val="FirstParagraph"/>
      </w:pPr>
      <w:r>
        <w:t xml:space="preserve">Section 3 of Annex 4 has been redrafted</w:t>
      </w:r>
      <w:r>
        <w:t xml:space="preserve"> </w:t>
      </w:r>
      <w:r>
        <w:t xml:space="preserve">to provide a more detailed explanation of</w:t>
      </w:r>
      <w:r>
        <w:t xml:space="preserve"> </w:t>
      </w:r>
      <w:r>
        <w:t xml:space="preserve">the methodology used for the social</w:t>
      </w:r>
      <w:r>
        <w:t xml:space="preserve"> </w:t>
      </w:r>
      <w:r>
        <w:t xml:space="preserve">impact assessment and its limitations.</w:t>
      </w:r>
    </w:p>
    <w:p>
      <w:pPr>
        <w:pStyle w:val="BodyText"/>
      </w:pPr>
      <w:r>
        <w:t xml:space="preserve">The report has been updated to reflect the</w:t>
      </w:r>
      <w:r>
        <w:t xml:space="preserve"> </w:t>
      </w:r>
      <w:r>
        <w:t xml:space="preserve">findings on innovation.</w:t>
      </w:r>
    </w:p>
    <w:p>
      <w:pPr>
        <w:pStyle w:val="Compact"/>
        <w:numPr>
          <w:ilvl w:val="0"/>
          <w:numId w:val="1005"/>
        </w:numPr>
      </w:pPr>
      <w:r>
        <w:t xml:space="preserve">The report should clearly qualify what it</w:t>
      </w:r>
      <w:r>
        <w:t xml:space="preserve"> </w:t>
      </w:r>
      <w:r>
        <w:t xml:space="preserve">will take to measure success. The</w:t>
      </w:r>
      <w:r>
        <w:t xml:space="preserve"> </w:t>
      </w:r>
      <w:r>
        <w:t xml:space="preserve">monitoring framework should include</w:t>
      </w:r>
      <w:r>
        <w:t xml:space="preserve"> </w:t>
      </w:r>
      <w:r>
        <w:t xml:space="preserve">indicator(s) on social and economic</w:t>
      </w:r>
      <w:r>
        <w:t xml:space="preserve"> </w:t>
      </w:r>
      <w:r>
        <w:t xml:space="preserve">benefits building on the methodology</w:t>
      </w:r>
      <w:r>
        <w:t xml:space="preserve"> </w:t>
      </w:r>
      <w:r>
        <w:t xml:space="preserve">behind the estimates related to the</w:t>
      </w:r>
      <w:r>
        <w:t xml:space="preserve"> </w:t>
      </w:r>
      <w:r>
        <w:t xml:space="preserve">reduced availability of precursors.</w:t>
      </w:r>
      <w:r>
        <w:t xml:space="preserve"> </w:t>
      </w:r>
      <w:r>
        <w:t xml:space="preserve">Figure 24 has been updated to highlight the</w:t>
      </w:r>
      <w:r>
        <w:t xml:space="preserve"> </w:t>
      </w:r>
      <w:r>
        <w:t xml:space="preserve">key indicators for success and to indicate</w:t>
      </w:r>
      <w:r>
        <w:t xml:space="preserve"> </w:t>
      </w:r>
      <w:r>
        <w:t xml:space="preserve">what would be considered a successful</w:t>
      </w:r>
      <w:r>
        <w:t xml:space="preserve"> </w:t>
      </w:r>
      <w:r>
        <w:t xml:space="preserve">outcome of the intervention.</w:t>
      </w:r>
    </w:p>
    <w:p>
      <w:pPr>
        <w:pStyle w:val="FirstParagraph"/>
      </w:pPr>
      <w:r>
        <w:t xml:space="preserve">6</w:t>
      </w:r>
      <w:r>
        <w:t xml:space="preserve"> </w:t>
      </w:r>
      <w:r>
        <w:t xml:space="preserve">3. EVIDENCE, SOURCES AND QUALITY</w:t>
      </w:r>
      <w:r>
        <w:t xml:space="preserve"> </w:t>
      </w:r>
      <w:r>
        <w:t xml:space="preserve">The Evaluation of the drug precursors regulation identified the key areas for the revision.1 It</w:t>
      </w:r>
      <w:r>
        <w:t xml:space="preserve"> </w:t>
      </w:r>
      <w:r>
        <w:t xml:space="preserve">was supported by a study by an external contractor.2</w:t>
      </w:r>
      <w:r>
        <w:t xml:space="preserve"> </w:t>
      </w:r>
      <w:r>
        <w:t xml:space="preserve">This impact assessment is also supported by a new study undertaken by another external</w:t>
      </w:r>
      <w:r>
        <w:t xml:space="preserve"> </w:t>
      </w:r>
      <w:r>
        <w:t xml:space="preserve">contractor, who carried out dozens of interviews, analysed data from public and targeted</w:t>
      </w:r>
      <w:r>
        <w:t xml:space="preserve"> </w:t>
      </w:r>
      <w:r>
        <w:t xml:space="preserve">consultations and complemented this through desk research. Annex 4 provides more details on</w:t>
      </w:r>
      <w:r>
        <w:t xml:space="preserve"> </w:t>
      </w:r>
      <w:r>
        <w:t xml:space="preserve">the analytical method applied to collect the evidence supporting this impact assessment.</w:t>
      </w:r>
    </w:p>
    <w:p>
      <w:pPr>
        <w:pStyle w:val="BodyText"/>
      </w:pPr>
      <w:r>
        <w:t xml:space="preserve">1 Report from the Commission to the European Parliament and the Council on the Evaluation of the EU drug</w:t>
      </w:r>
      <w:r>
        <w:t xml:space="preserve"> </w:t>
      </w:r>
      <w:r>
        <w:t xml:space="preserve">precursors regulations, COM(2020) 768.</w:t>
      </w:r>
      <w:r>
        <w:t xml:space="preserve"> </w:t>
      </w:r>
      <w:r>
        <w:t xml:space="preserve">2 This study was not published at the time.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STAKEHOLDER CONSULTATION ACTIVITIES</w:t>
      </w:r>
      <w:r>
        <w:br/>
      </w:r>
      <w:r>
        <w:t xml:space="preserve">The Stakeholder Consultation Synopsis Report (the ‘Report’) summarises the key findings from</w:t>
      </w:r>
      <w:r>
        <w:t xml:space="preserve"> </w:t>
      </w:r>
      <w:r>
        <w:t xml:space="preserve">the consultation activities carried out in the framework of the Impact Assessment The</w:t>
      </w:r>
      <w:r>
        <w:t xml:space="preserve"> </w:t>
      </w:r>
      <w:r>
        <w:t xml:space="preserve">consultation involved six main activities with complementary scope and objectives, and</w:t>
      </w:r>
      <w:r>
        <w:t xml:space="preserve"> </w:t>
      </w:r>
      <w:r>
        <w:t xml:space="preserve">specifically:</w:t>
      </w:r>
      <w:r>
        <w:br/>
      </w:r>
      <w:r>
        <w:t xml:space="preserve">• In-depth interviews. 78 in-depth interviews with three main stakeholder groups were</w:t>
      </w:r>
      <w:r>
        <w:t xml:space="preserve"> </w:t>
      </w:r>
      <w:r>
        <w:t xml:space="preserve">conducted, namely:</w:t>
      </w:r>
      <w:r>
        <w:t xml:space="preserve"> </w:t>
      </w:r>
      <w:r>
        <w:t xml:space="preserve">o National Authorities: 25 interviews were conducted with various national authorities</w:t>
      </w:r>
      <w:r>
        <w:t xml:space="preserve"> </w:t>
      </w:r>
      <w:r>
        <w:t xml:space="preserve">from the EU and third countries (Switzerland and Norway), including licensing</w:t>
      </w:r>
      <w:r>
        <w:t xml:space="preserve"> </w:t>
      </w:r>
      <w:r>
        <w:t xml:space="preserve">bodies, customs agencies, law enforcement, and policy-making entities.</w:t>
      </w:r>
      <w:r>
        <w:br/>
      </w:r>
      <w:r>
        <w:t xml:space="preserve">o Economic Operators (EO): 50 interviews were carried out with different EO such as</w:t>
      </w:r>
      <w:r>
        <w:t xml:space="preserve"> </w:t>
      </w:r>
      <w:r>
        <w:t xml:space="preserve">chemical manufacturers, distributors, industry and research entities, and trade</w:t>
      </w:r>
      <w:r>
        <w:t xml:space="preserve"> </w:t>
      </w:r>
      <w:r>
        <w:t xml:space="preserve">associations.</w:t>
      </w:r>
      <w:r>
        <w:t xml:space="preserve"> </w:t>
      </w:r>
      <w:r>
        <w:t xml:space="preserve">o Other Stakeholders: This category included entities with an institutional profile, i.e. </w:t>
      </w:r>
      <w:r>
        <w:t xml:space="preserve"> </w:t>
      </w:r>
      <w:r>
        <w:t xml:space="preserve">INCB, EMCDDA, and EUROPOL.</w:t>
      </w:r>
      <w:r>
        <w:br/>
      </w:r>
      <w:r>
        <w:t xml:space="preserve">o The interviews covered two main themes, i.e. enhancing precursor control and</w:t>
      </w:r>
      <w:r>
        <w:t xml:space="preserve"> </w:t>
      </w:r>
      <w:r>
        <w:t xml:space="preserve">simplifying/reducing regulatory burden, analysed across two dimensions: analysis</w:t>
      </w:r>
      <w:r>
        <w:t xml:space="preserve"> </w:t>
      </w:r>
      <w:r>
        <w:t xml:space="preserve">of the problem and exploration of solutions. Depending on the focus, the interviews</w:t>
      </w:r>
      <w:r>
        <w:t xml:space="preserve"> </w:t>
      </w:r>
      <w:r>
        <w:t xml:space="preserve">contributed either to the qualitative analysis, which informed policy discussions, or</w:t>
      </w:r>
      <w:r>
        <w:t xml:space="preserve"> </w:t>
      </w:r>
      <w:r>
        <w:t xml:space="preserve">to the quantitative analysis, supporting the Standard Cost Model exercise.</w:t>
      </w:r>
      <w:r>
        <w:br/>
      </w:r>
      <w:r>
        <w:t xml:space="preserve">NGOs and civil society organisations active in the field of fight against illicit drugs and</w:t>
      </w:r>
      <w:r>
        <w:t xml:space="preserve"> </w:t>
      </w:r>
      <w:r>
        <w:t xml:space="preserve">prevention of drug abuse were invited to participate in the interview programme but they</w:t>
      </w:r>
      <w:r>
        <w:t xml:space="preserve"> </w:t>
      </w:r>
      <w:r>
        <w:t xml:space="preserve">declined due to their limited knowledge of the technical aspects of the legislation under</w:t>
      </w:r>
      <w:r>
        <w:t xml:space="preserve"> </w:t>
      </w:r>
      <w:r>
        <w:t xml:space="preserve">analysis. Similarly, ecommerce platform representatives opted to not participate in the</w:t>
      </w:r>
      <w:r>
        <w:t xml:space="preserve"> </w:t>
      </w:r>
      <w:r>
        <w:t xml:space="preserve">interview programme.</w:t>
      </w:r>
      <w:r>
        <w:br/>
      </w:r>
      <w:r>
        <w:t xml:space="preserve">• Targeted survey of Member States competent authorities (“MS survey”). The targeted</w:t>
      </w:r>
      <w:r>
        <w:t xml:space="preserve"> </w:t>
      </w:r>
      <w:r>
        <w:t xml:space="preserve">survey of MS authorities consisted of a detailed questionnaire including factual questions</w:t>
      </w:r>
      <w:r>
        <w:t xml:space="preserve"> </w:t>
      </w:r>
      <w:r>
        <w:t xml:space="preserve">on the national legal and operational framework, quantification of the policy problem,</w:t>
      </w:r>
      <w:r>
        <w:t xml:space="preserve"> </w:t>
      </w:r>
      <w:r>
        <w:t xml:space="preserve">regulatory burden and efficiency improvements, etc. It was sent to representatives of</w:t>
      </w:r>
      <w:r>
        <w:t xml:space="preserve"> </w:t>
      </w:r>
      <w:r>
        <w:t xml:space="preserve">competent authorities who are part of the Drug Precursors Expert Group (DPEG). The</w:t>
      </w:r>
      <w:r>
        <w:t xml:space="preserve"> </w:t>
      </w:r>
      <w:r>
        <w:t xml:space="preserve">survey was disseminated both via CIRCA BC and directly by the Consultant to authorities</w:t>
      </w:r>
      <w:r>
        <w:t xml:space="preserve"> </w:t>
      </w:r>
      <w:r>
        <w:t xml:space="preserve">that have been previously involved in the in-depth interview programme. Specifically, 27</w:t>
      </w:r>
      <w:r>
        <w:t xml:space="preserve"> </w:t>
      </w:r>
      <w:r>
        <w:t xml:space="preserve">authorities corresponding to 19 Member States were directly contacted by the Consultant,</w:t>
      </w:r>
      <w:r>
        <w:t xml:space="preserve"> </w:t>
      </w:r>
      <w:r>
        <w:t xml:space="preserve">while the reminder, corresponding to 8 MS, received the survey through CIRCA BC. The</w:t>
      </w:r>
      <w:r>
        <w:t xml:space="preserve"> </w:t>
      </w:r>
      <w:r>
        <w:t xml:space="preserve">targeted survey of MS competent authorities was launched on 25 March. The initial deadline</w:t>
      </w:r>
      <w:r>
        <w:t xml:space="preserve"> </w:t>
      </w:r>
      <w:r>
        <w:t xml:space="preserve">was set for the 3 May, however, due to the slow response rate registered in the initial weeks,</w:t>
      </w:r>
      <w:r>
        <w:t xml:space="preserve"> </w:t>
      </w:r>
      <w:r>
        <w:t xml:space="preserve">a two-week extension was granted – i.e. until 17 May. On the expiration date, the status of</w:t>
      </w:r>
      <w:r>
        <w:t xml:space="preserve"> </w:t>
      </w:r>
      <w:r>
        <w:t xml:space="preserve">responses was as follows:</w:t>
      </w:r>
      <w:r>
        <w:br/>
      </w:r>
      <w:r>
        <w:t xml:space="preserve">o a total of 29 questionnaires were received, corresponding to 37 authorities and 21</w:t>
      </w:r>
      <w:r>
        <w:t xml:space="preserve"> </w:t>
      </w:r>
      <w:r>
        <w:t xml:space="preserve">MS (as it was allowed for different national authorities to send separate</w:t>
      </w:r>
      <w:r>
        <w:t xml:space="preserve"> </w:t>
      </w:r>
      <w:r>
        <w:t xml:space="preserve">questionnaires);</w:t>
      </w:r>
      <w:r>
        <w:t xml:space="preserve"> </w:t>
      </w:r>
      <w:r>
        <w:t xml:space="preserve">o no feedback was received from 5 MS (namely Bulgaria, Lithuania, Luxembourg,</w:t>
      </w:r>
      <w:r>
        <w:t xml:space="preserve"> </w:t>
      </w:r>
      <w:r>
        <w:t xml:space="preserve">Slovakia, Croatia);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 one MS (Estonia) declined the invitation to submit the questionnaire.</w:t>
      </w:r>
      <w:r>
        <w:t xml:space="preserve"> </w:t>
      </w:r>
      <w:r>
        <w:t xml:space="preserve">• Targeted survey of Economic Operators (“EO survey”). The survey was launched on 18</w:t>
      </w:r>
      <w:r>
        <w:t xml:space="preserve"> </w:t>
      </w:r>
      <w:r>
        <w:t xml:space="preserve">April through an ad hoc online tool, which links were distributed (i) directly to 65 EOs, (ii)</w:t>
      </w:r>
      <w:r>
        <w:t xml:space="preserve"> </w:t>
      </w:r>
      <w:r>
        <w:t xml:space="preserve">through industry associations (CEFIC and FECC), and (iii) via a notice on CIRCA BC. This</w:t>
      </w:r>
      <w:r>
        <w:t xml:space="preserve"> </w:t>
      </w:r>
      <w:r>
        <w:t xml:space="preserve">‘cascading’ approach was made necessary by the fact that the list of licensed / registered</w:t>
      </w:r>
      <w:r>
        <w:t xml:space="preserve"> </w:t>
      </w:r>
      <w:r>
        <w:t xml:space="preserve">operators in the EU DP database could not be shared with the Consultant for confidentiality</w:t>
      </w:r>
      <w:r>
        <w:t xml:space="preserve"> </w:t>
      </w:r>
      <w:r>
        <w:t xml:space="preserve">reasons. The survey, initially open until 24 May, was extended to 14 June to increase</w:t>
      </w:r>
      <w:r>
        <w:t xml:space="preserve"> </w:t>
      </w:r>
      <w:r>
        <w:t xml:space="preserve">responses. Finally, 81 valid questionnaires were completed, including 43 from SMEs.</w:t>
      </w:r>
      <w:r>
        <w:t xml:space="preserve"> </w:t>
      </w:r>
      <w:r>
        <w:t xml:space="preserve">However, 759 additional respondents accessed but did not complete the survey. Factors</w:t>
      </w:r>
      <w:r>
        <w:t xml:space="preserve"> </w:t>
      </w:r>
      <w:r>
        <w:t xml:space="preserve">affecting participation included:</w:t>
      </w:r>
      <w:r>
        <w:t xml:space="preserve"> </w:t>
      </w:r>
      <w:r>
        <w:t xml:space="preserve">o The extended and overlapping nature of the revised survey, leading to potential</w:t>
      </w:r>
      <w:r>
        <w:t xml:space="preserve"> </w:t>
      </w:r>
      <w:r>
        <w:t xml:space="preserve">consultation fatigue;</w:t>
      </w:r>
      <w:r>
        <w:t xml:space="preserve"> </w:t>
      </w:r>
      <w:r>
        <w:t xml:space="preserve">o concurrent running with a Public Consultation, possibly confusing some</w:t>
      </w:r>
      <w:r>
        <w:t xml:space="preserve"> </w:t>
      </w:r>
      <w:r>
        <w:t xml:space="preserve">respondents;</w:t>
      </w:r>
      <w:r>
        <w:t xml:space="preserve"> </w:t>
      </w:r>
      <w:r>
        <w:t xml:space="preserve">o an initial problem with the survey link on CIRCA BC, which may have caused a</w:t>
      </w:r>
      <w:r>
        <w:t xml:space="preserve"> </w:t>
      </w:r>
      <w:r>
        <w:t xml:space="preserve">loss of momentum.</w:t>
      </w:r>
      <w:r>
        <w:t xml:space="preserve"> </w:t>
      </w:r>
      <w:r>
        <w:t xml:space="preserve">• Public Consultation (PC). Published on the Have Your Say portal from 17 April to 10</w:t>
      </w:r>
      <w:r>
        <w:t xml:space="preserve"> </w:t>
      </w:r>
      <w:r>
        <w:t xml:space="preserve">July 2024, this component of the stakeholder consultation strategy was open to any</w:t>
      </w:r>
      <w:r>
        <w:t xml:space="preserve"> </w:t>
      </w:r>
      <w:r>
        <w:t xml:space="preserve">interested subject, i.e. institutions, companies and individual citizens, regardless of the</w:t>
      </w:r>
      <w:r>
        <w:t xml:space="preserve"> </w:t>
      </w:r>
      <w:r>
        <w:t xml:space="preserve">level of familiarity and expertise in the subject matter. Its purpose was to gather</w:t>
      </w:r>
      <w:r>
        <w:t xml:space="preserve"> </w:t>
      </w:r>
      <w:r>
        <w:t xml:space="preserve">stakeholders’ feedback on the functioning of the current EU rules and provisions for the</w:t>
      </w:r>
      <w:r>
        <w:t xml:space="preserve"> </w:t>
      </w:r>
      <w:r>
        <w:t xml:space="preserve">control of trade and use of drug precursors, as well as on possible options and measures</w:t>
      </w:r>
      <w:r>
        <w:t xml:space="preserve"> </w:t>
      </w:r>
      <w:r>
        <w:t xml:space="preserve">to address challenges and shortcomings. The validated replies to the consultation, after</w:t>
      </w:r>
      <w:r>
        <w:t xml:space="preserve"> </w:t>
      </w:r>
      <w:r>
        <w:t xml:space="preserve">the data cleansing process, amounted to 53.3 In particular, the survey gathered feedback</w:t>
      </w:r>
      <w:r>
        <w:t xml:space="preserve"> </w:t>
      </w:r>
      <w:r>
        <w:t xml:space="preserve">from 18 Member States, with a particularly high participation from the Netherlands (11</w:t>
      </w:r>
      <w:r>
        <w:t xml:space="preserve"> </w:t>
      </w:r>
      <w:r>
        <w:t xml:space="preserve">replies), Germany (8 replies) and Belgium (7 replies). The majority of respondents</w:t>
      </w:r>
      <w:r>
        <w:t xml:space="preserve"> </w:t>
      </w:r>
      <w:r>
        <w:t xml:space="preserve">(51 %) belonged to the business environment (22 companies, 5 business associations),</w:t>
      </w:r>
      <w:r>
        <w:t xml:space="preserve"> </w:t>
      </w:r>
      <w:r>
        <w:t xml:space="preserve">followed by public authorities (15 replies), and individuals (7 replies). Other few</w:t>
      </w:r>
      <w:r>
        <w:t xml:space="preserve"> </w:t>
      </w:r>
      <w:r>
        <w:t xml:space="preserve">questionnaires were received from one NGO, one environmental organisation and two</w:t>
      </w:r>
      <w:r>
        <w:t xml:space="preserve"> </w:t>
      </w:r>
      <w:r>
        <w:t xml:space="preserve">respondents self-qualified as ‘others’ that could actually be associated to a business</w:t>
      </w:r>
      <w:r>
        <w:t xml:space="preserve"> </w:t>
      </w:r>
      <w:r>
        <w:t xml:space="preserve">environment. Of the 22 businesses that took part in the consultation, 15 were SMEs.</w:t>
      </w:r>
      <w:r>
        <w:t xml:space="preserve"> </w:t>
      </w:r>
      <w:r>
        <w:t xml:space="preserve">Overall, the participation rate was likely affected by the concurrent implementation of</w:t>
      </w:r>
      <w:r>
        <w:t xml:space="preserve"> </w:t>
      </w:r>
      <w:r>
        <w:t xml:space="preserve">two ‘targeted’ consultations on the same subject, one addressing specifically MS</w:t>
      </w:r>
      <w:r>
        <w:t xml:space="preserve"> </w:t>
      </w:r>
      <w:r>
        <w:t xml:space="preserve">authorities and the other addressing economic operators.</w:t>
      </w:r>
      <w:r>
        <w:t xml:space="preserve"> </w:t>
      </w:r>
      <w:r>
        <w:t xml:space="preserve">• Call for evidence (CfE). At the beginning of the review process, a call for Evidence was</w:t>
      </w:r>
      <w:r>
        <w:t xml:space="preserve"> </w:t>
      </w:r>
      <w:r>
        <w:t xml:space="preserve">published on the on the ‘Have your say’ webpage. In total 14 responses were received,</w:t>
      </w:r>
      <w:r>
        <w:t xml:space="preserve"> </w:t>
      </w:r>
      <w:r>
        <w:t xml:space="preserve">of which, 3 from businesses (and business organisations), 5 from public authorities and</w:t>
      </w:r>
      <w:r>
        <w:t xml:space="preserve"> </w:t>
      </w:r>
      <w:r>
        <w:t xml:space="preserve">the rest from individual citizens. 4</w:t>
      </w:r>
    </w:p>
    <w:p>
      <w:pPr>
        <w:pStyle w:val="BodyText"/>
      </w:pPr>
      <w:r>
        <w:t xml:space="preserve">• Workshop. Two stakeholder workshops were carried out, namely:</w:t>
      </w:r>
      <w:r>
        <w:br/>
      </w:r>
      <w:r>
        <w:t xml:space="preserve">o The first of the two workshops envisioned in the proposal was carried out on 14</w:t>
      </w:r>
      <w:r>
        <w:t xml:space="preserve"> </w:t>
      </w:r>
      <w:r>
        <w:t xml:space="preserve">November 2023. The workshop took place in hybrid mode (i.e. it was conducted</w:t>
      </w:r>
    </w:p>
    <w:p>
      <w:pPr>
        <w:pStyle w:val="BodyText"/>
      </w:pPr>
      <w:r>
        <w:t xml:space="preserve">3 The total replies to the PC amounted to 58. However, the data cleansing process revealed that five almost identical</w:t>
      </w:r>
      <w:r>
        <w:t xml:space="preserve"> </w:t>
      </w:r>
      <w:r>
        <w:t xml:space="preserve">questionnaires were received from the same multinational company, which according to the Better Regulation qualifies as a</w:t>
      </w:r>
      <w:r>
        <w:t xml:space="preserve"> </w:t>
      </w:r>
      <w:r>
        <w:t xml:space="preserve">‘coordinated campaign’ and were therefore counted as one. One further entry has been excluded from the analysis as the</w:t>
      </w:r>
      <w:r>
        <w:t xml:space="preserve"> </w:t>
      </w:r>
      <w:r>
        <w:t xml:space="preserve">submitted questionnaire resulted largely incomplete.</w:t>
      </w:r>
      <w:r>
        <w:t xml:space="preserve"> </w:t>
      </w:r>
      <w:r>
        <w:t xml:space="preserve">4</w:t>
      </w:r>
      <w:r>
        <w:t xml:space="preserve"> </w:t>
      </w:r>
      <w:r>
        <w:t xml:space="preserve">See:</w:t>
      </w:r>
      <w:r>
        <w:t xml:space="preserve"> </w:t>
      </w:r>
      <w:r>
        <w:t xml:space="preserve">https://ec.europa.eu/info/law/better-regulation/have-your-say/initiatives/13579-Drug-precursors-EU-legislation-</w:t>
      </w:r>
      <w:r>
        <w:t xml:space="preserve"> </w:t>
      </w:r>
      <w:r>
        <w:t xml:space="preserve">revised-rules-_en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both in presence in Brussels and online) with the objective of discussing and</w:t>
      </w:r>
      <w:r>
        <w:t xml:space="preserve"> </w:t>
      </w:r>
      <w:r>
        <w:t xml:space="preserve">‘validating’ the policy problems identified by the Consultant as well as gathering</w:t>
      </w:r>
      <w:r>
        <w:t xml:space="preserve"> </w:t>
      </w:r>
      <w:r>
        <w:t xml:space="preserve">insights on policy options and measures to be reviewed during later stages of the</w:t>
      </w:r>
      <w:r>
        <w:t xml:space="preserve"> </w:t>
      </w:r>
      <w:r>
        <w:t xml:space="preserve">Assignment. Overall, 109 external participants took part in the workshop, with 12</w:t>
      </w:r>
      <w:r>
        <w:t xml:space="preserve"> </w:t>
      </w:r>
      <w:r>
        <w:t xml:space="preserve">participants attending in Brussels and 97 participants online. The main stakeholder</w:t>
      </w:r>
      <w:r>
        <w:t xml:space="preserve"> </w:t>
      </w:r>
      <w:r>
        <w:t xml:space="preserve">categories represented amongst the participants were: national authorities, industry</w:t>
      </w:r>
      <w:r>
        <w:t xml:space="preserve"> </w:t>
      </w:r>
      <w:r>
        <w:t xml:space="preserve">associations, economic operators, and academic experts.</w:t>
      </w:r>
      <w:r>
        <w:br/>
      </w:r>
      <w:r>
        <w:t xml:space="preserve">o The second workshop took place on 19 September 2024, in online mode. Overall,</w:t>
      </w:r>
      <w:r>
        <w:t xml:space="preserve"> </w:t>
      </w:r>
      <w:r>
        <w:t xml:space="preserve">114 participants attended the workshop. A short poll was conducted at the beginning</w:t>
      </w:r>
      <w:r>
        <w:t xml:space="preserve"> </w:t>
      </w:r>
      <w:r>
        <w:t xml:space="preserve">of the workshop to collect anonymous data on the type of stakeholders and their</w:t>
      </w:r>
      <w:r>
        <w:t xml:space="preserve"> </w:t>
      </w:r>
      <w:r>
        <w:t xml:space="preserve">country/location. Based on responses received, stakeholders included 23 public</w:t>
      </w:r>
      <w:r>
        <w:t xml:space="preserve"> </w:t>
      </w:r>
      <w:r>
        <w:t xml:space="preserve">authorities, 34 businesses representatives (of which 8 from SMEs, 7 from EU</w:t>
      </w:r>
      <w:r>
        <w:t xml:space="preserve"> </w:t>
      </w:r>
      <w:r>
        <w:t xml:space="preserve">industry associations, 4 from national industry associations, while the remaining 59</w:t>
      </w:r>
      <w:r>
        <w:t xml:space="preserve"> </w:t>
      </w:r>
      <w:r>
        <w:t xml:space="preserve">participants did not reply / did not belong to any of these categories. The objective</w:t>
      </w:r>
      <w:r>
        <w:t xml:space="preserve"> </w:t>
      </w:r>
      <w:r>
        <w:t xml:space="preserve">of the workshop was to present the external impact assessment study carried out by</w:t>
      </w:r>
      <w:r>
        <w:t xml:space="preserve"> </w:t>
      </w:r>
      <w:r>
        <w:t xml:space="preserve">the Contractor, and discuss, integrate and validate results.</w:t>
      </w:r>
      <w:r>
        <w:br/>
      </w:r>
      <w:r>
        <w:t xml:space="preserve">The following sections present the results of consultations in relation to the two main objectives</w:t>
      </w:r>
      <w:r>
        <w:t xml:space="preserve"> </w:t>
      </w:r>
      <w:r>
        <w:t xml:space="preserve">of the proposed revision of the drug precursors Regulations, namely:</w:t>
      </w:r>
      <w:r>
        <w:t xml:space="preserve"> </w:t>
      </w:r>
      <w:r>
        <w:t xml:space="preserve">•</w:t>
      </w:r>
      <w:r>
        <w:t xml:space="preserve"> </w:t>
      </w:r>
      <w:r>
        <w:t xml:space="preserve">Objective #1 - to reduce the availability of drug precursors for illicit drug manufacturing;</w:t>
      </w:r>
      <w:r>
        <w:t xml:space="preserve"> </w:t>
      </w:r>
      <w:r>
        <w:t xml:space="preserve">and</w:t>
      </w:r>
      <w:r>
        <w:br/>
      </w:r>
      <w:r>
        <w:t xml:space="preserve">•</w:t>
      </w:r>
      <w:r>
        <w:t xml:space="preserve"> </w:t>
      </w:r>
      <w:r>
        <w:t xml:space="preserve">Objective #2 - to facilitate legitimate trade and use of drug precursors, both in the</w:t>
      </w:r>
      <w:r>
        <w:t xml:space="preserve"> </w:t>
      </w:r>
      <w:r>
        <w:t xml:space="preserve">Internal Market and in relation to external trade.</w:t>
      </w:r>
      <w:r>
        <w:br/>
      </w:r>
      <w:r>
        <w:t xml:space="preserve">In the following section, the results of specific questions posed in the targeted surveys and the</w:t>
      </w:r>
      <w:r>
        <w:t xml:space="preserve"> </w:t>
      </w:r>
      <w:r>
        <w:t xml:space="preserve">public consultation are reported with reference to the number of respondents to the specific</w:t>
      </w:r>
      <w:r>
        <w:t xml:space="preserve"> </w:t>
      </w:r>
      <w:r>
        <w:t xml:space="preserve">question, which might be lower than the number of overall participants to the survey, as (i)</w:t>
      </w:r>
      <w:r>
        <w:t xml:space="preserve"> </w:t>
      </w:r>
      <w:r>
        <w:t xml:space="preserve">some questions were conditional to the response to a previous question, (ii) some respondents</w:t>
      </w:r>
      <w:r>
        <w:t xml:space="preserve"> </w:t>
      </w:r>
      <w:r>
        <w:t xml:space="preserve">opted to skip certain questions that were not mandatory.5</w:t>
      </w:r>
      <w:r>
        <w:br/>
      </w:r>
      <w:r>
        <w:t xml:space="preserve">2.</w:t>
      </w:r>
      <w:r>
        <w:t xml:space="preserve"> </w:t>
      </w:r>
      <w:r>
        <w:t xml:space="preserve">REDUCTION OF THE AVAILABILITY OF DRUG PRECURSORS FOR ILLICIT DRUG</w:t>
      </w:r>
      <w:r>
        <w:t xml:space="preserve"> </w:t>
      </w:r>
      <w:r>
        <w:t xml:space="preserve">MANUFACTURING</w:t>
      </w:r>
      <w:r>
        <w:t xml:space="preserve"> </w:t>
      </w:r>
      <w:r>
        <w:t xml:space="preserve">Feedback on the policy problem</w:t>
      </w:r>
      <w:r>
        <w:br/>
      </w:r>
      <w:r>
        <w:t xml:space="preserve">➢ PROLIFERATION OF DESIGNER PRECURSORS</w:t>
      </w:r>
      <w:r>
        <w:t xml:space="preserve"> </w:t>
      </w:r>
      <w:r>
        <w:t xml:space="preserve">According to the results of the MS survey, illegal activities connected to drug precursors have</w:t>
      </w:r>
      <w:r>
        <w:t xml:space="preserve"> </w:t>
      </w:r>
      <w:r>
        <w:t xml:space="preserve">been growing in recent years in the EU, and MS authorities appear not entirely satisfied with</w:t>
      </w:r>
      <w:r>
        <w:t xml:space="preserve"> </w:t>
      </w:r>
      <w:r>
        <w:t xml:space="preserve">the effectiveness of the EU policy in this respect (13 respondents expressed moderate / high</w:t>
      </w:r>
      <w:r>
        <w:t xml:space="preserve"> </w:t>
      </w:r>
      <w:r>
        <w:t xml:space="preserve">satisfaction against 7 who expressed moderate/high dissatisfaction and 9 expressing a neutral</w:t>
      </w:r>
      <w:r>
        <w:t xml:space="preserve"> </w:t>
      </w:r>
      <w:r>
        <w:t xml:space="preserve">view or answered ‘don’t know’). According to survey results, various MS registered a</w:t>
      </w:r>
      <w:r>
        <w:t xml:space="preserve"> </w:t>
      </w:r>
      <w:r>
        <w:t xml:space="preserve">worsening in drug precursor trafficking in the past five years. In particular, while illegal</w:t>
      </w:r>
      <w:r>
        <w:t xml:space="preserve"> </w:t>
      </w:r>
      <w:r>
        <w:t xml:space="preserve">import/export have largely remained in balance - i.e. with almost the same number of</w:t>
      </w:r>
      <w:r>
        <w:t xml:space="preserve"> </w:t>
      </w:r>
      <w:r>
        <w:t xml:space="preserve">respondents (5-6) reporting a worsening or an improvement - the illegal circulation of</w:t>
      </w:r>
      <w:r>
        <w:t xml:space="preserve"> </w:t>
      </w:r>
      <w:r>
        <w:t xml:space="preserve">precursors within the EU market and domestic production of illicit drugs in MS have reportedly</w:t>
      </w:r>
      <w:r>
        <w:t xml:space="preserve"> </w:t>
      </w:r>
      <w:r>
        <w:t xml:space="preserve">worsened, with respectively 7 and 5 surveyed authorities reporting a substantial or moderate</w:t>
      </w:r>
      <w:r>
        <w:t xml:space="preserve"> </w:t>
      </w:r>
      <w:r>
        <w:t xml:space="preserve">increase, against only one reporting a decrease. Specifically, the MS authorities surveyed</w:t>
      </w:r>
      <w:r>
        <w:t xml:space="preserve"> </w:t>
      </w:r>
      <w:r>
        <w:t xml:space="preserve">underlined the relevance of the ‘designer precursors’ problem (confirmed by 20 out of 27</w:t>
      </w:r>
      <w:r>
        <w:t xml:space="preserve"> </w:t>
      </w:r>
      <w:r>
        <w:t xml:space="preserve">authorities who replied to this question, against only 2 respondents that did not consider it an</w:t>
      </w:r>
      <w:r>
        <w:t xml:space="preserve"> </w:t>
      </w:r>
      <w:r>
        <w:t xml:space="preserve">issue).</w:t>
      </w:r>
    </w:p>
    <w:p>
      <w:pPr>
        <w:pStyle w:val="BodyText"/>
      </w:pPr>
      <w:r>
        <w:t xml:space="preserve">5 “Don’t know” replies are nonetheless considered in totals.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Regarding specifically designer precursor-related challenges, the majority of MS authorities</w:t>
      </w:r>
      <w:r>
        <w:t xml:space="preserve"> </w:t>
      </w:r>
      <w:r>
        <w:t xml:space="preserve">(13 out of 23 respondents to this specific question) considers the identification of these</w:t>
      </w:r>
      <w:r>
        <w:t xml:space="preserve"> </w:t>
      </w:r>
      <w:r>
        <w:t xml:space="preserve">substances as problematic. In fact, 20 respondents (out of 27 who responded to this question)</w:t>
      </w:r>
      <w:r>
        <w:t xml:space="preserve"> </w:t>
      </w:r>
      <w:r>
        <w:t xml:space="preserve">noted that the current scheduling approach is unfit to tackle the specific challenges posed by</w:t>
      </w:r>
      <w:r>
        <w:t xml:space="preserve"> </w:t>
      </w:r>
      <w:r>
        <w:t xml:space="preserve">these substances. As stated by one interviewed authority, “criminals remain various years</w:t>
      </w:r>
      <w:r>
        <w:t xml:space="preserve"> </w:t>
      </w:r>
      <w:r>
        <w:t xml:space="preserve">ahead of authorities in scientific research on new precursors”.</w:t>
      </w:r>
      <w:r>
        <w:br/>
      </w:r>
      <w:r>
        <w:t xml:space="preserve">According to MS survey results, one of the most severe issues hampering the control of designer</w:t>
      </w:r>
      <w:r>
        <w:t xml:space="preserve"> </w:t>
      </w:r>
      <w:r>
        <w:t xml:space="preserve">precursors relates to the weak and scarce implementation of the ‘catch-all clause’6, with 16 out</w:t>
      </w:r>
      <w:r>
        <w:t xml:space="preserve"> </w:t>
      </w:r>
      <w:r>
        <w:t xml:space="preserve">of 23 respondent authorities considering it as a relevant problem, of which 10 qualifying it as</w:t>
      </w:r>
      <w:r>
        <w:t xml:space="preserve"> </w:t>
      </w:r>
      <w:r>
        <w:t xml:space="preserve">‘very relevant’. The fact that under EU law no provision for seizure or imposition of other</w:t>
      </w:r>
      <w:r>
        <w:t xml:space="preserve"> </w:t>
      </w:r>
      <w:r>
        <w:t xml:space="preserve">sanctions for offences related to designer precursors are envisaged is perceived as a ‘very</w:t>
      </w:r>
      <w:r>
        <w:t xml:space="preserve"> </w:t>
      </w:r>
      <w:r>
        <w:t xml:space="preserve">relevant’ or ‘relevant’ issue by 15 MS authorities. During interviews some national authorities</w:t>
      </w:r>
      <w:r>
        <w:t xml:space="preserve"> </w:t>
      </w:r>
      <w:r>
        <w:t xml:space="preserve">also affirmed that other aspects of the ‘catch-all clause’ are problematic, for instance, from</w:t>
      </w:r>
      <w:r>
        <w:t xml:space="preserve"> </w:t>
      </w:r>
      <w:r>
        <w:t xml:space="preserve">enforcement perspective, the ‘sufficient evidence’ concept for triggering enforcement action is</w:t>
      </w:r>
      <w:r>
        <w:t xml:space="preserve"> </w:t>
      </w:r>
      <w:r>
        <w:t xml:space="preserve">– according to one interviewee – “too vague and subject to interpretation”. Another authority</w:t>
      </w:r>
      <w:r>
        <w:t xml:space="preserve"> </w:t>
      </w:r>
      <w:r>
        <w:t xml:space="preserve">interviewed underlined that it is “difficult to prosecute and sanction offences related to rather</w:t>
      </w:r>
      <w:r>
        <w:t xml:space="preserve"> </w:t>
      </w:r>
      <w:r>
        <w:t xml:space="preserve">undetermined substances” – making reference to the fact that the non-scheduled designer</w:t>
      </w:r>
      <w:r>
        <w:t xml:space="preserve"> </w:t>
      </w:r>
      <w:r>
        <w:t xml:space="preserve">precursors subject to the catch-all clause generally lack clear identifiers, such as the Chemical</w:t>
      </w:r>
      <w:r>
        <w:t xml:space="preserve"> </w:t>
      </w:r>
      <w:r>
        <w:t xml:space="preserve">Abstracts Service (CAS) or a univocal Combined Nomenclature (CN) code.</w:t>
      </w:r>
      <w:r>
        <w:br/>
      </w:r>
      <w:r>
        <w:t xml:space="preserve">Criticism of the ‘catch-all clause’ was also raised in the Call for Evidence by some national</w:t>
      </w:r>
      <w:r>
        <w:t xml:space="preserve"> </w:t>
      </w:r>
      <w:r>
        <w:t xml:space="preserve">authorities. In particular, one custom and one law enforcement authorities who participated in</w:t>
      </w:r>
      <w:r>
        <w:t xml:space="preserve"> </w:t>
      </w:r>
      <w:r>
        <w:t xml:space="preserve">the CfE highlighted the poor effectiveness of the clause, advocating for enhanced measures to</w:t>
      </w:r>
      <w:r>
        <w:t xml:space="preserve"> </w:t>
      </w:r>
      <w:r>
        <w:t xml:space="preserve">halt unlisted substance flows.</w:t>
      </w:r>
      <w:r>
        <w:t xml:space="preserve"> </w:t>
      </w:r>
      <w:r>
        <w:t xml:space="preserve">Participants to the EO survey generally consider the current EU regulatory framework as highly</w:t>
      </w:r>
      <w:r>
        <w:t xml:space="preserve"> </w:t>
      </w:r>
      <w:r>
        <w:t xml:space="preserve">or moderately effective in preventing and tackling the diversion of controlled substances that</w:t>
      </w:r>
      <w:r>
        <w:t xml:space="preserve"> </w:t>
      </w:r>
      <w:r>
        <w:t xml:space="preserve">are used in industrial processes (55 respondents out of 81, against 12 that consider it poorly</w:t>
      </w:r>
      <w:r>
        <w:t xml:space="preserve"> </w:t>
      </w:r>
      <w:r>
        <w:t xml:space="preserve">effective). This is also due to the fact that the EU framework is deemed by EO as generally able</w:t>
      </w:r>
      <w:r>
        <w:t xml:space="preserve"> </w:t>
      </w:r>
      <w:r>
        <w:t xml:space="preserve">to facilitate the level of cooperation between economic operators and competent authorities (32</w:t>
      </w:r>
      <w:r>
        <w:t xml:space="preserve"> </w:t>
      </w:r>
      <w:r>
        <w:t xml:space="preserve">out of 81 respondents) – particularly in terms of information exchange on suspicious</w:t>
      </w:r>
      <w:r>
        <w:t xml:space="preserve"> </w:t>
      </w:r>
      <w:r>
        <w:t xml:space="preserve">transactions – and putting into place rapid and clear information and operational guidance on</w:t>
      </w:r>
      <w:r>
        <w:t xml:space="preserve"> </w:t>
      </w:r>
      <w:r>
        <w:t xml:space="preserve">drug precursors at the EU level (36 out of 81 respondents). Nevertheless, EO are less positive</w:t>
      </w:r>
      <w:r>
        <w:t xml:space="preserve"> </w:t>
      </w:r>
      <w:r>
        <w:t xml:space="preserve">on the EU framework ability to prevent and tackle the trafficking of designer precursors (i.e. </w:t>
      </w:r>
      <w:r>
        <w:t xml:space="preserve"> </w:t>
      </w:r>
      <w:r>
        <w:t xml:space="preserve">for 38 respondents it is moderately / highly effective, while 20 consider it poorly effective).</w:t>
      </w:r>
      <w:r>
        <w:t xml:space="preserve"> </w:t>
      </w:r>
      <w:r>
        <w:t xml:space="preserve">More in detail, most of the criticism for the effectiveness of the EU policy on the illicit trade of</w:t>
      </w:r>
      <w:r>
        <w:t xml:space="preserve"> </w:t>
      </w:r>
      <w:r>
        <w:t xml:space="preserve">designer precursors came from the sub-set of SMEs (8 out of 42 SMEs who responded to this</w:t>
      </w:r>
      <w:r>
        <w:t xml:space="preserve"> </w:t>
      </w:r>
      <w:r>
        <w:t xml:space="preserve">question had a negative view).</w:t>
      </w:r>
      <w:r>
        <w:t xml:space="preserve"> </w:t>
      </w:r>
      <w:r>
        <w:t xml:space="preserve">The lack of a clear identification (i.e. via unique identifier) of designer precursors is reportedly</w:t>
      </w:r>
      <w:r>
        <w:t xml:space="preserve"> </w:t>
      </w:r>
      <w:r>
        <w:t xml:space="preserve">a source of concern for EOs, as it might create legal uncertainties for legal trade. As a major</w:t>
      </w:r>
      <w:r>
        <w:t xml:space="preserve"> </w:t>
      </w:r>
      <w:r>
        <w:t xml:space="preserve">industry organisation put it down in its response to the PC: “Grouped/family scheduling can</w:t>
      </w:r>
      <w:r>
        <w:t xml:space="preserve"> </w:t>
      </w:r>
      <w:r>
        <w:t xml:space="preserve">create legal uncertainty and exorbitant compliance costs for economic operators. In particular,</w:t>
      </w:r>
      <w:r>
        <w:t xml:space="preserve"> </w:t>
      </w:r>
      <w:r>
        <w:t xml:space="preserve">clearly identifying which items produced or used by a company fall under the scope of the</w:t>
      </w:r>
      <w:r>
        <w:t xml:space="preserve"> </w:t>
      </w:r>
      <w:r>
        <w:t xml:space="preserve">regulation would be technically unfeasible if scheduling is based on the chemical structure of</w:t>
      </w:r>
      <w:r>
        <w:t xml:space="preserve"> </w:t>
      </w:r>
      <w:r>
        <w:t xml:space="preserve">substance group.”</w:t>
      </w:r>
      <w:r>
        <w:t xml:space="preserve"> </w:t>
      </w:r>
      <w:r>
        <w:t xml:space="preserve">The proliferation of designer precursors is viewed as a major problem also by the majority of</w:t>
      </w:r>
      <w:r>
        <w:t xml:space="preserve"> </w:t>
      </w:r>
      <w:r>
        <w:t xml:space="preserve">participants in the PC (32 out of 52 who respondent to this question) – especially public</w:t>
      </w:r>
    </w:p>
    <w:p>
      <w:pPr>
        <w:pStyle w:val="BodyText"/>
      </w:pPr>
      <w:r>
        <w:t xml:space="preserve">6 Non-scheduled precursors are subject to voluntary monitoring as well as to enforcement measures that can be adopted at MS</w:t>
      </w:r>
      <w:r>
        <w:t xml:space="preserve"> </w:t>
      </w:r>
      <w:r>
        <w:t xml:space="preserve">level under the so-called ‘catch-all’ clause. In summary, the clause requires MS to prohibit the import or export of non-</w:t>
      </w:r>
      <w:r>
        <w:t xml:space="preserve"> </w:t>
      </w:r>
      <w:r>
        <w:t xml:space="preserve">scheduled substances, where there is ‘sufficient evidence’ that those substances are intended for illicit drugs manufacturing,</w:t>
      </w:r>
      <w:r>
        <w:t xml:space="preserve"> </w:t>
      </w:r>
      <w:r>
        <w:t xml:space="preserve">and more generally allows MS to adopt control and monitoring measures (e.g. obtain information on orders and operations</w:t>
      </w:r>
      <w:r>
        <w:t xml:space="preserve"> </w:t>
      </w:r>
      <w:r>
        <w:t xml:space="preserve">involving non-scheduled precursors and enter business premises to obtain evidence of suspicious transactions).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authorities (14 out of 15). The results of the PC also confirmed widespread concerns about the</w:t>
      </w:r>
      <w:r>
        <w:t xml:space="preserve"> </w:t>
      </w:r>
      <w:r>
        <w:t xml:space="preserve">adequacy of the scheduling procedure for designer precursors, with 42 out of 52 respondents</w:t>
      </w:r>
      <w:r>
        <w:t xml:space="preserve"> </w:t>
      </w:r>
      <w:r>
        <w:t xml:space="preserve">considering it as too slow (i.e. a ‘major’ or ‘moderate’ problem) – especially among MS</w:t>
      </w:r>
      <w:r>
        <w:t xml:space="preserve"> </w:t>
      </w:r>
      <w:r>
        <w:t xml:space="preserve">authorities (totality of 14 respondents), less so among EOs (20 out of 28).</w:t>
      </w:r>
      <w:r>
        <w:br/>
      </w:r>
      <w:r>
        <w:t xml:space="preserve">➢ OTHER ISSUES REGARDING ILLICIT TRADE OF DRUG PRECURSORS</w:t>
      </w:r>
      <w:r>
        <w:t xml:space="preserve"> </w:t>
      </w:r>
      <w:r>
        <w:t xml:space="preserve">The illicit online trade of drug precursors is a growing concern for all stakeholder groups.</w:t>
      </w:r>
      <w:r>
        <w:t xml:space="preserve"> </w:t>
      </w:r>
      <w:r>
        <w:t xml:space="preserve">According to PC results, 66 % of respondents (35 out of 53) identified the dark web as a major</w:t>
      </w:r>
      <w:r>
        <w:t xml:space="preserve"> </w:t>
      </w:r>
      <w:r>
        <w:t xml:space="preserve">problem, with significant issues also reported concerning social networks and regular e-</w:t>
      </w:r>
      <w:r>
        <w:t xml:space="preserve"> </w:t>
      </w:r>
      <w:r>
        <w:t xml:space="preserve">marketplaces (26 and 22, respectively).</w:t>
      </w:r>
      <w:r>
        <w:t xml:space="preserve"> </w:t>
      </w:r>
      <w:r>
        <w:t xml:space="preserve">The majority of MS authorities surveyed (16 out of 27 who replied to this question) agreed that</w:t>
      </w:r>
      <w:r>
        <w:t xml:space="preserve"> </w:t>
      </w:r>
      <w:r>
        <w:t xml:space="preserve">the tools and measures for monitoring the online trade of drug precursors are insufficient, and</w:t>
      </w:r>
      <w:r>
        <w:t xml:space="preserve"> </w:t>
      </w:r>
      <w:r>
        <w:t xml:space="preserve">10 MS authorities (out of 25 who responded to this question) reported a worsening of illegal</w:t>
      </w:r>
      <w:r>
        <w:t xml:space="preserve"> </w:t>
      </w:r>
      <w:r>
        <w:t xml:space="preserve">online trade in the past five years. As emerged from authorities’ qualitative feedback</w:t>
      </w:r>
      <w:r>
        <w:t xml:space="preserve"> </w:t>
      </w:r>
      <w:r>
        <w:t xml:space="preserve">(interviews and survey open questions) the illicit online trade problem consists of four</w:t>
      </w:r>
      <w:r>
        <w:t xml:space="preserve"> </w:t>
      </w:r>
      <w:r>
        <w:t xml:space="preserve">components: (i) the lack of resources to effectively inspect the amount of chemicals that enter</w:t>
      </w:r>
      <w:r>
        <w:t xml:space="preserve"> </w:t>
      </w:r>
      <w:r>
        <w:t xml:space="preserve">the EU (also considering that traffickers use postal services to import scheduled and non-</w:t>
      </w:r>
      <w:r>
        <w:t xml:space="preserve"> </w:t>
      </w:r>
      <w:r>
        <w:t xml:space="preserve">scheduled substances, which are frequently misdeclared), (ii) the legal and technical obstacles</w:t>
      </w:r>
      <w:r>
        <w:t xml:space="preserve"> </w:t>
      </w:r>
      <w:r>
        <w:t xml:space="preserve">to monitor darknet, (iii) the lack of legal means to place platforms operating from third countries</w:t>
      </w:r>
      <w:r>
        <w:t xml:space="preserve"> </w:t>
      </w:r>
      <w:r>
        <w:t xml:space="preserve">under control, and (iv) the absence of control on the intra-EU trade. Furthermore, none of the</w:t>
      </w:r>
      <w:r>
        <w:t xml:space="preserve"> </w:t>
      </w:r>
      <w:r>
        <w:t xml:space="preserve">surveyed MS reported having adopted specific legislation to enhance control over the online</w:t>
      </w:r>
      <w:r>
        <w:t xml:space="preserve"> </w:t>
      </w:r>
      <w:r>
        <w:t xml:space="preserve">trade of precursors, but one respondent indicated the existence of dialogue with the main online</w:t>
      </w:r>
      <w:r>
        <w:t xml:space="preserve"> </w:t>
      </w:r>
      <w:r>
        <w:t xml:space="preserve">platforms, to facilitate identification of suspicious transactions.</w:t>
      </w:r>
      <w:r>
        <w:t xml:space="preserve"> </w:t>
      </w:r>
      <w:r>
        <w:t xml:space="preserve">According to the majority of EO surveyed, illegal online trade of drug precursors in their</w:t>
      </w:r>
      <w:r>
        <w:t xml:space="preserve"> </w:t>
      </w:r>
      <w:r>
        <w:t xml:space="preserve">respective countries is a major/moderate problem (28 respondents, against 13 for whom it is a</w:t>
      </w:r>
      <w:r>
        <w:t xml:space="preserve"> </w:t>
      </w:r>
      <w:r>
        <w:t xml:space="preserve">minor / not a problem). No relevant difference is observed in the responses of SMEs compared</w:t>
      </w:r>
      <w:r>
        <w:t xml:space="preserve"> </w:t>
      </w:r>
      <w:r>
        <w:t xml:space="preserve">to large companies.</w:t>
      </w:r>
      <w:r>
        <w:t xml:space="preserve"> </w:t>
      </w:r>
      <w:r>
        <w:t xml:space="preserve">The difficulties stemming from online trade were also pointed out in the context of the Call for</w:t>
      </w:r>
      <w:r>
        <w:t xml:space="preserve"> </w:t>
      </w:r>
      <w:r>
        <w:t xml:space="preserve">Evidence. National authorities who participated to the CfE noted significant enforcement</w:t>
      </w:r>
      <w:r>
        <w:t xml:space="preserve"> </w:t>
      </w:r>
      <w:r>
        <w:t xml:space="preserve">difficulties with monitoring the online trade of drug precursors, particularly due to lack of</w:t>
      </w:r>
      <w:r>
        <w:t xml:space="preserve"> </w:t>
      </w:r>
      <w:r>
        <w:t xml:space="preserve">resources and technical obstacles.</w:t>
      </w:r>
      <w:r>
        <w:t xml:space="preserve"> </w:t>
      </w:r>
      <w:r>
        <w:t xml:space="preserve">The results of consultations largely confirmed that there are differences in how MS implement</w:t>
      </w:r>
      <w:r>
        <w:t xml:space="preserve"> </w:t>
      </w:r>
      <w:r>
        <w:t xml:space="preserve">and enforce the measures envisaged in the drug precursors framework. The majority of</w:t>
      </w:r>
      <w:r>
        <w:t xml:space="preserve"> </w:t>
      </w:r>
      <w:r>
        <w:t xml:space="preserve">surveyed MS (15 out of 27 who replied to this question) acknowledged that the uneven</w:t>
      </w:r>
      <w:r>
        <w:t xml:space="preserve"> </w:t>
      </w:r>
      <w:r>
        <w:t xml:space="preserve">implementation of drug precursor regulations creates paths of ‘least resistance’ that could be</w:t>
      </w:r>
      <w:r>
        <w:t xml:space="preserve"> </w:t>
      </w:r>
      <w:r>
        <w:t xml:space="preserve">exploited by criminal organisations. In addition, insufficient enforcement capacity was</w:t>
      </w:r>
      <w:r>
        <w:t xml:space="preserve"> </w:t>
      </w:r>
      <w:r>
        <w:t xml:space="preserve">identified as a relevant issue by 11 MS authorities surveyed. As elaborated by MS authorities</w:t>
      </w:r>
      <w:r>
        <w:t xml:space="preserve"> </w:t>
      </w:r>
      <w:r>
        <w:t xml:space="preserve">who participated in the Workshops, capacity issues regard, inter alia, the lack of reference</w:t>
      </w:r>
      <w:r>
        <w:t xml:space="preserve"> </w:t>
      </w:r>
      <w:r>
        <w:t xml:space="preserve">standards for forensic purposes established at EU level, and the lack of detection equipment</w:t>
      </w:r>
      <w:r>
        <w:t xml:space="preserve"> </w:t>
      </w:r>
      <w:r>
        <w:t xml:space="preserve">available to customs officers at EU entry points.</w:t>
      </w:r>
      <w:r>
        <w:br/>
      </w:r>
      <w:r>
        <w:t xml:space="preserve">Another frequently mentioned issue regards the criteria established in the EU Regulations for</w:t>
      </w:r>
      <w:r>
        <w:t xml:space="preserve"> </w:t>
      </w:r>
      <w:r>
        <w:t xml:space="preserve">exempting mixtures from the scope of controls. And the different in national interpretations of</w:t>
      </w:r>
      <w:r>
        <w:t xml:space="preserve"> </w:t>
      </w:r>
      <w:r>
        <w:t xml:space="preserve">these criteria. In fact, for 30 surveyed EO (out of 67 who responded to this question), the</w:t>
      </w:r>
      <w:r>
        <w:t xml:space="preserve"> </w:t>
      </w:r>
      <w:r>
        <w:t xml:space="preserve">subjective nature of exemption criteria for mixtures is a relevant problem (for 16 a ‘major’ one,</w:t>
      </w:r>
      <w:r>
        <w:t xml:space="preserve"> </w:t>
      </w:r>
      <w:r>
        <w:t xml:space="preserve">while for 14 a ‘moderate’ one). In this respect, a representative of a global cosmetic production</w:t>
      </w:r>
      <w:r>
        <w:t xml:space="preserve"> </w:t>
      </w:r>
      <w:r>
        <w:t xml:space="preserve">company interviewed noted that both drug precursors and dual-use regulations address</w:t>
      </w:r>
      <w:r>
        <w:t xml:space="preserve"> </w:t>
      </w:r>
      <w:r>
        <w:t xml:space="preserve">mixtures, but while dual-use substance thresholds are clearly defined, drug precursor</w:t>
      </w:r>
      <w:r>
        <w:t xml:space="preserve"> </w:t>
      </w:r>
      <w:r>
        <w:t xml:space="preserve">regulations allow MS authorities to set their own thresholds. As stated in the contribution to the</w:t>
      </w:r>
      <w:r>
        <w:t xml:space="preserve"> </w:t>
      </w:r>
      <w:r>
        <w:t xml:space="preserve">PC submitted by a major trade association: “We see the need for an increased harmonisation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of legal requirements, implementation practices and guidelines at EU level. The adequate</w:t>
      </w:r>
      <w:r>
        <w:t xml:space="preserve"> </w:t>
      </w:r>
      <w:r>
        <w:t xml:space="preserve">handling of drug precursors is a joint European issue. Where one European legislation exists,</w:t>
      </w:r>
      <w:r>
        <w:t xml:space="preserve"> </w:t>
      </w:r>
      <w:r>
        <w:t xml:space="preserve">the aim should be one European approach to interpreting and implementing it. This should</w:t>
      </w:r>
      <w:r>
        <w:t xml:space="preserve"> </w:t>
      </w:r>
      <w:r>
        <w:t xml:space="preserve">progressively lead to establish a common approach towards internal as well as external trade</w:t>
      </w:r>
      <w:r>
        <w:t xml:space="preserve"> </w:t>
      </w:r>
      <w:r>
        <w:t xml:space="preserve">in listed substances, including a fully harmonised voluntary listing”.</w:t>
      </w:r>
      <w:r>
        <w:br/>
      </w:r>
      <w:r>
        <w:t xml:space="preserve">These concerns were also supported by national authorities: in fact, 10 MS authorities surveyed</w:t>
      </w:r>
      <w:r>
        <w:t xml:space="preserve"> </w:t>
      </w:r>
      <w:r>
        <w:t xml:space="preserve">(out of 25 who responded to this question) rated the clarity of the rules governing mixtures as</w:t>
      </w:r>
      <w:r>
        <w:t xml:space="preserve"> </w:t>
      </w:r>
      <w:r>
        <w:t xml:space="preserve">‘partly’ or ‘highly unsatisfactory’. Nine of these respondents highlighted that the lack of clear</w:t>
      </w:r>
      <w:r>
        <w:t xml:space="preserve"> </w:t>
      </w:r>
      <w:r>
        <w:t xml:space="preserve">and specific EU rules regarding drug precursor mixtures leads to ambiguity, legal uncertainty,</w:t>
      </w:r>
      <w:r>
        <w:t xml:space="preserve"> </w:t>
      </w:r>
      <w:r>
        <w:t xml:space="preserve">and inconsistency in how MS interpret and apply regulations. Furthermore, two of them also</w:t>
      </w:r>
      <w:r>
        <w:t xml:space="preserve"> </w:t>
      </w:r>
      <w:r>
        <w:t xml:space="preserve">noted that the mixtures catalogue is not updated frequently enough to cover all relevant</w:t>
      </w:r>
      <w:r>
        <w:t xml:space="preserve"> </w:t>
      </w:r>
      <w:r>
        <w:t xml:space="preserve">substances and mixtures.</w:t>
      </w:r>
      <w:r>
        <w:t xml:space="preserve"> </w:t>
      </w:r>
      <w:r>
        <w:t xml:space="preserve">The issue of controlling equipment used in the illicit manufacturing of drugs emerged as a</w:t>
      </w:r>
      <w:r>
        <w:t xml:space="preserve"> </w:t>
      </w:r>
      <w:r>
        <w:t xml:space="preserve">significant concern across various stakeholder groups. According to the results of the PC, the</w:t>
      </w:r>
      <w:r>
        <w:t xml:space="preserve"> </w:t>
      </w:r>
      <w:r>
        <w:t xml:space="preserve">majority of respondents (26 out of 47 who responded to this question) considers the lack of</w:t>
      </w:r>
      <w:r>
        <w:t xml:space="preserve"> </w:t>
      </w:r>
      <w:r>
        <w:t xml:space="preserve">control over equipment, such as tableting and encapsulating machines, as ‘problematic’.</w:t>
      </w:r>
      <w:r>
        <w:t xml:space="preserve"> </w:t>
      </w:r>
      <w:r>
        <w:t xml:space="preserve">A relative majority of EO surveyed expressed a positive opinion on the current cooperation</w:t>
      </w:r>
      <w:r>
        <w:t xml:space="preserve"> </w:t>
      </w:r>
      <w:r>
        <w:t xml:space="preserve">between authorities and the industry (33 out of 80 positive replies, against 22 negative replies,</w:t>
      </w:r>
      <w:r>
        <w:t xml:space="preserve"> </w:t>
      </w:r>
      <w:r>
        <w:t xml:space="preserve">one did not reply). As the MS survey showed, MS authorities are comparatively less satisfied</w:t>
      </w:r>
      <w:r>
        <w:t xml:space="preserve"> </w:t>
      </w:r>
      <w:r>
        <w:t xml:space="preserve">in this respect. For 12 out of 28 authorities who replied to this question the extent of</w:t>
      </w:r>
      <w:r>
        <w:t xml:space="preserve"> </w:t>
      </w:r>
      <w:r>
        <w:t xml:space="preserve">collaboration is insufficient, while 8 of them disagrees with this opinion. Dissatisfaction appears</w:t>
      </w:r>
      <w:r>
        <w:t xml:space="preserve"> </w:t>
      </w:r>
      <w:r>
        <w:t xml:space="preserve">related, in part, to the variability in the notifications of suspicious transactions across countries.</w:t>
      </w:r>
      <w:r>
        <w:t xml:space="preserve"> </w:t>
      </w:r>
      <w:r>
        <w:t xml:space="preserve">While authorities are generally satisfied with the quality of notification (9 out of 19 who</w:t>
      </w:r>
      <w:r>
        <w:t xml:space="preserve"> </w:t>
      </w:r>
      <w:r>
        <w:t xml:space="preserve">responded to the question) but less so with the quantity (6 satisfied vs. 5 dissatisfied). Regarding</w:t>
      </w:r>
      <w:r>
        <w:t xml:space="preserve"> </w:t>
      </w:r>
      <w:r>
        <w:t xml:space="preserve">the factors hindering better notifications, more than half of the authorities agree that operators</w:t>
      </w:r>
      <w:r>
        <w:t xml:space="preserve"> </w:t>
      </w:r>
      <w:r>
        <w:t xml:space="preserve">often lack awareness or the ability to detect suspicious transactions, and an equal number agree</w:t>
      </w:r>
      <w:r>
        <w:t xml:space="preserve"> </w:t>
      </w:r>
      <w:r>
        <w:t xml:space="preserve">that operators are reluctant to notify due to the perceived hassle (in both cases 14 out of 25</w:t>
      </w:r>
      <w:r>
        <w:t xml:space="preserve"> </w:t>
      </w:r>
      <w:r>
        <w:t xml:space="preserve">respondents).</w:t>
      </w:r>
      <w:r>
        <w:br/>
      </w:r>
      <w:r>
        <w:t xml:space="preserve">Feedback on policy solutions</w:t>
      </w:r>
      <w:r>
        <w:br/>
      </w:r>
      <w:r>
        <w:t xml:space="preserve">➢ PROLIFERATION OF DESIGNER PRECURSORS</w:t>
      </w:r>
      <w:r>
        <w:t xml:space="preserve"> </w:t>
      </w:r>
      <w:r>
        <w:t xml:space="preserve">The results of the PC registered particularly high consensus on three possible approaches to</w:t>
      </w:r>
      <w:r>
        <w:t xml:space="preserve"> </w:t>
      </w:r>
      <w:r>
        <w:t xml:space="preserve">address the problem of designer precursors, namely (i) strengthening early warning mechanism</w:t>
      </w:r>
      <w:r>
        <w:t xml:space="preserve"> </w:t>
      </w:r>
      <w:r>
        <w:t xml:space="preserve">and exchange of information among national authorities (49 out of 53 respondents, of which 44</w:t>
      </w:r>
      <w:r>
        <w:t xml:space="preserve"> </w:t>
      </w:r>
      <w:r>
        <w:t xml:space="preserve">‘strongly’ agreed); (ii) promoting awareness-raising and cooperation with legal economic</w:t>
      </w:r>
      <w:r>
        <w:t xml:space="preserve"> </w:t>
      </w:r>
      <w:r>
        <w:t xml:space="preserve">operators (50 out of 53, of which 34 ‘strongly’ agreed); and (iii) adopting EU-level provisions</w:t>
      </w:r>
      <w:r>
        <w:t xml:space="preserve"> </w:t>
      </w:r>
      <w:r>
        <w:t xml:space="preserve">enhancing MS authorities’ capacity to monitor and prosecute irregular transactions involving</w:t>
      </w:r>
      <w:r>
        <w:t xml:space="preserve"> </w:t>
      </w:r>
      <w:r>
        <w:t xml:space="preserve">designer precursors (47 out of 53, of which 33 ‘strongly’ agreed).</w:t>
      </w:r>
      <w:r>
        <w:br/>
      </w:r>
      <w:r>
        <w:t xml:space="preserve">Similar findings emerged from MS survey results. In fact, strengthening the EU early warning</w:t>
      </w:r>
      <w:r>
        <w:t xml:space="preserve"> </w:t>
      </w:r>
      <w:r>
        <w:t xml:space="preserve">system and improving information exchange was supported by 25 out of 27 MS authorities (of</w:t>
      </w:r>
      <w:r>
        <w:t xml:space="preserve"> </w:t>
      </w:r>
      <w:r>
        <w:t xml:space="preserve">which 19 ‘strongly’ agreeing). Similarly, 22 out of 26 MS authorities endorsed promoting</w:t>
      </w:r>
      <w:r>
        <w:t xml:space="preserve"> </w:t>
      </w:r>
      <w:r>
        <w:t xml:space="preserve">awareness and cooperation with the private sector. Additionally, there was strong backing for</w:t>
      </w:r>
      <w:r>
        <w:t xml:space="preserve"> </w:t>
      </w:r>
      <w:r>
        <w:t xml:space="preserve">adopting EU-level provisions to enhance monitoring and prosecution capacities. More in detail,</w:t>
      </w:r>
      <w:r>
        <w:t xml:space="preserve"> </w:t>
      </w:r>
      <w:r>
        <w:t xml:space="preserve">19 out of 25 MS authorities displayed support for expediting the scheduling process for designer</w:t>
      </w:r>
      <w:r>
        <w:t xml:space="preserve"> </w:t>
      </w:r>
      <w:r>
        <w:t xml:space="preserve">precursors, while slightly higher support was expressed for the introduction of a ‘fast-track’</w:t>
      </w:r>
      <w:r>
        <w:t xml:space="preserve"> </w:t>
      </w:r>
      <w:r>
        <w:t xml:space="preserve">temporary scheduling mechanism (21 out of 26). However, also the automatic scheduling of</w:t>
      </w:r>
      <w:r>
        <w:t xml:space="preserve"> </w:t>
      </w:r>
      <w:r>
        <w:t xml:space="preserve">substances that correspond to the definition of “designer precursors” and the idea to explore</w:t>
      </w:r>
      <w:r>
        <w:t xml:space="preserve"> </w:t>
      </w:r>
      <w:r>
        <w:t xml:space="preserve">other ways to shorten the duration of the scheduling process received a fairly large support (20</w:t>
      </w:r>
      <w:r>
        <w:t xml:space="preserve"> </w:t>
      </w:r>
      <w:r>
        <w:t xml:space="preserve">and 19 out of 25, respectively). Surveyed MS authorities recognise the importance of extending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proactive scheduling to cover derivatives of controlled substances, although expressing larger</w:t>
      </w:r>
      <w:r>
        <w:t xml:space="preserve"> </w:t>
      </w:r>
      <w:r>
        <w:t xml:space="preserve">support for a ‘moderate’ rather than a ‘wide scope’ extension of controlled substances. Indeed,</w:t>
      </w:r>
      <w:r>
        <w:t xml:space="preserve"> </w:t>
      </w:r>
      <w:r>
        <w:t xml:space="preserve">only 6 respondents (out of 27 who replied to this question) would be in favour of extending the</w:t>
      </w:r>
      <w:r>
        <w:t xml:space="preserve"> </w:t>
      </w:r>
      <w:r>
        <w:t xml:space="preserve">proactive approach as much as possible, while for 13 authorities the extension should be limited</w:t>
      </w:r>
      <w:r>
        <w:t xml:space="preserve"> </w:t>
      </w:r>
      <w:r>
        <w:t xml:space="preserve">or none. Another policy measure strongly supported by targeted survey participants is the</w:t>
      </w:r>
      <w:r>
        <w:t xml:space="preserve"> </w:t>
      </w:r>
      <w:r>
        <w:t xml:space="preserve">establishment of a binding list of designer precursors to prohibit their use (14 out of 26 who</w:t>
      </w:r>
      <w:r>
        <w:t xml:space="preserve"> </w:t>
      </w:r>
      <w:r>
        <w:t xml:space="preserve">replied to this question).7</w:t>
      </w:r>
      <w:r>
        <w:br/>
      </w:r>
      <w:r>
        <w:t xml:space="preserve">At the same time, survey results show that agreement increases if such ‘outright ban’ is</w:t>
      </w:r>
      <w:r>
        <w:t xml:space="preserve"> </w:t>
      </w:r>
      <w:r>
        <w:t xml:space="preserve">accompanied by appropriate exemptions to prevent disruptive side-effects on research</w:t>
      </w:r>
      <w:r>
        <w:t xml:space="preserve"> </w:t>
      </w:r>
      <w:r>
        <w:t xml:space="preserve">activities. The inclusion of a ‘de minimis’ threshold, in order to facilitate the legal trade of small</w:t>
      </w:r>
      <w:r>
        <w:t xml:space="preserve"> </w:t>
      </w:r>
      <w:r>
        <w:t xml:space="preserve">quantities, was supported by 21 out of 27 MS authorities who replied to this question, while the</w:t>
      </w:r>
      <w:r>
        <w:t xml:space="preserve"> </w:t>
      </w:r>
      <w:r>
        <w:t xml:space="preserve">‘special licenses’ to authorise legal trade / use of designer precursors under specific</w:t>
      </w:r>
      <w:r>
        <w:t xml:space="preserve"> </w:t>
      </w:r>
      <w:r>
        <w:t xml:space="preserve">circumstances (e.g. for research purposes) was supported by 20 out of 26. For MS authorities</w:t>
      </w:r>
      <w:r>
        <w:t xml:space="preserve"> </w:t>
      </w:r>
      <w:r>
        <w:t xml:space="preserve">the major benefits of this approach would regard the ‘facilitation of enforcement activities’</w:t>
      </w:r>
      <w:r>
        <w:t xml:space="preserve"> </w:t>
      </w:r>
      <w:r>
        <w:t xml:space="preserve">(‘major impact’ for 10 out of 22 who replied to this question) and the overall ‘reduction in the</w:t>
      </w:r>
      <w:r>
        <w:t xml:space="preserve"> </w:t>
      </w:r>
      <w:r>
        <w:t xml:space="preserve">availability of precursors’ (‘major impact’ for 9 out of 22 respondents). On the downside, the</w:t>
      </w:r>
      <w:r>
        <w:t xml:space="preserve"> </w:t>
      </w:r>
      <w:r>
        <w:t xml:space="preserve">results of the survey indicate that an increase of enforcement costs is expected. In fact, based</w:t>
      </w:r>
      <w:r>
        <w:t xml:space="preserve"> </w:t>
      </w:r>
      <w:r>
        <w:t xml:space="preserve">on the estimates provided by 18 MS authorities, an increase comprised between 10 % and 50 %</w:t>
      </w:r>
      <w:r>
        <w:t xml:space="preserve"> </w:t>
      </w:r>
      <w:r>
        <w:t xml:space="preserve">is expected. Finally, publishing an extensive list of designer precursors for voluntary monitoring</w:t>
      </w:r>
      <w:r>
        <w:t xml:space="preserve"> </w:t>
      </w:r>
      <w:r>
        <w:t xml:space="preserve">purposes also registered positive feedback, with 21 out of 26 respondents to this question</w:t>
      </w:r>
      <w:r>
        <w:t xml:space="preserve"> </w:t>
      </w:r>
      <w:r>
        <w:t xml:space="preserve">supporting this approach.</w:t>
      </w:r>
      <w:r>
        <w:t xml:space="preserve"> </w:t>
      </w:r>
      <w:r>
        <w:t xml:space="preserve">From an enforcement and prosecution perspective, MS authorities showed varying degrees of</w:t>
      </w:r>
      <w:r>
        <w:t xml:space="preserve"> </w:t>
      </w:r>
      <w:r>
        <w:t xml:space="preserve">support for the measures proposed to strengthen the catch-all clause. Specifically:</w:t>
      </w:r>
      <w:r>
        <w:t xml:space="preserve"> </w:t>
      </w:r>
      <w:r>
        <w:t xml:space="preserve">• 18 out of 25 respondents to this question agreed that the catch-all clause provisions should</w:t>
      </w:r>
      <w:r>
        <w:t xml:space="preserve"> </w:t>
      </w:r>
      <w:r>
        <w:t xml:space="preserve">be immediately applicable without the need for preliminary adoption of specific national</w:t>
      </w:r>
      <w:r>
        <w:t xml:space="preserve"> </w:t>
      </w:r>
      <w:r>
        <w:t xml:space="preserve">measures. However, a few dissenting views were also registered (seemingly in relation to</w:t>
      </w:r>
      <w:r>
        <w:t xml:space="preserve"> </w:t>
      </w:r>
      <w:r>
        <w:t xml:space="preserve">the additional human resources and enforcement costs that it would require to MS).</w:t>
      </w:r>
      <w:r>
        <w:br/>
      </w:r>
      <w:r>
        <w:t xml:space="preserve">• Adopting the provision of false information (mislabelling / misdeclaration) as a criterion</w:t>
      </w:r>
      <w:r>
        <w:t xml:space="preserve"> </w:t>
      </w:r>
      <w:r>
        <w:t xml:space="preserve">for the identification of suspicious transactions of non-scheduled substances was also</w:t>
      </w:r>
      <w:r>
        <w:t xml:space="preserve"> </w:t>
      </w:r>
      <w:r>
        <w:t xml:space="preserve">largely supported by MS authorities (22 out of 26 agreed, of which 16 ‘strongly’).</w:t>
      </w:r>
      <w:r>
        <w:br/>
      </w:r>
      <w:r>
        <w:t xml:space="preserve">• On the other hand, more tepid support (albeit mostly positive) was registered for a criterion</w:t>
      </w:r>
      <w:r>
        <w:t xml:space="preserve"> </w:t>
      </w:r>
      <w:r>
        <w:t xml:space="preserve">based on the establishment of a positive list of relevant non-scheduled substances. The</w:t>
      </w:r>
      <w:r>
        <w:t xml:space="preserve"> </w:t>
      </w:r>
      <w:r>
        <w:t xml:space="preserve">automatic labelling as ‘suspicious’ to certain transactions based on the substance involved</w:t>
      </w:r>
      <w:r>
        <w:t xml:space="preserve"> </w:t>
      </w:r>
      <w:r>
        <w:t xml:space="preserve">appears disproportionate and – according to a respondent – might negatively impact on the</w:t>
      </w:r>
      <w:r>
        <w:t xml:space="preserve"> </w:t>
      </w:r>
      <w:r>
        <w:t xml:space="preserve">willingness of legal operators to engage in the trade of them.</w:t>
      </w:r>
      <w:r>
        <w:t xml:space="preserve"> </w:t>
      </w:r>
      <w:r>
        <w:t xml:space="preserve">• Finally, the possibility of introducing temporary detention for investigation purposes of</w:t>
      </w:r>
      <w:r>
        <w:t xml:space="preserve"> </w:t>
      </w:r>
      <w:r>
        <w:t xml:space="preserve">non-scheduled substances suspected of illicit use received mixed but generally positive</w:t>
      </w:r>
      <w:r>
        <w:t xml:space="preserve"> </w:t>
      </w:r>
      <w:r>
        <w:t xml:space="preserve">feedback. Of those who responded to this question, nine strongly agreed, 11 partly agreed,</w:t>
      </w:r>
      <w:r>
        <w:t xml:space="preserve"> </w:t>
      </w:r>
      <w:r>
        <w:t xml:space="preserve">and 3 were neutral. This reservation seems linked to the need to ensure proportionality and</w:t>
      </w:r>
      <w:r>
        <w:t xml:space="preserve"> </w:t>
      </w:r>
      <w:r>
        <w:t xml:space="preserve">avoid disruption of legal trade, and the administrative and enforcement costs involved.</w:t>
      </w:r>
      <w:r>
        <w:t xml:space="preserve"> </w:t>
      </w:r>
      <w:r>
        <w:t xml:space="preserve">According to EO survey results, most EO supports the strengthening of the EU early warning</w:t>
      </w:r>
      <w:r>
        <w:t xml:space="preserve"> </w:t>
      </w:r>
      <w:r>
        <w:t xml:space="preserve">system (27 out of 40 who responded to this question positively assessed the measure). Strong</w:t>
      </w:r>
      <w:r>
        <w:t xml:space="preserve"> </w:t>
      </w:r>
      <w:r>
        <w:t xml:space="preserve">support was registered for improving information exchange with national authorities (38 out of</w:t>
      </w:r>
      <w:r>
        <w:t xml:space="preserve"> </w:t>
      </w:r>
      <w:r>
        <w:t xml:space="preserve">41 respondents to this question). As for expediting of the scheduling process for designer</w:t>
      </w:r>
      <w:r>
        <w:t xml:space="preserve"> </w:t>
      </w:r>
      <w:r>
        <w:t xml:space="preserve">precursors, this solution was supported by 40 out of 71 respondents to this question.8 The</w:t>
      </w:r>
    </w:p>
    <w:p>
      <w:pPr>
        <w:pStyle w:val="BodyText"/>
      </w:pPr>
      <w:r>
        <w:t xml:space="preserve">7 This matter was generally not covered by CfE respondents, except by a national agency who confirmed that a targeted</w:t>
      </w:r>
      <w:r>
        <w:t xml:space="preserve"> </w:t>
      </w:r>
      <w:r>
        <w:t xml:space="preserve">regulatory approach for designer precursors could be impactful.</w:t>
      </w:r>
      <w:r>
        <w:t xml:space="preserve"> </w:t>
      </w:r>
      <w:r>
        <w:t xml:space="preserve">8 In all cases no relevant differences are observed in the responses of SMEs compared to large companies.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‘outright ban’ solution for designer precursors is largely approved by EOs (35 out of 70 who</w:t>
      </w:r>
      <w:r>
        <w:t xml:space="preserve"> </w:t>
      </w:r>
      <w:r>
        <w:t xml:space="preserve">responded to this question agree with this solution, and only 6 disagree), with a rate of</w:t>
      </w:r>
      <w:r>
        <w:t xml:space="preserve"> </w:t>
      </w:r>
      <w:r>
        <w:t xml:space="preserve">agreement moderately higher among large companies (55 %) than SME (45 %). EO survey</w:t>
      </w:r>
      <w:r>
        <w:t xml:space="preserve"> </w:t>
      </w:r>
      <w:r>
        <w:t xml:space="preserve">respondents expect such solution to be associated to an increase of costs comprised between nil</w:t>
      </w:r>
      <w:r>
        <w:t xml:space="preserve"> </w:t>
      </w:r>
      <w:r>
        <w:t xml:space="preserve">and +15 %. The qualitative feedback gathered from EOs (interviews, survey open questions)</w:t>
      </w:r>
      <w:r>
        <w:t xml:space="preserve"> </w:t>
      </w:r>
      <w:r>
        <w:t xml:space="preserve">converges on the need for a clear and univocal identification of banned substances (ideally</w:t>
      </w:r>
      <w:r>
        <w:t xml:space="preserve"> </w:t>
      </w:r>
      <w:r>
        <w:t xml:space="preserve">through CAS number or other machine-readable coding) as a pre-requisite to avoid undue</w:t>
      </w:r>
      <w:r>
        <w:t xml:space="preserve"> </w:t>
      </w:r>
      <w:r>
        <w:t xml:space="preserve">increase of due diligence costs for legal trade. Similarly, as a research institutions interviewed</w:t>
      </w:r>
      <w:r>
        <w:t xml:space="preserve"> </w:t>
      </w:r>
      <w:r>
        <w:t xml:space="preserve">pointed out, the pharmaceutical compounds patent practices could be taken as reference:</w:t>
      </w:r>
      <w:r>
        <w:t xml:space="preserve"> </w:t>
      </w:r>
      <w:r>
        <w:t xml:space="preserve">“pharmaceutical patents typically cover the relevant derivatives, which do not need to have</w:t>
      </w:r>
      <w:r>
        <w:t xml:space="preserve"> </w:t>
      </w:r>
      <w:r>
        <w:t xml:space="preserve">specific CAS number, it is sufficient that the main compound does.”</w:t>
      </w:r>
      <w:r>
        <w:br/>
      </w:r>
      <w:r>
        <w:t xml:space="preserve">The proposed measures for designer precursors were discussed in the final validation workshop</w:t>
      </w:r>
      <w:r>
        <w:t xml:space="preserve"> </w:t>
      </w:r>
      <w:r>
        <w:t xml:space="preserve">(workshop #2). Workshop participants confirmed approval for the ‘outright ban’ solution, but</w:t>
      </w:r>
      <w:r>
        <w:t xml:space="preserve"> </w:t>
      </w:r>
      <w:r>
        <w:t xml:space="preserve">remarked the need to carefully addressed the following technical aspects:</w:t>
      </w:r>
      <w:r>
        <w:t xml:space="preserve"> </w:t>
      </w:r>
      <w:r>
        <w:t xml:space="preserve">• Need for clear and unambiguous identifiers, which can be ‘machine-readable’ to avoid</w:t>
      </w:r>
      <w:r>
        <w:t xml:space="preserve"> </w:t>
      </w:r>
      <w:r>
        <w:t xml:space="preserve">excessive burden on legal trade.</w:t>
      </w:r>
      <w:r>
        <w:t xml:space="preserve"> </w:t>
      </w:r>
      <w:r>
        <w:t xml:space="preserve">• De minimis exemption should be tailored on substances and in some cases (e.g. fentanyl</w:t>
      </w:r>
      <w:r>
        <w:t xml:space="preserve"> </w:t>
      </w:r>
      <w:r>
        <w:t xml:space="preserve">precursors) could be excluded.</w:t>
      </w:r>
      <w:r>
        <w:t xml:space="preserve"> </w:t>
      </w:r>
      <w:r>
        <w:t xml:space="preserve">• Need to clarify who is allowed to use the prior notification exemption clause and exclude</w:t>
      </w:r>
      <w:r>
        <w:t xml:space="preserve"> </w:t>
      </w:r>
      <w:r>
        <w:t xml:space="preserve">individuals.</w:t>
      </w:r>
      <w:r>
        <w:t xml:space="preserve"> </w:t>
      </w:r>
      <w:r>
        <w:t xml:space="preserve">• Need to clarify whether the definition of operators / users will be reviewed to make sure the</w:t>
      </w:r>
      <w:r>
        <w:t xml:space="preserve"> </w:t>
      </w:r>
      <w:r>
        <w:t xml:space="preserve">ban applies to ‘anyone’.</w:t>
      </w:r>
      <w:r>
        <w:t xml:space="preserve"> </w:t>
      </w:r>
      <w:r>
        <w:t xml:space="preserve">➢ OTHER ISSUES REGARDING ILLICIT TRADE OF DRUG PRECURSORS</w:t>
      </w:r>
      <w:r>
        <w:t xml:space="preserve"> </w:t>
      </w:r>
      <w:r>
        <w:t xml:space="preserve">The results of the MS survey indicate a substantial demand for radical measures to curb illicit</w:t>
      </w:r>
      <w:r>
        <w:t xml:space="preserve"> </w:t>
      </w:r>
      <w:r>
        <w:t xml:space="preserve">online trade of precursors. In particular, 20 out of 25 respondents to this question would be in</w:t>
      </w:r>
      <w:r>
        <w:t xml:space="preserve"> </w:t>
      </w:r>
      <w:r>
        <w:t xml:space="preserve">favour of prohibiting the online trade of designer precursors, in order provide competent</w:t>
      </w:r>
      <w:r>
        <w:t xml:space="preserve"> </w:t>
      </w:r>
      <w:r>
        <w:t xml:space="preserve">authorities with stronger legal basis for prosecution. Qualitative feedback gathered from two</w:t>
      </w:r>
      <w:r>
        <w:t xml:space="preserve"> </w:t>
      </w:r>
      <w:r>
        <w:t xml:space="preserve">authorities indicate a possible demand to make online players somehow accountable for the</w:t>
      </w:r>
      <w:r>
        <w:t xml:space="preserve"> </w:t>
      </w:r>
      <w:r>
        <w:t xml:space="preserve">legitimacy of transactions occurring on their marketplaces. This type of measures has been</w:t>
      </w:r>
      <w:r>
        <w:t xml:space="preserve"> </w:t>
      </w:r>
      <w:r>
        <w:t xml:space="preserve">considered but eventually dropped to avoid contravening he ‘conditional liability’ principle of</w:t>
      </w:r>
      <w:r>
        <w:t xml:space="preserve"> </w:t>
      </w:r>
      <w:r>
        <w:t xml:space="preserve">the DSA, which prevents platforms from being held liable for hosted content unless they are</w:t>
      </w:r>
      <w:r>
        <w:t xml:space="preserve"> </w:t>
      </w:r>
      <w:r>
        <w:t xml:space="preserve">aware of its illegality and fail to promptly remove it (and unless is unclear for customers who</w:t>
      </w:r>
      <w:r>
        <w:t xml:space="preserve"> </w:t>
      </w:r>
      <w:r>
        <w:t xml:space="preserve">the actual seller is) and – more generally – the principle of avoidance of specific product</w:t>
      </w:r>
      <w:r>
        <w:t xml:space="preserve"> </w:t>
      </w:r>
      <w:r>
        <w:t xml:space="preserve">regulation on the top of the DSA.</w:t>
      </w:r>
      <w:r>
        <w:t xml:space="preserve"> </w:t>
      </w:r>
      <w:r>
        <w:t xml:space="preserve">According to the EO survey results, EOs would rather support ‘soft’ measures such as increased</w:t>
      </w:r>
      <w:r>
        <w:t xml:space="preserve"> </w:t>
      </w:r>
      <w:r>
        <w:t xml:space="preserve">cooperation and monitoring of online platforms for the detection and removal of illegal</w:t>
      </w:r>
      <w:r>
        <w:t xml:space="preserve"> </w:t>
      </w:r>
      <w:r>
        <w:t xml:space="preserve">products, including through IT tools, etc. In fact, 64 % of EO surveyed (45 out of 70 who replied</w:t>
      </w:r>
      <w:r>
        <w:t xml:space="preserve"> </w:t>
      </w:r>
      <w:r>
        <w:t xml:space="preserve">to this question) believe that ‘soft’ measures are indeed necessary. Half of EO respondents</w:t>
      </w:r>
      <w:r>
        <w:t xml:space="preserve"> </w:t>
      </w:r>
      <w:r>
        <w:t xml:space="preserve">estimated that neither a ban nor the adoption of soft measures would lead to a relevant increase</w:t>
      </w:r>
      <w:r>
        <w:t xml:space="preserve"> </w:t>
      </w:r>
      <w:r>
        <w:t xml:space="preserve">in administrative costs (respectively, 30 and 28 out of 60 – many of which, however, did not</w:t>
      </w:r>
      <w:r>
        <w:t xml:space="preserve"> </w:t>
      </w:r>
      <w:r>
        <w:t xml:space="preserve">express an opinion).</w:t>
      </w:r>
      <w:r>
        <w:t xml:space="preserve"> </w:t>
      </w:r>
      <w:r>
        <w:t xml:space="preserve">Among others, also some CfE respondents expressed support for expanding the reach of online</w:t>
      </w:r>
      <w:r>
        <w:t xml:space="preserve"> </w:t>
      </w:r>
      <w:r>
        <w:t xml:space="preserve">platform controls and creating stronger partnerships with online marketplace operators.</w:t>
      </w:r>
      <w:r>
        <w:t xml:space="preserve"> </w:t>
      </w:r>
      <w:r>
        <w:t xml:space="preserve">Regarding the uneven levels of awareness and enforcement capacity across MS, the vast</w:t>
      </w:r>
      <w:r>
        <w:t xml:space="preserve"> </w:t>
      </w:r>
      <w:r>
        <w:t xml:space="preserve">majority of MS authorities surveyed (24 out of 29) consider the provision of implementation</w:t>
      </w:r>
      <w:r>
        <w:t xml:space="preserve"> </w:t>
      </w:r>
      <w:r>
        <w:t xml:space="preserve">and enforcement support to authorities as a relevant objective of the policy revision. As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confirmed also by the PC, this should ideally cover (i) exchange of information and early</w:t>
      </w:r>
      <w:r>
        <w:t xml:space="preserve"> </w:t>
      </w:r>
      <w:r>
        <w:t xml:space="preserve">warning; (ii) scientific and technical support; (iii) facilitation and enhancing of international</w:t>
      </w:r>
      <w:r>
        <w:t xml:space="preserve"> </w:t>
      </w:r>
      <w:r>
        <w:t xml:space="preserve">cooperation; and (iv) awareness-raising and trainings (from 19 to 23 ‘high’ or ‘very high’</w:t>
      </w:r>
      <w:r>
        <w:t xml:space="preserve"> </w:t>
      </w:r>
      <w:r>
        <w:t xml:space="preserve">importance out of 53 who replied to this question).</w:t>
      </w:r>
      <w:r>
        <w:br/>
      </w:r>
      <w:r>
        <w:t xml:space="preserve">The results of consultations showed that a possible revision of the EU framework should include</w:t>
      </w:r>
      <w:r>
        <w:t xml:space="preserve"> </w:t>
      </w:r>
      <w:r>
        <w:t xml:space="preserve">enhancing collaboration with private sector among its objectives. This was mentioned, inter</w:t>
      </w:r>
      <w:r>
        <w:t xml:space="preserve"> </w:t>
      </w:r>
      <w:r>
        <w:t xml:space="preserve">alia, by 23 out of 53 PC respondents (actually, the near totality of those who expressed a</w:t>
      </w:r>
      <w:r>
        <w:t xml:space="preserve"> </w:t>
      </w:r>
      <w:r>
        <w:t xml:space="preserve">judgment (24)). In particular:</w:t>
      </w:r>
      <w:r>
        <w:t xml:space="preserve"> </w:t>
      </w:r>
      <w:r>
        <w:t xml:space="preserve">• Based on the EO survey, for half of EOs (36 out of 72 who replied to this question) there’s</w:t>
      </w:r>
      <w:r>
        <w:t xml:space="preserve"> </w:t>
      </w:r>
      <w:r>
        <w:t xml:space="preserve">a need for better information and support regarding EU drug precursors regulations and</w:t>
      </w:r>
      <w:r>
        <w:t xml:space="preserve"> </w:t>
      </w:r>
      <w:r>
        <w:t xml:space="preserve">obligations. Many EO specifically requested clearer guidelines on how to identify</w:t>
      </w:r>
      <w:r>
        <w:t xml:space="preserve"> </w:t>
      </w:r>
      <w:r>
        <w:t xml:space="preserve">suspicious transactions (41 out of 55). The need for improved consultation with both EU</w:t>
      </w:r>
      <w:r>
        <w:t xml:space="preserve"> </w:t>
      </w:r>
      <w:r>
        <w:t xml:space="preserve">and MS authorities was highlighted by 41 and 43 out of 54 respondents to this question,</w:t>
      </w:r>
      <w:r>
        <w:t xml:space="preserve"> </w:t>
      </w:r>
      <w:r>
        <w:t xml:space="preserve">respectively.</w:t>
      </w:r>
      <w:r>
        <w:br/>
      </w:r>
      <w:r>
        <w:t xml:space="preserve">• Regulatory gaps: a key issue is the lighter obligations for ‘users’ compared to ‘operators’,</w:t>
      </w:r>
      <w:r>
        <w:t xml:space="preserve"> </w:t>
      </w:r>
      <w:r>
        <w:t xml:space="preserve">which may be exploited by criminals. Half of the surveyed MS authorities (14 out of 28</w:t>
      </w:r>
      <w:r>
        <w:t xml:space="preserve"> </w:t>
      </w:r>
      <w:r>
        <w:t xml:space="preserve">who replied to this question) and some 43 % of surveyed EOs (29 out of 68 who replied to</w:t>
      </w:r>
      <w:r>
        <w:t xml:space="preserve"> </w:t>
      </w:r>
      <w:r>
        <w:t xml:space="preserve">this question) call for aligning these obligations. Similarly, the majority of respondents</w:t>
      </w:r>
      <w:r>
        <w:t xml:space="preserve"> </w:t>
      </w:r>
      <w:r>
        <w:t xml:space="preserve">agreed with the need to better define the status and obligations of ‘intermediaries’ in the</w:t>
      </w:r>
      <w:r>
        <w:t xml:space="preserve"> </w:t>
      </w:r>
      <w:r>
        <w:t xml:space="preserve">external trade, namely: 22 out of 28 surveyed MS authorities and 36 out of 67 surveyed</w:t>
      </w:r>
      <w:r>
        <w:t xml:space="preserve"> </w:t>
      </w:r>
      <w:r>
        <w:t xml:space="preserve">EOs who replied to this question agreed with this proposed measure.</w:t>
      </w:r>
      <w:r>
        <w:t xml:space="preserve"> </w:t>
      </w:r>
      <w:r>
        <w:t xml:space="preserve">The main outcomes of final validation workshop on the other miscellaneous aspects of control</w:t>
      </w:r>
      <w:r>
        <w:t xml:space="preserve"> </w:t>
      </w:r>
      <w:r>
        <w:t xml:space="preserve">of illicit trade of precursors have been as follows:</w:t>
      </w:r>
      <w:r>
        <w:t xml:space="preserve"> </w:t>
      </w:r>
      <w:r>
        <w:t xml:space="preserve">• Regarding online trade, there is a need to clarify who should fall in the scope of the</w:t>
      </w:r>
      <w:r>
        <w:t xml:space="preserve"> </w:t>
      </w:r>
      <w:r>
        <w:t xml:space="preserve">Regulations, as problems regard mainly business-to-consumer (B2C) platform and social</w:t>
      </w:r>
      <w:r>
        <w:t xml:space="preserve"> </w:t>
      </w:r>
      <w:r>
        <w:t xml:space="preserve">media.</w:t>
      </w:r>
      <w:r>
        <w:br/>
      </w:r>
      <w:r>
        <w:t xml:space="preserve">• EOs welcome more guidance and trainings and are willing to participate in the preparation</w:t>
      </w:r>
      <w:r>
        <w:t xml:space="preserve"> </w:t>
      </w:r>
      <w:r>
        <w:t xml:space="preserve">of materials.</w:t>
      </w:r>
      <w:r>
        <w:t xml:space="preserve"> </w:t>
      </w:r>
      <w:r>
        <w:t xml:space="preserve">• There is a need to clarify the added value of the proposed real time incidents reporting</w:t>
      </w:r>
      <w:r>
        <w:t xml:space="preserve"> </w:t>
      </w:r>
      <w:r>
        <w:t xml:space="preserve">system, considering the system that already exist at international level (Precursors Incident</w:t>
      </w:r>
      <w:r>
        <w:t xml:space="preserve"> </w:t>
      </w:r>
      <w:r>
        <w:t xml:space="preserve">Communication System – PICS.</w:t>
      </w:r>
      <w:r>
        <w:t xml:space="preserve"> </w:t>
      </w:r>
      <w:r>
        <w:t xml:space="preserve">• Participants from EFTA countries reminded that – if the Regulations are revised - the</w:t>
      </w:r>
      <w:r>
        <w:t xml:space="preserve"> </w:t>
      </w:r>
      <w:r>
        <w:t xml:space="preserve">international dimension is not neglected, and agreements are found to avoid obstacle to</w:t>
      </w:r>
      <w:r>
        <w:t xml:space="preserve"> </w:t>
      </w:r>
      <w:r>
        <w:t xml:space="preserve">trade.</w:t>
      </w:r>
      <w:r>
        <w:br/>
      </w:r>
      <w:r>
        <w:t xml:space="preserve">3.</w:t>
      </w:r>
      <w:r>
        <w:t xml:space="preserve"> </w:t>
      </w:r>
      <w:r>
        <w:t xml:space="preserve">FACILITATION OF LEGAL TRADE</w:t>
      </w:r>
      <w:r>
        <w:t xml:space="preserve"> </w:t>
      </w:r>
      <w:r>
        <w:t xml:space="preserve">Feedback on the policy problem</w:t>
      </w:r>
      <w:r>
        <w:br/>
      </w:r>
      <w:r>
        <w:t xml:space="preserve">The EO survey results return mixed results on the issue of administrative burden for legal trade</w:t>
      </w:r>
      <w:r>
        <w:t xml:space="preserve"> </w:t>
      </w:r>
      <w:r>
        <w:t xml:space="preserve">imposed by the Regulations. For some 36 % of targeted survey participants (29 out of 81), the</w:t>
      </w:r>
      <w:r>
        <w:t xml:space="preserve"> </w:t>
      </w:r>
      <w:r>
        <w:t xml:space="preserve">drug precursors regulation (nearly) failed to prevent imposing an unnecessary burden on legal</w:t>
      </w:r>
      <w:r>
        <w:t xml:space="preserve"> </w:t>
      </w:r>
      <w:r>
        <w:t xml:space="preserve">businesses, against an equal number of respondents (29 out of 81) who conversely expressed a</w:t>
      </w:r>
      <w:r>
        <w:t xml:space="preserve"> </w:t>
      </w:r>
      <w:r>
        <w:t xml:space="preserve">positive judgment in this respect. In particular, 17 % (14 out of 81) of the respondents consider</w:t>
      </w:r>
      <w:r>
        <w:t xml:space="preserve"> </w:t>
      </w:r>
      <w:r>
        <w:t xml:space="preserve">the EU regulatory framework for drug precursors ‘not at all effective’ in preventing</w:t>
      </w:r>
      <w:r>
        <w:t xml:space="preserve"> </w:t>
      </w:r>
      <w:r>
        <w:t xml:space="preserve">unnecessary burden for legal business. Considering specifically SME respondents, 22 out of 42</w:t>
      </w:r>
      <w:r>
        <w:t xml:space="preserve"> </w:t>
      </w:r>
      <w:r>
        <w:t xml:space="preserve">participants to the survey displayed a favourable view of the Regulatory framework’s ability to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prevent unnecessary burden, while 10 (24 %) had a negative view.9 A specific question on the</w:t>
      </w:r>
      <w:r>
        <w:t xml:space="preserve"> </w:t>
      </w:r>
      <w:r>
        <w:t xml:space="preserve">Regulations’ impact on SME competitiveness showed that for 20 respondents - of which 8</w:t>
      </w:r>
      <w:r>
        <w:t xml:space="preserve"> </w:t>
      </w:r>
      <w:r>
        <w:t xml:space="preserve">SMEs10 - out of 81 the drug precursors legislation had indeed negative effects.</w:t>
      </w:r>
      <w:r>
        <w:br/>
      </w:r>
      <w:r>
        <w:t xml:space="preserve">The targeted survey also investigated the current level of burden for EOs connected to the main</w:t>
      </w:r>
      <w:r>
        <w:t xml:space="preserve"> </w:t>
      </w:r>
      <w:r>
        <w:t xml:space="preserve">obligations of the Regulations. The results show that annual reporting and obtaining customer’s</w:t>
      </w:r>
      <w:r>
        <w:t xml:space="preserve"> </w:t>
      </w:r>
      <w:r>
        <w:t xml:space="preserve">end-use declarations are viewed as the most burdensome obligations (i.e. by respectively 50</w:t>
      </w:r>
      <w:r>
        <w:t xml:space="preserve"> </w:t>
      </w:r>
      <w:r>
        <w:t xml:space="preserve">and 44 out of 81 respondents). With regard to annual reporting, the estimates on time spent,</w:t>
      </w:r>
      <w:r>
        <w:t xml:space="preserve"> </w:t>
      </w:r>
      <w:r>
        <w:t xml:space="preserve">range from “a matter of hours” (22 respondents out of 81) to a “matter of days” (35 respondents</w:t>
      </w:r>
      <w:r>
        <w:t xml:space="preserve"> </w:t>
      </w:r>
      <w:r>
        <w:t xml:space="preserve">out of 81). The need to obtain an export authorisation was also judged as burdensome by a large</w:t>
      </w:r>
      <w:r>
        <w:t xml:space="preserve"> </w:t>
      </w:r>
      <w:r>
        <w:t xml:space="preserve">share of surveyed EOs – i.e. 48 % (39 out of 81). Comparatively less burdensome are labelling</w:t>
      </w:r>
      <w:r>
        <w:t xml:space="preserve"> </w:t>
      </w:r>
      <w:r>
        <w:t xml:space="preserve">obligations, license/registration obligations, and the notification of suspicious transactions to</w:t>
      </w:r>
      <w:r>
        <w:t xml:space="preserve"> </w:t>
      </w:r>
      <w:r>
        <w:t xml:space="preserve">competent authorities.</w:t>
      </w:r>
      <w:r>
        <w:t xml:space="preserve"> </w:t>
      </w:r>
      <w:r>
        <w:t xml:space="preserve">The qualitative results of interviews added some depth to EO’s feedback on the burden of the</w:t>
      </w:r>
      <w:r>
        <w:t xml:space="preserve"> </w:t>
      </w:r>
      <w:r>
        <w:t xml:space="preserve">drug precursors Regulations. In summary:</w:t>
      </w:r>
      <w:r>
        <w:br/>
      </w:r>
      <w:r>
        <w:t xml:space="preserve">• The variability in the estimated administrative burden due to reporting obligations is</w:t>
      </w:r>
      <w:r>
        <w:t xml:space="preserve"> </w:t>
      </w:r>
      <w:r>
        <w:t xml:space="preserve">explained, according to EO interviewed, by the fact that such requirements vary across</w:t>
      </w:r>
      <w:r>
        <w:t xml:space="preserve"> </w:t>
      </w:r>
      <w:r>
        <w:t xml:space="preserve">countries, and when individual transactions must be reported separately, the burden</w:t>
      </w:r>
      <w:r>
        <w:t xml:space="preserve"> </w:t>
      </w:r>
      <w:r>
        <w:t xml:space="preserve">becomes more substantial.</w:t>
      </w:r>
      <w:r>
        <w:br/>
      </w:r>
      <w:r>
        <w:t xml:space="preserve">• As for the need to obtain customer declarations, it emerged as a particularly burdensome</w:t>
      </w:r>
      <w:r>
        <w:t xml:space="preserve"> </w:t>
      </w:r>
      <w:r>
        <w:t xml:space="preserve">aspect also during interviews with EO, since at present it relies on paper-based procedures.</w:t>
      </w:r>
      <w:r>
        <w:t xml:space="preserve"> </w:t>
      </w:r>
      <w:r>
        <w:t xml:space="preserve">The procedure is especially burdensome for new customers from other EU countries, as</w:t>
      </w:r>
      <w:r>
        <w:t xml:space="preserve"> </w:t>
      </w:r>
      <w:r>
        <w:t xml:space="preserve">sometimes the declarations are too general regarding the end-use of the substances and need</w:t>
      </w:r>
      <w:r>
        <w:t xml:space="preserve"> </w:t>
      </w:r>
      <w:r>
        <w:t xml:space="preserve">to be completed again with more details, which extends the waiting times.</w:t>
      </w:r>
      <w:r>
        <w:br/>
      </w:r>
      <w:r>
        <w:t xml:space="preserve">• Based on the interviews, the operational challenges related to import and export</w:t>
      </w:r>
      <w:r>
        <w:t xml:space="preserve"> </w:t>
      </w:r>
      <w:r>
        <w:t xml:space="preserve">authorisations varied depending on factors such as the location of the company, and the</w:t>
      </w:r>
      <w:r>
        <w:t xml:space="preserve"> </w:t>
      </w:r>
      <w:r>
        <w:t xml:space="preserve">origin and destination of substances. Nevertheless, the actual completion of the forms was</w:t>
      </w:r>
      <w:r>
        <w:t xml:space="preserve"> </w:t>
      </w:r>
      <w:r>
        <w:t xml:space="preserve">not indicated as the most burdensome aspect; rather, it was the wait times that posed</w:t>
      </w:r>
      <w:r>
        <w:t xml:space="preserve"> </w:t>
      </w:r>
      <w:r>
        <w:t xml:space="preserve">challenges. Wait times for import authorisations appeared to be longer (as much as “a</w:t>
      </w:r>
      <w:r>
        <w:t xml:space="preserve"> </w:t>
      </w:r>
      <w:r>
        <w:t xml:space="preserve">couple of months”) than for exports (a matter of weeks). In the case of exports, this implied</w:t>
      </w:r>
      <w:r>
        <w:t xml:space="preserve"> </w:t>
      </w:r>
      <w:r>
        <w:t xml:space="preserve">storage costs pending approval. In both cases, the requirement for paper documents was</w:t>
      </w:r>
      <w:r>
        <w:t xml:space="preserve"> </w:t>
      </w:r>
      <w:r>
        <w:t xml:space="preserve">indicated both as an annoyance and an obstacle.</w:t>
      </w:r>
      <w:r>
        <w:t xml:space="preserve"> </w:t>
      </w:r>
      <w:r>
        <w:t xml:space="preserve">According to the MS survey, only a minority of MS authorities consider the</w:t>
      </w:r>
      <w:r>
        <w:t xml:space="preserve"> </w:t>
      </w:r>
      <w:r>
        <w:t xml:space="preserve">implementation/enforcement burden cause by the Regulations as problematic. Specifically,</w:t>
      </w:r>
      <w:r>
        <w:t xml:space="preserve"> </w:t>
      </w:r>
      <w:r>
        <w:t xml:space="preserve">only 3 out of 27 respondents to this question consider excessive the burden imposed on</w:t>
      </w:r>
      <w:r>
        <w:t xml:space="preserve"> </w:t>
      </w:r>
      <w:r>
        <w:t xml:space="preserve">authorities, and only 5 out of 27 consider excessive the burden imposed on legitimate operators.</w:t>
      </w:r>
      <w:r>
        <w:t xml:space="preserve"> </w:t>
      </w:r>
      <w:r>
        <w:t xml:space="preserve">Although most authorities find the annual reporting obligations acceptable (16 out of 27</w:t>
      </w:r>
      <w:r>
        <w:t xml:space="preserve"> </w:t>
      </w:r>
      <w:r>
        <w:t xml:space="preserve">respondents to this question), these represent a significant burden. Feedback from the targeted</w:t>
      </w:r>
      <w:r>
        <w:t xml:space="preserve"> </w:t>
      </w:r>
      <w:r>
        <w:t xml:space="preserve">survey showed mixed results in terms of the level of effort devoted to annual reporting, with</w:t>
      </w:r>
      <w:r>
        <w:t xml:space="preserve"> </w:t>
      </w:r>
      <w:r>
        <w:t xml:space="preserve">estimates ranging from “14 days”, to weeks, months, and up to 4 FTE per year.</w:t>
      </w:r>
      <w:r>
        <w:t xml:space="preserve"> </w:t>
      </w:r>
      <w:r>
        <w:t xml:space="preserve">Participants in the PC expressed more mixed views on the regulatory burden for operators.</w:t>
      </w:r>
      <w:r>
        <w:t xml:space="preserve"> </w:t>
      </w:r>
      <w:r>
        <w:t xml:space="preserve">Certain requirements are considered as particularly burdensome – e.g. the need to obtain</w:t>
      </w:r>
      <w:r>
        <w:t xml:space="preserve"> </w:t>
      </w:r>
      <w:r>
        <w:t xml:space="preserve">declarations of intended use from customers (very / moderately burdensome for 27 out of 53</w:t>
      </w:r>
      <w:r>
        <w:t xml:space="preserve"> </w:t>
      </w:r>
      <w:r>
        <w:t xml:space="preserve">respondents), and the need to obtain import/export authorisations (very / moderately</w:t>
      </w:r>
      <w:r>
        <w:t xml:space="preserve"> </w:t>
      </w:r>
      <w:r>
        <w:t xml:space="preserve">burdensome for 23 out of 53 respondents) – while others are not – e.g. the obligation to notify</w:t>
      </w:r>
      <w:r>
        <w:t xml:space="preserve"> </w:t>
      </w:r>
      <w:r>
        <w:t xml:space="preserve">suspicious transactions, labelling obligations, etc. However, the majority of respondents to the</w:t>
      </w:r>
      <w:r>
        <w:t xml:space="preserve"> </w:t>
      </w:r>
      <w:r>
        <w:t xml:space="preserve">PC considered the administrative burden as ‘highly’ or ‘moderately’ heavier for SMEs (28 out</w:t>
      </w:r>
    </w:p>
    <w:p>
      <w:pPr>
        <w:pStyle w:val="BodyText"/>
      </w:pPr>
      <w:r>
        <w:t xml:space="preserve">9 The remaining 10 replied “do not know”.</w:t>
      </w:r>
      <w:r>
        <w:t xml:space="preserve"> </w:t>
      </w:r>
      <w:r>
        <w:t xml:space="preserve">10 In fact, 40% SMEs had an overall positive view, but 19% had a negative view (i.e. 8) and the other 40% didn’t know.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of 46 who replied to this question). With regard to import and export authorisations-related</w:t>
      </w:r>
      <w:r>
        <w:t xml:space="preserve"> </w:t>
      </w:r>
      <w:r>
        <w:t xml:space="preserve">burden, PC results partly echoed those of EO targeted survey, with 23 out of 53 respondents</w:t>
      </w:r>
      <w:r>
        <w:t xml:space="preserve"> </w:t>
      </w:r>
      <w:r>
        <w:t xml:space="preserve">(43 %) judging it ‘very’ or ‘moderately’ burdensome. Finally, the fragmented digital</w:t>
      </w:r>
      <w:r>
        <w:t xml:space="preserve"> </w:t>
      </w:r>
      <w:r>
        <w:t xml:space="preserve">infrastructure is identified by EO as a significant contributor to unnecessary administrative</w:t>
      </w:r>
      <w:r>
        <w:t xml:space="preserve"> </w:t>
      </w:r>
      <w:r>
        <w:t xml:space="preserve">burdens. As noted in an industry association position paper submitted to the PC, “The current</w:t>
      </w:r>
      <w:r>
        <w:t xml:space="preserve"> </w:t>
      </w:r>
      <w:r>
        <w:t xml:space="preserve">paper-based system is cumbersome, leads to high administrative costs for economic operators</w:t>
      </w:r>
      <w:r>
        <w:t xml:space="preserve"> </w:t>
      </w:r>
      <w:r>
        <w:t xml:space="preserve">and delays the overall process, thereby reducing the effectiveness with which relevant</w:t>
      </w:r>
      <w:r>
        <w:t xml:space="preserve"> </w:t>
      </w:r>
      <w:r>
        <w:t xml:space="preserve">substances can be targeted”.</w:t>
      </w:r>
      <w:r>
        <w:br/>
      </w:r>
      <w:r>
        <w:t xml:space="preserve">This judgement was echoed in the feedback to the Call for Evidence. In fact, two trade</w:t>
      </w:r>
      <w:r>
        <w:t xml:space="preserve"> </w:t>
      </w:r>
      <w:r>
        <w:t xml:space="preserve">associations emphasized the need for a harmonized, EU-wide digital application system to</w:t>
      </w:r>
      <w:r>
        <w:t xml:space="preserve"> </w:t>
      </w:r>
      <w:r>
        <w:t xml:space="preserve">streamline processes and eliminate documentation inconsistencies across MS.</w:t>
      </w:r>
      <w:r>
        <w:t xml:space="preserve"> </w:t>
      </w:r>
      <w:r>
        <w:t xml:space="preserve">Beyond administrative burdens, stakeholders also pointed out other aspects of unnecessary</w:t>
      </w:r>
      <w:r>
        <w:t xml:space="preserve"> </w:t>
      </w:r>
      <w:r>
        <w:t xml:space="preserve">complexity of the current policy framework, in particular the separation of rules and provisions</w:t>
      </w:r>
      <w:r>
        <w:t xml:space="preserve"> </w:t>
      </w:r>
      <w:r>
        <w:t xml:space="preserve">in two acts, of which one governing intra-EU trade and the other regulating extra-EU trade. The</w:t>
      </w:r>
      <w:r>
        <w:t xml:space="preserve"> </w:t>
      </w:r>
      <w:r>
        <w:t xml:space="preserve">results of the PC showed that for 35 out of 53 respondents this is perceived as a ‘major’ or</w:t>
      </w:r>
      <w:r>
        <w:t xml:space="preserve"> </w:t>
      </w:r>
      <w:r>
        <w:t xml:space="preserve">‘moderate’ problem, with no relevant differences across respondent’s groups (i.e. 9 out of 15</w:t>
      </w:r>
      <w:r>
        <w:t xml:space="preserve"> </w:t>
      </w:r>
      <w:r>
        <w:t xml:space="preserve">public authorities, and 20 out of 29 EOs). According to the EO survey, the separation is</w:t>
      </w:r>
      <w:r>
        <w:t xml:space="preserve"> </w:t>
      </w:r>
      <w:r>
        <w:t xml:space="preserve">problematic for 24 out of 68 respondents to this question (57 who provided an assessment) –</w:t>
      </w:r>
      <w:r>
        <w:t xml:space="preserve"> </w:t>
      </w:r>
      <w:r>
        <w:t xml:space="preserve">slightly higher among SMEs (12 out of 26 who provided an assessment) than large companies</w:t>
      </w:r>
      <w:r>
        <w:t xml:space="preserve"> </w:t>
      </w:r>
      <w:r>
        <w:t xml:space="preserve">(12 out of 26 who provided an assessment). According to the MS survey, the lack of</w:t>
      </w:r>
      <w:r>
        <w:t xml:space="preserve"> </w:t>
      </w:r>
      <w:r>
        <w:t xml:space="preserve">consolidation is viewed as problematic for by 16 out of 28 respondents to this question.</w:t>
      </w:r>
      <w:r>
        <w:br/>
      </w:r>
      <w:r>
        <w:t xml:space="preserve">Feedback on possible policy solutions</w:t>
      </w:r>
      <w:r>
        <w:t xml:space="preserve"> </w:t>
      </w:r>
      <w:r>
        <w:t xml:space="preserve">Many stakeholders believe that transitioning to a fully digitalised system would significantly</w:t>
      </w:r>
      <w:r>
        <w:t xml:space="preserve"> </w:t>
      </w:r>
      <w:r>
        <w:t xml:space="preserve">reduce administrative burdens by streamlining processes, improving accuracy, and enabling</w:t>
      </w:r>
      <w:r>
        <w:t xml:space="preserve"> </w:t>
      </w:r>
      <w:r>
        <w:t xml:space="preserve">real-time access to necessary data:</w:t>
      </w:r>
      <w:r>
        <w:br/>
      </w:r>
      <w:r>
        <w:t xml:space="preserve">• According to PC results, the digitalisation of procedures is among the measures that</w:t>
      </w:r>
      <w:r>
        <w:t xml:space="preserve"> </w:t>
      </w:r>
      <w:r>
        <w:t xml:space="preserve">register the highest consensus (46 out 52 respondents to this question agreed).</w:t>
      </w:r>
      <w:r>
        <w:br/>
      </w:r>
      <w:r>
        <w:t xml:space="preserve">• This view is further corroborated by the EO survey. In fact, the majority of surveyed EO</w:t>
      </w:r>
      <w:r>
        <w:t xml:space="preserve"> </w:t>
      </w:r>
      <w:r>
        <w:t xml:space="preserve">are optimistic about the potential for savings, with estimates ranging from a reduction of up</w:t>
      </w:r>
      <w:r>
        <w:t xml:space="preserve"> </w:t>
      </w:r>
      <w:r>
        <w:t xml:space="preserve">to 10 % to more than 75 %. Among the proposed measures, the availability of information</w:t>
      </w:r>
      <w:r>
        <w:t xml:space="preserve"> </w:t>
      </w:r>
      <w:r>
        <w:t xml:space="preserve">on licensing and registration of other operators through an EU database, replacing – where</w:t>
      </w:r>
      <w:r>
        <w:t xml:space="preserve"> </w:t>
      </w:r>
      <w:r>
        <w:t xml:space="preserve">relevant – the obligation to obtain a customer declaration, and the automation of reporting</w:t>
      </w:r>
      <w:r>
        <w:t xml:space="preserve"> </w:t>
      </w:r>
      <w:r>
        <w:t xml:space="preserve">were seen as having the most significant impact. Specifically, the proposed measures were</w:t>
      </w:r>
      <w:r>
        <w:t xml:space="preserve"> </w:t>
      </w:r>
      <w:r>
        <w:t xml:space="preserve">evaluated as follows:</w:t>
      </w:r>
      <w:r>
        <w:t xml:space="preserve"> </w:t>
      </w:r>
      <w:r>
        <w:t xml:space="preserve">o availability of information on licensing / registration of other operators: 41 of 73</w:t>
      </w:r>
      <w:r>
        <w:t xml:space="preserve"> </w:t>
      </w:r>
      <w:r>
        <w:t xml:space="preserve">respondents to this question expect savings ranging from 10 % to over 75 % (with 20</w:t>
      </w:r>
      <w:r>
        <w:t xml:space="preserve"> </w:t>
      </w:r>
      <w:r>
        <w:t xml:space="preserve">respondents anticipating ‘high’ or ‘very high’ savings, i.e. from 50 % to more than</w:t>
      </w:r>
      <w:r>
        <w:t xml:space="preserve"> </w:t>
      </w:r>
      <w:r>
        <w:t xml:space="preserve">75 %);</w:t>
      </w:r>
      <w:r>
        <w:t xml:space="preserve"> </w:t>
      </w:r>
      <w:r>
        <w:t xml:space="preserve">o automatic elaboration of annual report: 33 of 73 respondents to this question foresee</w:t>
      </w:r>
      <w:r>
        <w:t xml:space="preserve"> </w:t>
      </w:r>
      <w:r>
        <w:t xml:space="preserve">savings ranging from 10 % to over 75 % (with 21 respondents foreseeing ‘high’ or ‘very</w:t>
      </w:r>
      <w:r>
        <w:t xml:space="preserve"> </w:t>
      </w:r>
      <w:r>
        <w:t xml:space="preserve">high’ savings);</w:t>
      </w:r>
      <w:r>
        <w:t xml:space="preserve"> </w:t>
      </w:r>
      <w:r>
        <w:t xml:space="preserve">o licensing and registration applications: for first-time licensing applications, 25 out of 72</w:t>
      </w:r>
      <w:r>
        <w:t xml:space="preserve"> </w:t>
      </w:r>
      <w:r>
        <w:t xml:space="preserve">respondents to this question anticipate savings between 10 % and over 75 %. This</w:t>
      </w:r>
      <w:r>
        <w:t xml:space="preserve"> </w:t>
      </w:r>
      <w:r>
        <w:t xml:space="preserve">increases to 26 out of 71 respondents for renewals or amendments. For registrations, 25</w:t>
      </w:r>
      <w:r>
        <w:t xml:space="preserve"> </w:t>
      </w:r>
      <w:r>
        <w:t xml:space="preserve">out of 73 respondents expect similar savings, whether for first-time applications or</w:t>
      </w:r>
      <w:r>
        <w:t xml:space="preserve"> </w:t>
      </w:r>
      <w:r>
        <w:t xml:space="preserve">renewals/amendments;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o electronic submission/release of export and import authorisations: 23 out of 73</w:t>
      </w:r>
      <w:r>
        <w:t xml:space="preserve"> </w:t>
      </w:r>
      <w:r>
        <w:t xml:space="preserve">respondents to this question for export authorisations and 22 out of 71 for import</w:t>
      </w:r>
      <w:r>
        <w:t xml:space="preserve"> </w:t>
      </w:r>
      <w:r>
        <w:t xml:space="preserve">authorisations expect savings between 10 % and over 75 %.</w:t>
      </w:r>
      <w:r>
        <w:t xml:space="preserve"> </w:t>
      </w:r>
      <w:r>
        <w:t xml:space="preserve">• As for MS survey, national authorities’ responses indicate broad support for digitalising</w:t>
      </w:r>
      <w:r>
        <w:t xml:space="preserve"> </w:t>
      </w:r>
      <w:r>
        <w:t xml:space="preserve">drug precursors procedures and formalities, including licensing, registration, and</w:t>
      </w:r>
      <w:r>
        <w:t xml:space="preserve"> </w:t>
      </w:r>
      <w:r>
        <w:t xml:space="preserve">import/export authorisations, with 14 out of 26 who replied to this question strongly</w:t>
      </w:r>
      <w:r>
        <w:t xml:space="preserve"> </w:t>
      </w:r>
      <w:r>
        <w:t xml:space="preserve">supporting this initiative. Significant backing was also registered for the digitalisation of</w:t>
      </w:r>
      <w:r>
        <w:t xml:space="preserve"> </w:t>
      </w:r>
      <w:r>
        <w:t xml:space="preserve">reporting obligations for EO (12 ‘strongly’ agreeing) and the connection of a hypothetical</w:t>
      </w:r>
      <w:r>
        <w:t xml:space="preserve"> </w:t>
      </w:r>
      <w:r>
        <w:t xml:space="preserve">EU digital system with international platforms (11 ‘strongly’ agreeing). However, opinions</w:t>
      </w:r>
      <w:r>
        <w:t xml:space="preserve"> </w:t>
      </w:r>
      <w:r>
        <w:t xml:space="preserve">are more varied regarding the continued use of national IT systems and whether</w:t>
      </w:r>
      <w:r>
        <w:t xml:space="preserve"> </w:t>
      </w:r>
      <w:r>
        <w:t xml:space="preserve">digitalisation should build on existing EU platforms. While some respondents favour these</w:t>
      </w:r>
      <w:r>
        <w:t xml:space="preserve"> </w:t>
      </w:r>
      <w:r>
        <w:t xml:space="preserve">approaches, a notable number remain neutral or uncertain. In particular, the option of</w:t>
      </w:r>
      <w:r>
        <w:t xml:space="preserve"> </w:t>
      </w:r>
      <w:r>
        <w:t xml:space="preserve">maintaining national IT systems was the only one registering two negative responses (i.e. </w:t>
      </w:r>
      <w:r>
        <w:t xml:space="preserve"> </w:t>
      </w:r>
      <w:r>
        <w:t xml:space="preserve">one ‘partly’ and one ‘strongly’ disagreeing), while the one on existing EU platforms</w:t>
      </w:r>
      <w:r>
        <w:t xml:space="preserve"> </w:t>
      </w:r>
      <w:r>
        <w:t xml:space="preserve">registered one partial disagreement and a notable number of neutral and uncertain positions</w:t>
      </w:r>
      <w:r>
        <w:t xml:space="preserve"> </w:t>
      </w:r>
      <w:r>
        <w:t xml:space="preserve">(7 responses for both ‘neutral’ and ‘don’t know’). However, surveyed authorities believe</w:t>
      </w:r>
      <w:r>
        <w:t xml:space="preserve"> </w:t>
      </w:r>
      <w:r>
        <w:t xml:space="preserve">that even if digitalisation leads to significant cost savings, these are unlikely to result in a</w:t>
      </w:r>
      <w:r>
        <w:t xml:space="preserve"> </w:t>
      </w:r>
      <w:r>
        <w:t xml:space="preserve">reduction of the fees charged to operators (out of 24 respondents to this question, 11 stated</w:t>
      </w:r>
      <w:r>
        <w:t xml:space="preserve"> </w:t>
      </w:r>
      <w:r>
        <w:t xml:space="preserve">that a fee reduction is ‘not likely’ to happen, 6 responded ‘maybe’, and only 2 ‘yes’).</w:t>
      </w:r>
      <w:r>
        <w:t xml:space="preserve"> </w:t>
      </w:r>
      <w:r>
        <w:t xml:space="preserve">In the Call for Evidence, a main trade association expressed strong support for introducing</w:t>
      </w:r>
      <w:r>
        <w:t xml:space="preserve"> </w:t>
      </w:r>
      <w:r>
        <w:t xml:space="preserve">“digital based solutions that allow to file import and export authorizations electronically”.</w:t>
      </w:r>
      <w:r>
        <w:t xml:space="preserve"> </w:t>
      </w:r>
      <w:r>
        <w:t xml:space="preserve">Moreover, the association also advocated the integration of trusted trader programs to provide</w:t>
      </w:r>
      <w:r>
        <w:t xml:space="preserve"> </w:t>
      </w:r>
      <w:r>
        <w:t xml:space="preserve">real-time customs access, suggesting that the Single Window Regulation 2022/2399 offers a</w:t>
      </w:r>
      <w:r>
        <w:t xml:space="preserve"> </w:t>
      </w:r>
      <w:r>
        <w:t xml:space="preserve">blueprint for ensuring interoperability across MS systems.</w:t>
      </w:r>
      <w:r>
        <w:t xml:space="preserve"> </w:t>
      </w:r>
      <w:r>
        <w:t xml:space="preserve">Regarding the complexity of the current system, large support was gathered on a possible</w:t>
      </w:r>
      <w:r>
        <w:t xml:space="preserve"> </w:t>
      </w:r>
      <w:r>
        <w:t xml:space="preserve">consolidation of the two Regulations in a single act. In particular:</w:t>
      </w:r>
      <w:r>
        <w:br/>
      </w:r>
      <w:r>
        <w:t xml:space="preserve">• The position papers received from trade associations under the PC agreed on the need to</w:t>
      </w:r>
      <w:r>
        <w:t xml:space="preserve"> </w:t>
      </w:r>
      <w:r>
        <w:t xml:space="preserve">harmonise and consolidate the legal acts, since this would “reduce complexity and better</w:t>
      </w:r>
      <w:r>
        <w:t xml:space="preserve"> </w:t>
      </w:r>
      <w:r>
        <w:t xml:space="preserve">align provisions”, which would be especially beneficial for SMEs.</w:t>
      </w:r>
      <w:r>
        <w:br/>
      </w:r>
      <w:r>
        <w:t xml:space="preserve">• The majority of authorities consulted through the MS survey (i.e. 16 out of 28 who replied</w:t>
      </w:r>
      <w:r>
        <w:t xml:space="preserve"> </w:t>
      </w:r>
      <w:r>
        <w:t xml:space="preserve">to this question) find the current split as inconvenient, and various authorities interviewed</w:t>
      </w:r>
      <w:r>
        <w:t xml:space="preserve"> </w:t>
      </w:r>
      <w:r>
        <w:t xml:space="preserve">expressed support for the consolidation of the two regulations into a single act.</w:t>
      </w:r>
      <w:r>
        <w:t xml:space="preserve"> </w:t>
      </w:r>
      <w:r>
        <w:t xml:space="preserve">• Consolidation was also supported by several EO interviewed, but EO survey results show</w:t>
      </w:r>
      <w:r>
        <w:t xml:space="preserve"> </w:t>
      </w:r>
      <w:r>
        <w:t xml:space="preserve">that this the complexity of the current framework should not be overemphasise while 24</w:t>
      </w:r>
      <w:r>
        <w:t xml:space="preserve"> </w:t>
      </w:r>
      <w:r>
        <w:t xml:space="preserve">EOs surveyed (out of 68 who replied to this question) consider it a ‘major’ or ‘moderate’</w:t>
      </w:r>
      <w:r>
        <w:t xml:space="preserve"> </w:t>
      </w:r>
      <w:r>
        <w:t xml:space="preserve">problem, for 21 EOs this is conversely ‘not a problem’.</w:t>
      </w:r>
      <w:r>
        <w:br/>
      </w:r>
      <w:r>
        <w:t xml:space="preserve">Finally, the results of the validation workshop (workshop #2) on the one hand confirmed what</w:t>
      </w:r>
      <w:r>
        <w:t xml:space="preserve"> </w:t>
      </w:r>
      <w:r>
        <w:t xml:space="preserve">authorities and EOs already expressed in previous consultations (interviews and surveys) – i.e. </w:t>
      </w:r>
      <w:r>
        <w:t xml:space="preserve"> </w:t>
      </w:r>
      <w:r>
        <w:t xml:space="preserve">large support to the digitisation process and consolidation of Regulations in a single act – on</w:t>
      </w:r>
      <w:r>
        <w:t xml:space="preserve"> </w:t>
      </w:r>
      <w:r>
        <w:t xml:space="preserve">the other hand mixed support emerged on a few possible implementation arrangements</w:t>
      </w:r>
      <w:r>
        <w:t xml:space="preserve"> </w:t>
      </w:r>
      <w:r>
        <w:t xml:space="preserve">discussed in the workshop, i.e. the identification of substances by CUS number11, the possible</w:t>
      </w:r>
      <w:r>
        <w:t xml:space="preserve"> </w:t>
      </w:r>
      <w:r>
        <w:t xml:space="preserve">aggregation of scheduling categories (implying a change of status for some regulated</w:t>
      </w:r>
      <w:r>
        <w:t xml:space="preserve"> </w:t>
      </w:r>
      <w:r>
        <w:t xml:space="preserve">substances), and the possible establishment of fixed thresholds to determine the applicability of</w:t>
      </w:r>
      <w:r>
        <w:t xml:space="preserve"> </w:t>
      </w:r>
      <w:r>
        <w:t xml:space="preserve">Regulations to ‘mixtures’ of drug precursors with other substances.</w:t>
      </w:r>
    </w:p>
    <w:p>
      <w:pPr>
        <w:pStyle w:val="BodyText"/>
      </w:pPr>
      <w:r>
        <w:t xml:space="preserve">11 The CUS number is a univocal code assigned to the chemicals listed in the ECICS inventory. Established by DG TAXUD,</w:t>
      </w:r>
      <w:r>
        <w:t xml:space="preserve"> </w:t>
      </w:r>
      <w:r>
        <w:t xml:space="preserve">the European Customs Inventory of Chemical Substances (ECICS) is a tool facilitating the identification, customs</w:t>
      </w:r>
      <w:r>
        <w:t xml:space="preserve"> </w:t>
      </w:r>
      <w:r>
        <w:t xml:space="preserve">classification, and nomenclature formalisation of chemicals.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ANNEX 3: WHO IS AFFECTED ON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With regards to Objective 1, Member States and operators will have to implement a new ban</w:t>
      </w:r>
      <w:r>
        <w:t xml:space="preserve"> </w:t>
      </w:r>
      <w:r>
        <w:t xml:space="preserve">on designer precursors, based on an ad hoc list including families of derivatives of known and</w:t>
      </w:r>
      <w:r>
        <w:t xml:space="preserve"> </w:t>
      </w:r>
      <w:r>
        <w:t xml:space="preserve">seized precursors that are chemically viable and easy to use, identified with sufficient precision</w:t>
      </w:r>
      <w:r>
        <w:t xml:space="preserve"> </w:t>
      </w:r>
      <w:r>
        <w:t xml:space="preserve">to allow operators to conduct automated due diligence checks on their portfolios. As designer</w:t>
      </w:r>
      <w:r>
        <w:t xml:space="preserve"> </w:t>
      </w:r>
      <w:r>
        <w:t xml:space="preserve">precursors do not have established industrial or commercial use legal operators would be, in</w:t>
      </w:r>
      <w:r>
        <w:t xml:space="preserve"> </w:t>
      </w:r>
      <w:r>
        <w:t xml:space="preserve">principle, not affected. Still, operators will need to check their portfolios and establish internal</w:t>
      </w:r>
      <w:r>
        <w:t xml:space="preserve"> </w:t>
      </w:r>
      <w:r>
        <w:t xml:space="preserve">procedures to block orders for banned substances and conduct additional legitimacy scrutiny.</w:t>
      </w:r>
      <w:r>
        <w:t xml:space="preserve"> </w:t>
      </w:r>
      <w:r>
        <w:t xml:space="preserve">For MS authorities, the ban implies in an extension of the scope of existing control and</w:t>
      </w:r>
      <w:r>
        <w:t xml:space="preserve"> </w:t>
      </w:r>
      <w:r>
        <w:t xml:space="preserve">monitoring rules, with implementation and enforcement efforts largely proportional to the</w:t>
      </w:r>
      <w:r>
        <w:t xml:space="preserve"> </w:t>
      </w:r>
      <w:r>
        <w:t xml:space="preserve">extension of the list. Authorities will receive centralise supports to help scaling up the capacity</w:t>
      </w:r>
      <w:r>
        <w:t xml:space="preserve"> </w:t>
      </w:r>
      <w:r>
        <w:t xml:space="preserve">required to detect and test newly identified substances. Other measures impacting on certain</w:t>
      </w:r>
      <w:r>
        <w:t xml:space="preserve"> </w:t>
      </w:r>
      <w:r>
        <w:t xml:space="preserve">economic operators (albeit with negligible costs / cost savings) include (i) clarifications</w:t>
      </w:r>
      <w:r>
        <w:t xml:space="preserve"> </w:t>
      </w:r>
      <w:r>
        <w:t xml:space="preserve">regarding the scope of application of provisions to the online environment, possibly requiring</w:t>
      </w:r>
      <w:r>
        <w:t xml:space="preserve"> </w:t>
      </w:r>
      <w:r>
        <w:t xml:space="preserve">certain online platforms to either comply with existing monitoring requirements or remove</w:t>
      </w:r>
      <w:r>
        <w:t xml:space="preserve"> </w:t>
      </w:r>
      <w:r>
        <w:t xml:space="preserve">precursors form their e-marketplaces, and (ii) extension of notification and record-keeping</w:t>
      </w:r>
      <w:r>
        <w:t xml:space="preserve"> </w:t>
      </w:r>
      <w:r>
        <w:t xml:space="preserve">obligation to certain ‘users’. Regarding MS, two relevant novelties will consist in (i) the need</w:t>
      </w:r>
      <w:r>
        <w:t xml:space="preserve"> </w:t>
      </w:r>
      <w:r>
        <w:t xml:space="preserve">to adopt and implement the ‘improved’ catch all clause at the national level, and (ii) the removal</w:t>
      </w:r>
      <w:r>
        <w:t xml:space="preserve"> </w:t>
      </w:r>
      <w:r>
        <w:t xml:space="preserve">of the obligation for quarterly reporting of incidents involving precursors, replaced with a real</w:t>
      </w:r>
      <w:r>
        <w:t xml:space="preserve"> </w:t>
      </w:r>
      <w:r>
        <w:t xml:space="preserve">time notification system, under the digital platform discussed below.</w:t>
      </w:r>
      <w:r>
        <w:br/>
      </w:r>
      <w:r>
        <w:t xml:space="preserve">With regards to Objective 2, Member States and operators will rely on a centralised EU portal</w:t>
      </w:r>
      <w:r>
        <w:t xml:space="preserve"> </w:t>
      </w:r>
      <w:r>
        <w:t xml:space="preserve">to manage licenses and registrations. All operators will see a reduction in their obligations</w:t>
      </w:r>
      <w:r>
        <w:t xml:space="preserve"> </w:t>
      </w:r>
      <w:r>
        <w:t xml:space="preserve">notably through the automation of authorisations for import and export and annual reporting</w:t>
      </w:r>
      <w:r>
        <w:t xml:space="preserve"> </w:t>
      </w:r>
      <w:r>
        <w:t xml:space="preserve">and enjoy the possibility to fulfil the remaining obligations (licensing / registration and</w:t>
      </w:r>
      <w:r>
        <w:t xml:space="preserve"> </w:t>
      </w:r>
      <w:r>
        <w:t xml:space="preserve">customer verification) digitally. Operators trading in current Category 4 will see a new</w:t>
      </w:r>
      <w:r>
        <w:t xml:space="preserve"> </w:t>
      </w:r>
      <w:r>
        <w:t xml:space="preserve">obligation (the need to register) which is compensated for by the removal of previous</w:t>
      </w:r>
      <w:r>
        <w:t xml:space="preserve"> </w:t>
      </w:r>
      <w:r>
        <w:t xml:space="preserve">obligations (reporting annually and requesting export authorisations). Operators trading in</w:t>
      </w:r>
      <w:r>
        <w:t xml:space="preserve"> </w:t>
      </w:r>
      <w:r>
        <w:t xml:space="preserve">(current) Category 2b internally will be relieved of the need to register and verify customers for</w:t>
      </w:r>
      <w:r>
        <w:t xml:space="preserve"> </w:t>
      </w:r>
      <w:r>
        <w:t xml:space="preserve">internal trade. All operators will be relieved of the 15-day wait period attached to the PEN.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As per the Better Regulation Guidelines, the following tables present an overview of costs and</w:t>
      </w:r>
      <w:r>
        <w:t xml:space="preserve"> </w:t>
      </w:r>
      <w:r>
        <w:t xml:space="preserve">benefits by type. This is based on the analysis presented in section 6.2 of the report.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reductions</w:t>
      </w:r>
      <w:r>
        <w:t xml:space="preserve"> </w:t>
      </w:r>
      <w:r>
        <w:t xml:space="preserve">Economic operators:</w:t>
      </w:r>
      <w:r>
        <w:t xml:space="preserve"> </w:t>
      </w:r>
      <w:r>
        <w:t xml:space="preserve">-Reduction of costs for licenses and registrations:</w:t>
      </w:r>
      <w:r>
        <w:t xml:space="preserve"> </w:t>
      </w:r>
      <w:r>
        <w:t xml:space="preserve">-EUR 251 000 (one-off)</w:t>
      </w:r>
      <w:r>
        <w:t xml:space="preserve"> </w:t>
      </w:r>
      <w:r>
        <w:t xml:space="preserve">- EUR 72 000 (annual)</w:t>
      </w:r>
      <w:r>
        <w:br/>
      </w:r>
      <w:r>
        <w:t xml:space="preserve">Digitisation of customer verification brings cost reduction:</w:t>
      </w:r>
      <w:r>
        <w:br/>
      </w:r>
      <w:r>
        <w:t xml:space="preserve">- EUR 17.6 million/year</w:t>
      </w:r>
      <w:r>
        <w:t xml:space="preserve"> </w:t>
      </w:r>
      <w:r>
        <w:t xml:space="preserve">import / export authorisations:</w:t>
      </w:r>
      <w:r>
        <w:t xml:space="preserve"> </w:t>
      </w:r>
      <w:r>
        <w:t xml:space="preserve">- EUR 6.4 million/year)</w:t>
      </w:r>
      <w:r>
        <w:t xml:space="preserve"> </w:t>
      </w:r>
      <w:r>
        <w:t xml:space="preserve">annual reporting</w:t>
      </w:r>
      <w:r>
        <w:t xml:space="preserve"> </w:t>
      </w:r>
      <w:r>
        <w:t xml:space="preserve">- EUR 3.2 million/year</w:t>
      </w:r>
      <w:r>
        <w:t xml:space="preserve"> </w:t>
      </w:r>
      <w:r>
        <w:t xml:space="preserve">Hassle costs saved (not possible to quantify)</w:t>
      </w:r>
    </w:p>
    <w:p>
      <w:pPr>
        <w:pStyle w:val="BodyText"/>
      </w:pPr>
      <w:r>
        <w:t xml:space="preserve">Public authorities:</w:t>
      </w:r>
      <w:r>
        <w:t xml:space="preserve"> </w:t>
      </w:r>
      <w:r>
        <w:t xml:space="preserve">-Reduction of costs for licenses and registrations:</w:t>
      </w:r>
      <w:r>
        <w:t xml:space="preserve"> </w:t>
      </w:r>
      <w:r>
        <w:t xml:space="preserve">- EUR 460 000 (one-off)</w:t>
      </w:r>
      <w:r>
        <w:br/>
      </w:r>
      <w:r>
        <w:t xml:space="preserve">- EUR 86 000 (annual)</w:t>
      </w:r>
      <w:r>
        <w:br/>
      </w:r>
      <w:r>
        <w:t xml:space="preserve">-cost reduction on import / export authorisations:</w:t>
      </w:r>
      <w:r>
        <w:t xml:space="preserve"> </w:t>
      </w:r>
      <w:r>
        <w:t xml:space="preserve">- EUR 6.9 million/year</w:t>
      </w:r>
      <w:r>
        <w:t xml:space="preserve"> </w:t>
      </w:r>
      <w:r>
        <w:t xml:space="preserve">- cost reduction on annual reporting:</w:t>
      </w:r>
      <w:r>
        <w:t xml:space="preserve"> </w:t>
      </w:r>
      <w:r>
        <w:t xml:space="preserve">- EUR 3.2 million/year</w:t>
      </w:r>
      <w:r>
        <w:t xml:space="preserve"> </w:t>
      </w:r>
      <w:r>
        <w:t xml:space="preserve">- PICS if interconnected</w:t>
      </w:r>
      <w:r>
        <w:t xml:space="preserve"> </w:t>
      </w:r>
      <w:r>
        <w:t xml:space="preserve">- EUR 0.24 million/year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Trade facilitation</w:t>
      </w:r>
      <w:r>
        <w:br/>
      </w:r>
      <w:r>
        <w:t xml:space="preserve">Reduced burdens and smoother, more effective control based on</w:t>
      </w:r>
      <w:r>
        <w:t xml:space="preserve"> </w:t>
      </w:r>
      <w:r>
        <w:t xml:space="preserve">more robust, error-free data and protection against fraud</w:t>
      </w:r>
      <w:r>
        <w:br/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illicit</w:t>
      </w:r>
      <w:r>
        <w:t xml:space="preserve"> </w:t>
      </w:r>
      <w:r>
        <w:t xml:space="preserve">trade</w:t>
      </w:r>
      <w:r>
        <w:br/>
      </w:r>
      <w:r>
        <w:t xml:space="preserve">Reduced time to detect new threats and place them under control,</w:t>
      </w:r>
      <w:r>
        <w:t xml:space="preserve"> </w:t>
      </w:r>
      <w:r>
        <w:t xml:space="preserve">associated to roughly 5.5 % of illicit trade reduction for concerned</w:t>
      </w:r>
      <w:r>
        <w:t xml:space="preserve"> </w:t>
      </w:r>
      <w:r>
        <w:t xml:space="preserve">substances</w:t>
      </w:r>
      <w:r>
        <w:t xml:space="preserve"> </w:t>
      </w:r>
      <w:r>
        <w:t xml:space="preserve">Decline in designer precursor and other non-scheduled precursors</w:t>
      </w:r>
      <w:r>
        <w:t xml:space="preserve"> </w:t>
      </w:r>
      <w:r>
        <w:t xml:space="preserve">trafficking (possibly -60 % for two years according to previous</w:t>
      </w:r>
      <w:r>
        <w:t xml:space="preserve"> </w:t>
      </w:r>
      <w:r>
        <w:t xml:space="preserve">experiences)</w:t>
      </w:r>
    </w:p>
    <w:p>
      <w:pPr>
        <w:pStyle w:val="BodyText"/>
      </w:pPr>
      <w:r>
        <w:t xml:space="preserve">Notes: (1) Estimates are gross values relative to the baseline for the preferred option as a whole (i.e. the impact</w:t>
      </w:r>
      <w:r>
        <w:t xml:space="preserve"> </w:t>
      </w:r>
      <w:r>
        <w:t xml:space="preserve">of individual actions/obligations of the preferred option are aggregated together); (2) The comments column</w:t>
      </w:r>
      <w:r>
        <w:t xml:space="preserve"> </w:t>
      </w:r>
      <w:r>
        <w:t xml:space="preserve">states which stakeholder group is the main recipient of the benefit;(3) For reductions in regulatory costs, the</w:t>
      </w:r>
      <w:r>
        <w:t xml:space="preserve"> </w:t>
      </w:r>
      <w:r>
        <w:t xml:space="preserve">comments column describes how the saving arises (e.g. reductions in adjustment costs, administrative costs,</w:t>
      </w:r>
      <w:r>
        <w:t xml:space="preserve"> </w:t>
      </w:r>
      <w:r>
        <w:t xml:space="preserve">regulatory charges, enforcement costs, etc.;).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Negligible Negligible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cost:</w:t>
      </w:r>
      <w:r>
        <w:t xml:space="preserve"> </w:t>
      </w:r>
      <w:r>
        <w:t xml:space="preserve">EUR 7.7 M</w:t>
      </w:r>
    </w:p>
    <w:p>
      <w:pPr>
        <w:pStyle w:val="BodyText"/>
      </w:pPr>
      <w:r>
        <w:t xml:space="preserve">digitisation:</w:t>
      </w:r>
      <w:r>
        <w:t xml:space="preserve"> </w:t>
      </w:r>
      <w:r>
        <w:t xml:space="preserve">EU:</w:t>
      </w:r>
      <w:r>
        <w:t xml:space="preserve"> </w:t>
      </w:r>
      <w:r>
        <w:t xml:space="preserve">EUR</w:t>
      </w:r>
      <w:r>
        <w:t xml:space="preserve"> </w:t>
      </w:r>
      <w:r>
        <w:t xml:space="preserve">26.6 M (up to</w:t>
      </w:r>
      <w:r>
        <w:t xml:space="preserve"> </w:t>
      </w:r>
      <w:r>
        <w:t xml:space="preserve">2033)</w:t>
      </w:r>
      <w:r>
        <w:t xml:space="preserve"> </w:t>
      </w:r>
      <w:r>
        <w:t xml:space="preserve">MS:</w:t>
      </w:r>
      <w:r>
        <w:br/>
      </w:r>
      <w:r>
        <w:t xml:space="preserve">EUR</w:t>
      </w:r>
      <w:r>
        <w:t xml:space="preserve"> </w:t>
      </w:r>
      <w:r>
        <w:t xml:space="preserve">8-9 M</w:t>
      </w:r>
      <w:r>
        <w:t xml:space="preserve"> </w:t>
      </w:r>
      <w:r>
        <w:t xml:space="preserve">(up</w:t>
      </w:r>
      <w:r>
        <w:t xml:space="preserve"> </w:t>
      </w:r>
      <w:r>
        <w:t xml:space="preserve">until</w:t>
      </w:r>
      <w:r>
        <w:t xml:space="preserve"> </w:t>
      </w:r>
      <w:r>
        <w:t xml:space="preserve">2033)12</w:t>
      </w:r>
      <w:r>
        <w:t xml:space="preserve"> </w:t>
      </w:r>
      <w:r>
        <w:t xml:space="preserve">Scheduling</w:t>
      </w:r>
      <w:r>
        <w:t xml:space="preserve"> </w:t>
      </w:r>
      <w:r>
        <w:t xml:space="preserve">designer</w:t>
      </w:r>
      <w:r>
        <w:t xml:space="preserve"> </w:t>
      </w:r>
      <w:r>
        <w:t xml:space="preserve">precursors: non-</w:t>
      </w:r>
      <w:r>
        <w:t xml:space="preserve"> </w:t>
      </w:r>
      <w:r>
        <w:t xml:space="preserve">monetizable (est.</w:t>
      </w:r>
      <w:r>
        <w:t xml:space="preserve"> </w:t>
      </w:r>
      <w:r>
        <w:t xml:space="preserve">+10 %</w:t>
      </w:r>
      <w:r>
        <w:t xml:space="preserve"> </w:t>
      </w:r>
      <w:r>
        <w:t xml:space="preserve">of</w:t>
      </w:r>
      <w:r>
        <w:t xml:space="preserve"> </w:t>
      </w:r>
      <w:r>
        <w:t xml:space="preserve">baseline)</w:t>
      </w:r>
    </w:p>
    <w:p>
      <w:pPr>
        <w:pStyle w:val="BodyText"/>
      </w:pPr>
      <w:r>
        <w:t xml:space="preserve">digitisation: EU:</w:t>
      </w:r>
      <w:r>
        <w:t xml:space="preserve"> </w:t>
      </w:r>
      <w:r>
        <w:t xml:space="preserve">EUR 3.3 M</w:t>
      </w:r>
      <w:r>
        <w:t xml:space="preserve"> </w:t>
      </w:r>
      <w:r>
        <w:t xml:space="preserve">annually</w:t>
      </w:r>
      <w:r>
        <w:t xml:space="preserve"> </w:t>
      </w:r>
      <w:r>
        <w:t xml:space="preserve">(2033</w:t>
      </w:r>
      <w:r>
        <w:t xml:space="preserve"> </w:t>
      </w:r>
      <w:r>
        <w:t xml:space="preserve">onwards)</w:t>
      </w:r>
      <w:r>
        <w:t xml:space="preserve"> </w:t>
      </w:r>
      <w:r>
        <w:t xml:space="preserve">MS: EUR 1.1 M</w:t>
      </w:r>
      <w:r>
        <w:t xml:space="preserve"> </w:t>
      </w:r>
      <w:r>
        <w:t xml:space="preserve">(2033 onwards)13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EUDA</w:t>
      </w:r>
      <w:r>
        <w:t xml:space="preserve"> </w:t>
      </w:r>
      <w:r>
        <w:t xml:space="preserve">Library: EU:</w:t>
      </w:r>
      <w:r>
        <w:t xml:space="preserve"> </w:t>
      </w:r>
      <w:r>
        <w:t xml:space="preserve">EUR 182 000</w:t>
      </w:r>
      <w:r>
        <w:t xml:space="preserve"> </w:t>
      </w:r>
      <w:r>
        <w:t xml:space="preserve">for</w:t>
      </w:r>
      <w:r>
        <w:t xml:space="preserve"> </w:t>
      </w:r>
      <w:r>
        <w:t xml:space="preserve">2026-</w:t>
      </w:r>
      <w:r>
        <w:t xml:space="preserve"> </w:t>
      </w:r>
      <w:r>
        <w:t xml:space="preserve">2027.</w:t>
      </w:r>
      <w:r>
        <w:t xml:space="preserve"> </w:t>
      </w:r>
      <w:r>
        <w:t xml:space="preserve">Online</w:t>
      </w:r>
      <w:r>
        <w:t xml:space="preserve"> </w:t>
      </w:r>
      <w:r>
        <w:t xml:space="preserve">enforcement:</w:t>
      </w:r>
      <w:r>
        <w:t xml:space="preserve"> </w:t>
      </w:r>
      <w:r>
        <w:t xml:space="preserve">non-monetizable</w:t>
      </w:r>
      <w:r>
        <w:t xml:space="preserve"> </w:t>
      </w:r>
      <w:r>
        <w:t xml:space="preserve">(est. +30 % of the</w:t>
      </w:r>
      <w:r>
        <w:t xml:space="preserve"> </w:t>
      </w:r>
      <w:r>
        <w:t xml:space="preserve">baseline)</w:t>
      </w:r>
    </w:p>
    <w:p>
      <w:pPr>
        <w:pStyle w:val="BodyText"/>
      </w:pPr>
      <w:r>
        <w:t xml:space="preserve">EUDA Library:</w:t>
      </w:r>
      <w:r>
        <w:t xml:space="preserve"> </w:t>
      </w:r>
      <w:r>
        <w:t xml:space="preserve">EU: 1FTE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The below OIOO calculations are based on the figures presented in the SWD (See Annex 4 for</w:t>
      </w:r>
      <w:r>
        <w:t xml:space="preserve"> </w:t>
      </w:r>
      <w:r>
        <w:t xml:space="preserve">explanation).</w:t>
      </w:r>
    </w:p>
    <w:p>
      <w:pPr>
        <w:pStyle w:val="BodyText"/>
      </w:pPr>
      <w:r>
        <w:t xml:space="preserve">12 Note these figures are based on estimates from the Commission and include connecting with the customs environment. Lower</w:t>
      </w:r>
      <w:r>
        <w:t xml:space="preserve"> </w:t>
      </w:r>
      <w:r>
        <w:t xml:space="preserve">estimates were obtained where functionalities solely for the internal market were concerned.</w:t>
      </w:r>
      <w:r>
        <w:t xml:space="preserve"> </w:t>
      </w:r>
      <w:r>
        <w:t xml:space="preserve">13 Ibid.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III. Application of the ‘one in, one out’ approach – Preferred option(s)</w:t>
      </w:r>
      <w:r>
        <w:t xml:space="preserve"> </w:t>
      </w:r>
      <w:r>
        <w:t xml:space="preserve">[EUR million]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Due diligence cost: 7.714</w:t>
      </w:r>
    </w:p>
    <w:p>
      <w:pPr>
        <w:pStyle w:val="BodyText"/>
      </w:pPr>
      <w:r>
        <w:t xml:space="preserve">7.7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New registrations: -0.2515</w:t>
      </w:r>
    </w:p>
    <w:p>
      <w:pPr>
        <w:pStyle w:val="BodyText"/>
      </w:pPr>
      <w:r>
        <w:t xml:space="preserve">Renewal of registration: -</w:t>
      </w:r>
      <w:r>
        <w:t xml:space="preserve"> </w:t>
      </w:r>
      <w:r>
        <w:t xml:space="preserve">0.072</w:t>
      </w:r>
      <w:r>
        <w:t xml:space="preserve"> </w:t>
      </w:r>
      <w:r>
        <w:t xml:space="preserve">E-verification: -17.6</w:t>
      </w:r>
      <w:r>
        <w:t xml:space="preserve"> </w:t>
      </w:r>
      <w:r>
        <w:t xml:space="preserve">Import/export authorisation: -</w:t>
      </w:r>
      <w:r>
        <w:t xml:space="preserve"> </w:t>
      </w:r>
      <w:r>
        <w:t xml:space="preserve">6.4</w:t>
      </w:r>
      <w:r>
        <w:t xml:space="preserve"> </w:t>
      </w:r>
      <w:r>
        <w:t xml:space="preserve">Annual reporting: -3.2</w:t>
      </w:r>
      <w:r>
        <w:t xml:space="preserve"> </w:t>
      </w:r>
      <w:r>
        <w:t xml:space="preserve">-27.5</w:t>
      </w:r>
      <w:r>
        <w:t xml:space="preserve"> </w:t>
      </w:r>
      <w:r>
        <w:t xml:space="preserve">Net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7.45</w:t>
      </w:r>
      <w:r>
        <w:t xml:space="preserve"> </w:t>
      </w:r>
      <w:r>
        <w:t xml:space="preserve">-27.29</w:t>
      </w:r>
      <w:r>
        <w:t xml:space="preserve"> </w:t>
      </w:r>
      <w:r>
        <w:t xml:space="preserve">-19.84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Negligible</w:t>
      </w:r>
      <w:r>
        <w:br/>
      </w:r>
      <w:r>
        <w:t xml:space="preserve">Negligible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 (OUTs)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burdens*</w:t>
      </w:r>
    </w:p>
    <w:p>
      <w:pPr>
        <w:pStyle w:val="BodyText"/>
      </w:pPr>
      <w:r>
        <w:t xml:space="preserve">Adjustment costs**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7.45</w:t>
      </w:r>
      <w:r>
        <w:t xml:space="preserve"> </w:t>
      </w:r>
      <w:r>
        <w:t xml:space="preserve">-27.29</w:t>
      </w:r>
      <w:r>
        <w:t xml:space="preserve"> </w:t>
      </w:r>
      <w:r>
        <w:t xml:space="preserve">-19.84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Non-annualised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</w:t>
      </w:r>
      <w:r>
        <w:t xml:space="preserve"> </w:t>
      </w:r>
      <w:r>
        <w:t xml:space="preserve">citizens.</w:t>
      </w:r>
    </w:p>
    <w:p>
      <w:pPr>
        <w:pStyle w:val="BodyText"/>
      </w:pPr>
      <w:r>
        <w:t xml:space="preserve">14 The notification requirement for legitimate transactions involving banned precursors is not expected to impose relevant new</w:t>
      </w:r>
      <w:r>
        <w:t xml:space="preserve"> </w:t>
      </w:r>
      <w:r>
        <w:t xml:space="preserve">burden, since most of the transactions involving these substances will likely fall under the de minimis exemptions (currently,</w:t>
      </w:r>
      <w:r>
        <w:t xml:space="preserve"> </w:t>
      </w:r>
      <w:r>
        <w:t xml:space="preserve">the large majority of declared legal use of designer precursors involves quantities smaller than 1g) and, by analogy with</w:t>
      </w:r>
      <w:r>
        <w:t xml:space="preserve"> </w:t>
      </w:r>
      <w:r>
        <w:t xml:space="preserve">notification of suspicious transactions, the act of notification requires minimal effort. Finally, and for similar reasons, the</w:t>
      </w:r>
      <w:r>
        <w:t xml:space="preserve"> </w:t>
      </w:r>
      <w:r>
        <w:t xml:space="preserve">expanded obligations for ‘users’ are not associated to relevant increase of burden, as (i) the occurrence of thefts is rare (overall</w:t>
      </w:r>
      <w:r>
        <w:t xml:space="preserve"> </w:t>
      </w:r>
      <w:r>
        <w:t xml:space="preserve">38 cases reported between 2012 and 2023) and the burden of notification is minimal; (ii) record-keeping is a typical business-</w:t>
      </w:r>
      <w:r>
        <w:t xml:space="preserve"> </w:t>
      </w:r>
      <w:r>
        <w:t xml:space="preserve">as usual requirement; and (iii) industrial ‘users’ are often already subject to the obligations of the Regulations as ‘importers’.</w:t>
      </w:r>
      <w:r>
        <w:br/>
      </w:r>
      <w:r>
        <w:t xml:space="preserve">15 EUR 250 977 or EUR 16 870 annualised (or EUR 0.002 M).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3. RELEVANT SUSTAINABLE DEVELOPMENT GOALS</w:t>
      </w:r>
      <w:r>
        <w:t xml:space="preserve"> </w:t>
      </w:r>
      <w:r>
        <w:t xml:space="preserve">Table – Overview of relevant Sustainable Development Goals – Preferred Option</w:t>
      </w:r>
      <w:r>
        <w:t xml:space="preserve"> </w:t>
      </w:r>
      <w:r>
        <w:t xml:space="preserve">Relevant SDG</w:t>
      </w:r>
      <w:r>
        <w:br/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GOAL 3: GOOD</w:t>
      </w:r>
      <w:r>
        <w:t xml:space="preserve"> </w:t>
      </w:r>
      <w:r>
        <w:t xml:space="preserve">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The Preferred Option is expected to</w:t>
      </w:r>
      <w:r>
        <w:t xml:space="preserve"> </w:t>
      </w:r>
      <w:r>
        <w:t xml:space="preserve">contribute to Target 3.5 “Strengthen the</w:t>
      </w:r>
      <w:r>
        <w:t xml:space="preserve"> </w:t>
      </w:r>
      <w:r>
        <w:t xml:space="preserve">prevention and treatment of substance</w:t>
      </w:r>
      <w:r>
        <w:t xml:space="preserve"> </w:t>
      </w:r>
      <w:r>
        <w:t xml:space="preserve">abuse, including narcotic drug abuse and</w:t>
      </w:r>
      <w:r>
        <w:t xml:space="preserve"> </w:t>
      </w:r>
      <w:r>
        <w:t xml:space="preserve">harmful use of alcohol” and specifically</w:t>
      </w:r>
      <w:r>
        <w:t xml:space="preserve"> </w:t>
      </w:r>
      <w:r>
        <w:t xml:space="preserve">to the prevention of abuse by making it</w:t>
      </w:r>
      <w:r>
        <w:t xml:space="preserve"> </w:t>
      </w:r>
      <w:r>
        <w:t xml:space="preserve">more difficult for criminal organisations</w:t>
      </w:r>
      <w:r>
        <w:t xml:space="preserve"> </w:t>
      </w:r>
      <w:r>
        <w:t xml:space="preserve">to procure drug precursors for illicit drugs</w:t>
      </w:r>
      <w:r>
        <w:t xml:space="preserve"> </w:t>
      </w:r>
      <w:r>
        <w:t xml:space="preserve">manufacturing activities. The impact is</w:t>
      </w:r>
      <w:r>
        <w:t xml:space="preserve"> </w:t>
      </w:r>
      <w:r>
        <w:t xml:space="preserve">indirect and cannot be quantified, due to</w:t>
      </w:r>
      <w:r>
        <w:t xml:space="preserve"> </w:t>
      </w:r>
      <w:r>
        <w:t xml:space="preserve">numerous intervening factors and the</w:t>
      </w:r>
      <w:r>
        <w:t xml:space="preserve"> </w:t>
      </w:r>
      <w:r>
        <w:t xml:space="preserve">absence of valid models for prediction.</w:t>
      </w:r>
      <w:r>
        <w:br/>
      </w:r>
      <w:r>
        <w:t xml:space="preserve">By increasing control and facilitating</w:t>
      </w:r>
      <w:r>
        <w:t xml:space="preserve"> </w:t>
      </w:r>
      <w:r>
        <w:t xml:space="preserve">investigation and seizures of illicit</w:t>
      </w:r>
      <w:r>
        <w:t xml:space="preserve"> </w:t>
      </w:r>
      <w:r>
        <w:t xml:space="preserve">precursors the intervention will</w:t>
      </w:r>
      <w:r>
        <w:t xml:space="preserve"> </w:t>
      </w:r>
      <w:r>
        <w:t xml:space="preserve">contribute disrupting the supply chains</w:t>
      </w:r>
      <w:r>
        <w:t xml:space="preserve"> </w:t>
      </w:r>
      <w:r>
        <w:t xml:space="preserve">that support clandestine laboratories</w:t>
      </w:r>
      <w:r>
        <w:t xml:space="preserve"> </w:t>
      </w:r>
      <w:r>
        <w:t xml:space="preserve">across the EU, with ensuing impact on</w:t>
      </w:r>
      <w:r>
        <w:t xml:space="preserve"> </w:t>
      </w:r>
      <w:r>
        <w:t xml:space="preserve">the availability and the price (hence</w:t>
      </w:r>
      <w:r>
        <w:t xml:space="preserve"> </w:t>
      </w:r>
      <w:r>
        <w:t xml:space="preserve">demand) of illicit drugs. Among other</w:t>
      </w:r>
      <w:r>
        <w:t xml:space="preserve"> </w:t>
      </w:r>
      <w:r>
        <w:t xml:space="preserve">things, the extent and the nature of</w:t>
      </w:r>
      <w:r>
        <w:t xml:space="preserve"> </w:t>
      </w:r>
      <w:r>
        <w:t xml:space="preserve">impacts depend on enforcement</w:t>
      </w:r>
      <w:r>
        <w:t xml:space="preserve"> </w:t>
      </w:r>
      <w:r>
        <w:t xml:space="preserve">aspects, and possible changes in OCG</w:t>
      </w:r>
      <w:r>
        <w:t xml:space="preserve"> </w:t>
      </w:r>
      <w:r>
        <w:t xml:space="preserve">modus operandi to continue supplying</w:t>
      </w:r>
      <w:r>
        <w:t xml:space="preserve"> </w:t>
      </w:r>
      <w:r>
        <w:t xml:space="preserve">the EU market. The impact on health</w:t>
      </w:r>
      <w:r>
        <w:t xml:space="preserve"> </w:t>
      </w:r>
      <w:r>
        <w:t xml:space="preserve">and society depends also on the trends</w:t>
      </w:r>
      <w:r>
        <w:t xml:space="preserve"> </w:t>
      </w:r>
      <w:r>
        <w:t xml:space="preserve">in specific drugs demand (e.g. the</w:t>
      </w:r>
      <w:r>
        <w:t xml:space="preserve"> </w:t>
      </w:r>
      <w:r>
        <w:t xml:space="preserve">development of synthetic opioids</w:t>
      </w:r>
      <w:r>
        <w:t xml:space="preserve"> </w:t>
      </w:r>
      <w:r>
        <w:t xml:space="preserve">market).</w:t>
      </w:r>
      <w:r>
        <w:br/>
      </w:r>
      <w:r>
        <w:t xml:space="preserve">GOAL 9: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INFRASTRUCTURE</w:t>
      </w:r>
      <w:r>
        <w:br/>
      </w:r>
      <w:r>
        <w:t xml:space="preserve">The Preferred Option is expected to</w:t>
      </w:r>
      <w:r>
        <w:t xml:space="preserve"> </w:t>
      </w:r>
      <w:r>
        <w:t xml:space="preserve">contribute to Target 9.5 “Enhance</w:t>
      </w:r>
      <w:r>
        <w:t xml:space="preserve"> </w:t>
      </w:r>
      <w:r>
        <w:t xml:space="preserve">scientific research, upgrade the</w:t>
      </w:r>
      <w:r>
        <w:t xml:space="preserve"> </w:t>
      </w:r>
      <w:r>
        <w:t xml:space="preserve">technological capabilities of industrial</w:t>
      </w:r>
      <w:r>
        <w:t xml:space="preserve"> </w:t>
      </w:r>
      <w:r>
        <w:t xml:space="preserve">sectors in all countries, in particular</w:t>
      </w:r>
      <w:r>
        <w:t xml:space="preserve"> </w:t>
      </w:r>
      <w:r>
        <w:t xml:space="preserve">developing countries, including, by 2030,</w:t>
      </w:r>
      <w:r>
        <w:t xml:space="preserve"> </w:t>
      </w:r>
      <w:r>
        <w:t xml:space="preserve">encouraging innovation and substantially</w:t>
      </w:r>
      <w:r>
        <w:t xml:space="preserve"> </w:t>
      </w:r>
      <w:r>
        <w:t xml:space="preserve">increasing the number of research and</w:t>
      </w:r>
      <w:r>
        <w:t xml:space="preserve"> </w:t>
      </w:r>
      <w:r>
        <w:t xml:space="preserve">development workers per one million</w:t>
      </w:r>
      <w:r>
        <w:t xml:space="preserve"> </w:t>
      </w:r>
      <w:r>
        <w:t xml:space="preserve">people and public and private research</w:t>
      </w:r>
      <w:r>
        <w:t xml:space="preserve"> </w:t>
      </w:r>
      <w:r>
        <w:t xml:space="preserve">and development spending”.</w:t>
      </w:r>
      <w:r>
        <w:t xml:space="preserve"> </w:t>
      </w:r>
      <w:r>
        <w:t xml:space="preserve">One of the goals of the proposed</w:t>
      </w:r>
      <w:r>
        <w:t xml:space="preserve"> </w:t>
      </w:r>
      <w:r>
        <w:t xml:space="preserve">intervention is to minimise the adverse</w:t>
      </w:r>
      <w:r>
        <w:t xml:space="preserve"> </w:t>
      </w:r>
      <w:r>
        <w:t xml:space="preserve">effect of drug precursors control on</w:t>
      </w:r>
      <w:r>
        <w:t xml:space="preserve"> </w:t>
      </w:r>
      <w:r>
        <w:t xml:space="preserve">legitimate research activities and</w:t>
      </w:r>
      <w:r>
        <w:t xml:space="preserve"> </w:t>
      </w:r>
      <w:r>
        <w:t xml:space="preserve">innovation.</w:t>
      </w:r>
      <w:r>
        <w:br/>
      </w:r>
      <w:r>
        <w:t xml:space="preserve">GOAL 16: PEACE,</w:t>
      </w:r>
      <w:r>
        <w:t xml:space="preserve"> </w:t>
      </w:r>
      <w:r>
        <w:t xml:space="preserve">JUSTICE AND</w:t>
      </w:r>
      <w:r>
        <w:t xml:space="preserve"> </w:t>
      </w:r>
      <w:r>
        <w:t xml:space="preserve">STRONG</w:t>
      </w:r>
      <w:r>
        <w:t xml:space="preserve"> </w:t>
      </w:r>
      <w:r>
        <w:t xml:space="preserve">INSTITUTIONS</w:t>
      </w:r>
      <w:r>
        <w:t xml:space="preserve"> </w:t>
      </w:r>
      <w:r>
        <w:t xml:space="preserve">The Preferred Option is expected to</w:t>
      </w:r>
      <w:r>
        <w:t xml:space="preserve"> </w:t>
      </w:r>
      <w:r>
        <w:t xml:space="preserve">contribute to Target 16.4 “By 2030,</w:t>
      </w:r>
      <w:r>
        <w:t xml:space="preserve"> </w:t>
      </w:r>
      <w:r>
        <w:t xml:space="preserve">significantly reduce illicit financial and</w:t>
      </w:r>
      <w:r>
        <w:t xml:space="preserve"> </w:t>
      </w:r>
      <w:r>
        <w:t xml:space="preserve">arms flows, strengthen the recovery and</w:t>
      </w:r>
      <w:r>
        <w:t xml:space="preserve"> </w:t>
      </w:r>
      <w:r>
        <w:t xml:space="preserve">return of stolen assets and combat all</w:t>
      </w:r>
      <w:r>
        <w:t xml:space="preserve"> </w:t>
      </w:r>
      <w:r>
        <w:t xml:space="preserve">forms of organized crime.” and</w:t>
      </w:r>
      <w:r>
        <w:t xml:space="preserve"> </w:t>
      </w:r>
      <w:r>
        <w:t xml:space="preserve">specifically to tackling OCG involved in</w:t>
      </w:r>
      <w:r>
        <w:t xml:space="preserve"> </w:t>
      </w:r>
      <w:r>
        <w:t xml:space="preserve">illicit drugs trafficking. The impact</w:t>
      </w:r>
      <w:r>
        <w:t xml:space="preserve"> </w:t>
      </w:r>
      <w:r>
        <w:t xml:space="preserve">cannot be quantified, due to numerous</w:t>
      </w:r>
      <w:r>
        <w:t xml:space="preserve"> </w:t>
      </w:r>
      <w:r>
        <w:t xml:space="preserve">intervening factors and the lack of</w:t>
      </w:r>
      <w:r>
        <w:t xml:space="preserve"> </w:t>
      </w:r>
      <w:r>
        <w:t xml:space="preserve">reliable data on illicit trade volumes and</w:t>
      </w:r>
      <w:r>
        <w:t xml:space="preserve"> </w:t>
      </w:r>
      <w:r>
        <w:t xml:space="preserve">routes.</w:t>
      </w:r>
      <w:r>
        <w:br/>
      </w:r>
      <w:r>
        <w:t xml:space="preserve">Fighting illicit drugs trafficking is not a</w:t>
      </w:r>
      <w:r>
        <w:t xml:space="preserve"> </w:t>
      </w:r>
      <w:r>
        <w:t xml:space="preserve">direct objective of the Regulations and</w:t>
      </w:r>
      <w:r>
        <w:t xml:space="preserve"> </w:t>
      </w:r>
      <w:r>
        <w:t xml:space="preserve">falls outside of its legal basis.</w:t>
      </w:r>
      <w:r>
        <w:t xml:space="preserve"> </w:t>
      </w:r>
      <w:r>
        <w:t xml:space="preserve">Nonetheless, a stronger EU system for</w:t>
      </w:r>
      <w:r>
        <w:t xml:space="preserve"> </w:t>
      </w:r>
      <w:r>
        <w:t xml:space="preserve">drug precursors control can lead to</w:t>
      </w:r>
      <w:r>
        <w:t xml:space="preserve"> </w:t>
      </w:r>
      <w:r>
        <w:t xml:space="preserve">improvement in detection,</w:t>
      </w:r>
      <w:r>
        <w:t xml:space="preserve"> </w:t>
      </w:r>
      <w:r>
        <w:t xml:space="preserve">investigation, and prosecution of illicit</w:t>
      </w:r>
      <w:r>
        <w:t xml:space="preserve"> </w:t>
      </w:r>
      <w:r>
        <w:t xml:space="preserve">trade, thus affecting OCG activities.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-</w:t>
      </w:r>
      <w:r>
        <w:t xml:space="preserve"> </w:t>
      </w:r>
      <w:r>
        <w:t xml:space="preserve">An external contractor conducted a study from September 2023 to March 31, 2025,</w:t>
      </w:r>
      <w:r>
        <w:t xml:space="preserve"> </w:t>
      </w:r>
      <w:r>
        <w:t xml:space="preserve">utilizing specific data collection and analytical tools to enhance the relevance of assessed</w:t>
      </w:r>
      <w:r>
        <w:t xml:space="preserve"> </w:t>
      </w:r>
      <w:r>
        <w:t xml:space="preserve">impacts.</w:t>
      </w:r>
      <w:r>
        <w:t xml:space="preserve"> </w:t>
      </w:r>
      <w:r>
        <w:t xml:space="preserve">-</w:t>
      </w:r>
      <w:r>
        <w:t xml:space="preserve"> </w:t>
      </w:r>
      <w:r>
        <w:t xml:space="preserve">Extensive public and targeted consultation activities were carried out, with the data analysed</w:t>
      </w:r>
      <w:r>
        <w:t xml:space="preserve"> </w:t>
      </w:r>
      <w:r>
        <w:t xml:space="preserve">in different ways and fed into the impact assessment. The activities and analytical methods</w:t>
      </w:r>
      <w:r>
        <w:t xml:space="preserve"> </w:t>
      </w:r>
      <w:r>
        <w:t xml:space="preserve">are described in Annex 2: stakeholder consultation.</w:t>
      </w:r>
    </w:p>
    <w:bookmarkStart w:id="9" w:name="additionally"/>
    <w:p>
      <w:pPr>
        <w:pStyle w:val="Heading2"/>
      </w:pPr>
      <w:r>
        <w:t xml:space="preserve">Additionally:</w:t>
      </w:r>
    </w:p>
    <w:p>
      <w:pPr>
        <w:pStyle w:val="FirstParagraph"/>
      </w:pPr>
      <w:r>
        <w:t xml:space="preserve">Innovative scheduling methods were explored in-depth with input from EUDA, JRC,</w:t>
      </w:r>
      <w:r>
        <w:t xml:space="preserve"> </w:t>
      </w:r>
      <w:r>
        <w:t xml:space="preserve">ECHA, and Member States’ experts. See also Annexes 7.</w:t>
      </w:r>
    </w:p>
    <w:p>
      <w:pPr>
        <w:numPr>
          <w:ilvl w:val="0"/>
          <w:numId w:val="1006"/>
        </w:numPr>
      </w:pPr>
      <w:r>
        <w:t xml:space="preserve">Future potential supportive activities for the EUDA were developed in collaboration with</w:t>
      </w:r>
      <w:r>
        <w:t xml:space="preserve"> </w:t>
      </w:r>
      <w:r>
        <w:t xml:space="preserve">the EUDA and the Commission services. Cost estimates for these activities were prepared</w:t>
      </w:r>
      <w:r>
        <w:t xml:space="preserve"> </w:t>
      </w:r>
      <w:r>
        <w:t xml:space="preserve">by the EUDA.</w:t>
      </w:r>
    </w:p>
    <w:p>
      <w:pPr>
        <w:numPr>
          <w:ilvl w:val="0"/>
          <w:numId w:val="1006"/>
        </w:numPr>
      </w:pPr>
      <w:r>
        <w:t xml:space="preserve">The digitization process and potential simplifications were evaluated with relevant</w:t>
      </w:r>
      <w:r>
        <w:t xml:space="preserve"> </w:t>
      </w:r>
      <w:r>
        <w:t xml:space="preserve">Commission services, including those overseeing Customs Reform and the datahub, in</w:t>
      </w:r>
      <w:r>
        <w:t xml:space="preserve"> </w:t>
      </w:r>
      <w:r>
        <w:t xml:space="preserve">consultation with Member States’ experts. Cost estimates for external trade digitization</w:t>
      </w:r>
      <w:r>
        <w:t xml:space="preserve"> </w:t>
      </w:r>
      <w:r>
        <w:t xml:space="preserve">provided are documented in Annex 8.</w:t>
      </w:r>
    </w:p>
    <w:p>
      <w:pPr>
        <w:numPr>
          <w:ilvl w:val="0"/>
          <w:numId w:val="1006"/>
        </w:numPr>
      </w:pPr>
      <w:r>
        <w:t xml:space="preserve">Relevant Commission services were consulted regarding the control of online markets.</w:t>
      </w:r>
    </w:p>
    <w:p>
      <w:pPr>
        <w:numPr>
          <w:ilvl w:val="0"/>
          <w:numId w:val="1006"/>
        </w:numPr>
      </w:pPr>
      <w:r>
        <w:t xml:space="preserve">The sector analysis was performed by the Commission services.</w:t>
      </w:r>
    </w:p>
    <w:p>
      <w:pPr>
        <w:pStyle w:val="Compact"/>
        <w:numPr>
          <w:ilvl w:val="0"/>
          <w:numId w:val="1007"/>
        </w:numPr>
      </w:pPr>
      <w:r>
        <w:t xml:space="preserve">STANDARD COST MODEL</w:t>
      </w:r>
      <w:r>
        <w:br/>
      </w:r>
      <w:r>
        <w:t xml:space="preserve">This section summarises the standard cost models that were used to calculate the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2.1.GENERAL PARAMETERS</w:t>
      </w:r>
      <w:r>
        <w:t xml:space="preserve"> </w:t>
      </w:r>
      <w:r>
        <w:t xml:space="preserve">Number of affected entities</w:t>
      </w:r>
      <w:r>
        <w:br/>
      </w:r>
      <w:r>
        <w:t xml:space="preserve">The number of affected entities is based on the number of entities that hold a license or</w:t>
      </w:r>
      <w:r>
        <w:t xml:space="preserve"> </w:t>
      </w:r>
      <w:r>
        <w:t xml:space="preserve">registration. In various options /measures, the number of entities is a sub-set of the total or</w:t>
      </w:r>
      <w:r>
        <w:t xml:space="preserve"> </w:t>
      </w:r>
      <w:r>
        <w:t xml:space="preserve">requires estimation. The table below indicates the number of entities per category as used</w:t>
      </w:r>
      <w:r>
        <w:t xml:space="preserve"> </w:t>
      </w:r>
      <w:r>
        <w:t xml:space="preserve">throughout the cost model.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Number of economic operators – affected entities</w:t>
      </w:r>
      <w:r>
        <w:t xml:space="preserve"> </w:t>
      </w:r>
      <w:r>
        <w:t xml:space="preserve">Category Number of entities</w:t>
      </w:r>
      <w:r>
        <w:t xml:space="preserve"> </w:t>
      </w:r>
      <w:r>
        <w:t xml:space="preserve">Comments</w:t>
      </w:r>
      <w:r>
        <w:t xml:space="preserve"> </w:t>
      </w:r>
      <w:r>
        <w:t xml:space="preserve">Estimates based on the drug precursors database</w:t>
      </w:r>
      <w:r>
        <w:t xml:space="preserve"> </w:t>
      </w:r>
      <w:r>
        <w:t xml:space="preserve">1</w:t>
      </w:r>
      <w:r>
        <w:t xml:space="preserve"> </w:t>
      </w:r>
      <w:r>
        <w:t xml:space="preserve">1 201</w:t>
      </w:r>
    </w:p>
    <w:p>
      <w:pPr>
        <w:pStyle w:val="BodyText"/>
      </w:pPr>
      <w:r>
        <w:t xml:space="preserve">2a</w:t>
      </w:r>
      <w:r>
        <w:br/>
      </w:r>
      <w:r>
        <w:t xml:space="preserve">689</w:t>
      </w:r>
    </w:p>
    <w:p>
      <w:pPr>
        <w:pStyle w:val="BodyText"/>
      </w:pPr>
      <w:r>
        <w:t xml:space="preserve">2b</w:t>
      </w:r>
      <w:r>
        <w:t xml:space="preserve"> </w:t>
      </w:r>
      <w:r>
        <w:t xml:space="preserve">1 696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726</w:t>
      </w:r>
      <w:r>
        <w:t xml:space="preserve"> </w:t>
      </w:r>
      <w:r>
        <w:t xml:space="preserve">for external trade only</w:t>
      </w:r>
      <w:r>
        <w:t xml:space="preserve"> </w:t>
      </w:r>
      <w:r>
        <w:t xml:space="preserve">1 – 3</w:t>
      </w:r>
      <w:r>
        <w:t xml:space="preserve"> </w:t>
      </w:r>
      <w:r>
        <w:t xml:space="preserve">3 986</w:t>
      </w:r>
      <w:r>
        <w:t xml:space="preserve"> </w:t>
      </w:r>
      <w:r>
        <w:t xml:space="preserve">unique entities</w:t>
      </w:r>
      <w:r>
        <w:t xml:space="preserve"> </w:t>
      </w:r>
      <w:r>
        <w:t xml:space="preserve">1</w:t>
      </w:r>
      <w:r>
        <w:t xml:space="preserve"> </w:t>
      </w:r>
      <w:r>
        <w:t xml:space="preserve">105</w:t>
      </w:r>
      <w:r>
        <w:t xml:space="preserve"> </w:t>
      </w:r>
      <w:r>
        <w:t xml:space="preserve">For designer precursors</w:t>
      </w:r>
      <w:r>
        <w:t xml:space="preserve"> </w:t>
      </w:r>
      <w:r>
        <w:t xml:space="preserve">Estimates</w:t>
      </w:r>
      <w:r>
        <w:br/>
      </w:r>
      <w:r>
        <w:t xml:space="preserve">4</w:t>
      </w:r>
      <w:r>
        <w:t xml:space="preserve"> </w:t>
      </w:r>
      <w:r>
        <w:t xml:space="preserve">100 a) for external trade only</w:t>
      </w:r>
      <w:r>
        <w:t xml:space="preserve"> </w:t>
      </w:r>
      <w:r>
        <w:t xml:space="preserve">2</w:t>
      </w:r>
      <w:r>
        <w:t xml:space="preserve"> </w:t>
      </w:r>
      <w:r>
        <w:t xml:space="preserve">600 b) trading internally only</w:t>
      </w:r>
      <w:r>
        <w:br/>
      </w:r>
      <w:r>
        <w:t xml:space="preserve">3</w:t>
      </w:r>
      <w:r>
        <w:br/>
      </w:r>
      <w:r>
        <w:t xml:space="preserve">363 c) trading internally only</w:t>
      </w:r>
    </w:p>
    <w:p>
      <w:pPr>
        <w:pStyle w:val="BodyText"/>
      </w:pPr>
      <w:r>
        <w:t xml:space="preserve">Estimates</w:t>
      </w:r>
      <w:r>
        <w:t xml:space="preserve"> </w:t>
      </w:r>
      <w:r>
        <w:t xml:space="preserve">a) For category 4, the number of affected entities is estimated to be up to 100. There is no data</w:t>
      </w:r>
      <w:r>
        <w:t xml:space="preserve"> </w:t>
      </w:r>
      <w:r>
        <w:t xml:space="preserve">source for the number of economic operators trading externally only in category 4, i.e. for</w:t>
      </w:r>
      <w:r>
        <w:t xml:space="preserve"> </w:t>
      </w:r>
      <w:r>
        <w:t xml:space="preserve">whom annual reporting would be an additional requirement. Based on the survey of</w:t>
      </w:r>
      <w:r>
        <w:t xml:space="preserve"> </w:t>
      </w:r>
      <w:r>
        <w:t xml:space="preserve">economic operators, a quarter traded in category 4 (i.e. 1 000), but 90 % of them were</w:t>
      </w:r>
      <w:r>
        <w:t xml:space="preserve"> </w:t>
      </w:r>
      <w:r>
        <w:t xml:space="preserve">already licensed/ registered for trade in categories 1-3, and of the 10 % who were not</w:t>
      </w:r>
      <w:r>
        <w:t xml:space="preserve"> </w:t>
      </w:r>
      <w:r>
        <w:t xml:space="preserve">(effectively 2 survey responses). Applying the same logic – of the approx. 4 000 entities</w:t>
      </w:r>
      <w:r>
        <w:t xml:space="preserve"> </w:t>
      </w:r>
      <w:r>
        <w:t xml:space="preserve">already registered, 1 000 trade in category 4, but only 10 % (around 100 additional</w:t>
      </w:r>
      <w:r>
        <w:t xml:space="preserve"> </w:t>
      </w:r>
      <w:r>
        <w:t xml:space="preserve">operators) trade just in category 4, some of whom may only trade internally and would</w:t>
      </w:r>
      <w:r>
        <w:t xml:space="preserve"> </w:t>
      </w:r>
      <w:r>
        <w:t xml:space="preserve">therefore be exempt, but it is not possible to know how many since the sample is small. We</w:t>
      </w:r>
      <w:r>
        <w:t xml:space="preserve"> </w:t>
      </w:r>
      <w:r>
        <w:t xml:space="preserve">therefore estimate that up to 100 may be captured by this requirement.</w:t>
      </w:r>
      <w:r>
        <w:t xml:space="preserve"> </w:t>
      </w:r>
      <w:r>
        <w:t xml:space="preserve">b) The DP database is confidential and there is no information in the Surveillance data which</w:t>
      </w:r>
      <w:r>
        <w:t xml:space="preserve"> </w:t>
      </w:r>
      <w:r>
        <w:t xml:space="preserve">would enable us to estimate how many operators trade in a particular category. A public</w:t>
      </w:r>
      <w:r>
        <w:t xml:space="preserve"> </w:t>
      </w:r>
      <w:r>
        <w:t xml:space="preserve">source of information on listed suppliers of category 2 substances is the ECHA maintained</w:t>
      </w:r>
      <w:r>
        <w:t xml:space="preserve"> </w:t>
      </w:r>
      <w:r>
        <w:t xml:space="preserve">database of registered suppliers for REACH. For those with active licenses and with</w:t>
      </w:r>
      <w:r>
        <w:t xml:space="preserve"> </w:t>
      </w:r>
      <w:r>
        <w:t xml:space="preserve">publicly available information, the study team reviewed websites for a sample to assess the</w:t>
      </w:r>
      <w:r>
        <w:t xml:space="preserve"> </w:t>
      </w:r>
      <w:r>
        <w:t xml:space="preserve">likelihood of trade in third countries16. Roughly 70 % were. Taking this as our reference</w:t>
      </w:r>
      <w:r>
        <w:t xml:space="preserve"> </w:t>
      </w:r>
      <w:r>
        <w:t xml:space="preserve">would mean that around 600 operators would not be required to register (also implying that</w:t>
      </w:r>
      <w:r>
        <w:t xml:space="preserve"> </w:t>
      </w:r>
      <w:r>
        <w:t xml:space="preserve">information on their use of drug precursors would not be maintained in the system) but this</w:t>
      </w:r>
      <w:r>
        <w:t xml:space="preserve"> </w:t>
      </w:r>
      <w:r>
        <w:t xml:space="preserve">estimate is not necessarily reliable.</w:t>
      </w:r>
      <w:r>
        <w:t xml:space="preserve"> </w:t>
      </w:r>
      <w:r>
        <w:t xml:space="preserve">c) For the number of entities trading internally in category 3 substances17, our estimate is</w:t>
      </w:r>
      <w:r>
        <w:t xml:space="preserve"> </w:t>
      </w:r>
      <w:r>
        <w:t xml:space="preserve">extrapolated by looking at the survey responses: 61 of the firms responding to the survey</w:t>
      </w:r>
      <w:r>
        <w:t xml:space="preserve"> </w:t>
      </w:r>
      <w:r>
        <w:t xml:space="preserve">trade in category 3 substances and 48 of them indicated they export substances, and 41</w:t>
      </w:r>
      <w:r>
        <w:t xml:space="preserve"> </w:t>
      </w:r>
      <w:r>
        <w:t xml:space="preserve">indicated they import substances. Although this has limitations18, we could assume that</w:t>
      </w:r>
    </w:p>
    <w:p>
      <w:pPr>
        <w:pStyle w:val="BodyText"/>
      </w:pPr>
      <w:r>
        <w:t xml:space="preserve">16 There are some caveats to note, this exercise covered a sample of substances and firms are required to register only if they trade in</w:t>
      </w:r>
      <w:r>
        <w:t xml:space="preserve"> </w:t>
      </w:r>
      <w:r>
        <w:t xml:space="preserve">volumes of at least one metric tonne, so any firms trading in smaller volumes are not required to register.</w:t>
      </w:r>
      <w:r>
        <w:t xml:space="preserve"> </w:t>
      </w:r>
      <w:r>
        <w:t xml:space="preserve">17 The REACH database has gaps (hydrochloric acid / hydrogen chloride is not covered by REACH) and for other Category 3</w:t>
      </w:r>
      <w:r>
        <w:t xml:space="preserve"> </w:t>
      </w:r>
      <w:r>
        <w:t xml:space="preserve">substances the number of entities is in the hundreds and given it would be incomplete, the exercise would be disproportionate.</w:t>
      </w:r>
      <w:r>
        <w:t xml:space="preserve"> </w:t>
      </w:r>
      <w:r>
        <w:t xml:space="preserve">For ephedrine and pseudoephedrine, the fact that the ECHA database only requires registration for importers / manufacturers</w:t>
      </w:r>
      <w:r>
        <w:t xml:space="preserve"> </w:t>
      </w:r>
      <w:r>
        <w:t xml:space="preserve">for &gt;1 tonne per year means that the information is limited (for example, there is just 1 registered supplier each for ephedrine</w:t>
      </w:r>
      <w:r>
        <w:t xml:space="preserve"> </w:t>
      </w:r>
      <w:r>
        <w:t xml:space="preserve">and pseudoephedrine, and the same for a sample of their salts).</w:t>
      </w:r>
      <w:r>
        <w:t xml:space="preserve"> </w:t>
      </w:r>
      <w:r>
        <w:t xml:space="preserve">18 There are several reasons why the survey responses might not be indicative: operators who trade in exclusively in Category</w:t>
      </w:r>
      <w:r>
        <w:t xml:space="preserve"> </w:t>
      </w:r>
      <w:r>
        <w:t xml:space="preserve">3 substances (which comprised only 9 survey respondents), and only do so within the EU (one of the 9 survey respondent who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most entities dealing with category 3 substances are more likely than not to export or import</w:t>
      </w:r>
      <w:r>
        <w:t xml:space="preserve"> </w:t>
      </w:r>
      <w:r>
        <w:t xml:space="preserve">them, i.e. that around two thirds do so. So, for the purposes of the measure, we divide the</w:t>
      </w:r>
      <w:r>
        <w:t xml:space="preserve"> </w:t>
      </w:r>
      <w:r>
        <w:t xml:space="preserve">current number of registrations by two and multiple by three.</w:t>
      </w:r>
    </w:p>
    <w:p>
      <w:pPr>
        <w:pStyle w:val="BodyText"/>
      </w:pPr>
      <w:r>
        <w:t xml:space="preserve">Proportion of SMEs</w:t>
      </w:r>
      <w:r>
        <w:t xml:space="preserve"> </w:t>
      </w:r>
      <w:r>
        <w:t xml:space="preserve">There is no perfect public source regarding share of SMEs trading in drug precursors. The</w:t>
      </w:r>
      <w:r>
        <w:t xml:space="preserve"> </w:t>
      </w:r>
      <w:r>
        <w:t xml:space="preserve">percentage of the relevant (closest) manufacturing chemicals sub-sectors according to Eurostat</w:t>
      </w:r>
      <w:r>
        <w:t xml:space="preserve"> </w:t>
      </w:r>
      <w:r>
        <w:t xml:space="preserve">data is 92 %, which aligns with the view of public authorities consulted</w:t>
      </w:r>
      <w:r>
        <w:t xml:space="preserve"> </w:t>
      </w:r>
      <w:r>
        <w:t xml:space="preserve">Time spent and time saved for each obligation</w:t>
      </w:r>
      <w:r>
        <w:br/>
      </w:r>
      <w:r>
        <w:t xml:space="preserve">Estimates are based on feedback from economic operators through the survey disaggregated for</w:t>
      </w:r>
      <w:r>
        <w:t xml:space="preserve"> </w:t>
      </w:r>
      <w:r>
        <w:t xml:space="preserve">large firms (38 operators identified themselves as large), and SMEs (42)19. To calculate the</w:t>
      </w:r>
      <w:r>
        <w:t xml:space="preserve"> </w:t>
      </w:r>
      <w:r>
        <w:t xml:space="preserve">estimated time and savings, weighted averages were used to generate values for a typical firm,</w:t>
      </w:r>
      <w:r>
        <w:t xml:space="preserve"> </w:t>
      </w:r>
      <w:r>
        <w:t xml:space="preserve">even if in practice the situation can vary significantly in view of the many configurations</w:t>
      </w:r>
      <w:r>
        <w:t xml:space="preserve"> </w:t>
      </w:r>
      <w:r>
        <w:t xml:space="preserve">possible. The survey was launched before the options were confirmed meaning that some</w:t>
      </w:r>
      <w:r>
        <w:t xml:space="preserve"> </w:t>
      </w:r>
      <w:r>
        <w:t xml:space="preserve">assumptions have been made that, for example, where operators were asked to what extent a</w:t>
      </w:r>
      <w:r>
        <w:t xml:space="preserve"> </w:t>
      </w:r>
      <w:r>
        <w:t xml:space="preserve">digital solution for customer verifications could lead to cost-savings, the answers have been</w:t>
      </w:r>
      <w:r>
        <w:t xml:space="preserve"> </w:t>
      </w:r>
      <w:r>
        <w:t xml:space="preserve">used to estimate the cost-savings from a digitisation of the current process.</w:t>
      </w:r>
      <w:r>
        <w:t xml:space="preserve"> </w:t>
      </w:r>
      <w:r>
        <w:t xml:space="preserve">Estimations for costs /cost savings for public authorities largely draw on the same methods and</w:t>
      </w:r>
      <w:r>
        <w:t xml:space="preserve"> </w:t>
      </w:r>
      <w:r>
        <w:t xml:space="preserve">datasets with the exception of estimates are based on feedback from public authorities through</w:t>
      </w:r>
      <w:r>
        <w:t xml:space="preserve"> </w:t>
      </w:r>
      <w:r>
        <w:t xml:space="preserve">the survey disaggregated for large firms. Time spent was reported as open text. For the</w:t>
      </w:r>
      <w:r>
        <w:t xml:space="preserve"> </w:t>
      </w:r>
      <w:r>
        <w:t xml:space="preserve">estimation of time saved through the digitisation of licenses and registration, the modal value</w:t>
      </w:r>
      <w:r>
        <w:t xml:space="preserve"> </w:t>
      </w:r>
      <w:r>
        <w:t xml:space="preserve">is reported as a percentage saving. For the estimation of saving through the lifting of the</w:t>
      </w:r>
      <w:r>
        <w:t xml:space="preserve"> </w:t>
      </w:r>
      <w:r>
        <w:t xml:space="preserve">requirement for authorisations, a weighted average of time spent is used to estimate the current</w:t>
      </w:r>
      <w:r>
        <w:t xml:space="preserve"> </w:t>
      </w:r>
      <w:r>
        <w:t xml:space="preserve">cost. For the estimation of saving through the automation of annual reporting, examples of the</w:t>
      </w:r>
      <w:r>
        <w:t xml:space="preserve"> </w:t>
      </w:r>
      <w:r>
        <w:t xml:space="preserve">variation in the reported time spent are given but deducing an average was challenging given</w:t>
      </w:r>
      <w:r>
        <w:t xml:space="preserve"> </w:t>
      </w:r>
      <w:r>
        <w:t xml:space="preserve">the vast ranges reported.</w:t>
      </w:r>
    </w:p>
    <w:p>
      <w:pPr>
        <w:pStyle w:val="BodyText"/>
      </w:pPr>
      <w:r>
        <w:t xml:space="preserve">Labour costs</w:t>
      </w:r>
      <w:r>
        <w:t xml:space="preserve"> </w:t>
      </w:r>
      <w:r>
        <w:t xml:space="preserve">The average hourly wage of EUR 35.65 per hour or EUR 0.59 per minute (which is used for</w:t>
      </w:r>
      <w:r>
        <w:t xml:space="preserve"> </w:t>
      </w:r>
      <w:r>
        <w:t xml:space="preserve">the calculation of savings).</w:t>
      </w:r>
    </w:p>
    <w:p>
      <w:pPr>
        <w:pStyle w:val="BodyText"/>
      </w:pPr>
      <w:r>
        <w:t xml:space="preserve">dealt exclusively with Category 3 neither imported or exported), would currently only be required to submit data for annual</w:t>
      </w:r>
      <w:r>
        <w:t xml:space="preserve"> </w:t>
      </w:r>
      <w:r>
        <w:t xml:space="preserve">reporting upon request, so would have limited engagement with the regulatory framework.</w:t>
      </w:r>
      <w:r>
        <w:t xml:space="preserve"> </w:t>
      </w:r>
      <w:r>
        <w:t xml:space="preserve">19 As mentioned above, since just 4 of the SMEs were micro sized firms, the estimated effort / saving for micro-sized firms is</w:t>
      </w:r>
      <w:r>
        <w:t xml:space="preserve"> </w:t>
      </w:r>
      <w:r>
        <w:t xml:space="preserve">elaborated separately through a case study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2.2.LICENSE AND REGISTRATION</w:t>
      </w:r>
      <w:r>
        <w:t xml:space="preserve"> </w:t>
      </w:r>
      <w:r>
        <w:t xml:space="preserve">For economic operators</w:t>
      </w:r>
      <w:r>
        <w:t xml:space="preserve"> </w:t>
      </w:r>
      <w:r>
        <w:t xml:space="preserve">SME</w:t>
      </w:r>
      <w:r>
        <w:br/>
      </w:r>
      <w:r>
        <w:t xml:space="preserve">Large firm</w:t>
      </w:r>
      <w:r>
        <w:br/>
      </w:r>
      <w:r>
        <w:t xml:space="preserve">New</w:t>
      </w:r>
      <w:r>
        <w:br/>
      </w:r>
      <w:r>
        <w:t xml:space="preserve">Renewal</w:t>
      </w:r>
      <w:r>
        <w:br/>
      </w:r>
      <w:r>
        <w:t xml:space="preserve">New</w:t>
      </w:r>
      <w:r>
        <w:br/>
      </w:r>
      <w:r>
        <w:t xml:space="preserve">Renewal</w:t>
      </w:r>
      <w:r>
        <w:br/>
      </w:r>
      <w:r>
        <w:t xml:space="preserve">Obligation</w:t>
      </w:r>
      <w:r>
        <w:t xml:space="preserve"> </w:t>
      </w:r>
      <w:r>
        <w:t xml:space="preserve">License</w:t>
      </w:r>
      <w:r>
        <w:t xml:space="preserve"> </w:t>
      </w:r>
      <w:r>
        <w:t xml:space="preserve">Registrat</w:t>
      </w:r>
      <w:r>
        <w:t xml:space="preserve"> </w:t>
      </w:r>
      <w:r>
        <w:t xml:space="preserve">ion</w:t>
      </w:r>
      <w:r>
        <w:t xml:space="preserve"> </w:t>
      </w:r>
      <w:r>
        <w:t xml:space="preserve">License</w:t>
      </w:r>
      <w:r>
        <w:t xml:space="preserve"> </w:t>
      </w:r>
      <w:r>
        <w:t xml:space="preserve">Registrat</w:t>
      </w:r>
      <w:r>
        <w:t xml:space="preserve"> </w:t>
      </w:r>
      <w:r>
        <w:t xml:space="preserve">ion</w:t>
      </w:r>
      <w:r>
        <w:t xml:space="preserve"> </w:t>
      </w:r>
      <w:r>
        <w:t xml:space="preserve">License</w:t>
      </w:r>
      <w:r>
        <w:t xml:space="preserve"> </w:t>
      </w:r>
      <w:r>
        <w:t xml:space="preserve">Registrat</w:t>
      </w:r>
      <w:r>
        <w:t xml:space="preserve"> </w:t>
      </w:r>
      <w:r>
        <w:t xml:space="preserve">ion</w:t>
      </w:r>
      <w:r>
        <w:t xml:space="preserve"> </w:t>
      </w:r>
      <w:r>
        <w:t xml:space="preserve">License</w:t>
      </w:r>
      <w:r>
        <w:t xml:space="preserve"> </w:t>
      </w:r>
      <w:r>
        <w:t xml:space="preserve">Registrat</w:t>
      </w:r>
      <w:r>
        <w:t xml:space="preserve"> </w:t>
      </w:r>
      <w:r>
        <w:t xml:space="preserve">ion</w:t>
      </w:r>
      <w:r>
        <w:t xml:space="preserve"> </w:t>
      </w:r>
      <w:r>
        <w:t xml:space="preserve">Paper-based formality (baseline)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1 105</w:t>
      </w:r>
      <w:r>
        <w:br/>
      </w:r>
      <w:r>
        <w:t xml:space="preserve">2 862</w:t>
      </w:r>
      <w:r>
        <w:br/>
      </w:r>
      <w:r>
        <w:t xml:space="preserve">1 105</w:t>
      </w:r>
      <w:r>
        <w:br/>
      </w:r>
      <w:r>
        <w:t xml:space="preserve">2 862</w:t>
      </w:r>
      <w:r>
        <w:br/>
      </w:r>
      <w:r>
        <w:t xml:space="preserve">96</w:t>
      </w:r>
      <w:r>
        <w:br/>
      </w:r>
      <w:r>
        <w:t xml:space="preserve">249</w:t>
      </w:r>
      <w:r>
        <w:br/>
      </w:r>
      <w:r>
        <w:t xml:space="preserve">96</w:t>
      </w:r>
      <w:r>
        <w:br/>
      </w:r>
      <w:r>
        <w:t xml:space="preserve">249</w:t>
      </w:r>
      <w:r>
        <w:br/>
      </w:r>
      <w:r>
        <w:t xml:space="preserve">Time spent (hours)</w:t>
      </w:r>
      <w:r>
        <w:t xml:space="preserve"> </w:t>
      </w:r>
      <w:r>
        <w:t xml:space="preserve">4.7</w:t>
      </w:r>
      <w:r>
        <w:br/>
      </w:r>
      <w:r>
        <w:t xml:space="preserve">4.6</w:t>
      </w:r>
      <w:r>
        <w:br/>
      </w:r>
      <w:r>
        <w:t xml:space="preserve">6.0</w:t>
      </w:r>
      <w:r>
        <w:br/>
      </w:r>
      <w:r>
        <w:t xml:space="preserve">3.7</w:t>
      </w:r>
      <w:r>
        <w:br/>
      </w:r>
      <w:r>
        <w:t xml:space="preserve">8.5</w:t>
      </w:r>
      <w:r>
        <w:br/>
      </w:r>
      <w:r>
        <w:t xml:space="preserve">6.9</w:t>
      </w:r>
      <w:r>
        <w:br/>
      </w:r>
      <w:r>
        <w:t xml:space="preserve">4.3</w:t>
      </w:r>
      <w:r>
        <w:br/>
      </w:r>
      <w:r>
        <w:t xml:space="preserve">4.2</w:t>
      </w:r>
      <w:r>
        <w:br/>
      </w: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Times/year</w:t>
      </w:r>
      <w:r>
        <w:br/>
      </w:r>
      <w:r>
        <w:t xml:space="preserve">1</w:t>
      </w:r>
      <w:r>
        <w:br/>
      </w:r>
      <w:r>
        <w:t xml:space="preserve">1</w:t>
      </w:r>
      <w:r>
        <w:t xml:space="preserve"> </w:t>
      </w:r>
      <w:r>
        <w:t xml:space="preserve">0.33</w:t>
      </w:r>
      <w:r>
        <w:br/>
      </w:r>
      <w:r>
        <w:t xml:space="preserve">0.33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0.33</w:t>
      </w:r>
      <w:r>
        <w:br/>
      </w:r>
      <w:r>
        <w:t xml:space="preserve">0.33</w:t>
      </w:r>
      <w:r>
        <w:br/>
      </w:r>
      <w:r>
        <w:t xml:space="preserve">Recurrency</w:t>
      </w:r>
      <w:r>
        <w:t xml:space="preserve"> </w:t>
      </w:r>
      <w:r>
        <w:t xml:space="preserve">one off</w:t>
      </w:r>
      <w:r>
        <w:t xml:space="preserve"> </w:t>
      </w:r>
      <w:r>
        <w:t xml:space="preserve">one off</w:t>
      </w:r>
      <w:r>
        <w:t xml:space="preserve"> </w:t>
      </w:r>
      <w:r>
        <w:t xml:space="preserve">annual</w:t>
      </w:r>
      <w:r>
        <w:t xml:space="preserve"> </w:t>
      </w:r>
      <w:r>
        <w:t xml:space="preserve">annual</w:t>
      </w:r>
      <w:r>
        <w:t xml:space="preserve"> </w:t>
      </w:r>
      <w:r>
        <w:t xml:space="preserve">one off</w:t>
      </w:r>
      <w:r>
        <w:t xml:space="preserve"> </w:t>
      </w:r>
      <w:r>
        <w:t xml:space="preserve">one off</w:t>
      </w:r>
      <w:r>
        <w:t xml:space="preserve"> </w:t>
      </w:r>
      <w:r>
        <w:t xml:space="preserve">annual</w:t>
      </w:r>
      <w:r>
        <w:t xml:space="preserve"> </w:t>
      </w:r>
      <w:r>
        <w:t xml:space="preserve">annual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183 822</w:t>
      </w:r>
      <w:r>
        <w:br/>
      </w:r>
      <w:r>
        <w:t xml:space="preserve">467 658</w:t>
      </w:r>
      <w:r>
        <w:br/>
      </w:r>
      <w:r>
        <w:t xml:space="preserve">79 218</w:t>
      </w:r>
      <w:r>
        <w:br/>
      </w:r>
      <w:r>
        <w:t xml:space="preserve">125 843</w:t>
      </w:r>
      <w:r>
        <w:br/>
      </w:r>
      <w:r>
        <w:t xml:space="preserve">29 000</w:t>
      </w:r>
      <w:r>
        <w:br/>
      </w:r>
      <w:r>
        <w:t xml:space="preserve">61 073</w:t>
      </w:r>
      <w:r>
        <w:br/>
      </w:r>
      <w:r>
        <w:t xml:space="preserve">4 890</w:t>
      </w:r>
      <w:r>
        <w:br/>
      </w:r>
      <w:r>
        <w:t xml:space="preserve">12 323</w:t>
      </w:r>
      <w:r>
        <w:br/>
      </w:r>
      <w:r>
        <w:t xml:space="preserve">651 480</w:t>
      </w:r>
      <w:r>
        <w:t xml:space="preserve"> </w:t>
      </w:r>
      <w:r>
        <w:t xml:space="preserve">205 061</w:t>
      </w:r>
      <w:r>
        <w:t xml:space="preserve"> </w:t>
      </w:r>
      <w:r>
        <w:t xml:space="preserve">90 073</w:t>
      </w:r>
      <w:r>
        <w:t xml:space="preserve"> </w:t>
      </w:r>
      <w:r>
        <w:t xml:space="preserve">17 214</w:t>
      </w:r>
      <w:r>
        <w:t xml:space="preserve"> </w:t>
      </w:r>
      <w:r>
        <w:t xml:space="preserve">Digitised formalities</w:t>
      </w:r>
      <w:r>
        <w:t xml:space="preserve"> </w:t>
      </w:r>
      <w:r>
        <w:t xml:space="preserve">Proportion of costs saved</w:t>
      </w:r>
      <w:r>
        <w:br/>
      </w:r>
      <w:r>
        <w:t xml:space="preserve">21 %</w:t>
      </w:r>
      <w:r>
        <w:t xml:space="preserve"> </w:t>
      </w:r>
      <w:r>
        <w:t xml:space="preserve">22 %</w:t>
      </w:r>
      <w:r>
        <w:t xml:space="preserve"> </w:t>
      </w:r>
      <w:r>
        <w:t xml:space="preserve">22 %</w:t>
      </w:r>
      <w:r>
        <w:t xml:space="preserve"> </w:t>
      </w:r>
      <w:r>
        <w:t xml:space="preserve">22 %</w:t>
      </w:r>
      <w:r>
        <w:t xml:space="preserve"> </w:t>
      </w:r>
      <w:r>
        <w:t xml:space="preserve">36 %</w:t>
      </w:r>
      <w:r>
        <w:t xml:space="preserve"> </w:t>
      </w:r>
      <w:r>
        <w:t xml:space="preserve">29 %</w:t>
      </w:r>
      <w:r>
        <w:t xml:space="preserve"> </w:t>
      </w:r>
      <w:r>
        <w:t xml:space="preserve">35 %</w:t>
      </w:r>
      <w:r>
        <w:t xml:space="preserve"> </w:t>
      </w:r>
      <w:r>
        <w:t xml:space="preserve">28 %</w:t>
      </w:r>
      <w:r>
        <w:t xml:space="preserve"> </w:t>
      </w:r>
      <w:r>
        <w:t xml:space="preserve">New time spent (hours)</w:t>
      </w:r>
      <w:r>
        <w:t xml:space="preserve"> </w:t>
      </w:r>
      <w:r>
        <w:t xml:space="preserve">3.7</w:t>
      </w:r>
      <w:r>
        <w:br/>
      </w:r>
      <w:r>
        <w:t xml:space="preserve">3.6</w:t>
      </w:r>
      <w:r>
        <w:br/>
      </w:r>
      <w:r>
        <w:t xml:space="preserve">4.7</w:t>
      </w:r>
      <w:r>
        <w:br/>
      </w:r>
      <w:r>
        <w:t xml:space="preserve">2.9</w:t>
      </w:r>
      <w:r>
        <w:br/>
      </w:r>
      <w:r>
        <w:t xml:space="preserve">5.4</w:t>
      </w:r>
      <w:r>
        <w:br/>
      </w:r>
      <w:r>
        <w:t xml:space="preserve">4.9</w:t>
      </w:r>
      <w:r>
        <w:br/>
      </w:r>
      <w:r>
        <w:t xml:space="preserve">2.8</w:t>
      </w:r>
      <w:r>
        <w:br/>
      </w:r>
      <w:r>
        <w:t xml:space="preserve">3.0</w:t>
      </w:r>
      <w:r>
        <w:br/>
      </w:r>
      <w:r>
        <w:t xml:space="preserve">OPTION 2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1 105</w:t>
      </w:r>
      <w:r>
        <w:br/>
      </w:r>
      <w:r>
        <w:t xml:space="preserve">2 292</w:t>
      </w:r>
      <w:r>
        <w:br/>
      </w:r>
      <w:r>
        <w:t xml:space="preserve">1 105</w:t>
      </w:r>
      <w:r>
        <w:br/>
      </w:r>
      <w:r>
        <w:t xml:space="preserve">2 292</w:t>
      </w:r>
      <w:r>
        <w:br/>
      </w:r>
      <w:r>
        <w:t xml:space="preserve">96</w:t>
      </w:r>
      <w:r>
        <w:br/>
      </w:r>
      <w:r>
        <w:t xml:space="preserve">199</w:t>
      </w:r>
      <w:r>
        <w:br/>
      </w:r>
      <w:r>
        <w:t xml:space="preserve">96</w:t>
      </w:r>
      <w:r>
        <w:br/>
      </w:r>
      <w:r>
        <w:t xml:space="preserve">199</w:t>
      </w:r>
      <w:r>
        <w:br/>
      </w:r>
      <w:r>
        <w:t xml:space="preserve">Total cost (EUR)</w:t>
      </w:r>
      <w:r>
        <w:t xml:space="preserve"> </w:t>
      </w:r>
      <w:r>
        <w:t xml:space="preserve">145 219</w:t>
      </w:r>
      <w:r>
        <w:br/>
      </w:r>
      <w:r>
        <w:t xml:space="preserve">292 077</w:t>
      </w:r>
      <w:r>
        <w:br/>
      </w:r>
      <w:r>
        <w:t xml:space="preserve">61 790</w:t>
      </w:r>
      <w:r>
        <w:br/>
      </w:r>
      <w:r>
        <w:t xml:space="preserve">78 595</w:t>
      </w:r>
      <w:r>
        <w:br/>
      </w:r>
      <w:r>
        <w:t xml:space="preserve">18 560</w:t>
      </w:r>
      <w:r>
        <w:br/>
      </w:r>
      <w:r>
        <w:t xml:space="preserve">34 720</w:t>
      </w:r>
      <w:r>
        <w:br/>
      </w:r>
      <w:r>
        <w:t xml:space="preserve">3 179</w:t>
      </w:r>
      <w:r>
        <w:br/>
      </w:r>
      <w:r>
        <w:t xml:space="preserve">7 104</w:t>
      </w:r>
      <w:r>
        <w:br/>
      </w:r>
      <w:r>
        <w:t xml:space="preserve">437 296</w:t>
      </w:r>
      <w:r>
        <w:t xml:space="preserve"> </w:t>
      </w:r>
      <w:r>
        <w:t xml:space="preserve">140 386</w:t>
      </w:r>
      <w:r>
        <w:t xml:space="preserve"> </w:t>
      </w:r>
      <w:r>
        <w:t xml:space="preserve">53 280</w:t>
      </w:r>
      <w:r>
        <w:t xml:space="preserve"> </w:t>
      </w:r>
      <w:r>
        <w:t xml:space="preserve">10 283</w:t>
      </w:r>
      <w:r>
        <w:t xml:space="preserve"> </w:t>
      </w:r>
      <w:r>
        <w:t xml:space="preserve">Savings (EUR)</w:t>
      </w:r>
      <w:r>
        <w:t xml:space="preserve"> </w:t>
      </w:r>
      <w:r>
        <w:t xml:space="preserve">214 184</w:t>
      </w:r>
      <w:r>
        <w:br/>
      </w:r>
      <w:r>
        <w:t xml:space="preserve">64 675</w:t>
      </w:r>
      <w:r>
        <w:br/>
      </w:r>
      <w:r>
        <w:t xml:space="preserve">36 793</w:t>
      </w:r>
      <w:r>
        <w:br/>
      </w:r>
      <w:r>
        <w:t xml:space="preserve">6 930</w:t>
      </w:r>
      <w:r>
        <w:br/>
      </w:r>
      <w:r>
        <w:t xml:space="preserve">OPTION 3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1 563</w:t>
      </w:r>
      <w:r>
        <w:br/>
      </w:r>
      <w:r>
        <w:t xml:space="preserve">2 462</w:t>
      </w:r>
      <w:r>
        <w:br/>
      </w:r>
      <w:r>
        <w:t xml:space="preserve">1 563</w:t>
      </w:r>
      <w:r>
        <w:br/>
      </w:r>
      <w:r>
        <w:t xml:space="preserve">2 462</w:t>
      </w:r>
      <w:r>
        <w:br/>
      </w:r>
      <w:r>
        <w:t xml:space="preserve">136</w:t>
      </w:r>
      <w:r>
        <w:br/>
      </w:r>
      <w:r>
        <w:t xml:space="preserve">214</w:t>
      </w:r>
      <w:r>
        <w:br/>
      </w:r>
      <w:r>
        <w:t xml:space="preserve">136</w:t>
      </w:r>
      <w:r>
        <w:br/>
      </w:r>
      <w:r>
        <w:t xml:space="preserve">214</w:t>
      </w:r>
      <w:r>
        <w:br/>
      </w:r>
      <w:r>
        <w:t xml:space="preserve">Total cost (EUR)</w:t>
      </w:r>
      <w:r>
        <w:t xml:space="preserve"> </w:t>
      </w:r>
      <w:r>
        <w:t xml:space="preserve">205 435</w:t>
      </w:r>
      <w:r>
        <w:br/>
      </w:r>
      <w:r>
        <w:t xml:space="preserve">313 769</w:t>
      </w:r>
      <w:r>
        <w:br/>
      </w:r>
      <w:r>
        <w:t xml:space="preserve">87 412</w:t>
      </w:r>
      <w:r>
        <w:br/>
      </w:r>
      <w:r>
        <w:t xml:space="preserve">84 432</w:t>
      </w:r>
      <w:r>
        <w:br/>
      </w:r>
      <w:r>
        <w:t xml:space="preserve">26 256</w:t>
      </w:r>
      <w:r>
        <w:br/>
      </w:r>
      <w:r>
        <w:t xml:space="preserve">37 299</w:t>
      </w:r>
      <w:r>
        <w:br/>
      </w:r>
      <w:r>
        <w:t xml:space="preserve">4 497</w:t>
      </w:r>
      <w:r>
        <w:br/>
      </w:r>
      <w:r>
        <w:t xml:space="preserve">7 632</w:t>
      </w:r>
      <w:r>
        <w:br/>
      </w:r>
      <w:r>
        <w:t xml:space="preserve">519 204</w:t>
      </w:r>
      <w:r>
        <w:br/>
      </w:r>
      <w:r>
        <w:t xml:space="preserve">171 844</w:t>
      </w:r>
      <w:r>
        <w:br/>
      </w:r>
      <w:r>
        <w:t xml:space="preserve">63 555</w:t>
      </w:r>
      <w:r>
        <w:br/>
      </w:r>
      <w:r>
        <w:t xml:space="preserve">12 129</w:t>
      </w:r>
      <w:r>
        <w:br/>
      </w:r>
      <w:r>
        <w:t xml:space="preserve">Savings (EUR)</w:t>
      </w:r>
      <w:r>
        <w:t xml:space="preserve"> </w:t>
      </w:r>
      <w:r>
        <w:t xml:space="preserve">132 277</w:t>
      </w:r>
      <w:r>
        <w:br/>
      </w:r>
      <w:r>
        <w:t xml:space="preserve">33 217</w:t>
      </w:r>
      <w:r>
        <w:br/>
      </w:r>
      <w:r>
        <w:t xml:space="preserve">26 518</w:t>
      </w:r>
      <w:r>
        <w:br/>
      </w:r>
      <w:r>
        <w:t xml:space="preserve">5 085</w:t>
      </w:r>
    </w:p>
    <w:p>
      <w:pPr>
        <w:pStyle w:val="BodyText"/>
      </w:pPr>
      <w:r>
        <w:t xml:space="preserve">Number of affected entities are category 1 license holders and category 2 and 3 registration</w:t>
      </w:r>
      <w:r>
        <w:t xml:space="preserve"> </w:t>
      </w:r>
      <w:r>
        <w:t xml:space="preserve">holders to which the proportion SME/large firm has been applied. Under option 2, the affected</w:t>
      </w:r>
      <w:r>
        <w:t xml:space="preserve"> </w:t>
      </w:r>
      <w:r>
        <w:t xml:space="preserve">entities include category 1 for e-licenses, and category 2, 3, and 4 for self e-registration.</w:t>
      </w:r>
      <w:r>
        <w:t xml:space="preserve"> </w:t>
      </w:r>
      <w:r>
        <w:t xml:space="preserve">However, 120 entities appear in more than one category and should only be counted once.</w:t>
      </w:r>
      <w:r>
        <w:t xml:space="preserve"> </w:t>
      </w:r>
      <w:r>
        <w:t xml:space="preserve">Additionally, self e-registration applies solely to external trade. This brings the total number of</w:t>
      </w:r>
      <w:r>
        <w:t xml:space="preserve"> </w:t>
      </w:r>
      <w:r>
        <w:t xml:space="preserve">affected entities for self e-registration to 2 491. For option 3, the affected entities for e-licenses</w:t>
      </w:r>
      <w:r>
        <w:t xml:space="preserve"> </w:t>
      </w:r>
      <w:r>
        <w:t xml:space="preserve">include category 1 and 2a licensees and registration holders. Since 191 operators hold both a</w:t>
      </w:r>
      <w:r>
        <w:t xml:space="preserve"> </w:t>
      </w:r>
      <w:r>
        <w:t xml:space="preserve">category 1 license and a category 2a registration, they should be counted only once. This results</w:t>
      </w:r>
      <w:r>
        <w:t xml:space="preserve"> </w:t>
      </w:r>
      <w:r>
        <w:t xml:space="preserve">in 1 699 affected entities for e-licenses. For self e-registration, the affected entities are category</w:t>
      </w:r>
      <w:r>
        <w:t xml:space="preserve"> </w:t>
      </w:r>
      <w:r>
        <w:t xml:space="preserve">2b, 3, and 4 registration holders and the category 3 that trades only internally. Among them,</w:t>
      </w:r>
      <w:r>
        <w:t xml:space="preserve"> </w:t>
      </w:r>
      <w:r>
        <w:t xml:space="preserve">209 operators hold multiple registrations and should be counted as one. This brings the total</w:t>
      </w:r>
      <w:r>
        <w:t xml:space="preserve"> </w:t>
      </w:r>
      <w:r>
        <w:t xml:space="preserve">number of affected entities for registration to 2 676.</w:t>
      </w:r>
      <w:r>
        <w:t xml:space="preserve"> </w:t>
      </w:r>
      <w:r>
        <w:t xml:space="preserve">Recurrency may be first time license or registrations in which case they are a one-off cost, but</w:t>
      </w:r>
      <w:r>
        <w:t xml:space="preserve"> </w:t>
      </w:r>
      <w:r>
        <w:t xml:space="preserve">they may also be renewed and typically this needs to be done every three years but does vary.</w:t>
      </w:r>
      <w:r>
        <w:t xml:space="preserve"> </w:t>
      </w:r>
      <w:r>
        <w:t xml:space="preserve">We assume that a third of licenses / registrations require renewal every year. While the number</w:t>
      </w:r>
      <w:r>
        <w:t xml:space="preserve"> </w:t>
      </w:r>
      <w:r>
        <w:t xml:space="preserve">of licenses / registrations being requested / renewed depends on an operator’s activity, the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responses to the survey show that typically operator indicator this is an obligation fulfilled every</w:t>
      </w:r>
      <w:r>
        <w:t xml:space="preserve"> </w:t>
      </w:r>
      <w:r>
        <w:t xml:space="preserve">few years.</w:t>
      </w:r>
    </w:p>
    <w:p>
      <w:pPr>
        <w:pStyle w:val="BodyText"/>
      </w:pPr>
      <w:r>
        <w:t xml:space="preserve">For public authorities:</w:t>
      </w:r>
      <w:r>
        <w:t xml:space="preserve"> </w:t>
      </w:r>
      <w:r>
        <w:t xml:space="preserve">Obligation</w:t>
      </w:r>
      <w:r>
        <w:br/>
      </w:r>
      <w:r>
        <w:t xml:space="preserve">License / registration</w:t>
      </w:r>
      <w:r>
        <w:br/>
      </w:r>
      <w:r>
        <w:t xml:space="preserve">New</w:t>
      </w:r>
      <w:r>
        <w:t xml:space="preserve"> </w:t>
      </w:r>
      <w:r>
        <w:t xml:space="preserve">Renewal</w:t>
      </w:r>
      <w:r>
        <w:br/>
      </w:r>
      <w:r>
        <w:t xml:space="preserve">Paper-based formality (baseline)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3 986</w:t>
      </w:r>
      <w:r>
        <w:br/>
      </w:r>
      <w:r>
        <w:t xml:space="preserve">3 986</w:t>
      </w:r>
      <w:r>
        <w:br/>
      </w:r>
      <w:r>
        <w:t xml:space="preserve">Time spent (hours)</w:t>
      </w:r>
      <w:r>
        <w:t xml:space="preserve"> </w:t>
      </w:r>
      <w:r>
        <w:t xml:space="preserve">9</w:t>
      </w:r>
      <w:r>
        <w:br/>
      </w:r>
      <w:r>
        <w:t xml:space="preserve">5</w:t>
      </w:r>
      <w:r>
        <w:br/>
      </w: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Times/year</w:t>
      </w:r>
      <w:r>
        <w:br/>
      </w:r>
      <w:r>
        <w:t xml:space="preserve">1</w:t>
      </w:r>
      <w:r>
        <w:br/>
      </w:r>
      <w:r>
        <w:t xml:space="preserve">0.33</w:t>
      </w:r>
      <w:r>
        <w:br/>
      </w:r>
      <w:r>
        <w:t xml:space="preserve">Recurrency</w:t>
      </w:r>
      <w:r>
        <w:br/>
      </w:r>
      <w:r>
        <w:t xml:space="preserve">one off</w:t>
      </w:r>
      <w:r>
        <w:br/>
      </w:r>
      <w:r>
        <w:t xml:space="preserve">recurring</w:t>
      </w:r>
      <w:r>
        <w:br/>
      </w:r>
      <w:r>
        <w:t xml:space="preserve">Total cost (EUR)</w:t>
      </w:r>
      <w:r>
        <w:br/>
      </w:r>
      <w:r>
        <w:t xml:space="preserve">1 278 908</w:t>
      </w:r>
      <w:r>
        <w:br/>
      </w:r>
      <w:r>
        <w:t xml:space="preserve">236 835</w:t>
      </w:r>
      <w:r>
        <w:br/>
      </w:r>
      <w:r>
        <w:t xml:space="preserve">Digitised formalities</w:t>
      </w:r>
      <w:r>
        <w:t xml:space="preserve"> </w:t>
      </w:r>
      <w:r>
        <w:t xml:space="preserve">Proportion of costs saved</w:t>
      </w:r>
      <w:r>
        <w:br/>
      </w:r>
      <w:r>
        <w:t xml:space="preserve">38 %</w:t>
      </w:r>
      <w:r>
        <w:t xml:space="preserve"> </w:t>
      </w:r>
      <w:r>
        <w:t xml:space="preserve">38 %</w:t>
      </w:r>
      <w:r>
        <w:t xml:space="preserve"> </w:t>
      </w:r>
      <w:r>
        <w:t xml:space="preserve">New time spent (hours)</w:t>
      </w:r>
      <w:r>
        <w:t xml:space="preserve"> </w:t>
      </w:r>
      <w:r>
        <w:t xml:space="preserve">6</w:t>
      </w:r>
      <w:r>
        <w:br/>
      </w:r>
      <w:r>
        <w:t xml:space="preserve">3</w:t>
      </w:r>
      <w:r>
        <w:br/>
      </w:r>
      <w:r>
        <w:t xml:space="preserve">OPTION 2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4 086</w:t>
      </w:r>
      <w:r>
        <w:br/>
      </w:r>
      <w:r>
        <w:t xml:space="preserve">4 086</w:t>
      </w:r>
      <w:r>
        <w:br/>
      </w:r>
      <w:r>
        <w:t xml:space="preserve">Total cost (EUR)</w:t>
      </w:r>
      <w:r>
        <w:br/>
      </w:r>
      <w:r>
        <w:t xml:space="preserve">819 371</w:t>
      </w:r>
      <w:r>
        <w:br/>
      </w:r>
      <w:r>
        <w:t xml:space="preserve">150 521</w:t>
      </w:r>
      <w:r>
        <w:br/>
      </w:r>
      <w:r>
        <w:t xml:space="preserve">Savings (EUR)</w:t>
      </w:r>
      <w:r>
        <w:br/>
      </w:r>
      <w:r>
        <w:t xml:space="preserve">459 537</w:t>
      </w:r>
      <w:r>
        <w:br/>
      </w:r>
      <w:r>
        <w:t xml:space="preserve">86 313</w:t>
      </w:r>
      <w:r>
        <w:br/>
      </w:r>
      <w:r>
        <w:t xml:space="preserve">OPTION 3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4 449</w:t>
      </w:r>
      <w:r>
        <w:br/>
      </w:r>
      <w:r>
        <w:t xml:space="preserve">4 449</w:t>
      </w:r>
      <w:r>
        <w:br/>
      </w:r>
      <w:r>
        <w:t xml:space="preserve">Total cost (EUR)</w:t>
      </w:r>
      <w:r>
        <w:br/>
      </w:r>
      <w:r>
        <w:t xml:space="preserve">892 164</w:t>
      </w:r>
      <w:r>
        <w:br/>
      </w:r>
      <w:r>
        <w:t xml:space="preserve">163 894</w:t>
      </w:r>
      <w:r>
        <w:br/>
      </w:r>
      <w:r>
        <w:t xml:space="preserve">Savings (EUR)</w:t>
      </w:r>
      <w:r>
        <w:br/>
      </w:r>
      <w:r>
        <w:t xml:space="preserve">386 745</w:t>
      </w:r>
      <w:r>
        <w:br/>
      </w:r>
      <w:r>
        <w:t xml:space="preserve">72 941</w:t>
      </w:r>
    </w:p>
    <w:p>
      <w:pPr>
        <w:pStyle w:val="BodyText"/>
      </w:pPr>
      <w:r>
        <w:t xml:space="preserve">The baseline number of affected entities are the number of license and registration holders in</w:t>
      </w:r>
      <w:r>
        <w:t xml:space="preserve"> </w:t>
      </w:r>
      <w:r>
        <w:t xml:space="preserve">the EU drug precursors database. Under option 2, the affected entities are the number of license</w:t>
      </w:r>
      <w:r>
        <w:t xml:space="preserve"> </w:t>
      </w:r>
      <w:r>
        <w:t xml:space="preserve">and registration holders in the EU drug precursors database and category 4 operators, making</w:t>
      </w:r>
      <w:r>
        <w:t xml:space="preserve"> </w:t>
      </w:r>
      <w:r>
        <w:t xml:space="preserve">the total number of affected entities for 4 086. For option 3, the affected entities are the number</w:t>
      </w:r>
      <w:r>
        <w:t xml:space="preserve"> </w:t>
      </w:r>
      <w:r>
        <w:t xml:space="preserve">of license and registration holders in the EU drug precursors database, the category 3 trading</w:t>
      </w:r>
      <w:r>
        <w:t xml:space="preserve"> </w:t>
      </w:r>
      <w:r>
        <w:t xml:space="preserve">only internally and the category 4 operators., making the total number of affected entities for</w:t>
      </w:r>
      <w:r>
        <w:t xml:space="preserve"> </w:t>
      </w:r>
      <w:r>
        <w:t xml:space="preserve">4 449.</w:t>
      </w:r>
      <w:r>
        <w:t xml:space="preserve"> </w:t>
      </w:r>
      <w:r>
        <w:t xml:space="preserve">2.3.DIGITAL CUSTOMER VERIFICATION</w:t>
      </w:r>
      <w:r>
        <w:t xml:space="preserve"> </w:t>
      </w:r>
      <w:r>
        <w:t xml:space="preserve">For economic operators</w:t>
      </w:r>
      <w:r>
        <w:t xml:space="preserve"> </w:t>
      </w:r>
      <w:r>
        <w:t xml:space="preserve">Type of EO</w:t>
      </w:r>
      <w:r>
        <w:t xml:space="preserve"> </w:t>
      </w:r>
      <w:r>
        <w:t xml:space="preserve">SME</w:t>
      </w:r>
      <w:r>
        <w:t xml:space="preserve"> </w:t>
      </w:r>
      <w:r>
        <w:t xml:space="preserve">Large firm</w:t>
      </w:r>
      <w:r>
        <w:t xml:space="preserve"> </w:t>
      </w:r>
      <w:r>
        <w:t xml:space="preserve">Total</w:t>
      </w:r>
      <w:r>
        <w:t xml:space="preserve"> </w:t>
      </w:r>
      <w:r>
        <w:t xml:space="preserve">Paper-based customer declaration (baseline)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3 183</w:t>
      </w:r>
      <w:r>
        <w:br/>
      </w:r>
      <w:r>
        <w:t xml:space="preserve">277</w:t>
      </w:r>
      <w:r>
        <w:br/>
      </w:r>
      <w:r>
        <w:t xml:space="preserve">3 460</w:t>
      </w:r>
      <w:r>
        <w:br/>
      </w:r>
      <w:r>
        <w:t xml:space="preserve">Time spent (hours)</w:t>
      </w:r>
      <w:r>
        <w:br/>
      </w:r>
      <w:r>
        <w:t xml:space="preserve">3.6</w:t>
      </w:r>
      <w:r>
        <w:br/>
      </w:r>
      <w:r>
        <w:t xml:space="preserve">2.1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</w:p>
    <w:p>
      <w:pPr>
        <w:pStyle w:val="BodyText"/>
      </w:pPr>
      <w:r>
        <w:t xml:space="preserve">Transactions (frequency/ year)</w:t>
      </w:r>
      <w:r>
        <w:t xml:space="preserve"> </w:t>
      </w:r>
      <w:r>
        <w:t xml:space="preserve">38</w:t>
      </w:r>
      <w:r>
        <w:br/>
      </w:r>
      <w:r>
        <w:t xml:space="preserve">336</w:t>
      </w:r>
    </w:p>
    <w:p>
      <w:pPr>
        <w:pStyle w:val="BodyText"/>
      </w:pPr>
      <w:r>
        <w:t xml:space="preserve">Total cost</w:t>
      </w:r>
      <w:r>
        <w:br/>
      </w:r>
      <w:r>
        <w:t xml:space="preserve">15 596 083</w:t>
      </w:r>
      <w:r>
        <w:br/>
      </w:r>
      <w:r>
        <w:t xml:space="preserve">6 907 544</w:t>
      </w:r>
      <w:r>
        <w:br/>
      </w:r>
      <w:r>
        <w:t xml:space="preserve">22 503 627</w:t>
      </w:r>
      <w:r>
        <w:br/>
      </w:r>
      <w:r>
        <w:t xml:space="preserve">Digitised formalities (e-Validation)</w:t>
      </w:r>
      <w:r>
        <w:t xml:space="preserve"> </w:t>
      </w:r>
      <w:r>
        <w:t xml:space="preserve">Proportion of costs saved</w:t>
      </w:r>
      <w:r>
        <w:br/>
      </w:r>
      <w:r>
        <w:t xml:space="preserve">36 %</w:t>
      </w:r>
      <w:r>
        <w:t xml:space="preserve"> </w:t>
      </w:r>
      <w:r>
        <w:t xml:space="preserve">40 %</w:t>
      </w:r>
      <w:r>
        <w:t xml:space="preserve"> </w:t>
      </w:r>
      <w:r>
        <w:t xml:space="preserve">New time spent (hours)</w:t>
      </w:r>
      <w:r>
        <w:t xml:space="preserve"> </w:t>
      </w:r>
      <w:r>
        <w:t xml:space="preserve">2.3</w:t>
      </w:r>
      <w:r>
        <w:br/>
      </w:r>
      <w:r>
        <w:t xml:space="preserve">1.3</w:t>
      </w:r>
      <w:r>
        <w:br/>
      </w:r>
      <w:r>
        <w:t xml:space="preserve">OPTION 2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1 105</w:t>
      </w:r>
      <w:r>
        <w:br/>
      </w:r>
      <w:r>
        <w:t xml:space="preserve">96</w:t>
      </w:r>
      <w:r>
        <w:br/>
      </w:r>
      <w:r>
        <w:t xml:space="preserve">1 201</w:t>
      </w:r>
      <w:r>
        <w:br/>
      </w:r>
      <w:r>
        <w:t xml:space="preserve">Total cost (EUR)</w:t>
      </w:r>
      <w:r>
        <w:t xml:space="preserve"> </w:t>
      </w:r>
      <w:r>
        <w:t xml:space="preserve">3 464 674</w:t>
      </w:r>
      <w:r>
        <w:br/>
      </w:r>
      <w:r>
        <w:t xml:space="preserve">1 438 606</w:t>
      </w:r>
      <w:r>
        <w:br/>
      </w:r>
      <w:r>
        <w:t xml:space="preserve">4 903 280</w:t>
      </w:r>
      <w:r>
        <w:br/>
      </w:r>
      <w:r>
        <w:t xml:space="preserve">Savings (EUR)</w:t>
      </w:r>
      <w:r>
        <w:t xml:space="preserve"> </w:t>
      </w:r>
      <w:r>
        <w:t xml:space="preserve">12 131 409</w:t>
      </w:r>
      <w:r>
        <w:br/>
      </w:r>
      <w:r>
        <w:t xml:space="preserve">5 468 938</w:t>
      </w:r>
      <w:r>
        <w:br/>
      </w:r>
      <w:r>
        <w:t xml:space="preserve">17 600 347</w:t>
      </w:r>
      <w:r>
        <w:br/>
      </w:r>
      <w:r>
        <w:t xml:space="preserve">OPTION 3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4 001</w:t>
      </w:r>
      <w:r>
        <w:br/>
      </w:r>
      <w:r>
        <w:t xml:space="preserve">348</w:t>
      </w:r>
      <w:r>
        <w:br/>
      </w:r>
      <w:r>
        <w:t xml:space="preserve">4 349</w:t>
      </w:r>
      <w:r>
        <w:br/>
      </w:r>
      <w:r>
        <w:t xml:space="preserve">Total cost (EUR)</w:t>
      </w:r>
      <w:r>
        <w:t xml:space="preserve"> </w:t>
      </w:r>
      <w:r>
        <w:t xml:space="preserve">12 546 102</w:t>
      </w:r>
      <w:r>
        <w:br/>
      </w:r>
      <w:r>
        <w:t xml:space="preserve">5 209 406</w:t>
      </w:r>
      <w:r>
        <w:br/>
      </w:r>
      <w:r>
        <w:t xml:space="preserve">17 755 508</w:t>
      </w:r>
      <w:r>
        <w:br/>
      </w:r>
      <w:r>
        <w:t xml:space="preserve">Savings (EUR)</w:t>
      </w:r>
      <w:r>
        <w:t xml:space="preserve"> </w:t>
      </w:r>
      <w:r>
        <w:t xml:space="preserve">3 049 981</w:t>
      </w:r>
      <w:r>
        <w:br/>
      </w:r>
      <w:r>
        <w:t xml:space="preserve">1 698 138</w:t>
      </w:r>
      <w:r>
        <w:br/>
      </w:r>
      <w:r>
        <w:t xml:space="preserve">4 748 119</w:t>
      </w:r>
    </w:p>
    <w:p>
      <w:pPr>
        <w:pStyle w:val="BodyText"/>
      </w:pPr>
      <w:r>
        <w:t xml:space="preserve">For the number of affected entities, not all operators trading in categories 1 and 2 will need</w:t>
      </w:r>
      <w:r>
        <w:t xml:space="preserve"> </w:t>
      </w:r>
      <w:r>
        <w:t xml:space="preserve">to verify their customers. If their customers or suppliers are ALL outside the EU, this</w:t>
      </w:r>
      <w:r>
        <w:t xml:space="preserve"> </w:t>
      </w:r>
      <w:r>
        <w:t xml:space="preserve">requirement won’t be relevant. The DP database does not have this level of detail, nor does the</w:t>
      </w:r>
      <w:r>
        <w:t xml:space="preserve"> </w:t>
      </w:r>
      <w:r>
        <w:t xml:space="preserve">survey of operators. As such, we have assumed that most operators have some relevant EU</w:t>
      </w:r>
      <w:r>
        <w:t xml:space="preserve"> </w:t>
      </w:r>
      <w:r>
        <w:t xml:space="preserve">supply chain and we have not applied a discount for this for the baseline estimates, nor</w:t>
      </w:r>
      <w:r>
        <w:t xml:space="preserve"> </w:t>
      </w:r>
      <w:r>
        <w:t xml:space="preserve">attempted to estimate the sub-set of relevant entities in the estimation for the options.</w:t>
      </w:r>
      <w:r>
        <w:t xml:space="preserve"> </w:t>
      </w:r>
      <w:r>
        <w:t xml:space="preserve">Nevertheless, the number of relevant entities differs for options 2 and 3, based on the revised</w:t>
      </w:r>
      <w:r>
        <w:t xml:space="preserve"> </w:t>
      </w:r>
      <w:r>
        <w:t xml:space="preserve">categories. For option 2, only entities trading in category 1 would be covered by the obligation.</w:t>
      </w:r>
      <w:r>
        <w:t xml:space="preserve"> </w:t>
      </w:r>
      <w:r>
        <w:t xml:space="preserve">For option 3, all entities currently licensed or registered plus those not registered for Category</w:t>
      </w:r>
      <w:r>
        <w:t xml:space="preserve"> </w:t>
      </w:r>
      <w:r>
        <w:t xml:space="preserve">3 (because they are only required to register for internal trade).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2.4.IMPORT/EXPORT AUTHORISATION</w:t>
      </w:r>
      <w:r>
        <w:t xml:space="preserve"> </w:t>
      </w:r>
      <w:r>
        <w:t xml:space="preserve">Under option 2 and 3 import and export authorisation will not be needed as they will be replaced</w:t>
      </w:r>
      <w:r>
        <w:t xml:space="preserve"> </w:t>
      </w:r>
      <w:r>
        <w:t xml:space="preserve">by quantity management.</w:t>
      </w:r>
      <w:r>
        <w:t xml:space="preserve"> </w:t>
      </w:r>
      <w:r>
        <w:t xml:space="preserve">Fore economic operators:</w:t>
      </w:r>
      <w:r>
        <w:t xml:space="preserve"> </w:t>
      </w:r>
      <w:r>
        <w:t xml:space="preserve">BASELINE – economic operators</w:t>
      </w:r>
      <w:r>
        <w:t xml:space="preserve"> </w:t>
      </w:r>
      <w:r>
        <w:t xml:space="preserve">Import</w:t>
      </w:r>
      <w:r>
        <w:br/>
      </w:r>
      <w:r>
        <w:t xml:space="preserve">Export</w:t>
      </w:r>
    </w:p>
    <w:p>
      <w:pPr>
        <w:pStyle w:val="BodyText"/>
      </w:pPr>
      <w:r>
        <w:t xml:space="preserve">Transactions (year)</w:t>
      </w:r>
      <w:r>
        <w:t xml:space="preserve"> </w:t>
      </w:r>
      <w:r>
        <w:t xml:space="preserve">2 451</w:t>
      </w:r>
      <w:r>
        <w:t xml:space="preserve"> </w:t>
      </w:r>
      <w:r>
        <w:t xml:space="preserve">3 1304</w:t>
      </w:r>
      <w:r>
        <w:t xml:space="preserve"> </w:t>
      </w:r>
      <w:r>
        <w:t xml:space="preserve">Time spent (hours)</w:t>
      </w:r>
      <w:r>
        <w:t xml:space="preserve"> </w:t>
      </w:r>
      <w:r>
        <w:t xml:space="preserve">3</w:t>
      </w:r>
      <w:r>
        <w:t xml:space="preserve"> </w:t>
      </w:r>
      <w:r>
        <w:t xml:space="preserve">5.5</w:t>
      </w:r>
      <w:r>
        <w:t xml:space="preserve"> </w:t>
      </w: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265 047</w:t>
      </w:r>
      <w:r>
        <w:t xml:space="preserve"> </w:t>
      </w:r>
      <w:r>
        <w:t xml:space="preserve">6 147 232</w:t>
      </w:r>
      <w:r>
        <w:t xml:space="preserve"> </w:t>
      </w:r>
      <w:r>
        <w:t xml:space="preserve">6 412 279</w:t>
      </w:r>
    </w:p>
    <w:p>
      <w:pPr>
        <w:pStyle w:val="BodyText"/>
      </w:pPr>
      <w:r>
        <w:t xml:space="preserve">For public authorities</w:t>
      </w:r>
      <w:r>
        <w:t xml:space="preserve"> </w:t>
      </w:r>
      <w:r>
        <w:t xml:space="preserve">BASELINE – public authorities</w:t>
      </w:r>
      <w:r>
        <w:t xml:space="preserve"> </w:t>
      </w:r>
      <w:r>
        <w:t xml:space="preserve">Import</w:t>
      </w:r>
      <w:r>
        <w:br/>
      </w:r>
      <w:r>
        <w:t xml:space="preserve">Export</w:t>
      </w:r>
      <w:r>
        <w:t xml:space="preserve"> </w:t>
      </w:r>
      <w:r>
        <w:t xml:space="preserve">Total</w:t>
      </w:r>
      <w:r>
        <w:t xml:space="preserve"> </w:t>
      </w:r>
      <w:r>
        <w:t xml:space="preserve">Transactions (year)</w:t>
      </w:r>
      <w:r>
        <w:br/>
      </w:r>
      <w:r>
        <w:t xml:space="preserve">2 451</w:t>
      </w:r>
      <w:r>
        <w:t xml:space="preserve"> </w:t>
      </w:r>
      <w:r>
        <w:t xml:space="preserve">31 304</w:t>
      </w:r>
      <w:r>
        <w:t xml:space="preserve"> </w:t>
      </w:r>
      <w:r>
        <w:t xml:space="preserve">Time spent (hours)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174 756</w:t>
      </w:r>
      <w:r>
        <w:t xml:space="preserve"> </w:t>
      </w:r>
      <w:r>
        <w:t xml:space="preserve">6 695 926</w:t>
      </w:r>
      <w:r>
        <w:t xml:space="preserve"> </w:t>
      </w:r>
      <w:r>
        <w:t xml:space="preserve">6 870 682</w:t>
      </w:r>
    </w:p>
    <w:p>
      <w:pPr>
        <w:pStyle w:val="BodyText"/>
      </w:pPr>
      <w:r>
        <w:t xml:space="preserve">Number of affected imports / exports or transactions: The most accurate information on the</w:t>
      </w:r>
      <w:r>
        <w:t xml:space="preserve"> </w:t>
      </w:r>
      <w:r>
        <w:t xml:space="preserve">number of transactions for imports and exports is derived from the Surveillance data. These</w:t>
      </w:r>
      <w:r>
        <w:t xml:space="preserve"> </w:t>
      </w:r>
      <w:r>
        <w:t xml:space="preserve">data contain precise information on the number of imports requiring authorisations (since this</w:t>
      </w:r>
      <w:r>
        <w:t xml:space="preserve"> </w:t>
      </w:r>
      <w:r>
        <w:t xml:space="preserve">is simply the number of transactions for Category 1 imports). For exports, it is more</w:t>
      </w:r>
      <w:r>
        <w:t xml:space="preserve"> </w:t>
      </w:r>
      <w:r>
        <w:t xml:space="preserve">complicated. The surveillance data contain information on the number of transactions (per</w:t>
      </w:r>
      <w:r>
        <w:t xml:space="preserve"> </w:t>
      </w:r>
      <w:r>
        <w:t xml:space="preserve">Category) and country of origin / destination, but they do not contain information which</w:t>
      </w:r>
      <w:r>
        <w:t xml:space="preserve"> </w:t>
      </w:r>
      <w:r>
        <w:t xml:space="preserve">transactions involve simplified procedures. Further, the data are not precise. There are some</w:t>
      </w:r>
      <w:r>
        <w:t xml:space="preserve"> </w:t>
      </w:r>
      <w:r>
        <w:t xml:space="preserve">transactions (c.60 000 annually) which may contain drug precursors, but the CN code is not</w:t>
      </w:r>
      <w:r>
        <w:t xml:space="preserve"> </w:t>
      </w:r>
      <w:r>
        <w:t xml:space="preserve">sufficiently detailed to allow for a precise estimate. To estimate exports, the Surveillance data</w:t>
      </w:r>
      <w:r>
        <w:t xml:space="preserve"> </w:t>
      </w:r>
      <w:r>
        <w:t xml:space="preserve">was analysed in parallel with a survey of Member States20 and an estimates average for the</w:t>
      </w:r>
      <w:r>
        <w:t xml:space="preserve"> </w:t>
      </w:r>
      <w:r>
        <w:t xml:space="preserve">number of imports / exports requiring authorisations was generated, for the last four years 2020-</w:t>
      </w:r>
      <w:r>
        <w:t xml:space="preserve"> </w:t>
      </w:r>
      <w:r>
        <w:t xml:space="preserve">2023. Essentially, the estimate is generated by multiplying the Member State estimate by a</w:t>
      </w:r>
      <w:r>
        <w:t xml:space="preserve"> </w:t>
      </w:r>
      <w:r>
        <w:t xml:space="preserve">factor of 3.621 and checking this against the relevant transactions for exports to check its</w:t>
      </w:r>
      <w:r>
        <w:t xml:space="preserve"> </w:t>
      </w:r>
      <w:r>
        <w:t xml:space="preserve">appropriateness.</w:t>
      </w:r>
    </w:p>
    <w:p>
      <w:pPr>
        <w:pStyle w:val="BodyText"/>
      </w:pPr>
      <w:r>
        <w:t xml:space="preserve">20 The survey of Member States asked for an estimate of the number of transactions requiring import and export authorisations.</w:t>
      </w:r>
      <w:r>
        <w:t xml:space="preserve"> </w:t>
      </w:r>
      <w:r>
        <w:t xml:space="preserve">These data show under-reporting but when analysed together with the Surveillance data allow for a robust, if conservative,</w:t>
      </w:r>
      <w:r>
        <w:t xml:space="preserve"> </w:t>
      </w:r>
      <w:r>
        <w:t xml:space="preserve">estimate for both import and export authorisations to be generated.</w:t>
      </w:r>
      <w:r>
        <w:br/>
      </w:r>
      <w:r>
        <w:t xml:space="preserve">21 Imports authorisations were under-reported by this factor, so we assume exports were underreported by a similar factor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2.5.ANNUAL REPORTING</w:t>
      </w:r>
      <w:r>
        <w:t xml:space="preserve"> </w:t>
      </w:r>
      <w:r>
        <w:t xml:space="preserve">Under option 1, reporting obligations will be reduced, while under options 2 and 3, they will be</w:t>
      </w:r>
      <w:r>
        <w:t xml:space="preserve"> </w:t>
      </w:r>
      <w:r>
        <w:t xml:space="preserve">lifted. The assumptions for the 30% reduction in burden cost under option 1 are fully detailed</w:t>
      </w:r>
      <w:r>
        <w:t xml:space="preserve"> </w:t>
      </w:r>
      <w:r>
        <w:t xml:space="preserve">in section 6.1 of Part I of the Impact Assessment. The table below outlines the assumptions</w:t>
      </w:r>
      <w:r>
        <w:t xml:space="preserve"> </w:t>
      </w:r>
      <w:r>
        <w:t xml:space="preserve">used to calculate the current reporting costs, which represents the cost reductions under options</w:t>
      </w:r>
      <w:r>
        <w:t xml:space="preserve"> </w:t>
      </w:r>
      <w:r>
        <w:t xml:space="preserve">2 and 3 once these reporting obligations would be lifted.</w:t>
      </w:r>
    </w:p>
    <w:p>
      <w:pPr>
        <w:pStyle w:val="BodyText"/>
      </w:pPr>
      <w:r>
        <w:t xml:space="preserve">SME (92 %)</w:t>
      </w:r>
      <w:r>
        <w:t xml:space="preserve"> </w:t>
      </w:r>
      <w:r>
        <w:t xml:space="preserve">Large firm (8 %)</w:t>
      </w:r>
      <w:r>
        <w:t xml:space="preserve"> </w:t>
      </w:r>
      <w:r>
        <w:t xml:space="preserve">Total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3 759</w:t>
      </w:r>
      <w:r>
        <w:t xml:space="preserve"> </w:t>
      </w:r>
      <w:r>
        <w:t xml:space="preserve">327</w:t>
      </w:r>
      <w:r>
        <w:t xml:space="preserve"> </w:t>
      </w:r>
      <w:r>
        <w:t xml:space="preserve">4 086</w:t>
      </w:r>
      <w:r>
        <w:t xml:space="preserve"> </w:t>
      </w:r>
      <w:r>
        <w:t xml:space="preserve">Time spent (hours)</w:t>
      </w:r>
      <w:r>
        <w:t xml:space="preserve"> </w:t>
      </w:r>
      <w:r>
        <w:t xml:space="preserve">19.15</w:t>
      </w:r>
      <w:r>
        <w:t xml:space="preserve"> </w:t>
      </w:r>
      <w:r>
        <w:t xml:space="preserve">55.2</w:t>
      </w:r>
    </w:p>
    <w:p>
      <w:pPr>
        <w:pStyle w:val="BodyText"/>
      </w:pP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Cost per entity (EUR)</w:t>
      </w:r>
      <w:r>
        <w:t xml:space="preserve"> </w:t>
      </w:r>
      <w:r>
        <w:t xml:space="preserve">683</w:t>
      </w:r>
      <w:r>
        <w:br/>
      </w:r>
      <w:r>
        <w:t xml:space="preserve">1 968</w:t>
      </w:r>
      <w:r>
        <w:br/>
      </w:r>
      <w:r>
        <w:t xml:space="preserve">Times/year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2 566 342</w:t>
      </w:r>
      <w:r>
        <w:br/>
      </w:r>
      <w:r>
        <w:t xml:space="preserve">643 261</w:t>
      </w:r>
      <w:r>
        <w:br/>
      </w:r>
      <w:r>
        <w:t xml:space="preserve">3 209 602</w:t>
      </w:r>
    </w:p>
    <w:p>
      <w:pPr>
        <w:pStyle w:val="BodyText"/>
      </w:pPr>
      <w:r>
        <w:t xml:space="preserve">The number of affected entities may be underestimated. For instance, operators trading in</w:t>
      </w:r>
      <w:r>
        <w:t xml:space="preserve"> </w:t>
      </w:r>
      <w:r>
        <w:t xml:space="preserve">category 4 are required to submit data annually, but they are not registered in the database. The</w:t>
      </w:r>
      <w:r>
        <w:t xml:space="preserve"> </w:t>
      </w:r>
      <w:r>
        <w:t xml:space="preserve">estimated detailed in section 2.1 was used. Operators trading in category 3 are required to</w:t>
      </w:r>
      <w:r>
        <w:t xml:space="preserve"> </w:t>
      </w:r>
      <w:r>
        <w:t xml:space="preserve">submit information “upon request” (and are likely to provide information for other substances</w:t>
      </w:r>
      <w:r>
        <w:t xml:space="preserve"> </w:t>
      </w:r>
      <w:r>
        <w:t xml:space="preserve">already) we have included them in the total number of affected entities. We have assumed that</w:t>
      </w:r>
      <w:r>
        <w:t xml:space="preserve"> </w:t>
      </w:r>
      <w:r>
        <w:t xml:space="preserve">operators are required to fulfil the obligation once a year, but that is a minimum. In some cases,</w:t>
      </w:r>
      <w:r>
        <w:t xml:space="preserve"> </w:t>
      </w:r>
      <w:r>
        <w:t xml:space="preserve">it may be more frequent.</w:t>
      </w:r>
      <w:r>
        <w:t xml:space="preserve"> </w:t>
      </w:r>
      <w:r>
        <w:t xml:space="preserve">The recurrency is by definition annual, however some Member States do require reporting at</w:t>
      </w:r>
      <w:r>
        <w:t xml:space="preserve"> </w:t>
      </w:r>
      <w:r>
        <w:t xml:space="preserve">shorter intervals to facilitate the validation of the data. Information for category 3 is only</w:t>
      </w:r>
      <w:r>
        <w:t xml:space="preserve"> </w:t>
      </w:r>
      <w:r>
        <w:t xml:space="preserve">required “upon request”, but Member States might have different rules.</w:t>
      </w:r>
    </w:p>
    <w:p>
      <w:pPr>
        <w:pStyle w:val="BodyText"/>
      </w:pPr>
      <w:r>
        <w:t xml:space="preserve">Public authorities are assumed to have an equivalent benefit to economic operator as they will</w:t>
      </w:r>
      <w:r>
        <w:t xml:space="preserve"> </w:t>
      </w:r>
      <w:r>
        <w:t xml:space="preserve">have to process the same number of reports.</w:t>
      </w:r>
      <w:r>
        <w:t xml:space="preserve"> </w:t>
      </w:r>
      <w:r>
        <w:t xml:space="preserve">2.6.DUE DILIGENCE COSTS:</w:t>
      </w:r>
    </w:p>
    <w:p>
      <w:pPr>
        <w:pStyle w:val="BodyText"/>
      </w:pP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a) Average time input for the</w:t>
      </w:r>
      <w:r>
        <w:t xml:space="preserve"> </w:t>
      </w:r>
      <w:r>
        <w:t xml:space="preserve">‘due diligence’</w:t>
      </w:r>
      <w:r>
        <w:t xml:space="preserve"> </w:t>
      </w:r>
      <w:r>
        <w:t xml:space="preserve">on new substance (hours)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b) Estimated number of affected companies</w:t>
      </w:r>
      <w:r>
        <w:t xml:space="preserve"> </w:t>
      </w:r>
      <w:r>
        <w:t xml:space="preserve">1 200</w:t>
      </w:r>
      <w:r>
        <w:t xml:space="preserve"> </w:t>
      </w:r>
      <w:r>
        <w:t xml:space="preserve">1 200</w:t>
      </w:r>
      <w:r>
        <w:t xml:space="preserve"> </w:t>
      </w:r>
      <w:r>
        <w:t xml:space="preserve">c) Number of substances (gross)</w:t>
      </w:r>
      <w:r>
        <w:t xml:space="preserve"> </w:t>
      </w:r>
      <w:r>
        <w:t xml:space="preserve">150</w:t>
      </w:r>
      <w:r>
        <w:t xml:space="preserve"> </w:t>
      </w:r>
      <w:r>
        <w:t xml:space="preserve">350</w:t>
      </w:r>
      <w:r>
        <w:t xml:space="preserve"> </w:t>
      </w:r>
      <w:r>
        <w:t xml:space="preserve">d) Number of substances net of</w:t>
      </w:r>
      <w:r>
        <w:t xml:space="preserve"> </w:t>
      </w:r>
      <w:r>
        <w:t xml:space="preserve">‘dynamic baseline’</w:t>
      </w:r>
      <w:r>
        <w:t xml:space="preserve"> </w:t>
      </w:r>
      <w:r>
        <w:t xml:space="preserve">assumptions</w:t>
      </w:r>
      <w:r>
        <w:t xml:space="preserve"> </w:t>
      </w:r>
      <w:r>
        <w:t xml:space="preserve">120</w:t>
      </w:r>
      <w:r>
        <w:t xml:space="preserve"> </w:t>
      </w:r>
      <w:r>
        <w:t xml:space="preserve">320</w:t>
      </w:r>
      <w:r>
        <w:t xml:space="preserve"> </w:t>
      </w:r>
      <w:r>
        <w:t xml:space="preserve">e) Average 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f) Total costs (EUR) (a * b * c * e)</w:t>
      </w:r>
      <w:r>
        <w:t xml:space="preserve"> </w:t>
      </w:r>
      <w:r>
        <w:t xml:space="preserve">7 700 400</w:t>
      </w:r>
      <w:r>
        <w:t xml:space="preserve"> </w:t>
      </w:r>
      <w:r>
        <w:t xml:space="preserve">20 534 400</w:t>
      </w:r>
      <w:r>
        <w:t xml:space="preserve"> </w:t>
      </w:r>
      <w:r>
        <w:t xml:space="preserve">g) Total costs – annualised (EUR) (over 3 years)</w:t>
      </w:r>
      <w:r>
        <w:t xml:space="preserve"> </w:t>
      </w:r>
      <w:r>
        <w:t xml:space="preserve">517 588</w:t>
      </w:r>
      <w:r>
        <w:t xml:space="preserve"> </w:t>
      </w:r>
      <w:r>
        <w:t xml:space="preserve">1 380 234</w:t>
      </w:r>
      <w:r>
        <w:t xml:space="preserve"> </w:t>
      </w:r>
      <w:r>
        <w:t xml:space="preserve">h) Costs – annualised per company (EUR)</w:t>
      </w:r>
      <w:r>
        <w:t xml:space="preserve"> </w:t>
      </w:r>
      <w:r>
        <w:t xml:space="preserve">431</w:t>
      </w:r>
      <w:r>
        <w:t xml:space="preserve"> </w:t>
      </w:r>
      <w:r>
        <w:t xml:space="preserve">1 150</w:t>
      </w:r>
    </w:p>
    <w:p>
      <w:pPr>
        <w:pStyle w:val="BodyText"/>
      </w:pPr>
      <w:r>
        <w:t xml:space="preserve">As mentioned, the stated objective of the innovative scheduling approach is to ensure a</w:t>
      </w:r>
      <w:r>
        <w:t xml:space="preserve"> </w:t>
      </w:r>
      <w:r>
        <w:t xml:space="preserve">streamlined identification of the substances that will be placed under control combining</w:t>
      </w:r>
      <w:r>
        <w:t xml:space="preserve"> </w:t>
      </w:r>
      <w:r>
        <w:t xml:space="preserve">different scheduling methods in the way that ensures the maximum of efficiency and no risk of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ambiguity. In this sense, the scheduling of families of derivatives can be employed only for</w:t>
      </w:r>
      <w:r>
        <w:t xml:space="preserve"> </w:t>
      </w:r>
      <w:r>
        <w:t xml:space="preserve">certain families that ensures an appropriate delimitation of scope (e.g. esters, sulfonamides,</w:t>
      </w:r>
      <w:r>
        <w:t xml:space="preserve"> </w:t>
      </w:r>
      <w:r>
        <w:t xml:space="preserve">acetals). Chemical formula description can be used for certain designer precursors that have the</w:t>
      </w:r>
      <w:r>
        <w:t xml:space="preserve"> </w:t>
      </w:r>
      <w:r>
        <w:t xml:space="preserve">same core structure and certain specific variables. Substance-by-substance scheduling would</w:t>
      </w:r>
      <w:r>
        <w:t xml:space="preserve"> </w:t>
      </w:r>
      <w:r>
        <w:t xml:space="preserve">remain necessary in all cases where the other approaches appear unsuitable. It is worth</w:t>
      </w:r>
      <w:r>
        <w:t xml:space="preserve"> </w:t>
      </w:r>
      <w:r>
        <w:t xml:space="preserve">highlighting that the EUDA library will help the identification of concerned substances thus</w:t>
      </w:r>
      <w:r>
        <w:t xml:space="preserve"> </w:t>
      </w:r>
      <w:r>
        <w:t xml:space="preserve">mitigating constraints due to technical complexity. Furthermore, it is reasonable to estimate that</w:t>
      </w:r>
      <w:r>
        <w:t xml:space="preserve"> </w:t>
      </w:r>
      <w:r>
        <w:t xml:space="preserve">bulk scheduling is less burdensome than one-by-one scheduling, when the substances</w:t>
      </w:r>
      <w:r>
        <w:t xml:space="preserve"> </w:t>
      </w:r>
      <w:r>
        <w:t xml:space="preserve">concerned are just virtual derivatives of the same core molecule. All in all, it is therefore</w:t>
      </w:r>
      <w:r>
        <w:t xml:space="preserve"> </w:t>
      </w:r>
      <w:r>
        <w:t xml:space="preserve">assumed that the time input required to conduct due diligence on listed designer precursors will</w:t>
      </w:r>
      <w:r>
        <w:t xml:space="preserve"> </w:t>
      </w:r>
      <w:r>
        <w:t xml:space="preserve">be in line with what is currently required for new scheduled substances with a CAS number,</w:t>
      </w:r>
      <w:r>
        <w:t xml:space="preserve"> </w:t>
      </w:r>
      <w:r>
        <w:t xml:space="preserve">i.e. 1.5 hour (on average)</w:t>
      </w:r>
      <w:r>
        <w:br/>
      </w:r>
      <w:r>
        <w:t xml:space="preserve">The number of affected economic operators corresponds with the number of category 1</w:t>
      </w:r>
      <w:r>
        <w:t xml:space="preserve"> </w:t>
      </w:r>
      <w:r>
        <w:t xml:space="preserve">licensees, taking into account that designer precursors are modified category 1 substances. It</w:t>
      </w:r>
      <w:r>
        <w:t xml:space="preserve"> </w:t>
      </w:r>
      <w:r>
        <w:t xml:space="preserve">should be noted that, currently, only 100 operators have a license for ATS related designer</w:t>
      </w:r>
      <w:r>
        <w:t xml:space="preserve"> </w:t>
      </w:r>
      <w:r>
        <w:t xml:space="preserve">precursors, the main concern for the EU. All of them, have a category 1 license.</w:t>
      </w:r>
      <w:r>
        <w:t xml:space="preserve"> </w:t>
      </w:r>
      <w:r>
        <w:t xml:space="preserve">The number of substances correspond with the scope of each option. Based on the current</w:t>
      </w:r>
      <w:r>
        <w:t xml:space="preserve"> </w:t>
      </w:r>
      <w:r>
        <w:t xml:space="preserve">scheduling trend, it is assumed that no less than 30 new substances would be scheduled by 2029</w:t>
      </w:r>
      <w:r>
        <w:t xml:space="preserve"> </w:t>
      </w:r>
      <w:r>
        <w:t xml:space="preserve">under the dynamic baseline.</w:t>
      </w:r>
      <w:r>
        <w:t xml:space="preserve"> </w:t>
      </w:r>
      <w:r>
        <w:t xml:space="preserve">2.7.SPECIAL LICENSE FOR DESIGNER PRECURSORS</w:t>
      </w:r>
      <w:r>
        <w:t xml:space="preserve"> </w:t>
      </w:r>
      <w:r>
        <w:t xml:space="preserve">Type of EO</w:t>
      </w:r>
      <w:r>
        <w:t xml:space="preserve"> </w:t>
      </w:r>
      <w:r>
        <w:t xml:space="preserve">Large firm</w:t>
      </w:r>
      <w:r>
        <w:t xml:space="preserve"> </w:t>
      </w:r>
      <w:r>
        <w:t xml:space="preserve">SME</w:t>
      </w:r>
      <w:r>
        <w:t xml:space="preserve"> </w:t>
      </w:r>
      <w:r>
        <w:t xml:space="preserve">No. of affected entities</w:t>
      </w:r>
      <w:r>
        <w:br/>
      </w:r>
      <w:r>
        <w:t xml:space="preserve">8.4</w:t>
      </w:r>
      <w:r>
        <w:t xml:space="preserve"> </w:t>
      </w:r>
      <w:r>
        <w:t xml:space="preserve">96.6</w:t>
      </w:r>
      <w:r>
        <w:t xml:space="preserve"> </w:t>
      </w:r>
      <w:r>
        <w:t xml:space="preserve">Time spent (hour)</w:t>
      </w:r>
      <w:r>
        <w:t xml:space="preserve"> </w:t>
      </w:r>
      <w:r>
        <w:t xml:space="preserve">4.3</w:t>
      </w:r>
      <w:r>
        <w:t xml:space="preserve"> </w:t>
      </w:r>
      <w:r>
        <w:t xml:space="preserve">6.0</w:t>
      </w:r>
      <w:r>
        <w:t xml:space="preserve"> </w:t>
      </w:r>
      <w:r>
        <w:t xml:space="preserve">Labour cost (EUR)</w:t>
      </w:r>
      <w:r>
        <w:t xml:space="preserve"> </w:t>
      </w:r>
      <w:r>
        <w:t xml:space="preserve">35.65</w:t>
      </w:r>
      <w:r>
        <w:t xml:space="preserve"> </w:t>
      </w:r>
      <w:r>
        <w:t xml:space="preserve">35.65</w:t>
      </w:r>
      <w:r>
        <w:t xml:space="preserve"> </w:t>
      </w:r>
      <w:r>
        <w:t xml:space="preserve">Times/year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Recurrency*</w:t>
      </w:r>
      <w:r>
        <w:t xml:space="preserve"> </w:t>
      </w:r>
      <w:r>
        <w:t xml:space="preserve">one off</w:t>
      </w:r>
      <w:r>
        <w:t xml:space="preserve"> </w:t>
      </w:r>
      <w:r>
        <w:t xml:space="preserve">one off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1 283</w:t>
      </w:r>
      <w:r>
        <w:t xml:space="preserve"> </w:t>
      </w:r>
      <w:r>
        <w:t xml:space="preserve">20 778</w:t>
      </w:r>
      <w:r>
        <w:t xml:space="preserve"> </w:t>
      </w:r>
      <w:r>
        <w:t xml:space="preserve">22 060</w:t>
      </w:r>
    </w:p>
    <w:p>
      <w:pPr>
        <w:pStyle w:val="BodyText"/>
      </w:pPr>
      <w:r>
        <w:t xml:space="preserve">The affected entities are those having licenses for designer precursors.</w:t>
      </w:r>
      <w:r>
        <w:t xml:space="preserve"> </w:t>
      </w:r>
      <w:r>
        <w:t xml:space="preserve">The time spent is assumed to be equivalent to the estimated time to renew a license. The</w:t>
      </w:r>
      <w:r>
        <w:t xml:space="preserve"> </w:t>
      </w:r>
      <w:r>
        <w:t xml:space="preserve">estimate time is based on the survey responses.</w:t>
      </w:r>
      <w:r>
        <w:t xml:space="preserve"> </w:t>
      </w:r>
      <w:r>
        <w:t xml:space="preserve">The recurrency is one off, subsequent renewals are business as usual (the precursors at stake</w:t>
      </w:r>
      <w:r>
        <w:t xml:space="preserve"> </w:t>
      </w:r>
      <w:r>
        <w:t xml:space="preserve">are already subject to license)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2.8.ADJUSTMENT COSTS FROM CONSOLIDATION OF CATEGORIES</w:t>
      </w:r>
      <w:r>
        <w:t xml:space="preserve"> </w:t>
      </w:r>
      <w:r>
        <w:t xml:space="preserve">Under option 3, current category 2a registration holders will need to secure their premises.</w:t>
      </w:r>
      <w:r>
        <w:t xml:space="preserve"> </w:t>
      </w:r>
      <w:r>
        <w:t xml:space="preserve">Below table details the calculation method.</w:t>
      </w:r>
      <w:r>
        <w:t xml:space="preserve"> </w:t>
      </w:r>
      <w:r>
        <w:t xml:space="preserve">Type of EO</w:t>
      </w:r>
      <w:r>
        <w:t xml:space="preserve"> </w:t>
      </w:r>
      <w:r>
        <w:t xml:space="preserve">Large firm</w:t>
      </w:r>
      <w:r>
        <w:t xml:space="preserve"> </w:t>
      </w:r>
      <w:r>
        <w:t xml:space="preserve">SME</w:t>
      </w:r>
      <w:r>
        <w:t xml:space="preserve"> </w:t>
      </w:r>
      <w:r>
        <w:t xml:space="preserve">No. of affected entities</w:t>
      </w:r>
      <w:r>
        <w:t xml:space="preserve"> </w:t>
      </w:r>
      <w:r>
        <w:t xml:space="preserve">39.84</w:t>
      </w:r>
      <w:r>
        <w:t xml:space="preserve"> </w:t>
      </w:r>
      <w:r>
        <w:t xml:space="preserve">458.16</w:t>
      </w:r>
      <w:r>
        <w:t xml:space="preserve"> </w:t>
      </w:r>
      <w:r>
        <w:t xml:space="preserve">Average one-off investment cost (EUR)</w:t>
      </w:r>
      <w:r>
        <w:t xml:space="preserve"> </w:t>
      </w:r>
      <w:r>
        <w:t xml:space="preserve">7 400</w:t>
      </w:r>
      <w:r>
        <w:t xml:space="preserve"> </w:t>
      </w:r>
      <w:r>
        <w:t xml:space="preserve">5 331</w:t>
      </w:r>
      <w:r>
        <w:t xml:space="preserve"> </w:t>
      </w:r>
      <w:r>
        <w:t xml:space="preserve">Average annual cost operational and maintenance costs (EUR)</w:t>
      </w:r>
      <w:r>
        <w:t xml:space="preserve"> </w:t>
      </w:r>
      <w:r>
        <w:t xml:space="preserve">4 440</w:t>
      </w:r>
      <w:r>
        <w:t xml:space="preserve"> </w:t>
      </w:r>
      <w:r>
        <w:t xml:space="preserve">2 800</w:t>
      </w:r>
      <w:r>
        <w:t xml:space="preserve"> </w:t>
      </w:r>
      <w:r>
        <w:t xml:space="preserve">Total one-off (EUR)</w:t>
      </w:r>
      <w:r>
        <w:t xml:space="preserve"> </w:t>
      </w:r>
      <w:r>
        <w:t xml:space="preserve">294 816</w:t>
      </w:r>
      <w:r>
        <w:t xml:space="preserve"> </w:t>
      </w:r>
      <w:r>
        <w:t xml:space="preserve">2 442 451</w:t>
      </w:r>
      <w:r>
        <w:t xml:space="preserve"> </w:t>
      </w:r>
      <w:r>
        <w:t xml:space="preserve">2 737 267</w:t>
      </w:r>
      <w:r>
        <w:t xml:space="preserve"> </w:t>
      </w:r>
      <w:r>
        <w:t xml:space="preserve">Total recurring (annual) (EUR)</w:t>
      </w:r>
      <w:r>
        <w:t xml:space="preserve"> </w:t>
      </w:r>
      <w:r>
        <w:t xml:space="preserve">176 890</w:t>
      </w:r>
      <w:r>
        <w:t xml:space="preserve"> </w:t>
      </w:r>
      <w:r>
        <w:t xml:space="preserve">1 282 848</w:t>
      </w:r>
      <w:r>
        <w:t xml:space="preserve"> </w:t>
      </w:r>
      <w:r>
        <w:t xml:space="preserve">1 459 738</w:t>
      </w:r>
    </w:p>
    <w:p>
      <w:pPr>
        <w:pStyle w:val="BodyText"/>
      </w:pPr>
      <w:r>
        <w:t xml:space="preserve">The affected entities are the category 2a registration holders, in so far that they do not hold a</w:t>
      </w:r>
      <w:r>
        <w:t xml:space="preserve"> </w:t>
      </w:r>
      <w:r>
        <w:t xml:space="preserve">category 1 license. In the latter, they are already subject to this obligation and will not suffer</w:t>
      </w:r>
      <w:r>
        <w:t xml:space="preserve"> </w:t>
      </w:r>
      <w:r>
        <w:t xml:space="preserve">additional adjustment costs. 191 of the 689 category 2a registrations holders, hold also a license</w:t>
      </w:r>
      <w:r>
        <w:t xml:space="preserve"> </w:t>
      </w:r>
      <w:r>
        <w:t xml:space="preserve">for category 1, bringing the number of affected entities to 498.</w:t>
      </w:r>
      <w:r>
        <w:t xml:space="preserve"> </w:t>
      </w:r>
      <w:r>
        <w:t xml:space="preserve">2.9.DIGITALISATION</w:t>
      </w:r>
      <w:r>
        <w:t xml:space="preserve"> </w:t>
      </w:r>
      <w:r>
        <w:t xml:space="preserve">After adoption of the proposal on monitoring and controlling of drug precursors the process of</w:t>
      </w:r>
      <w:r>
        <w:t xml:space="preserve"> </w:t>
      </w:r>
      <w:r>
        <w:t xml:space="preserve">interinstitutional negotiations between co-legislators will start. In parallel with this process the</w:t>
      </w:r>
      <w:r>
        <w:t xml:space="preserve"> </w:t>
      </w:r>
      <w:r>
        <w:t xml:space="preserve">responsible body in charge of digitalisation will start business analysis in order to compose</w:t>
      </w:r>
      <w:r>
        <w:t xml:space="preserve"> </w:t>
      </w:r>
      <w:r>
        <w:t xml:space="preserve">Project Initiation request and Business Case for submission to ITCB. In parallel to this work</w:t>
      </w:r>
      <w:r>
        <w:t xml:space="preserve"> </w:t>
      </w:r>
      <w:r>
        <w:t xml:space="preserve">the Commission shall start drafting implementing acts on details of IT solution and data</w:t>
      </w:r>
      <w:r>
        <w:t xml:space="preserve"> </w:t>
      </w:r>
      <w:r>
        <w:t xml:space="preserve">elements and its formats to be exchanged to be adopted based on business analysis. The</w:t>
      </w:r>
      <w:r>
        <w:t xml:space="preserve"> </w:t>
      </w:r>
      <w:r>
        <w:t xml:space="preserve">Commission shall also negotiate and adopt agreement on bilateral arrangement with third</w:t>
      </w:r>
      <w:r>
        <w:t xml:space="preserve"> </w:t>
      </w:r>
      <w:r>
        <w:t xml:space="preserve">parties such as UN/INCB on data exchange together with Annex on technical arrangements.</w:t>
      </w:r>
      <w:r>
        <w:br/>
      </w:r>
      <w:r>
        <w:t xml:space="preserve">Depending on the decision of ITCB on the alternative for development of the solution and</w:t>
      </w:r>
      <w:r>
        <w:t xml:space="preserve"> </w:t>
      </w:r>
      <w:r>
        <w:t xml:space="preserve">delivery model COM will chose between outsourcing the work from an external contractor, or</w:t>
      </w:r>
      <w:r>
        <w:t xml:space="preserve"> </w:t>
      </w:r>
      <w:r>
        <w:t xml:space="preserve">developing in-house (e.g. by DG SANTE/DG Trade etc).</w:t>
      </w:r>
      <w:r>
        <w:t xml:space="preserve"> </w:t>
      </w:r>
      <w:r>
        <w:t xml:space="preserve">As a first activity related to the development of DP eLicencing system and based on the</w:t>
      </w:r>
      <w:r>
        <w:t xml:space="preserve"> </w:t>
      </w:r>
      <w:r>
        <w:t xml:space="preserve">experience gained from other EU projects for the issuance of digital certificates, a prototype for</w:t>
      </w:r>
      <w:r>
        <w:t xml:space="preserve"> </w:t>
      </w:r>
      <w:r>
        <w:t xml:space="preserve">the issuance module shall be prepared, followed by a piloting activity.</w:t>
      </w:r>
      <w:r>
        <w:t xml:space="preserve"> </w:t>
      </w:r>
      <w:r>
        <w:t xml:space="preserve">COM will organize a Conformance tests (CT) campaign in cooperation with MSs. All necessary</w:t>
      </w:r>
      <w:r>
        <w:t xml:space="preserve"> </w:t>
      </w:r>
      <w:r>
        <w:t xml:space="preserve">information and documentation for the CT campaign (Integration Guide for Member States, CT</w:t>
      </w:r>
      <w:r>
        <w:t xml:space="preserve"> </w:t>
      </w:r>
      <w:r>
        <w:t xml:space="preserve">Plan, CT Organization Document) will be provided and organizational meetings will be</w:t>
      </w:r>
      <w:r>
        <w:t xml:space="preserve"> </w:t>
      </w:r>
      <w:r>
        <w:t xml:space="preserve">organized prior to the campaign.</w:t>
      </w:r>
      <w:r>
        <w:t xml:space="preserve"> </w:t>
      </w:r>
      <w:r>
        <w:t xml:space="preserve">To ensure the smooth implementation of the requirements the EU Commission will:</w:t>
      </w:r>
      <w:r>
        <w:br/>
      </w:r>
      <w:r>
        <w:t xml:space="preserve">•</w:t>
      </w:r>
      <w:r>
        <w:t xml:space="preserve"> </w:t>
      </w:r>
      <w:r>
        <w:t xml:space="preserve">Create a dedicated team to manage the specifications (functional and technical ones)</w:t>
      </w:r>
      <w:r>
        <w:t xml:space="preserve"> </w:t>
      </w:r>
      <w:r>
        <w:t xml:space="preserve">and the implementation of the system, facilitating the collaboration between all stakeholders.</w:t>
      </w:r>
      <w:r>
        <w:br/>
      </w:r>
      <w:r>
        <w:t xml:space="preserve">•</w:t>
      </w:r>
      <w:r>
        <w:t xml:space="preserve"> </w:t>
      </w:r>
      <w:r>
        <w:t xml:space="preserve">Create guidelines for the implementation (functional and technical specifications) of the</w:t>
      </w:r>
      <w:r>
        <w:t xml:space="preserve"> </w:t>
      </w:r>
      <w:r>
        <w:t xml:space="preserve">needed services for interaction with the DP eLicencing system by the EU MSs.</w:t>
      </w:r>
      <w:r>
        <w:br/>
      </w:r>
      <w:r>
        <w:t xml:space="preserve">•</w:t>
      </w:r>
      <w:r>
        <w:t xml:space="preserve"> </w:t>
      </w:r>
      <w:r>
        <w:t xml:space="preserve">Develop and maintain the common components of the system needed for the issuance</w:t>
      </w:r>
      <w:r>
        <w:t xml:space="preserve"> </w:t>
      </w:r>
      <w:r>
        <w:t xml:space="preserve">and the exchange of certificates with a central repository, and an administrative cooperation.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•</w:t>
      </w:r>
      <w:r>
        <w:t xml:space="preserve"> </w:t>
      </w:r>
      <w:r>
        <w:t xml:space="preserve">Extend the functionalities of EU CSW-CERTEX for the new domain of drug precursors</w:t>
      </w:r>
      <w:r>
        <w:t xml:space="preserve"> </w:t>
      </w:r>
      <w:r>
        <w:t xml:space="preserve">and interaction with the EU MS National customs systems.</w:t>
      </w:r>
      <w:r>
        <w:br/>
      </w:r>
      <w:r>
        <w:t xml:space="preserve">•</w:t>
      </w:r>
      <w:r>
        <w:t xml:space="preserve"> </w:t>
      </w:r>
      <w:r>
        <w:t xml:space="preserve">Maintain (in technical means) a central registry of authorised users, including EOs of</w:t>
      </w:r>
      <w:r>
        <w:t xml:space="preserve"> </w:t>
      </w:r>
      <w:r>
        <w:t xml:space="preserve">EU MSs and partners from partner countries.</w:t>
      </w:r>
      <w:r>
        <w:br/>
      </w:r>
      <w:r>
        <w:t xml:space="preserve">•</w:t>
      </w:r>
      <w:r>
        <w:t xml:space="preserve"> </w:t>
      </w:r>
      <w:r>
        <w:t xml:space="preserve">Extend the existing platforms used in the EU for the authentication, authorisation and</w:t>
      </w:r>
      <w:r>
        <w:t xml:space="preserve"> </w:t>
      </w:r>
      <w:r>
        <w:t xml:space="preserve">connection of users from the partners of partner countries.</w:t>
      </w:r>
      <w:r>
        <w:t xml:space="preserve"> </w:t>
      </w:r>
      <w:r>
        <w:t xml:space="preserve">•</w:t>
      </w:r>
      <w:r>
        <w:t xml:space="preserve"> </w:t>
      </w:r>
      <w:r>
        <w:t xml:space="preserve">Provide the relevant guidelines (i.e., user manuals, GUI help desk procedures, and</w:t>
      </w:r>
      <w:r>
        <w:t xml:space="preserve"> </w:t>
      </w:r>
      <w:r>
        <w:t xml:space="preserve">training materials) for the DP eLicencing system GUI.</w:t>
      </w:r>
      <w:r>
        <w:br/>
      </w:r>
      <w:r>
        <w:t xml:space="preserve">•</w:t>
      </w:r>
      <w:r>
        <w:t xml:space="preserve"> </w:t>
      </w:r>
      <w:r>
        <w:t xml:space="preserve">Discuss, elaborate and provide the needed information guidelines (e.g., specifications,</w:t>
      </w:r>
      <w:r>
        <w:t xml:space="preserve"> </w:t>
      </w:r>
      <w:r>
        <w:t xml:space="preserve">connectivity instructions, training materials) to international partners to be connected via</w:t>
      </w:r>
      <w:r>
        <w:t xml:space="preserve"> </w:t>
      </w:r>
      <w:r>
        <w:t xml:space="preserve">machine-to-machine interface such as INCB.</w:t>
      </w:r>
      <w:r>
        <w:t xml:space="preserve"> </w:t>
      </w:r>
      <w:r>
        <w:t xml:space="preserve">•</w:t>
      </w:r>
      <w:r>
        <w:t xml:space="preserve"> </w:t>
      </w:r>
      <w:r>
        <w:t xml:space="preserve">Provide trainings for the users of the system, including operators, officials of MS</w:t>
      </w:r>
      <w:r>
        <w:t xml:space="preserve"> </w:t>
      </w:r>
      <w:r>
        <w:t xml:space="preserve">medcine and customs authorities.</w:t>
      </w:r>
      <w:r>
        <w:br/>
      </w:r>
      <w:r>
        <w:t xml:space="preserve">•</w:t>
      </w:r>
      <w:r>
        <w:t xml:space="preserve"> </w:t>
      </w:r>
      <w:r>
        <w:t xml:space="preserve">Provide the GUI (user interface) of the system in all EU languages. The platform will</w:t>
      </w:r>
      <w:r>
        <w:t xml:space="preserve"> </w:t>
      </w:r>
      <w:r>
        <w:t xml:space="preserve">be able to support other languages for the future needs, apart from Latin and Cyrillic alphabet</w:t>
      </w:r>
      <w:r>
        <w:br/>
      </w:r>
      <w:r>
        <w:t xml:space="preserve">•</w:t>
      </w:r>
      <w:r>
        <w:t xml:space="preserve"> </w:t>
      </w:r>
      <w:r>
        <w:t xml:space="preserve">Provide a centralised 3rd level IT support in English. The central support from EC will</w:t>
      </w:r>
      <w:r>
        <w:t xml:space="preserve"> </w:t>
      </w:r>
      <w:r>
        <w:t xml:space="preserve">be provided only to national service desks of customs authorities, not for businesses. Technical</w:t>
      </w:r>
      <w:r>
        <w:t xml:space="preserve"> </w:t>
      </w:r>
      <w:r>
        <w:t xml:space="preserve">Support will be provided by DG DIGIT.</w:t>
      </w:r>
      <w:r>
        <w:t xml:space="preserve"> </w:t>
      </w:r>
      <w:r>
        <w:t xml:space="preserve">3. LIMITATIONS IN QUANTIFYING IMPACT ON CRIME, HEALTH AND ENVIRONMENT.</w:t>
      </w:r>
      <w:r>
        <w:t xml:space="preserve"> </w:t>
      </w:r>
      <w:r>
        <w:t xml:space="preserve">The approach to determining the impact on crime and the ultimate health and environmental</w:t>
      </w:r>
      <w:r>
        <w:t xml:space="preserve"> </w:t>
      </w:r>
      <w:r>
        <w:t xml:space="preserve">implications of revising the EU drug precursors regulation is a multi-faceted process. This</w:t>
      </w:r>
      <w:r>
        <w:t xml:space="preserve"> </w:t>
      </w:r>
      <w:r>
        <w:t xml:space="preserve">initiative is expected to indirectly affect illicit drug manufacturing and markets, thus yielding</w:t>
      </w:r>
      <w:r>
        <w:t xml:space="preserve"> </w:t>
      </w:r>
      <w:r>
        <w:t xml:space="preserve">social benefits such as reduced crime and enhanced public health. However, realizing these</w:t>
      </w:r>
      <w:r>
        <w:t xml:space="preserve"> </w:t>
      </w:r>
      <w:r>
        <w:t xml:space="preserve">benefits involves a complex impact chain with external factors influencing each stage.</w:t>
      </w:r>
      <w:r>
        <w:t xml:space="preserve"> </w:t>
      </w:r>
      <w:r>
        <w:t xml:space="preserve">The impact chain:</w:t>
      </w:r>
    </w:p>
    <w:p>
      <w:pPr>
        <w:pStyle w:val="BodyText"/>
      </w:pPr>
      <w:r>
        <w:t xml:space="preserve">The ultimate aim is to make it more difficult for criminal organizations to obtain drug</w:t>
      </w:r>
      <w:r>
        <w:t xml:space="preserve"> </w:t>
      </w:r>
      <w:r>
        <w:t xml:space="preserve">precursors. By disrupting illegal drug manufacturing, the regulation could potentially decrease</w:t>
      </w:r>
      <w:r>
        <w:t xml:space="preserve"> </w:t>
      </w:r>
      <w:r>
        <w:t xml:space="preserve">the availability of illicit drugs, with resulting benefits like reduced drug-related health issues.</w:t>
      </w:r>
      <w:r>
        <w:t xml:space="preserve"> </w:t>
      </w:r>
      <w:r>
        <w:t xml:space="preserve">Nevertheless, these effects depend on effective law enforcement and the adaptive behaviour of</w:t>
      </w:r>
      <w:r>
        <w:t xml:space="preserve"> </w:t>
      </w:r>
      <w:r>
        <w:t xml:space="preserve">illicit market actors.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3.1.</w:t>
      </w:r>
      <w:r>
        <w:t xml:space="preserve"> </w:t>
      </w:r>
      <w:r>
        <w:t xml:space="preserve">REDUCTION IN THE AVAILABILITY OF PRECURSORS FOR ILLICIT DRUGS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Regarding policy revision effects, methodological limitations make it difficult to quantify</w:t>
      </w:r>
      <w:r>
        <w:t xml:space="preserve"> </w:t>
      </w:r>
      <w:r>
        <w:t xml:space="preserve">changes in precursor availability. The extent of illegal activities is largely unknown, so</w:t>
      </w:r>
      <w:r>
        <w:t xml:space="preserve"> </w:t>
      </w:r>
      <w:r>
        <w:t xml:space="preserve">qualitative assessments rely on law enforcement indicators such as seizure volumes and</w:t>
      </w:r>
      <w:r>
        <w:t xml:space="preserve"> </w:t>
      </w:r>
      <w:r>
        <w:t xml:space="preserve">trends. These indicators, though informative, are not directly correlated with the underlying</w:t>
      </w:r>
      <w:r>
        <w:t xml:space="preserve"> </w:t>
      </w:r>
      <w:r>
        <w:t xml:space="preserve">illegal activities due to variations in national legal frameworks, enforcement capacities, and</w:t>
      </w:r>
      <w:r>
        <w:t xml:space="preserve"> </w:t>
      </w:r>
      <w:r>
        <w:t xml:space="preserve">other factors.</w:t>
      </w:r>
      <w:r>
        <w:t xml:space="preserve"> </w:t>
      </w:r>
      <w:r>
        <w:t xml:space="preserve">The impact on illicit drug supply, theoretically affected by precursor availability, similarly</w:t>
      </w:r>
      <w:r>
        <w:t xml:space="preserve"> </w:t>
      </w:r>
      <w:r>
        <w:t xml:space="preserve">presents measurement challenges. Reliable supply data is lacking, and the metrics for demand,</w:t>
      </w:r>
      <w:r>
        <w:t xml:space="preserve"> </w:t>
      </w:r>
      <w:r>
        <w:t xml:space="preserve">including surveys and wastewater analysis, have inherent limitations. Furthermore, the illicit</w:t>
      </w:r>
      <w:r>
        <w:t xml:space="preserve"> </w:t>
      </w:r>
      <w:r>
        <w:t xml:space="preserve">drug trade is not solely linked to EU consumption, as products are frequently exported, and</w:t>
      </w:r>
      <w:r>
        <w:t xml:space="preserve"> </w:t>
      </w:r>
      <w:r>
        <w:t xml:space="preserve">local users may consume imported drugs. Substitution behaviours among users and other</w:t>
      </w:r>
      <w:r>
        <w:t xml:space="preserve"> </w:t>
      </w:r>
      <w:r>
        <w:t xml:space="preserve">factors like social attitudes also influence demand, complicating the establishment of</w:t>
      </w:r>
      <w:r>
        <w:t xml:space="preserve"> </w:t>
      </w:r>
      <w:r>
        <w:t xml:space="preserve">significant correlations between precursor control and drug supply.</w:t>
      </w:r>
      <w:r>
        <w:t xml:space="preserve"> </w:t>
      </w:r>
      <w:r>
        <w:t xml:space="preserve">Literature22 and EU experience provides mixed results on regulatory interventions, revealing</w:t>
      </w:r>
      <w:r>
        <w:t xml:space="preserve"> </w:t>
      </w:r>
      <w:r>
        <w:t xml:space="preserve">that comprehensive, large-scale measures often yield better results than small-scale measures.</w:t>
      </w:r>
      <w:r>
        <w:t xml:space="preserve"> </w:t>
      </w:r>
      <w:r>
        <w:t xml:space="preserve">For instance, following the EU’s scheduling of a significant number of new precursors in July</w:t>
      </w:r>
      <w:r>
        <w:t xml:space="preserve"> </w:t>
      </w:r>
      <w:r>
        <w:t xml:space="preserve">2020, there was a notable and sustained decline in seizures compared to previous rounds that</w:t>
      </w:r>
      <w:r>
        <w:t xml:space="preserve"> </w:t>
      </w:r>
      <w:r>
        <w:t xml:space="preserve">targeted fewer substances. Moreover, the speed with which new designer precursors are</w:t>
      </w:r>
      <w:r>
        <w:t xml:space="preserve"> </w:t>
      </w:r>
      <w:r>
        <w:t xml:space="preserve">regulated plays a vital role; slow regulatory response can give drug manufacturers time to find</w:t>
      </w:r>
      <w:r>
        <w:t xml:space="preserve"> </w:t>
      </w:r>
      <w:r>
        <w:t xml:space="preserve">alternative, non-regulated precursors23. Consequently, while regulatory efforts disrupt the</w:t>
      </w:r>
      <w:r>
        <w:t xml:space="preserve"> </w:t>
      </w:r>
      <w:r>
        <w:t xml:space="preserve">illicit trade temporarily, continuous advancements and prompt intervention are necessary to</w:t>
      </w:r>
      <w:r>
        <w:t xml:space="preserve"> </w:t>
      </w:r>
      <w:r>
        <w:t xml:space="preserve">maintain effectiveness.</w:t>
      </w:r>
      <w:r>
        <w:br/>
      </w:r>
      <w:r>
        <w:t xml:space="preserve">-</w:t>
      </w:r>
      <w:r>
        <w:t xml:space="preserve"> </w:t>
      </w:r>
      <w:r>
        <w:t xml:space="preserve">Scheduling precursors</w:t>
      </w:r>
      <w:r>
        <w:t xml:space="preserve"> </w:t>
      </w:r>
      <w:r>
        <w:t xml:space="preserve">The analysis of the impact of EU scheduling on the availability of designer precursors shows</w:t>
      </w:r>
      <w:r>
        <w:t xml:space="preserve"> </w:t>
      </w:r>
      <w:r>
        <w:t xml:space="preserve">significant, albeit varying, trends. Data for nine designer precursors, scheduled at different</w:t>
      </w:r>
      <w:r>
        <w:t xml:space="preserve"> </w:t>
      </w:r>
      <w:r>
        <w:t xml:space="preserve">times, reveal key insights24:</w:t>
      </w:r>
      <w:r>
        <w:t xml:space="preserve"> </w:t>
      </w:r>
      <w:r>
        <w:t xml:space="preserve">-</w:t>
      </w:r>
      <w:r>
        <w:t xml:space="preserve"> </w:t>
      </w:r>
      <w:r>
        <w:t xml:space="preserve">General reductions post-scheduling: There is a consistent reduction in both the</w:t>
      </w:r>
      <w:r>
        <w:t xml:space="preserve"> </w:t>
      </w:r>
      <w:r>
        <w:t xml:space="preserve">number and volume of seizures after scheduling. The data indicates that the number of</w:t>
      </w:r>
      <w:r>
        <w:t xml:space="preserve"> </w:t>
      </w:r>
      <w:r>
        <w:t xml:space="preserve">cases typically halved following scheduling (down ~47% over 12-36 months), while the</w:t>
      </w:r>
      <w:r>
        <w:t xml:space="preserve"> </w:t>
      </w:r>
      <w:r>
        <w:t xml:space="preserve">volume of seizures decreased even more significantly, dropping to 9% over 36 months.</w:t>
      </w:r>
      <w:r>
        <w:t xml:space="preserve"> </w:t>
      </w:r>
      <w:r>
        <w:t xml:space="preserve">This suggests a substantial impact on the circulation of designer precursors.</w:t>
      </w:r>
      <w:r>
        <w:t xml:space="preserve"> </w:t>
      </w:r>
      <w:r>
        <w:t xml:space="preserve">-</w:t>
      </w:r>
      <w:r>
        <w:t xml:space="preserve"> </w:t>
      </w:r>
      <w:r>
        <w:t xml:space="preserve">Variability across substances: Some substances, like APAA and PMK glycidic acid,</w:t>
      </w:r>
      <w:r>
        <w:t xml:space="preserve"> </w:t>
      </w:r>
      <w:r>
        <w:t xml:space="preserve">saw near disappearance post-scheduling, while others like BMK glycidic acid and PMK</w:t>
      </w:r>
    </w:p>
    <w:p>
      <w:pPr>
        <w:pStyle w:val="BodyText"/>
      </w:pPr>
      <w:r>
        <w:t xml:space="preserve">22 for instance: https://www.ncbi.nlm.nih.gov/pmc/articles/PMC7370931/; Petruželka, Benjamin, and Miroslav Barták. 2020.</w:t>
      </w:r>
      <w:r>
        <w:t xml:space="preserve"> </w:t>
      </w:r>
      <w:r>
        <w:t xml:space="preserve">“The Identification of Precursor Regulation Impact on the Methamphetamine Market and Public Health Indicators in the Czech</w:t>
      </w:r>
      <w:r>
        <w:t xml:space="preserve"> </w:t>
      </w:r>
      <w:r>
        <w:t xml:space="preserve">Republic: Time Series Structural Break Analysis.” International Journal of Environmental Research and Public Health 17 (21):</w:t>
      </w:r>
      <w:r>
        <w:t xml:space="preserve"> </w:t>
      </w:r>
      <w:r>
        <w:t xml:space="preserve">7840. https://doi.org/10.3390/ijerph17217840; Australian Institute of Criminology, The price elasticity of demand for illicit</w:t>
      </w:r>
      <w:r>
        <w:t xml:space="preserve"> </w:t>
      </w:r>
      <w:r>
        <w:t xml:space="preserve">drugs: A systematic review, Trends and Issues in crime and criminal justice October 2020.; In 2023, the number of death related</w:t>
      </w:r>
      <w:r>
        <w:t xml:space="preserve"> </w:t>
      </w:r>
      <w:r>
        <w:t xml:space="preserve">to</w:t>
      </w:r>
      <w:r>
        <w:t xml:space="preserve"> </w:t>
      </w:r>
      <w:r>
        <w:t xml:space="preserve">synthetic</w:t>
      </w:r>
      <w:r>
        <w:t xml:space="preserve"> </w:t>
      </w:r>
      <w:r>
        <w:t xml:space="preserve">opioids</w:t>
      </w:r>
      <w:r>
        <w:t xml:space="preserve"> </w:t>
      </w:r>
      <w:r>
        <w:t xml:space="preserve">amounted</w:t>
      </w:r>
      <w:r>
        <w:t xml:space="preserve"> </w:t>
      </w:r>
      <w:r>
        <w:t xml:space="preserve">to</w:t>
      </w:r>
      <w:r>
        <w:t xml:space="preserve"> </w:t>
      </w:r>
      <w:r>
        <w:t xml:space="preserve">nearly</w:t>
      </w:r>
      <w:r>
        <w:t xml:space="preserve"> </w:t>
      </w:r>
      <w:r>
        <w:t xml:space="preserve">75,000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Source:</w:t>
      </w:r>
      <w:r>
        <w:t xml:space="preserve"> </w:t>
      </w:r>
      <w:r>
        <w:t xml:space="preserve">https://www.cdc.gov/nchs/pressroom/nchs_press_releases/2024/20240515.html ;</w:t>
      </w:r>
      <w:r>
        <w:br/>
      </w:r>
      <w:r>
        <w:t xml:space="preserve">23 Bouchard, M. and Ponce, C., ‘Structuring adaptations: Resilience, restrictive deterrence, and the Cunningham</w:t>
      </w:r>
      <w:r>
        <w:t xml:space="preserve"> </w:t>
      </w:r>
      <w:r>
        <w:t xml:space="preserve">precursor control papers’, International Journal of Drug Policy, Vol. 138, (2025), pp. 1-4.</w:t>
      </w:r>
      <w:r>
        <w:t xml:space="preserve"> </w:t>
      </w:r>
      <w:r>
        <w:t xml:space="preserve">24 APAAN - Scheduled in November 2013; BMK glycidic acid - Scheduled in July 2020; PMK glycidic acid -</w:t>
      </w:r>
      <w:r>
        <w:t xml:space="preserve"> </w:t>
      </w:r>
      <w:r>
        <w:t xml:space="preserve">Scheduled in July 2020; APAA - Scheduled in July 2020; BMK methyl glycidate - Scheduled in July 2020; PMK</w:t>
      </w:r>
      <w:r>
        <w:t xml:space="preserve"> </w:t>
      </w:r>
      <w:r>
        <w:t xml:space="preserve">methyl glycidate - Scheduled in July 2020; MAPA - Scheduled in July 2020; DEPAPD - Scheduled in November</w:t>
      </w:r>
      <w:r>
        <w:t xml:space="preserve"> </w:t>
      </w:r>
      <w:r>
        <w:t xml:space="preserve">2022; PMK ethyl glycidate - Scheduled in November 2022.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ethyl glycidate remained resilient. APAAN continues to be seized despite regulations</w:t>
      </w:r>
      <w:r>
        <w:t xml:space="preserve"> </w:t>
      </w:r>
      <w:r>
        <w:t xml:space="preserve">since 2013, due to mislabelling practices by smugglers, highlighting the role of detection</w:t>
      </w:r>
      <w:r>
        <w:t xml:space="preserve"> </w:t>
      </w:r>
      <w:r>
        <w:t xml:space="preserve">capabilities over regulatory status.</w:t>
      </w:r>
      <w:r>
        <w:t xml:space="preserve"> </w:t>
      </w:r>
      <w:r>
        <w:t xml:space="preserve">-</w:t>
      </w:r>
      <w:r>
        <w:t xml:space="preserve"> </w:t>
      </w:r>
      <w:r>
        <w:t xml:space="preserve">Impact on amphetamine and methamphetamine precursors: Between 2020 and</w:t>
      </w:r>
      <w:r>
        <w:t xml:space="preserve"> </w:t>
      </w:r>
      <w:r>
        <w:t xml:space="preserve">2022, seizures fell from around 10 tonnes to 2 tonnes quarterly, an estimated 60%</w:t>
      </w:r>
      <w:r>
        <w:t xml:space="preserve"> </w:t>
      </w:r>
      <w:r>
        <w:t xml:space="preserve">reduction in trade volume that would have occurred without intervention. These results</w:t>
      </w:r>
      <w:r>
        <w:t xml:space="preserve"> </w:t>
      </w:r>
      <w:r>
        <w:t xml:space="preserve">were partly due to the scheduling of substances like MAPA and APAA, confirming the</w:t>
      </w:r>
      <w:r>
        <w:t xml:space="preserve"> </w:t>
      </w:r>
      <w:r>
        <w:t xml:space="preserve">temporary impact of scheduling.</w:t>
      </w:r>
      <w:r>
        <w:t xml:space="preserve"> </w:t>
      </w:r>
      <w:r>
        <w:t xml:space="preserve">-</w:t>
      </w:r>
      <w:r>
        <w:t xml:space="preserve"> </w:t>
      </w:r>
      <w:r>
        <w:t xml:space="preserve">Role of consistency and substitution: The effects of prohibition are not uniform, as</w:t>
      </w:r>
      <w:r>
        <w:t xml:space="preserve"> </w:t>
      </w:r>
      <w:r>
        <w:t xml:space="preserve">some substances persist in trade despite controls. This underscores the importance of</w:t>
      </w:r>
      <w:r>
        <w:t xml:space="preserve"> </w:t>
      </w:r>
      <w:r>
        <w:t xml:space="preserve">consistent application of regulation across the EU and internationally. Benefits from</w:t>
      </w:r>
      <w:r>
        <w:t xml:space="preserve"> </w:t>
      </w:r>
      <w:r>
        <w:t xml:space="preserve">scheduling are often temporary, as new precursors emerge, necessitating broader bans</w:t>
      </w:r>
      <w:r>
        <w:t xml:space="preserve"> </w:t>
      </w:r>
      <w:r>
        <w:t xml:space="preserve">for lasting impact.</w:t>
      </w:r>
    </w:p>
    <w:p>
      <w:pPr>
        <w:pStyle w:val="BodyText"/>
      </w:pPr>
      <w:r>
        <w:t xml:space="preserve">Response time</w:t>
      </w:r>
      <w:r>
        <w:t xml:space="preserve"> </w:t>
      </w:r>
      <w:r>
        <w:t xml:space="preserve">The timely regulation of designer precursors plays a crucial role in controlling illicit drug</w:t>
      </w:r>
      <w:r>
        <w:t xml:space="preserve"> </w:t>
      </w:r>
      <w:r>
        <w:t xml:space="preserve">manufacturing. Key points and quantified impacts from the analysis of the EU drug</w:t>
      </w:r>
      <w:r>
        <w:t xml:space="preserve"> </w:t>
      </w:r>
      <w:r>
        <w:t xml:space="preserve">precursors database include:</w:t>
      </w:r>
      <w:r>
        <w:t xml:space="preserve"> </w:t>
      </w:r>
      <w:r>
        <w:t xml:space="preserve">•</w:t>
      </w:r>
      <w:r>
        <w:t xml:space="preserve"> </w:t>
      </w:r>
      <w:r>
        <w:t xml:space="preserve">Delay in scheduling impacts: Substances such as APAA circulated for seven years</w:t>
      </w:r>
      <w:r>
        <w:t xml:space="preserve"> </w:t>
      </w:r>
      <w:r>
        <w:t xml:space="preserve">before being scheduled, resulting in sizable seizures of 57,000 kg. After scheduling,</w:t>
      </w:r>
      <w:r>
        <w:t xml:space="preserve"> </w:t>
      </w:r>
      <w:r>
        <w:t xml:space="preserve">this figure dropped to just 62 kg in three years. PMK methyl glycidate saw seizures</w:t>
      </w:r>
      <w:r>
        <w:t xml:space="preserve"> </w:t>
      </w:r>
      <w:r>
        <w:t xml:space="preserve">decline from 44,000 kg before scheduling to a mere 50 kg afterward.</w:t>
      </w:r>
      <w:r>
        <w:t xml:space="preserve"> </w:t>
      </w:r>
      <w:r>
        <w:t xml:space="preserve">•</w:t>
      </w:r>
      <w:r>
        <w:t xml:space="preserve"> </w:t>
      </w:r>
      <w:r>
        <w:t xml:space="preserve">Significance of timeliness: Hypothetical scenarios indicate scheduling within 2 years</w:t>
      </w:r>
      <w:r>
        <w:t xml:space="preserve"> </w:t>
      </w:r>
      <w:r>
        <w:t xml:space="preserve">of first detection could result in a 90% reduction in illicit trade, and an 80% reduction</w:t>
      </w:r>
      <w:r>
        <w:t xml:space="preserve"> </w:t>
      </w:r>
      <w:r>
        <w:t xml:space="preserve">with a 4-year delay. Timely regulatory actions post-2020 reflected a 60%</w:t>
      </w:r>
      <w:r>
        <w:t xml:space="preserve"> </w:t>
      </w:r>
      <w:r>
        <w:t xml:space="preserve">reduction in illicit trade volume, underscoring substantial benefits from prompt</w:t>
      </w:r>
      <w:r>
        <w:t xml:space="preserve"> </w:t>
      </w:r>
      <w:r>
        <w:t xml:space="preserve">interventions.</w:t>
      </w:r>
      <w:r>
        <w:t xml:space="preserve"> </w:t>
      </w:r>
      <w:r>
        <w:t xml:space="preserve">•</w:t>
      </w:r>
      <w:r>
        <w:t xml:space="preserve"> </w:t>
      </w:r>
      <w:r>
        <w:t xml:space="preserve">Improving Response Time: Current scheduling, taking 10-17 months, can be</w:t>
      </w:r>
      <w:r>
        <w:t xml:space="preserve"> </w:t>
      </w:r>
      <w:r>
        <w:t xml:space="preserve">shortened:</w:t>
      </w:r>
      <w:r>
        <w:t xml:space="preserve"> </w:t>
      </w:r>
      <w:r>
        <w:t xml:space="preserve">o Reducing the scrutiny period by 1 month will reduce the overall scheduling</w:t>
      </w:r>
      <w:r>
        <w:t xml:space="preserve"> </w:t>
      </w:r>
      <w:r>
        <w:t xml:space="preserve">time by 5-10%, potentially resulting in a 1-3% reduction in illicit trade.</w:t>
      </w:r>
      <w:r>
        <w:t xml:space="preserve"> </w:t>
      </w:r>
      <w:r>
        <w:t xml:space="preserve">o Introducing an urgency procedure for delegated acts concerning new scheduled</w:t>
      </w:r>
      <w:r>
        <w:t xml:space="preserve"> </w:t>
      </w:r>
      <w:r>
        <w:t xml:space="preserve">substances will potentially save up to three months, reducing the scheduling</w:t>
      </w:r>
      <w:r>
        <w:t xml:space="preserve"> </w:t>
      </w:r>
      <w:r>
        <w:t xml:space="preserve">time by 15-30%. The anticipated benefit of these options is a reduction in illicit</w:t>
      </w:r>
      <w:r>
        <w:t xml:space="preserve"> </w:t>
      </w:r>
      <w:r>
        <w:t xml:space="preserve">trade amounting to approximately 3%.</w:t>
      </w:r>
      <w:r>
        <w:t xml:space="preserve"> </w:t>
      </w:r>
      <w:r>
        <w:t xml:space="preserve">•</w:t>
      </w:r>
      <w:r>
        <w:t xml:space="preserve"> </w:t>
      </w:r>
      <w:r>
        <w:t xml:space="preserve">Proactive scheduling benefits: Faster regulation, akin to scheduling substances before</w:t>
      </w:r>
      <w:r>
        <w:t xml:space="preserve"> </w:t>
      </w:r>
      <w:r>
        <w:t xml:space="preserve">illicit use is evident, can significantly reduce circulation. The impacts, though</w:t>
      </w:r>
      <w:r>
        <w:t xml:space="preserve"> </w:t>
      </w:r>
      <w:r>
        <w:t xml:space="preserve">temporary, can disrupt illegal supply chains and are potentially multiplied by</w:t>
      </w:r>
      <w:r>
        <w:t xml:space="preserve"> </w:t>
      </w:r>
      <w:r>
        <w:t xml:space="preserve">international cooperation, raising control levels globally.</w:t>
      </w:r>
      <w:r>
        <w:t xml:space="preserve"> </w:t>
      </w:r>
      <w:r>
        <w:t xml:space="preserve">These findings underline the complexity of assessing and counteracting illicit drug precursor</w:t>
      </w:r>
      <w:r>
        <w:t xml:space="preserve"> </w:t>
      </w:r>
      <w:r>
        <w:t xml:space="preserve">trades, highlighting the essential need for nuanced approaches tailored to current patterns of</w:t>
      </w:r>
      <w:r>
        <w:t xml:space="preserve"> </w:t>
      </w:r>
      <w:r>
        <w:t xml:space="preserve">illegal activity and rapid adaptation by criminal networks.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3.2.</w:t>
      </w:r>
      <w:r>
        <w:t xml:space="preserve"> </w:t>
      </w:r>
      <w:r>
        <w:t xml:space="preserve">INDIRECT IMPACT ON DRUGS AVAILABILITY</w:t>
      </w:r>
      <w:r>
        <w:t xml:space="preserve"> </w:t>
      </w:r>
      <w:r>
        <w:t xml:space="preserve">The primary goal of controlling drug precursors is to disrupt illicit drug markets and</w:t>
      </w:r>
      <w:r>
        <w:t xml:space="preserve"> </w:t>
      </w:r>
      <w:r>
        <w:t xml:space="preserve">mitigate public health issues, rather than focusing solely on precursor availability. Key</w:t>
      </w:r>
      <w:r>
        <w:t xml:space="preserve"> </w:t>
      </w:r>
      <w:r>
        <w:t xml:space="preserve">insights from the literature25 analysis include:</w:t>
      </w:r>
      <w:r>
        <w:t xml:space="preserve"> </w:t>
      </w:r>
      <w:r>
        <w:t xml:space="preserve">•</w:t>
      </w:r>
      <w:r>
        <w:t xml:space="preserve"> </w:t>
      </w:r>
      <w:r>
        <w:t xml:space="preserve">Market Availability and Price:</w:t>
      </w:r>
      <w:r>
        <w:t xml:space="preserve"> </w:t>
      </w:r>
      <w:r>
        <w:t xml:space="preserve">•</w:t>
      </w:r>
      <w:r>
        <w:t xml:space="preserve"> </w:t>
      </w:r>
      <w:r>
        <w:t xml:space="preserve">Controlling precursors can lead to temporary drug unavailability due to</w:t>
      </w:r>
      <w:r>
        <w:t xml:space="preserve"> </w:t>
      </w:r>
      <w:r>
        <w:t xml:space="preserve">enforcement actions, although effects may be short-lived.</w:t>
      </w:r>
      <w:r>
        <w:t xml:space="preserve"> </w:t>
      </w:r>
      <w:r>
        <w:t xml:space="preserve">•</w:t>
      </w:r>
      <w:r>
        <w:t xml:space="preserve"> </w:t>
      </w:r>
      <w:r>
        <w:t xml:space="preserve">Changes in illicit drug prices and purity can occur as producers adapt by finding</w:t>
      </w:r>
      <w:r>
        <w:t xml:space="preserve"> </w:t>
      </w:r>
      <w:r>
        <w:t xml:space="preserve">new precursors or altering product composition.</w:t>
      </w:r>
      <w:r>
        <w:t xml:space="preserve"> </w:t>
      </w:r>
      <w:r>
        <w:t xml:space="preserve">•</w:t>
      </w:r>
      <w:r>
        <w:t xml:space="preserve"> </w:t>
      </w:r>
      <w:r>
        <w:t xml:space="preserve">Studies show limited evidence of precursor control significantly impacting drug</w:t>
      </w:r>
      <w:r>
        <w:t xml:space="preserve"> </w:t>
      </w:r>
      <w:r>
        <w:t xml:space="preserve">price or purity, with few exceptions like the early U.S. regulations.</w:t>
      </w:r>
      <w:r>
        <w:t xml:space="preserve"> </w:t>
      </w:r>
      <w:r>
        <w:t xml:space="preserve">•</w:t>
      </w:r>
      <w:r>
        <w:t xml:space="preserve"> </w:t>
      </w:r>
      <w:r>
        <w:t xml:space="preserve">Impact Limitations:</w:t>
      </w:r>
      <w:r>
        <w:t xml:space="preserve"> </w:t>
      </w:r>
      <w:r>
        <w:t xml:space="preserve">•</w:t>
      </w:r>
      <w:r>
        <w:t xml:space="preserve"> </w:t>
      </w:r>
      <w:r>
        <w:t xml:space="preserve">Methodological challenges make it difficult to correlate regulation with drug</w:t>
      </w:r>
      <w:r>
        <w:t xml:space="preserve"> </w:t>
      </w:r>
      <w:r>
        <w:t xml:space="preserve">market trends, such as using seizures as market proxies or dealing with varied</w:t>
      </w:r>
      <w:r>
        <w:t xml:space="preserve"> </w:t>
      </w:r>
      <w:r>
        <w:t xml:space="preserve">data on price and purity.</w:t>
      </w:r>
      <w:r>
        <w:t xml:space="preserve"> </w:t>
      </w:r>
      <w:r>
        <w:t xml:space="preserve">•</w:t>
      </w:r>
      <w:r>
        <w:t xml:space="preserve"> </w:t>
      </w:r>
      <w:r>
        <w:t xml:space="preserve">Illicit drug demand is weakly price-elastic, meaning price changes have less</w:t>
      </w:r>
      <w:r>
        <w:t xml:space="preserve"> </w:t>
      </w:r>
      <w:r>
        <w:t xml:space="preserve">impact on demand. Demand is also influenced by broader socio-cultural factors.</w:t>
      </w:r>
      <w:r>
        <w:t xml:space="preserve"> </w:t>
      </w:r>
      <w:r>
        <w:t xml:space="preserve">•</w:t>
      </w:r>
      <w:r>
        <w:t xml:space="preserve"> </w:t>
      </w:r>
      <w:r>
        <w:t xml:space="preserve">Public Health Outcomes:</w:t>
      </w:r>
      <w:r>
        <w:t xml:space="preserve"> </w:t>
      </w:r>
      <w:r>
        <w:t xml:space="preserve">•</w:t>
      </w:r>
      <w:r>
        <w:t xml:space="preserve"> </w:t>
      </w:r>
      <w:r>
        <w:t xml:space="preserve">The public health impact of precursor control varies, influenced by drug toxicity,</w:t>
      </w:r>
      <w:r>
        <w:t xml:space="preserve"> </w:t>
      </w:r>
      <w:r>
        <w:t xml:space="preserve">use patterns, and healthcare system performance.</w:t>
      </w:r>
      <w:r>
        <w:t xml:space="preserve"> </w:t>
      </w:r>
      <w:r>
        <w:t xml:space="preserve">•</w:t>
      </w:r>
      <w:r>
        <w:t xml:space="preserve"> </w:t>
      </w:r>
      <w:r>
        <w:t xml:space="preserve">Literature reviews show mixed outcomes from precursor regulations, with some</w:t>
      </w:r>
      <w:r>
        <w:t xml:space="preserve"> </w:t>
      </w:r>
      <w:r>
        <w:t xml:space="preserve">interventions correlating with decreased treatment needs and others having no</w:t>
      </w:r>
      <w:r>
        <w:t xml:space="preserve"> </w:t>
      </w:r>
      <w:r>
        <w:t xml:space="preserve">significant effect or opposite results.</w:t>
      </w:r>
      <w:r>
        <w:t xml:space="preserve"> </w:t>
      </w:r>
      <w:r>
        <w:t xml:space="preserve">•</w:t>
      </w:r>
      <w:r>
        <w:t xml:space="preserve"> </w:t>
      </w:r>
      <w:r>
        <w:t xml:space="preserve">Case studies, like Mexico’s 2008 ban and Canada’s 2003-2004 regulations,</w:t>
      </w:r>
      <w:r>
        <w:t xml:space="preserve"> </w:t>
      </w:r>
      <w:r>
        <w:t xml:space="preserve">illustrate diverse health impacts.</w:t>
      </w:r>
      <w:r>
        <w:t xml:space="preserve"> </w:t>
      </w:r>
      <w:r>
        <w:t xml:space="preserve">•</w:t>
      </w:r>
      <w:r>
        <w:t xml:space="preserve"> </w:t>
      </w:r>
      <w:r>
        <w:t xml:space="preserve">Complexity of Estimating Benefits:</w:t>
      </w:r>
      <w:r>
        <w:t xml:space="preserve"> </w:t>
      </w:r>
      <w:r>
        <w:t xml:space="preserve">•</w:t>
      </w:r>
      <w:r>
        <w:t xml:space="preserve"> </w:t>
      </w:r>
      <w:r>
        <w:t xml:space="preserve">While enhanced control of designer precursors might reduce treatment demand</w:t>
      </w:r>
      <w:r>
        <w:t xml:space="preserve"> </w:t>
      </w:r>
      <w:r>
        <w:t xml:space="preserve">for synthetic drug use, predicting effectiveness is challenging due to</w:t>
      </w:r>
      <w:r>
        <w:t xml:space="preserve"> </w:t>
      </w:r>
      <w:r>
        <w:t xml:space="preserve">confounding factors.</w:t>
      </w:r>
      <w:r>
        <w:t xml:space="preserve"> </w:t>
      </w:r>
      <w:r>
        <w:t xml:space="preserve">1. Direct correlations between precursor policies and public health metrics (like</w:t>
      </w:r>
      <w:r>
        <w:t xml:space="preserve"> </w:t>
      </w:r>
      <w:r>
        <w:t xml:space="preserve">drug-related mortality) remain underexplored and complex to establish.</w:t>
      </w:r>
      <w:r>
        <w:t xml:space="preserve"> </w:t>
      </w:r>
      <w:r>
        <w:t xml:space="preserve">Overall, the effectiveness of precursor regulation on disrupting drug markets and</w:t>
      </w:r>
      <w:r>
        <w:t xml:space="preserve"> </w:t>
      </w:r>
      <w:r>
        <w:t xml:space="preserve">improving public health is not straightforward, involving multiple confounding factors and</w:t>
      </w:r>
      <w:r>
        <w:t xml:space="preserve"> </w:t>
      </w:r>
      <w:r>
        <w:t xml:space="preserve">varied regional impacts.</w:t>
      </w:r>
    </w:p>
    <w:p>
      <w:pPr>
        <w:pStyle w:val="BodyText"/>
      </w:pPr>
      <w:r>
        <w:t xml:space="preserve">25The study included in the review: Berbatis, Sunderland, and Dhaliwal 2009; Brandenburg et al. 2007; Callaghan et al. 2009;</w:t>
      </w:r>
      <w:r>
        <w:t xml:space="preserve"> </w:t>
      </w:r>
      <w:r>
        <w:t xml:space="preserve">J. Cunningham 2013; J. K. Cunningham et al. 2010; J. K. Cunningham, Callaghan, and Liu 2015; J. K. Cunningham et al. </w:t>
      </w:r>
      <w:r>
        <w:t xml:space="preserve"> </w:t>
      </w:r>
      <w:r>
        <w:t xml:space="preserve">2012; J. K. Cunningham and Liu 2008; J. K. Cunningham, Liu, and Callaghan 2013; 2016; J. K. Cunningham and Liu 2003;</w:t>
      </w:r>
      <w:r>
        <w:t xml:space="preserve"> </w:t>
      </w:r>
      <w:r>
        <w:t xml:space="preserve">2005; J. K. Cunningham, Liu, and Callaghan 2009; J. K. Cunningham, Liu, and Muramoto 2008; J. K. Cunningham et al. 2013;</w:t>
      </w:r>
      <w:r>
        <w:t xml:space="preserve"> </w:t>
      </w:r>
      <w:r>
        <w:t xml:space="preserve">S. Cunningham 2015; S. Cunningham, Finlay, and Stoecker 2015; d’Este 2021; Delcher et al. 2017; Dobkin 2009; 2014;</w:t>
      </w:r>
      <w:r>
        <w:t xml:space="preserve"> </w:t>
      </w:r>
      <w:r>
        <w:t xml:space="preserve">Dobkin, Nicosia, and Weinberg 2014; Ferris et al. 2016; Freylejer and Orr 2023; Jones 2022; Mazerolle et al. 2017; D. C.</w:t>
      </w:r>
      <w:r>
        <w:t xml:space="preserve"> </w:t>
      </w:r>
      <w:r>
        <w:t xml:space="preserve">McBride et al. 2011; D. McBride et al. 2009; McGuffog 2012; Nonnemaker 2011; Office for Health Improvement &amp; Disparities</w:t>
      </w:r>
      <w:r>
        <w:t xml:space="preserve"> </w:t>
      </w:r>
      <w:r>
        <w:t xml:space="preserve">2023; Petruželka and Barták 2020; Ponicki et al. 2013; Strang 2012; Sudakin and Power 2009; Wing Lo 2020); Australian</w:t>
      </w:r>
      <w:r>
        <w:t xml:space="preserve"> </w:t>
      </w:r>
      <w:r>
        <w:t xml:space="preserve">Institute of Criminology, The price elasticity of demand for illicit drugs: A systematic review, Trends and Issues in crime and</w:t>
      </w:r>
      <w:r>
        <w:t xml:space="preserve"> </w:t>
      </w:r>
      <w:r>
        <w:t xml:space="preserve">criminal justice October 2020.; In 2023, the number of death related to synthetic opioids amounted to nearly 75,000 in the</w:t>
      </w:r>
      <w:r>
        <w:t xml:space="preserve"> </w:t>
      </w:r>
      <w:r>
        <w:t xml:space="preserve">United States. Source: https://www.cdc.gov/nchs/pressroom/nchs_press_releases/2024/20240515.htm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3.3.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In 2019, a pioneering study by the EUDA assessed the environmental costs of synthetic</w:t>
      </w:r>
      <w:r>
        <w:t xml:space="preserve"> </w:t>
      </w:r>
      <w:r>
        <w:t xml:space="preserve">drug production, particularly in Belgium and the Netherlands26. Key findings include:</w:t>
      </w:r>
      <w:r>
        <w:t xml:space="preserve"> </w:t>
      </w:r>
      <w:r>
        <w:t xml:space="preserve">•</w:t>
      </w:r>
      <w:r>
        <w:t xml:space="preserve"> </w:t>
      </w:r>
      <w:r>
        <w:t xml:space="preserve">Environmental Impact of Production:</w:t>
      </w:r>
      <w:r>
        <w:br/>
      </w:r>
      <w:r>
        <w:t xml:space="preserve">•</w:t>
      </w:r>
      <w:r>
        <w:t xml:space="preserve"> </w:t>
      </w:r>
      <w:r>
        <w:t xml:space="preserve">Synthetic drug production involves hazardous techniques and chemicals, leading</w:t>
      </w:r>
      <w:r>
        <w:t xml:space="preserve"> </w:t>
      </w:r>
      <w:r>
        <w:t xml:space="preserve">to significant environmental damage due to unsafe waste disposal.</w:t>
      </w:r>
      <w:r>
        <w:t xml:space="preserve"> </w:t>
      </w:r>
      <w:r>
        <w:t xml:space="preserve">•</w:t>
      </w:r>
      <w:r>
        <w:t xml:space="preserve"> </w:t>
      </w:r>
      <w:r>
        <w:t xml:space="preserve">Producing 1 kg of MDMA generates 6-10 kg of waste, while amphetamine</w:t>
      </w:r>
      <w:r>
        <w:t xml:space="preserve"> </w:t>
      </w:r>
      <w:r>
        <w:t xml:space="preserve">production produces 20-30 kg of waste. This waste is often illegally dumped,</w:t>
      </w:r>
      <w:r>
        <w:t xml:space="preserve"> </w:t>
      </w:r>
      <w:r>
        <w:t xml:space="preserve">causing environmental and public health risks.</w:t>
      </w:r>
      <w:r>
        <w:t xml:space="preserve"> </w:t>
      </w:r>
      <w:r>
        <w:t xml:space="preserve">•</w:t>
      </w:r>
      <w:r>
        <w:t xml:space="preserve"> </w:t>
      </w:r>
      <w:r>
        <w:t xml:space="preserve">Additional Impact from Designer Precursors:</w:t>
      </w:r>
      <w:r>
        <w:t xml:space="preserve"> </w:t>
      </w:r>
      <w:r>
        <w:t xml:space="preserve">•</w:t>
      </w:r>
      <w:r>
        <w:t xml:space="preserve"> </w:t>
      </w:r>
      <w:r>
        <w:t xml:space="preserve">Designer precursors exacerbate environmental harm as they require conversion</w:t>
      </w:r>
      <w:r>
        <w:t xml:space="preserve"> </w:t>
      </w:r>
      <w:r>
        <w:t xml:space="preserve">to key precursors in</w:t>
      </w:r>
      <w:r>
        <w:t xml:space="preserve"> </w:t>
      </w:r>
      <w:r>
        <w:t xml:space="preserve">‘conversion laboratories’</w:t>
      </w:r>
      <w:r>
        <w:t xml:space="preserve">, generating more chemical waste.</w:t>
      </w:r>
      <w:r>
        <w:t xml:space="preserve"> </w:t>
      </w:r>
      <w:r>
        <w:t xml:space="preserve">•</w:t>
      </w:r>
      <w:r>
        <w:t xml:space="preserve"> </w:t>
      </w:r>
      <w:r>
        <w:t xml:space="preserve">Current Data and Costs:</w:t>
      </w:r>
      <w:r>
        <w:t xml:space="preserve"> </w:t>
      </w:r>
      <w:r>
        <w:t xml:space="preserve">•</w:t>
      </w:r>
      <w:r>
        <w:t xml:space="preserve"> </w:t>
      </w:r>
      <w:r>
        <w:t xml:space="preserve">Recent data identified 234 illegal dumping sites in the EU, with most located in</w:t>
      </w:r>
      <w:r>
        <w:t xml:space="preserve"> </w:t>
      </w:r>
      <w:r>
        <w:t xml:space="preserve">Belgium (41) and the Netherlands (153).</w:t>
      </w:r>
      <w:r>
        <w:t xml:space="preserve"> </w:t>
      </w:r>
      <w:r>
        <w:t xml:space="preserve">•</w:t>
      </w:r>
      <w:r>
        <w:t xml:space="preserve"> </w:t>
      </w:r>
      <w:r>
        <w:t xml:space="preserve">Cleanup costs in these two countries are estimated at EUR 5.7 million, implying</w:t>
      </w:r>
      <w:r>
        <w:t xml:space="preserve"> </w:t>
      </w:r>
      <w:r>
        <w:t xml:space="preserve">nearly EUR 7 million EU-wide. These costs only cover detected sites; the true</w:t>
      </w:r>
      <w:r>
        <w:t xml:space="preserve"> </w:t>
      </w:r>
      <w:r>
        <w:t xml:space="preserve">number of clandestine operations is unknown.</w:t>
      </w:r>
      <w:r>
        <w:t xml:space="preserve"> </w:t>
      </w:r>
      <w:r>
        <w:t xml:space="preserve">•</w:t>
      </w:r>
      <w:r>
        <w:t xml:space="preserve"> </w:t>
      </w:r>
      <w:r>
        <w:t xml:space="preserve">Challenges in Quantification:</w:t>
      </w:r>
      <w:r>
        <w:t xml:space="preserve"> </w:t>
      </w:r>
      <w:r>
        <w:t xml:space="preserve">•</w:t>
      </w:r>
      <w:r>
        <w:t xml:space="preserve"> </w:t>
      </w:r>
      <w:r>
        <w:t xml:space="preserve">The study highlights the difficulty in providing precise estimates of the</w:t>
      </w:r>
      <w:r>
        <w:t xml:space="preserve"> </w:t>
      </w:r>
      <w:r>
        <w:t xml:space="preserve">environmental costs due to the clandestine nature of operations.</w:t>
      </w:r>
      <w:r>
        <w:t xml:space="preserve"> </w:t>
      </w:r>
      <w:r>
        <w:t xml:space="preserve">•</w:t>
      </w:r>
      <w:r>
        <w:t xml:space="preserve"> </w:t>
      </w:r>
      <w:r>
        <w:t xml:space="preserve">Environmental benefits of improved regulation would likely correlate with</w:t>
      </w:r>
      <w:r>
        <w:t xml:space="preserve"> </w:t>
      </w:r>
      <w:r>
        <w:t xml:space="preserve">reductions in illicit drug production, particularly where designer precursors are</w:t>
      </w:r>
      <w:r>
        <w:t xml:space="preserve"> </w:t>
      </w:r>
      <w:r>
        <w:t xml:space="preserve">involved.</w:t>
      </w:r>
      <w:r>
        <w:t xml:space="preserve"> </w:t>
      </w:r>
      <w:r>
        <w:t xml:space="preserve">In conclusion, while the financial and environmental costs of illicit drug manufacturing</w:t>
      </w:r>
      <w:r>
        <w:t xml:space="preserve"> </w:t>
      </w:r>
      <w:r>
        <w:t xml:space="preserve">are substantial, accurately quantifying them and predicting savings from regulatory</w:t>
      </w:r>
      <w:r>
        <w:t xml:space="preserve"> </w:t>
      </w:r>
      <w:r>
        <w:t xml:space="preserve">measures remain challenging due to the secretive operations of illicit drug labs.</w:t>
      </w:r>
    </w:p>
    <w:p>
      <w:pPr>
        <w:pStyle w:val="BodyText"/>
      </w:pPr>
      <w:r>
        <w:t xml:space="preserve">26 Claessens, M., Hardyns, W., Vander Laenen, F. and Verhaeghe, N. (2019), An analysis of the costs of dismantling and</w:t>
      </w:r>
      <w:r>
        <w:t xml:space="preserve"> </w:t>
      </w:r>
      <w:r>
        <w:t xml:space="preserve">cleaning up synthetic drug production sites in Belgium and the Netherlands, EMCDDA, Lisbon;EMCDDA Papers, Drug</w:t>
      </w:r>
      <w:r>
        <w:t xml:space="preserve"> </w:t>
      </w:r>
      <w:r>
        <w:t xml:space="preserve">precursor developments in the European Union, 2019 ; https://www.euda.europa.eu/publications/european-drug-</w:t>
      </w:r>
      <w:r>
        <w:t xml:space="preserve"> </w:t>
      </w:r>
      <w:r>
        <w:t xml:space="preserve">report/2024/drug-supply-production-and-precursors_en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Aggregate impacts of Option 2</w:t>
      </w:r>
      <w:r>
        <w:t xml:space="preserve"> </w:t>
      </w:r>
      <w:r>
        <w:t xml:space="preserve">Annex 4, section 2 for final estimates</w:t>
      </w:r>
      <w:r>
        <w:t xml:space="preserve"> </w:t>
      </w:r>
      <w:r>
        <w:t xml:space="preserve">of benefits and costs in Option 2 with</w:t>
      </w:r>
      <w:r>
        <w:t xml:space="preserve"> </w:t>
      </w:r>
      <w:r>
        <w:t xml:space="preserve">inclusion of Category 4.</w:t>
      </w:r>
      <w:r>
        <w:t xml:space="preserve"> </w:t>
      </w:r>
      <w:r>
        <w:t xml:space="preserve">International competitiveness</w:t>
      </w:r>
      <w:r>
        <w:br/>
      </w:r>
      <w:r>
        <w:t xml:space="preserve">0</w:t>
      </w:r>
      <w:r>
        <w:t xml:space="preserve"> </w:t>
      </w:r>
      <w:r>
        <w:t xml:space="preserve">Impacts of Option 2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Impacts of Option 2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Impacts of Option 2, Annex 6</w:t>
      </w:r>
    </w:p>
    <w:p>
      <w:pPr>
        <w:pStyle w:val="Compact"/>
        <w:numPr>
          <w:ilvl w:val="0"/>
          <w:numId w:val="1008"/>
        </w:numPr>
      </w:pPr>
      <w:r>
        <w:t xml:space="preserve">SYNTHETIC ASSESSMENT</w:t>
      </w:r>
      <w:r>
        <w:br/>
      </w:r>
      <w:r>
        <w:t xml:space="preserve">The preferred option implies significant savings (as summarised in Annex 3.2). Economic</w:t>
      </w:r>
      <w:r>
        <w:t xml:space="preserve"> </w:t>
      </w:r>
      <w:r>
        <w:t xml:space="preserve">operators stand to save EUR 19.8 million annually. However, as these do not have a direct</w:t>
      </w:r>
      <w:r>
        <w:t xml:space="preserve"> </w:t>
      </w:r>
      <w:r>
        <w:t xml:space="preserve">effect on products’ costs, it can only be assumed that there might be a trickle-down effect that</w:t>
      </w:r>
      <w:r>
        <w:t xml:space="preserve"> </w:t>
      </w:r>
      <w:r>
        <w:t xml:space="preserve">would increase the cost and price competitiveness of the chemical industry concerned.</w:t>
      </w:r>
      <w:r>
        <w:br/>
      </w:r>
      <w:r>
        <w:t xml:space="preserve">We do not expect a trickle-down effect of increased enforcement costs onto operators. Fees or</w:t>
      </w:r>
      <w:r>
        <w:t xml:space="preserve"> </w:t>
      </w:r>
      <w:r>
        <w:t xml:space="preserve">charges of public authorities must be based on actual services rendered, not merely on</w:t>
      </w:r>
      <w:r>
        <w:t xml:space="preserve"> </w:t>
      </w:r>
      <w:r>
        <w:t xml:space="preserve">administrative activities that authorities are required to perform as part of their responsibilities.</w:t>
      </w:r>
      <w:r>
        <w:t xml:space="preserve"> </w:t>
      </w:r>
      <w:r>
        <w:t xml:space="preserve">The preferred option is designed to reduce the compliance costs of legal traders through</w:t>
      </w:r>
      <w:r>
        <w:t xml:space="preserve"> </w:t>
      </w:r>
      <w:r>
        <w:t xml:space="preserve">simplification, digitalisation and rationalisation (streamlining) of redundant / inefficient</w:t>
      </w:r>
      <w:r>
        <w:t xml:space="preserve"> </w:t>
      </w:r>
      <w:r>
        <w:t xml:space="preserve">procedures. In turn this should contribute (indirectly) to a modest impact on international</w:t>
      </w:r>
      <w:r>
        <w:t xml:space="preserve"> </w:t>
      </w:r>
      <w:r>
        <w:t xml:space="preserve">competitiveness. It is worth noting that the EU has limited room for manoeuvre given that</w:t>
      </w:r>
      <w:r>
        <w:t xml:space="preserve"> </w:t>
      </w:r>
      <w:r>
        <w:t xml:space="preserve">obligations facing economic operators have their origin in international obligations. But it also</w:t>
      </w:r>
      <w:r>
        <w:t xml:space="preserve"> </w:t>
      </w:r>
      <w:r>
        <w:t xml:space="preserve">means that operators outside the EU face similar obligations and hence that EU businesses are</w:t>
      </w:r>
      <w:r>
        <w:t xml:space="preserve"> </w:t>
      </w:r>
      <w:r>
        <w:t xml:space="preserve">not at a competitive disadvantage provided the controls are relevant, proportionate and efficient.</w:t>
      </w:r>
      <w:r>
        <w:t xml:space="preserve"> </w:t>
      </w:r>
      <w:r>
        <w:t xml:space="preserve">The capacity to innovate would remain largely unaffected by the control measures applied to</w:t>
      </w:r>
      <w:r>
        <w:t xml:space="preserve"> </w:t>
      </w:r>
      <w:r>
        <w:t xml:space="preserve">designer precursors, thanks to small quantity exemptions – designed to facilitate non-</w:t>
      </w:r>
      <w:r>
        <w:t xml:space="preserve"> </w:t>
      </w:r>
      <w:r>
        <w:t xml:space="preserve">commercial transactions like the acquisition of samples, reference standards etc. for research or</w:t>
      </w:r>
      <w:r>
        <w:t xml:space="preserve"> </w:t>
      </w:r>
      <w:r>
        <w:t xml:space="preserve">forensic use – and the establishment of a light ‘prior notification’ mechanisms to allow for</w:t>
      </w:r>
      <w:r>
        <w:t xml:space="preserve"> </w:t>
      </w:r>
      <w:r>
        <w:t xml:space="preserve">occasional legitimate transactions involving banned substances, typically or R&amp;D purposes.</w:t>
      </w:r>
      <w:r>
        <w:t xml:space="preserve"> </w:t>
      </w:r>
      <w:r>
        <w:t xml:space="preserve">The preferred option also entails to limit the scope of the ban, thus minimising the risk of</w:t>
      </w:r>
      <w:r>
        <w:t xml:space="preserve"> </w:t>
      </w:r>
      <w:r>
        <w:t xml:space="preserve">disruption on industrial research and innovation activities.</w:t>
      </w:r>
      <w:r>
        <w:br/>
      </w:r>
      <w:r>
        <w:t xml:space="preserve">SMEs may save less than large firms on a case-by-case basis (by virtue of undertaking certain</w:t>
      </w:r>
      <w:r>
        <w:t xml:space="preserve"> </w:t>
      </w:r>
      <w:r>
        <w:t xml:space="preserve">obligations less frequently) but overall, the contribution to their bottom line should be positive</w:t>
      </w:r>
      <w:r>
        <w:t xml:space="preserve"> </w:t>
      </w:r>
      <w:r>
        <w:t xml:space="preserve">given that specific obligations are entirely removed and others are made faster and more</w:t>
      </w:r>
      <w:r>
        <w:t xml:space="preserve"> </w:t>
      </w:r>
      <w:r>
        <w:t xml:space="preserve">efficient. Additionally, the simplification of the regulatory framework is expected to be</w:t>
      </w:r>
      <w:r>
        <w:t xml:space="preserve"> </w:t>
      </w:r>
      <w:r>
        <w:t xml:space="preserve">beneficial to SMEs who are less likely to have dedicated staff dealing with compliance.</w:t>
      </w:r>
    </w:p>
    <w:p>
      <w:pPr>
        <w:pStyle w:val="FirstParagraph"/>
      </w:pPr>
      <w:r>
        <w:t xml:space="preserve">41</w:t>
      </w:r>
      <w:r>
        <w:t xml:space="preserve"> </w:t>
      </w:r>
      <w:r>
        <w:t xml:space="preserve">3.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As explained in more detail in Annex 10, drug precursors drug precursors are chemical</w:t>
      </w:r>
      <w:r>
        <w:t xml:space="preserve"> </w:t>
      </w:r>
      <w:r>
        <w:t xml:space="preserve">substances diffused in the quasi-entirety of the chemical industry. While drug precursor rules</w:t>
      </w:r>
      <w:r>
        <w:t xml:space="preserve"> </w:t>
      </w:r>
      <w:r>
        <w:t xml:space="preserve">regulate legal trade, they also affect precursors that have no known legal use which would be</w:t>
      </w:r>
      <w:r>
        <w:t xml:space="preserve"> </w:t>
      </w:r>
      <w:r>
        <w:t xml:space="preserve">outside the scope of sectorial analysis. The obligations imposed by the regulations do not</w:t>
      </w:r>
      <w:r>
        <w:t xml:space="preserve"> </w:t>
      </w:r>
      <w:r>
        <w:t xml:space="preserve">influence economic operators’ variable costs but represent overhead costs only. With the above</w:t>
      </w:r>
      <w:r>
        <w:t xml:space="preserve"> </w:t>
      </w:r>
      <w:r>
        <w:t xml:space="preserve">caveats, the manufacturing of basic and other chemical products is the industrial sector that is</w:t>
      </w:r>
      <w:r>
        <w:t xml:space="preserve"> </w:t>
      </w:r>
      <w:r>
        <w:t xml:space="preserve">most relevant for drug precursors sectorial analysis.</w:t>
      </w:r>
      <w:r>
        <w:t xml:space="preserve"> </w:t>
      </w:r>
      <w:r>
        <w:t xml:space="preserve">Within the EU, the chemical industry is one of the most important sectors of manufacturing, as</w:t>
      </w:r>
      <w:r>
        <w:t xml:space="preserve"> </w:t>
      </w:r>
      <w:r>
        <w:t xml:space="preserve">it:27</w:t>
      </w:r>
      <w:r>
        <w:t xml:space="preserve"> </w:t>
      </w:r>
      <w:r>
        <w:t xml:space="preserve">• represents about 7 % of total EU manufacturing by turnover (2018);</w:t>
      </w:r>
      <w:r>
        <w:t xml:space="preserve"> </w:t>
      </w:r>
      <w:r>
        <w:t xml:space="preserve">• provides 1.2 million direct jobs, displaying a labour productivity 77 % higher than EU’s</w:t>
      </w:r>
      <w:r>
        <w:t xml:space="preserve"> </w:t>
      </w:r>
      <w:r>
        <w:t xml:space="preserve">manufacturing average (2020) and paying wages 48 % higher than EU’s manufacturing</w:t>
      </w:r>
      <w:r>
        <w:t xml:space="preserve"> </w:t>
      </w:r>
      <w:r>
        <w:t xml:space="preserve">average (2022);</w:t>
      </w:r>
      <w:r>
        <w:t xml:space="preserve"> </w:t>
      </w:r>
      <w:r>
        <w:t xml:space="preserve">• displays the 2nd-largest capital spending in the global chemical industry, which has</w:t>
      </w:r>
      <w:r>
        <w:t xml:space="preserve"> </w:t>
      </w:r>
      <w:r>
        <w:t xml:space="preserve">constantly represented over 15 % of the EU chemical industry’s value added during the</w:t>
      </w:r>
      <w:r>
        <w:t xml:space="preserve"> </w:t>
      </w:r>
      <w:r>
        <w:t xml:space="preserve">last two decades (19.5 % in 2023);</w:t>
      </w:r>
      <w:r>
        <w:t xml:space="preserve"> </w:t>
      </w:r>
      <w:r>
        <w:t xml:space="preserve">• is currently (since 2021) spending about EUR 10 billion annually on R&amp;I, which</w:t>
      </w:r>
      <w:r>
        <w:t xml:space="preserve"> </w:t>
      </w:r>
      <w:r>
        <w:t xml:space="preserve">amounts to 6 % of the sector’s value added;</w:t>
      </w:r>
      <w:r>
        <w:t xml:space="preserve"> </w:t>
      </w:r>
      <w:r>
        <w:t xml:space="preserve">• generates trade surpluses of over EUR 40 billion annually (EUR 50 billion in 2024),</w:t>
      </w:r>
      <w:r>
        <w:t xml:space="preserve"> </w:t>
      </w:r>
      <w:r>
        <w:t xml:space="preserve">ranking 4th among all EU industrial sectors.</w:t>
      </w:r>
    </w:p>
    <w:p>
      <w:pPr>
        <w:pStyle w:val="BodyText"/>
      </w:pPr>
      <w:r>
        <w:t xml:space="preserve">While there are 29,000 companies operating in the EU chemical industry, meaning that the</w:t>
      </w:r>
      <w:r>
        <w:t xml:space="preserve"> </w:t>
      </w:r>
      <w:r>
        <w:t xml:space="preserve">number of SMEs runs in the tens of thousands, their relevance for the drugs precursors is</w:t>
      </w:r>
      <w:r>
        <w:t xml:space="preserve"> </w:t>
      </w:r>
      <w:r>
        <w:t xml:space="preserve">tenuous and strictly theoretical. In fact, none of the building blocks and of the critical</w:t>
      </w:r>
      <w:r>
        <w:t xml:space="preserve"> </w:t>
      </w:r>
      <w:r>
        <w:t xml:space="preserve">intermediates required for manufacturing the scheduled drug precursors can be produced in</w:t>
      </w:r>
      <w:r>
        <w:t xml:space="preserve"> </w:t>
      </w:r>
      <w:r>
        <w:t xml:space="preserve">small companies.</w:t>
      </w:r>
    </w:p>
    <w:p>
      <w:pPr>
        <w:pStyle w:val="BodyText"/>
      </w:pPr>
      <w:r>
        <w:t xml:space="preserve">Besides, one of the most important contribution the SMEs are making reputedly making to the</w:t>
      </w:r>
      <w:r>
        <w:t xml:space="preserve"> </w:t>
      </w:r>
      <w:r>
        <w:t xml:space="preserve">economy overall is in terms of employment. Yet, over 2/3 of people employed in the EU</w:t>
      </w:r>
      <w:r>
        <w:t xml:space="preserve"> </w:t>
      </w:r>
      <w:r>
        <w:t xml:space="preserve">chemical industry work in large companies.</w:t>
      </w:r>
    </w:p>
    <w:p>
      <w:pPr>
        <w:pStyle w:val="BodyText"/>
      </w:pPr>
      <w:r>
        <w:t xml:space="preserve">A distinct characteristic of the chemical industry is that it requires energy not just in order to</w:t>
      </w:r>
      <w:r>
        <w:t xml:space="preserve"> </w:t>
      </w:r>
      <w:r>
        <w:t xml:space="preserve">power its production processes, but in fact mainly as feedstock for obtaining all of its building</w:t>
      </w:r>
      <w:r>
        <w:t xml:space="preserve"> </w:t>
      </w:r>
      <w:r>
        <w:t xml:space="preserve">blocks. This makes it the highest industrial final energy consumer in the EU and the industrial</w:t>
      </w:r>
      <w:r>
        <w:t xml:space="preserve"> </w:t>
      </w:r>
      <w:r>
        <w:t xml:space="preserve">sector displaying the highest energy intensity (in terms of % of revenues). This has had severe</w:t>
      </w:r>
      <w:r>
        <w:t xml:space="preserve"> </w:t>
      </w:r>
      <w:r>
        <w:t xml:space="preserve">consequences following the increase in energy prices energy prices triggered by the Russian</w:t>
      </w:r>
      <w:r>
        <w:t xml:space="preserve"> </w:t>
      </w:r>
      <w:r>
        <w:t xml:space="preserve">aggression of Ukraine launched in 2022.</w:t>
      </w:r>
    </w:p>
    <w:p>
      <w:pPr>
        <w:pStyle w:val="BodyText"/>
      </w:pPr>
      <w:r>
        <w:t xml:space="preserve">Indeed, the competitive position of the EU on the global cost curves for the chemical industry’s</w:t>
      </w:r>
      <w:r>
        <w:t xml:space="preserve"> </w:t>
      </w:r>
      <w:r>
        <w:t xml:space="preserve">main building blocks has massively deteriorated. As chemical products are intensively traded</w:t>
      </w:r>
      <w:r>
        <w:t xml:space="preserve"> </w:t>
      </w:r>
      <w:r>
        <w:t xml:space="preserve">internationally, the EU chemical industry’s important erosion of international competitiveness</w:t>
      </w:r>
      <w:r>
        <w:t xml:space="preserve"> </w:t>
      </w:r>
      <w:r>
        <w:t xml:space="preserve">translated itself in a corresponding deterioration of all its main indicators.</w:t>
      </w:r>
    </w:p>
    <w:p>
      <w:pPr>
        <w:pStyle w:val="BodyText"/>
      </w:pPr>
      <w:r>
        <w:t xml:space="preserve">27 Based on Eurostat and Cefic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Over the last two years, the EU chemical industry’s capacity utilisation rate was 6 percentage</w:t>
      </w:r>
      <w:r>
        <w:t xml:space="preserve"> </w:t>
      </w:r>
      <w:r>
        <w:t xml:space="preserve">points lower than its long-term (20 years) average. In fact, the state of capacity utilisation in the</w:t>
      </w:r>
      <w:r>
        <w:t xml:space="preserve"> </w:t>
      </w:r>
      <w:r>
        <w:t xml:space="preserve">EU chemical industry is so morose that the most realistic prospect of seeing it improving</w:t>
      </w:r>
      <w:r>
        <w:t xml:space="preserve"> </w:t>
      </w:r>
      <w:r>
        <w:t xml:space="preserve">consists of closures of existing capacities.</w:t>
      </w:r>
    </w:p>
    <w:p>
      <w:pPr>
        <w:pStyle w:val="BodyText"/>
      </w:pPr>
      <w:r>
        <w:t xml:space="preserve">Following a deterioration of the business confidence sentiment in the EU chemical industry</w:t>
      </w:r>
      <w:r>
        <w:t xml:space="preserve"> </w:t>
      </w:r>
      <w:r>
        <w:t xml:space="preserve">over the last quarter of 2024, a recovery can be noticed since January 2025 but the indicator is</w:t>
      </w:r>
      <w:r>
        <w:t xml:space="preserve"> </w:t>
      </w:r>
      <w:r>
        <w:t xml:space="preserve">still negative. The last time this indicator was in positive territory is May 2022.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ANNEX 6: SME TEST</w:t>
      </w:r>
      <w:r>
        <w:t xml:space="preserve"> </w:t>
      </w:r>
      <w:r>
        <w:t xml:space="preserve">Overview of impacts on SMEs</w:t>
      </w:r>
      <w:r>
        <w:br/>
      </w:r>
      <w:r>
        <w:t xml:space="preserve">Relevance for SMEs</w:t>
      </w:r>
      <w:r>
        <w:br/>
      </w:r>
      <w:r>
        <w:t xml:space="preserve">This initiative is relevant.</w:t>
      </w:r>
    </w:p>
    <w:p>
      <w:pPr>
        <w:pStyle w:val="Compact"/>
        <w:numPr>
          <w:ilvl w:val="0"/>
          <w:numId w:val="1009"/>
        </w:numPr>
      </w:pPr>
      <w:r>
        <w:t xml:space="preserve">IDENTIFICATION OF AFFECTED BUSINESSES AND ASSESSMENT OF RELEVANCE</w:t>
      </w:r>
      <w:r>
        <w:br/>
      </w:r>
      <w:r>
        <w:t xml:space="preserve">Are SMEs directly affected? (Yes/No) In which sectors?</w:t>
      </w:r>
      <w:r>
        <w:br/>
      </w:r>
      <w:r>
        <w:t xml:space="preserve">Drug precursors have important legitimate uses in several industrial processes. In particular,</w:t>
      </w:r>
      <w:r>
        <w:t xml:space="preserve"> </w:t>
      </w:r>
      <w:r>
        <w:t xml:space="preserve">precursors are largely used in the following industries: pharmaceuticals, flavouring and</w:t>
      </w:r>
      <w:r>
        <w:t xml:space="preserve"> </w:t>
      </w:r>
      <w:r>
        <w:t xml:space="preserve">fragrance, fertilisers, battery manufacturing, cosmetics, plastics, dyes and inks, textiles, oil</w:t>
      </w:r>
      <w:r>
        <w:t xml:space="preserve"> </w:t>
      </w:r>
      <w:r>
        <w:t xml:space="preserve">refinery, water treatment, food additives, explosives, and rubber production. The legal use of</w:t>
      </w:r>
      <w:r>
        <w:t xml:space="preserve"> </w:t>
      </w:r>
      <w:r>
        <w:t xml:space="preserve">precursors in the EU exceeds 10.6 million tonnes per year, while aggregated export to third</w:t>
      </w:r>
      <w:r>
        <w:t xml:space="preserve"> </w:t>
      </w:r>
      <w:r>
        <w:t xml:space="preserve">countries amounts to approximately 2.6 million tonnes per year. Economic operators including</w:t>
      </w:r>
      <w:r>
        <w:t xml:space="preserve"> </w:t>
      </w:r>
      <w:r>
        <w:t xml:space="preserve">SMEs are part of this supply chain and therefore an important stakeholder to consider.  </w:t>
      </w:r>
    </w:p>
    <w:p>
      <w:pPr>
        <w:pStyle w:val="FirstParagraph"/>
      </w:pPr>
      <w:r>
        <w:t xml:space="preserve">The legislative framework governing Drug Precursors provides for the registration and</w:t>
      </w:r>
      <w:r>
        <w:t xml:space="preserve"> </w:t>
      </w:r>
      <w:r>
        <w:t xml:space="preserve">licensing of operators involved and sets up documentation and labelling requirements.</w:t>
      </w:r>
      <w:r>
        <w:t xml:space="preserve"> </w:t>
      </w:r>
      <w:r>
        <w:t xml:space="preserve">Operators are obliged to notify the competent authorities of any suspicious transactions. The</w:t>
      </w:r>
      <w:r>
        <w:t xml:space="preserve"> </w:t>
      </w:r>
      <w:r>
        <w:t xml:space="preserve">system is supposed to operate in a spirit of cooperation between authorities and</w:t>
      </w:r>
      <w:r>
        <w:t xml:space="preserve"> </w:t>
      </w:r>
      <w:r>
        <w:t xml:space="preserve">industry/economic operators. The planned revision of the Drug Precursors Regulations will</w:t>
      </w:r>
      <w:r>
        <w:t xml:space="preserve"> </w:t>
      </w:r>
      <w:r>
        <w:t xml:space="preserve">thus have an impact on operators, including SMEs.</w:t>
      </w:r>
    </w:p>
    <w:p>
      <w:pPr>
        <w:pStyle w:val="BodyText"/>
      </w:pPr>
      <w:r>
        <w:t xml:space="preserve">Estimated number of directly affected SMEs</w:t>
      </w:r>
      <w:r>
        <w:br/>
      </w:r>
      <w:r>
        <w:t xml:space="preserve">According to Eurostat’s structural business statistics, the SMEs account for 92 % of enterprises</w:t>
      </w:r>
      <w:r>
        <w:t xml:space="preserve"> </w:t>
      </w:r>
      <w:r>
        <w:t xml:space="preserve">active in the manufacturing of basic and other chemical products – i.e. the industrial sectors that</w:t>
      </w:r>
      <w:r>
        <w:t xml:space="preserve"> </w:t>
      </w:r>
      <w:r>
        <w:t xml:space="preserve">are most relevant for drug precursors production – of which the majority (68 %) are micro</w:t>
      </w:r>
      <w:r>
        <w:t xml:space="preserve"> </w:t>
      </w:r>
      <w:r>
        <w:t xml:space="preserve">enterprises with less than 10 employees. The exact share of SMEs actually involved in the</w:t>
      </w:r>
      <w:r>
        <w:t xml:space="preserve"> </w:t>
      </w:r>
      <w:r>
        <w:t xml:space="preserve">manufacturing of drug precursors is unavailable, but according to national public authorities</w:t>
      </w:r>
      <w:r>
        <w:t xml:space="preserve"> </w:t>
      </w:r>
      <w:r>
        <w:t xml:space="preserve">consulted the proportion of SME operators in this specific field is likely in line with the above</w:t>
      </w:r>
      <w:r>
        <w:t xml:space="preserve"> </w:t>
      </w:r>
      <w:r>
        <w:t xml:space="preserve">estimate of 92 % that applies to the entire chemical sector. The survey of operators conducted</w:t>
      </w:r>
      <w:r>
        <w:t xml:space="preserve"> </w:t>
      </w:r>
      <w:r>
        <w:t xml:space="preserve">in the context of the study indicated that for the responding SMEs (of which there were 43 out</w:t>
      </w:r>
      <w:r>
        <w:t xml:space="preserve"> </w:t>
      </w:r>
      <w:r>
        <w:t xml:space="preserve">of 81) the approximate share of their company’s turnover that relate to drug precursors was less</w:t>
      </w:r>
      <w:r>
        <w:t xml:space="preserve"> </w:t>
      </w:r>
      <w:r>
        <w:t xml:space="preserve">than 5 % in around half of cases (the most common response for SMEs).  </w:t>
      </w:r>
    </w:p>
    <w:p>
      <w:pPr>
        <w:pStyle w:val="BodyText"/>
      </w:pPr>
      <w:r>
        <w:t xml:space="preserve">Estimated number of employees in directly affected SMEs</w:t>
      </w:r>
      <w:r>
        <w:br/>
      </w:r>
      <w:r>
        <w:t xml:space="preserve">Not available</w:t>
      </w:r>
      <w:r>
        <w:br/>
      </w:r>
      <w:r>
        <w:t xml:space="preserve">Are SMEs indirectly affected? (Yes/No) In which sectors? What is the estimated number</w:t>
      </w:r>
      <w:r>
        <w:t xml:space="preserve"> </w:t>
      </w:r>
      <w:r>
        <w:t xml:space="preserve">of indirectly affected SMEs and employees?</w:t>
      </w:r>
      <w:r>
        <w:br/>
      </w:r>
      <w:r>
        <w:t xml:space="preserve">No. </w:t>
      </w:r>
    </w:p>
    <w:p>
      <w:pPr>
        <w:pStyle w:val="Compact"/>
        <w:numPr>
          <w:ilvl w:val="0"/>
          <w:numId w:val="1010"/>
        </w:numPr>
      </w:pPr>
      <w:r>
        <w:t xml:space="preserve">CONSULTATION OF SME STAKEHOLDERS</w:t>
      </w:r>
      <w:r>
        <w:br/>
      </w:r>
      <w:r>
        <w:t xml:space="preserve">How has the input from the SME community been taken into consideration?</w:t>
      </w:r>
      <w:r>
        <w:br/>
      </w:r>
      <w:r>
        <w:t xml:space="preserve">The complexity affects operators involved in the legal trade of drug precursors, especially</w:t>
      </w:r>
      <w:r>
        <w:t xml:space="preserve"> </w:t>
      </w:r>
      <w:r>
        <w:t xml:space="preserve">smaller businesses (SMEs and micro-enterprises), which are disproportionately affected in</w:t>
      </w:r>
      <w:r>
        <w:t xml:space="preserve"> </w:t>
      </w:r>
      <w:r>
        <w:t xml:space="preserve">cases where specialised or dedicated resources are required to navigate the burdensome</w:t>
      </w:r>
    </w:p>
    <w:p>
      <w:pPr>
        <w:pStyle w:val="FirstParagraph"/>
      </w:pPr>
      <w:r>
        <w:t xml:space="preserve">44</w:t>
      </w:r>
      <w:r>
        <w:t xml:space="preserve"> </w:t>
      </w:r>
      <w:r>
        <w:t xml:space="preserve">requirements. As such, the options prioritised simplifying the legal framework and streamlining</w:t>
      </w:r>
      <w:r>
        <w:t xml:space="preserve"> </w:t>
      </w:r>
      <w:r>
        <w:t xml:space="preserve">the obligations on economic operators including through a more modern (digital) approach.  </w:t>
      </w:r>
    </w:p>
    <w:p>
      <w:pPr>
        <w:pStyle w:val="BodyText"/>
      </w:pPr>
      <w:r>
        <w:t xml:space="preserve">Are SMEs’ views different from those of large businesses? (Yes/No)</w:t>
      </w:r>
      <w:r>
        <w:br/>
      </w:r>
      <w:r>
        <w:t xml:space="preserve">The impact assessment effectively consulted different SMEs such as chemical manufacturers,</w:t>
      </w:r>
      <w:r>
        <w:t xml:space="preserve"> </w:t>
      </w:r>
      <w:r>
        <w:t xml:space="preserve">distributors, industry and research entities, and trade associations through complementary</w:t>
      </w:r>
      <w:r>
        <w:t xml:space="preserve"> </w:t>
      </w:r>
      <w:r>
        <w:t xml:space="preserve">consultation tools providing quantitative data supplemented by qualitative results. The input</w:t>
      </w:r>
      <w:r>
        <w:t xml:space="preserve"> </w:t>
      </w:r>
      <w:r>
        <w:t xml:space="preserve">collected through these consultations informed both the definition of the policy problems and</w:t>
      </w:r>
      <w:r>
        <w:t xml:space="preserve"> </w:t>
      </w:r>
      <w:r>
        <w:t xml:space="preserve">their solutions highlighting where results for SMEs diverge from the results for large</w:t>
      </w:r>
      <w:r>
        <w:t xml:space="preserve"> </w:t>
      </w:r>
      <w:r>
        <w:t xml:space="preserve">companies. The main findings were as follows: </w:t>
      </w:r>
      <w:r>
        <w:br/>
      </w:r>
      <w:r>
        <w:t xml:space="preserve">•</w:t>
      </w:r>
      <w:r>
        <w:t xml:space="preserve"> </w:t>
      </w:r>
      <w:r>
        <w:t xml:space="preserve">Proliferation of designer precursors: According to survey results, on issues</w:t>
      </w:r>
      <w:r>
        <w:t xml:space="preserve"> </w:t>
      </w:r>
      <w:r>
        <w:t xml:space="preserve">such as an ‘outright ban’ on designer precursors and support measures to make the</w:t>
      </w:r>
      <w:r>
        <w:t xml:space="preserve"> </w:t>
      </w:r>
      <w:r>
        <w:t xml:space="preserve">scheduling process faster, SMEs are even less concerned than large companies about</w:t>
      </w:r>
      <w:r>
        <w:t xml:space="preserve"> </w:t>
      </w:r>
      <w:r>
        <w:t xml:space="preserve">this issue.    </w:t>
      </w:r>
      <w:r>
        <w:br/>
      </w:r>
      <w:r>
        <w:t xml:space="preserve">•</w:t>
      </w:r>
      <w:r>
        <w:t xml:space="preserve"> </w:t>
      </w:r>
      <w:r>
        <w:t xml:space="preserve">Facilitation of legal trade: The consultation confirmed the absence of a</w:t>
      </w:r>
      <w:r>
        <w:t xml:space="preserve"> </w:t>
      </w:r>
      <w:r>
        <w:t xml:space="preserve">systematically more negative assessments in relation to the burden on business by</w:t>
      </w:r>
      <w:r>
        <w:t xml:space="preserve"> </w:t>
      </w:r>
      <w:r>
        <w:t xml:space="preserve">SMEs compared to other businesses. SMEs had a more favourable view of the</w:t>
      </w:r>
      <w:r>
        <w:t xml:space="preserve"> </w:t>
      </w:r>
      <w:r>
        <w:t xml:space="preserve">Regulatory framework’s ability to prevent unnecessary burdens and SMEs were not</w:t>
      </w:r>
      <w:r>
        <w:t xml:space="preserve"> </w:t>
      </w:r>
      <w:r>
        <w:t xml:space="preserve">disproportionately of the view that the Regulation had a negative effect. </w:t>
      </w:r>
      <w:r>
        <w:br/>
      </w:r>
      <w:r>
        <w:t xml:space="preserve">•</w:t>
      </w:r>
      <w:r>
        <w:t xml:space="preserve"> </w:t>
      </w:r>
      <w:r>
        <w:t xml:space="preserve">The separation of legal texts was perceived as problematic by EOs and slightly</w:t>
      </w:r>
      <w:r>
        <w:t xml:space="preserve"> </w:t>
      </w:r>
      <w:r>
        <w:t xml:space="preserve">more so among SMEs than large companies. </w:t>
      </w:r>
    </w:p>
    <w:p>
      <w:pPr>
        <w:pStyle w:val="Compact"/>
        <w:numPr>
          <w:ilvl w:val="0"/>
          <w:numId w:val="1011"/>
        </w:numPr>
      </w:pPr>
      <w:r>
        <w:t xml:space="preserve">ASSESSMENT OF IMPACTS ON SMES1</w:t>
      </w:r>
      <w:r>
        <w:br/>
      </w:r>
      <w:r>
        <w:t xml:space="preserve">What are the estimated direct costs for SMEs of the preferred policy option?</w:t>
      </w:r>
      <w:r>
        <w:br/>
      </w:r>
      <w:r>
        <w:t xml:space="preserve">Qualitative assessment</w:t>
      </w:r>
      <w:r>
        <w:br/>
      </w:r>
      <w:r>
        <w:t xml:space="preserve">Impact of outright ban on designer precursors and other main measures to address</w:t>
      </w:r>
      <w:r>
        <w:t xml:space="preserve"> </w:t>
      </w:r>
      <w:r>
        <w:t xml:space="preserve">illicit trade of precursors (objective 1).  </w:t>
      </w:r>
    </w:p>
    <w:p>
      <w:pPr>
        <w:pStyle w:val="FirstParagraph"/>
      </w:pPr>
      <w:r>
        <w:t xml:space="preserve">The benefits of measures addressing illicit trade of precursors regard legitimate EOs (and</w:t>
      </w:r>
      <w:r>
        <w:t xml:space="preserve"> </w:t>
      </w:r>
      <w:r>
        <w:t xml:space="preserve">SMEs) only indirectly (e.g. reputational effects).  </w:t>
      </w:r>
    </w:p>
    <w:p>
      <w:pPr>
        <w:pStyle w:val="BodyText"/>
      </w:pPr>
      <w:r>
        <w:t xml:space="preserve">According to surveyed EOs (and SMEs) the other possible measures for enhancing control of</w:t>
      </w:r>
      <w:r>
        <w:t xml:space="preserve"> </w:t>
      </w:r>
      <w:r>
        <w:t xml:space="preserve">illicit trade of precursors are not going to impose relevant new burden.  </w:t>
      </w:r>
    </w:p>
    <w:p>
      <w:pPr>
        <w:pStyle w:val="BodyText"/>
      </w:pPr>
      <w:r>
        <w:t xml:space="preserve">Impact of measures for the simplification and modernisation of the current system</w:t>
      </w:r>
      <w:r>
        <w:t xml:space="preserve"> </w:t>
      </w:r>
      <w:r>
        <w:t xml:space="preserve">(Objective 2).   </w:t>
      </w:r>
      <w:r>
        <w:br/>
      </w:r>
      <w:r>
        <w:t xml:space="preserve">Costs and benefits of the proposed trade facilitation measures was examined differentiating</w:t>
      </w:r>
      <w:r>
        <w:t xml:space="preserve"> </w:t>
      </w:r>
      <w:r>
        <w:t xml:space="preserve">between SMEs and large enterprises. While SMEs were included as a separate target group</w:t>
      </w:r>
      <w:r>
        <w:t xml:space="preserve"> </w:t>
      </w:r>
      <w:r>
        <w:t xml:space="preserve">for the analysis of costs and benefits, the external study treated micro-sized enterprises via a</w:t>
      </w:r>
      <w:r>
        <w:t xml:space="preserve"> </w:t>
      </w:r>
      <w:r>
        <w:t xml:space="preserve">qualitative case study approach to illustrate the difficulties in generalising the results for such</w:t>
      </w:r>
      <w:r>
        <w:t xml:space="preserve"> </w:t>
      </w:r>
      <w:r>
        <w:t xml:space="preserve">varied enterprises.</w:t>
      </w:r>
    </w:p>
    <w:p>
      <w:pPr>
        <w:pStyle w:val="BodyText"/>
      </w:pPr>
      <w:r>
        <w:t xml:space="preserve">The preferred option stands to reduce administrative costs and hassle costs for all type of</w:t>
      </w:r>
      <w:r>
        <w:t xml:space="preserve"> </w:t>
      </w:r>
      <w:r>
        <w:t xml:space="preserve">businesses including SMEs.</w:t>
      </w:r>
    </w:p>
    <w:p>
      <w:pPr>
        <w:pStyle w:val="BodyText"/>
      </w:pPr>
      <w:r>
        <w:t xml:space="preserve">Quantitative assessment</w:t>
      </w:r>
      <w:r>
        <w:br/>
      </w:r>
      <w:r>
        <w:t xml:space="preserve">Objective 1: 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Regarding costs, the proposed ‘outright ban’ for designer precursors would be implemented</w:t>
      </w:r>
      <w:r>
        <w:t xml:space="preserve"> </w:t>
      </w:r>
      <w:r>
        <w:t xml:space="preserve">through a list of prohibited substances, and this would require EOs to accurately verify that</w:t>
      </w:r>
      <w:r>
        <w:t xml:space="preserve"> </w:t>
      </w:r>
      <w:r>
        <w:t xml:space="preserve">none of the banned substances is actually in their portfolio (including under a different</w:t>
      </w:r>
      <w:r>
        <w:t xml:space="preserve"> </w:t>
      </w:r>
      <w:r>
        <w:t xml:space="preserve">chemical name). This due diligence activity would regard primarily operators engaged in the</w:t>
      </w:r>
      <w:r>
        <w:t xml:space="preserve"> </w:t>
      </w:r>
      <w:r>
        <w:t xml:space="preserve">production and trade of specialty chemicals – i.e. an estimated 1,200 companies, of which</w:t>
      </w:r>
      <w:r>
        <w:t xml:space="preserve"> </w:t>
      </w:r>
      <w:r>
        <w:t xml:space="preserve">1,100 SMEs (according to the above Eurostat-based proportion).  </w:t>
      </w:r>
    </w:p>
    <w:p>
      <w:pPr>
        <w:pStyle w:val="BodyText"/>
      </w:pPr>
      <w:r>
        <w:t xml:space="preserve">According to the estimate collected, the due diligence for a new substance requires a one-off</w:t>
      </w:r>
      <w:r>
        <w:t xml:space="preserve"> </w:t>
      </w:r>
      <w:r>
        <w:t xml:space="preserve">1-2 hour per substance if the CAS number is provided, while it may rise to 7-12 hours in case</w:t>
      </w:r>
      <w:r>
        <w:t xml:space="preserve"> </w:t>
      </w:r>
      <w:r>
        <w:t xml:space="preserve">of the other identification method tested, with no relevant differences between SME and large</w:t>
      </w:r>
      <w:r>
        <w:t xml:space="preserve"> </w:t>
      </w:r>
      <w:r>
        <w:t xml:space="preserve">enterprises. Assuming an average cost of labour of EUR 35.65 / hour, the administrative costs</w:t>
      </w:r>
      <w:r>
        <w:t xml:space="preserve"> </w:t>
      </w:r>
      <w:r>
        <w:t xml:space="preserve">linked to the addition of a new substance to the EU schedule currently range from EUR 36 to</w:t>
      </w:r>
      <w:r>
        <w:t xml:space="preserve"> </w:t>
      </w:r>
      <w:r>
        <w:t xml:space="preserve">EUR 320 per company28. Further checks might be necessary in case a company’s portfolio</w:t>
      </w:r>
      <w:r>
        <w:t xml:space="preserve"> </w:t>
      </w:r>
      <w:r>
        <w:t xml:space="preserve">changes. The number of substances to be added to the list of banned designer precursors will</w:t>
      </w:r>
      <w:r>
        <w:t xml:space="preserve"> </w:t>
      </w:r>
      <w:r>
        <w:t xml:space="preserve">have to be established in an appropriate forum. The additional costs for EOs (and SMEs) will</w:t>
      </w:r>
      <w:r>
        <w:t xml:space="preserve"> </w:t>
      </w:r>
      <w:r>
        <w:t xml:space="preserve">depend on the number of banned substances, and in this sense the preferred option will</w:t>
      </w:r>
      <w:r>
        <w:t xml:space="preserve"> </w:t>
      </w:r>
      <w:r>
        <w:t xml:space="preserve">involve a lower number of substances i.e. only derivatives of known and seized precursors</w:t>
      </w:r>
      <w:r>
        <w:t xml:space="preserve"> </w:t>
      </w:r>
      <w:r>
        <w:t xml:space="preserve">that are chemically viable and easy to use. It also envisages exemptions to the ban, to avoid</w:t>
      </w:r>
      <w:r>
        <w:t xml:space="preserve"> </w:t>
      </w:r>
      <w:r>
        <w:t xml:space="preserve">adverse effects on Eos’ (and SMEs’) research and innovation activities.    </w:t>
      </w:r>
    </w:p>
    <w:p>
      <w:pPr>
        <w:pStyle w:val="BodyText"/>
      </w:pPr>
      <w:r>
        <w:t xml:space="preserve">Objective 2:  </w:t>
      </w:r>
    </w:p>
    <w:p>
      <w:pPr>
        <w:pStyle w:val="BodyText"/>
      </w:pPr>
      <w:r>
        <w:t xml:space="preserve">In the preferred option, there is an overall reduction in the number of operators facing the</w:t>
      </w:r>
      <w:r>
        <w:t xml:space="preserve"> </w:t>
      </w:r>
      <w:r>
        <w:t xml:space="preserve">more stringent requirements (including SMEs). Licensing, registration as well as import and</w:t>
      </w:r>
      <w:r>
        <w:t xml:space="preserve"> </w:t>
      </w:r>
      <w:r>
        <w:t xml:space="preserve">export authorisation requirements are simplified, while reporting obligations are removed</w:t>
      </w:r>
      <w:r>
        <w:t xml:space="preserve"> </w:t>
      </w:r>
      <w:r>
        <w:t xml:space="preserve">entirely. The e-verification would cost SMEs approximately EUR 3.4 million. </w:t>
      </w:r>
    </w:p>
    <w:p>
      <w:pPr>
        <w:pStyle w:val="BodyText"/>
      </w:pPr>
      <w:r>
        <w:t xml:space="preserve">What are the estimated direct benefits/cost savings for SMEs of the preferred policy</w:t>
      </w:r>
      <w:r>
        <w:t xml:space="preserve"> </w:t>
      </w:r>
      <w:r>
        <w:t xml:space="preserve">option29?</w:t>
      </w:r>
      <w:r>
        <w:br/>
      </w:r>
      <w:r>
        <w:t xml:space="preserve">Qualitative assessment</w:t>
      </w:r>
      <w:r>
        <w:br/>
      </w:r>
      <w:r>
        <w:t xml:space="preserve">The preferred option largely focusses on streamlining the requirements for economic</w:t>
      </w:r>
      <w:r>
        <w:t xml:space="preserve"> </w:t>
      </w:r>
      <w:r>
        <w:t xml:space="preserve">operators. And would benefit SMEs.</w:t>
      </w:r>
      <w:r>
        <w:br/>
      </w:r>
      <w:r>
        <w:t xml:space="preserve">A consolidation of categories would alleviate the obligations for operators, and, by virtue of</w:t>
      </w:r>
      <w:r>
        <w:t xml:space="preserve"> </w:t>
      </w:r>
      <w:r>
        <w:t xml:space="preserve">their volume and the relative impact on their turnover, it would benefit SMEs in particular.  </w:t>
      </w:r>
    </w:p>
    <w:p>
      <w:pPr>
        <w:pStyle w:val="BodyText"/>
      </w:pPr>
      <w:r>
        <w:t xml:space="preserve">Quantitative assessment</w:t>
      </w:r>
      <w:r>
        <w:br/>
      </w:r>
      <w:r>
        <w:t xml:space="preserve">The following measures benefit SMEs directly: </w:t>
      </w:r>
      <w:r>
        <w:br/>
      </w:r>
      <w:r>
        <w:t xml:space="preserve">•</w:t>
      </w:r>
      <w:r>
        <w:t xml:space="preserve"> </w:t>
      </w:r>
      <w:r>
        <w:t xml:space="preserve">The introduction of e-licenses and self e-registration: SMEs would save around 21-22</w:t>
      </w:r>
      <w:r>
        <w:t xml:space="preserve"> </w:t>
      </w:r>
      <w:r>
        <w:t xml:space="preserve">% of the existing costs of applying for the first time for a license or registration through the</w:t>
      </w:r>
      <w:r>
        <w:t xml:space="preserve"> </w:t>
      </w:r>
      <w:r>
        <w:t xml:space="preserve">digitisation of the procedure. They would save 22 % of the annual (renewal) costs for the</w:t>
      </w:r>
      <w:r>
        <w:t xml:space="preserve"> </w:t>
      </w:r>
      <w:r>
        <w:t xml:space="preserve">same.  </w:t>
      </w:r>
      <w:r>
        <w:br/>
      </w:r>
      <w:r>
        <w:t xml:space="preserve">•</w:t>
      </w:r>
      <w:r>
        <w:t xml:space="preserve"> </w:t>
      </w:r>
      <w:r>
        <w:t xml:space="preserve">Digitalisation of customer verification: SMEs would save around 36 % of the annual</w:t>
      </w:r>
      <w:r>
        <w:t xml:space="preserve"> </w:t>
      </w:r>
      <w:r>
        <w:t xml:space="preserve">current costs associated with verifying customers for internal trade through the digitisation of</w:t>
      </w:r>
      <w:r>
        <w:t xml:space="preserve"> </w:t>
      </w:r>
      <w:r>
        <w:t xml:space="preserve">the procedure. </w:t>
      </w:r>
      <w:r>
        <w:br/>
      </w:r>
      <w:r>
        <w:t xml:space="preserve">•</w:t>
      </w:r>
      <w:r>
        <w:t xml:space="preserve"> </w:t>
      </w:r>
      <w:r>
        <w:t xml:space="preserve">Automation of import / export authorisation processes: All operators (including</w:t>
      </w:r>
      <w:r>
        <w:t xml:space="preserve"> </w:t>
      </w:r>
      <w:r>
        <w:t xml:space="preserve">SMEs) would save 100 % of costs associated with annual reporting and applying for import /</w:t>
      </w:r>
      <w:r>
        <w:t xml:space="preserve"> </w:t>
      </w:r>
      <w:r>
        <w:t xml:space="preserve">export authorisations.  </w:t>
      </w:r>
    </w:p>
    <w:p>
      <w:pPr>
        <w:pStyle w:val="BodyText"/>
      </w:pPr>
      <w:r>
        <w:t xml:space="preserve">28 This cost would be repeated every time new substances are scheduled at EU level.</w:t>
      </w:r>
      <w:r>
        <w:br/>
      </w:r>
      <w:r>
        <w:t xml:space="preserve">29 The direct benefits for SMEs can also be cost savings.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What are the indirect impacts of this initiative on SMEs? (Fill in only if step 1 flags</w:t>
      </w:r>
      <w:r>
        <w:t xml:space="preserve"> </w:t>
      </w:r>
      <w:r>
        <w:t xml:space="preserve">indirect impacts)</w:t>
      </w:r>
      <w:r>
        <w:br/>
      </w:r>
      <w:r>
        <w:t xml:space="preserve">N/A</w:t>
      </w:r>
    </w:p>
    <w:p>
      <w:pPr>
        <w:pStyle w:val="Compact"/>
        <w:numPr>
          <w:ilvl w:val="0"/>
          <w:numId w:val="1012"/>
        </w:numPr>
      </w:pPr>
      <w:r>
        <w:t xml:space="preserve">MINIMISING NEGATIVE IMPACTS ON SMES</w:t>
      </w:r>
      <w:r>
        <w:br/>
      </w:r>
      <w:r>
        <w:t xml:space="preserve">Are SMEs disproportionately affected compared to large companies? (Yes/No)</w:t>
      </w:r>
      <w:r>
        <w:br/>
      </w:r>
      <w:r>
        <w:t xml:space="preserve">If yes, are there any specific subgroups of SMEs more exposed than others?</w:t>
      </w:r>
      <w:r>
        <w:br/>
      </w:r>
      <w:r>
        <w:t xml:space="preserve">SMEs represent the vast majority of companies affected by drug precursor rules. However, as</w:t>
      </w:r>
      <w:r>
        <w:t xml:space="preserve"> </w:t>
      </w:r>
      <w:r>
        <w:t xml:space="preserve">drug precursors are used throughout the entire chemicals industry, it is not possible to identify</w:t>
      </w:r>
      <w:r>
        <w:t xml:space="preserve"> </w:t>
      </w:r>
      <w:r>
        <w:t xml:space="preserve">any subgroups that are more exposed than others. </w:t>
      </w:r>
      <w:r>
        <w:br/>
      </w:r>
      <w:r>
        <w:t xml:space="preserve">Have mitigating measures been included in the preferred option/proposal? (Yes/No)</w:t>
      </w:r>
      <w:r>
        <w:br/>
      </w:r>
      <w:r>
        <w:t xml:space="preserve">The preferred option, and especially the general simplification of rules, is designed to benefit</w:t>
      </w:r>
      <w:r>
        <w:t xml:space="preserve"> </w:t>
      </w:r>
      <w:r>
        <w:t xml:space="preserve">especially SMEs and it does not contain specific mitigating measures targeting only SMEs.</w:t>
      </w:r>
    </w:p>
    <w:p>
      <w:pPr>
        <w:pStyle w:val="FirstParagraph"/>
      </w:pPr>
      <w:r>
        <w:t xml:space="preserve">CONTRIBUTION TO THE 35 % BURDEN REDUCTION TARGET FOR SMES</w:t>
      </w:r>
      <w:r>
        <w:br/>
      </w:r>
      <w:r>
        <w:t xml:space="preserve">Are there any administrative cost savings relevant for the 35 % burden reduction target</w:t>
      </w:r>
      <w:r>
        <w:t xml:space="preserve"> </w:t>
      </w:r>
      <w:r>
        <w:t xml:space="preserve">for SMEs?</w:t>
      </w:r>
      <w:r>
        <w:br/>
      </w:r>
      <w:r>
        <w:t xml:space="preserve">SMEs stand to benefit from the overall burden reduction of the preferred option which</w:t>
      </w:r>
      <w:r>
        <w:t xml:space="preserve"> </w:t>
      </w:r>
      <w:r>
        <w:t xml:space="preserve">amounts to a reduction of EUR 19.8 million.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ANNEX 7: INNOVATIVE WAYS OF SCHEDULING</w:t>
      </w:r>
      <w:r>
        <w:t xml:space="preserve"> </w:t>
      </w:r>
      <w:r>
        <w:t xml:space="preserve">1.</w:t>
      </w:r>
      <w:r>
        <w:t xml:space="preserve"> </w:t>
      </w:r>
      <w:r>
        <w:t xml:space="preserve">USE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DESIGNER</w:t>
      </w:r>
      <w:r>
        <w:t xml:space="preserve"> </w:t>
      </w:r>
      <w:r>
        <w:t xml:space="preserve">PRECURSORS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MANUFACTURING</w:t>
      </w:r>
      <w:r>
        <w:t xml:space="preserve"> </w:t>
      </w:r>
      <w:r>
        <w:t xml:space="preserve">OF</w:t>
      </w:r>
      <w:r>
        <w:t xml:space="preserve"> </w:t>
      </w:r>
      <w:r>
        <w:t xml:space="preserve">AMPHETAMINE TYPE STIMULANTS (ATS)</w:t>
      </w:r>
      <w:r>
        <w:t xml:space="preserve"> </w:t>
      </w:r>
      <w:r>
        <w:t xml:space="preserve">This section is based on the work of a group of experts from EUDA, JRC, CLEN, Belgium and</w:t>
      </w:r>
      <w:r>
        <w:t xml:space="preserve"> </w:t>
      </w:r>
      <w:r>
        <w:t xml:space="preserve">the Netherlands.</w:t>
      </w:r>
      <w:r>
        <w:br/>
      </w:r>
      <w:r>
        <w:t xml:space="preserve">This Annex describes different ways of listing substances for the purpose of scheduling for</w:t>
      </w:r>
      <w:r>
        <w:t xml:space="preserve"> </w:t>
      </w:r>
      <w:r>
        <w:t xml:space="preserve">regulatory purposes. Precursors used for the production of amphetamine type stimulants (ATS)</w:t>
      </w:r>
      <w:r>
        <w:t xml:space="preserve"> </w:t>
      </w:r>
      <w:r>
        <w:t xml:space="preserve">where designer precursors are a common phenomenon are used as a case study.</w:t>
      </w:r>
      <w:r>
        <w:br/>
      </w:r>
      <w:r>
        <w:t xml:space="preserve">Usually, criminals use relatively simple modifications and rely on derivatives that are easily</w:t>
      </w:r>
      <w:r>
        <w:t xml:space="preserve"> </w:t>
      </w:r>
      <w:r>
        <w:t xml:space="preserve">converted into the original precursor that is subject to controls.</w:t>
      </w:r>
      <w:r>
        <w:br/>
      </w:r>
      <w:r>
        <w:t xml:space="preserve">The objective of scheduling designer precursors is to be able to capture the scope of those</w:t>
      </w:r>
      <w:r>
        <w:t xml:space="preserve"> </w:t>
      </w:r>
      <w:r>
        <w:t xml:space="preserve">substances that are attractive to serve as designer precursors.30</w:t>
      </w:r>
      <w:r>
        <w:t xml:space="preserve"> </w:t>
      </w:r>
      <w:r>
        <w:t xml:space="preserve">There are different techniques to spell out such a scope in legislation. Below sections illustrate</w:t>
      </w:r>
      <w:r>
        <w:t xml:space="preserve"> </w:t>
      </w:r>
      <w:r>
        <w:t xml:space="preserve">3 possible techniques to schedule around 100 substances:</w:t>
      </w:r>
      <w:r>
        <w:t xml:space="preserve"> </w:t>
      </w:r>
      <w:r>
        <w:t xml:space="preserve">1. an extensive list of possible ATS designer precursors</w:t>
      </w:r>
      <w:r>
        <w:t xml:space="preserve"> </w:t>
      </w:r>
      <w:r>
        <w:t xml:space="preserve">2. Describing the possible ATS designer precursor as families of derivatives or related</w:t>
      </w:r>
      <w:r>
        <w:t xml:space="preserve"> </w:t>
      </w:r>
      <w:r>
        <w:t xml:space="preserve">chemicals</w:t>
      </w:r>
      <w:r>
        <w:br/>
      </w:r>
      <w:r>
        <w:t xml:space="preserve">3. Describing the possible ATS designer precursor based on a chemical formula</w:t>
      </w:r>
      <w:r>
        <w:br/>
      </w:r>
      <w:r>
        <w:t xml:space="preserve">1. Scheduling an extensive list of possible ATS designer precursors</w:t>
      </w:r>
      <w:r>
        <w:t xml:space="preserve"> </w:t>
      </w:r>
      <w:r>
        <w:t xml:space="preserve">This is a straightforward approach: based upon scientific advice a large list with potential</w:t>
      </w:r>
      <w:r>
        <w:t xml:space="preserve"> </w:t>
      </w:r>
      <w:r>
        <w:t xml:space="preserve">designer precursors is added to the Regulation.</w:t>
      </w:r>
      <w:r>
        <w:br/>
      </w:r>
      <w:r>
        <w:t xml:space="preserve">The substances are identified substance-by-substance by including their name.</w:t>
      </w:r>
      <w:r>
        <w:br/>
      </w:r>
      <w:r>
        <w:t xml:space="preserve">An example from the Netherlands would be the following:</w:t>
      </w:r>
      <w:r>
        <w:br/>
      </w:r>
      <w:r>
        <w:t xml:space="preserve">Precursor voor</w:t>
      </w:r>
      <w:r>
        <w:br/>
      </w:r>
      <w:r>
        <w:t xml:space="preserve">Naam</w:t>
      </w:r>
      <w:r>
        <w:br/>
      </w:r>
      <w:r>
        <w:t xml:space="preserve">Andere benaming</w:t>
      </w:r>
      <w:r>
        <w:t xml:space="preserve"> </w:t>
      </w:r>
      <w:r>
        <w:t xml:space="preserve">BMK</w:t>
      </w:r>
      <w:r>
        <w:t xml:space="preserve"> </w:t>
      </w:r>
      <w:r>
        <w:t xml:space="preserve">BMK</w:t>
      </w:r>
      <w:r>
        <w:br/>
      </w:r>
      <w:r>
        <w:t xml:space="preserve">propyl 2-fenyl-3-oxobutanoaat</w:t>
      </w:r>
      <w:r>
        <w:br/>
      </w:r>
      <w:r>
        <w:t xml:space="preserve">PAPA</w:t>
      </w:r>
      <w:r>
        <w:t xml:space="preserve"> </w:t>
      </w:r>
      <w:r>
        <w:t xml:space="preserve">BMK</w:t>
      </w:r>
      <w:r>
        <w:br/>
      </w:r>
      <w:r>
        <w:t xml:space="preserve">isopropyl 2- fenyl-3-oxobutanoaat</w:t>
      </w:r>
      <w:r>
        <w:br/>
      </w:r>
      <w:r>
        <w:t xml:space="preserve">iPAPA</w:t>
      </w:r>
      <w:r>
        <w:t xml:space="preserve"> </w:t>
      </w:r>
      <w:r>
        <w:t xml:space="preserve">BMK</w:t>
      </w:r>
      <w:r>
        <w:br/>
      </w:r>
      <w:r>
        <w:t xml:space="preserve">butyl fenyl-3-oxobutanoaat</w:t>
      </w:r>
      <w:r>
        <w:br/>
      </w:r>
      <w:r>
        <w:t xml:space="preserve">BAPA</w:t>
      </w:r>
      <w:r>
        <w:t xml:space="preserve"> </w:t>
      </w:r>
      <w:r>
        <w:t xml:space="preserve">BMK</w:t>
      </w:r>
      <w:r>
        <w:br/>
      </w:r>
      <w:r>
        <w:t xml:space="preserve">isobutyl fenyl-3-oxobutanoaat</w:t>
      </w:r>
      <w:r>
        <w:br/>
      </w:r>
      <w:r>
        <w:t xml:space="preserve">iBAPA</w:t>
      </w:r>
      <w:r>
        <w:t xml:space="preserve"> </w:t>
      </w:r>
      <w:r>
        <w:t xml:space="preserve">BMK</w:t>
      </w:r>
      <w:r>
        <w:br/>
      </w:r>
      <w:r>
        <w:t xml:space="preserve">tert-butyl fenyl-3-oxobutanoaat</w:t>
      </w:r>
      <w:r>
        <w:br/>
      </w:r>
      <w:r>
        <w:t xml:space="preserve">tBAPA</w:t>
      </w:r>
      <w:r>
        <w:t xml:space="preserve"> </w:t>
      </w:r>
      <w:r>
        <w:t xml:space="preserve">BMK</w:t>
      </w:r>
      <w:r>
        <w:br/>
      </w:r>
      <w:r>
        <w:t xml:space="preserve">azijnzuur-2-fenyl-3-oxobutaanzuuranhydride</w:t>
      </w:r>
      <w:r>
        <w:br/>
      </w:r>
      <w:r>
        <w:t xml:space="preserve">n.n.b.</w:t>
      </w:r>
      <w:r>
        <w:t xml:space="preserve"> </w:t>
      </w:r>
      <w:r>
        <w:t xml:space="preserve">BMK</w:t>
      </w:r>
      <w:r>
        <w:br/>
      </w:r>
      <w:r>
        <w:t xml:space="preserve">ethyl 3-fenyloxiraan-2-methyl-2-carboxylaat</w:t>
      </w:r>
      <w:r>
        <w:br/>
      </w:r>
      <w:r>
        <w:t xml:space="preserve">ethylester van ‘BMK-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BMK</w:t>
      </w:r>
      <w:r>
        <w:br/>
      </w:r>
      <w:r>
        <w:t xml:space="preserve">propyl 3-fenyloxiraan-2-methyl-2-carboxylaat</w:t>
      </w:r>
      <w:r>
        <w:br/>
      </w:r>
      <w:r>
        <w:t xml:space="preserve">propylester van ‘BMK-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BMK</w:t>
      </w:r>
      <w:r>
        <w:br/>
      </w:r>
      <w:r>
        <w:t xml:space="preserve">isopropyl 3-fenyloxiraan-2-methyl-2-carboxylaat</w:t>
      </w:r>
      <w:r>
        <w:br/>
      </w:r>
      <w:r>
        <w:t xml:space="preserve">isopropylester van ‘BMK-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BMK</w:t>
      </w:r>
      <w:r>
        <w:br/>
      </w:r>
      <w:r>
        <w:t xml:space="preserve">butyl 3-fenyloxiraan-2-methyl-2-carboxylaat</w:t>
      </w:r>
      <w:r>
        <w:br/>
      </w:r>
      <w:r>
        <w:t xml:space="preserve">butylester van ‘BMK-</w:t>
      </w:r>
      <w:r>
        <w:t xml:space="preserve"> </w:t>
      </w:r>
      <w:r>
        <w:t xml:space="preserve">glycidezuur’</w:t>
      </w:r>
    </w:p>
    <w:p>
      <w:pPr>
        <w:pStyle w:val="BodyText"/>
      </w:pPr>
      <w:r>
        <w:t xml:space="preserve">30 Bearing in mind that this will continue to be a moving target.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Precursor voor</w:t>
      </w:r>
      <w:r>
        <w:br/>
      </w:r>
      <w:r>
        <w:t xml:space="preserve">Naam</w:t>
      </w:r>
      <w:r>
        <w:br/>
      </w:r>
      <w:r>
        <w:t xml:space="preserve">Andere benaming</w:t>
      </w:r>
      <w:r>
        <w:t xml:space="preserve"> </w:t>
      </w:r>
      <w:r>
        <w:t xml:space="preserve">BMK</w:t>
      </w:r>
      <w:r>
        <w:br/>
      </w:r>
      <w:r>
        <w:t xml:space="preserve">isobutyl 3-fenyloxiraan-2-methyl-2-carboxylaat</w:t>
      </w:r>
      <w:r>
        <w:br/>
      </w:r>
      <w:r>
        <w:t xml:space="preserve">isobutylester van ‘BMK-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BMK</w:t>
      </w:r>
      <w:r>
        <w:br/>
      </w:r>
      <w:r>
        <w:t xml:space="preserve">tert-butyl 3-fenyloxiraan-2-methyl-2-carboxylaat</w:t>
      </w:r>
      <w:r>
        <w:br/>
      </w:r>
      <w:r>
        <w:t xml:space="preserve">tert-butylester van ‘BMK-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BMK</w:t>
      </w:r>
      <w:r>
        <w:br/>
      </w:r>
      <w:r>
        <w:t xml:space="preserve">3-ethylpentaan-3-yl 3-fenyloxiraan-2-methyl-2-</w:t>
      </w:r>
      <w:r>
        <w:t xml:space="preserve"> </w:t>
      </w:r>
      <w:r>
        <w:t xml:space="preserve">carboxylaat</w:t>
      </w:r>
      <w:r>
        <w:br/>
      </w:r>
      <w:r>
        <w:t xml:space="preserve">n.n.b.</w:t>
      </w:r>
      <w:r>
        <w:t xml:space="preserve"> </w:t>
      </w:r>
      <w:r>
        <w:t xml:space="preserve">BMK</w:t>
      </w:r>
      <w:r>
        <w:br/>
      </w:r>
      <w:r>
        <w:t xml:space="preserve">2-benzyl-2-methyl-1,3-dioxolaan</w:t>
      </w:r>
      <w:r>
        <w:br/>
      </w:r>
      <w:r>
        <w:t xml:space="preserve">4362-18-9</w:t>
      </w:r>
      <w:r>
        <w:t xml:space="preserve"> </w:t>
      </w:r>
      <w:r>
        <w:t xml:space="preserve">BMK</w:t>
      </w:r>
      <w:r>
        <w:br/>
      </w:r>
      <w:r>
        <w:t xml:space="preserve">2-benzyl-2,4-dimethyl-1,3-dioxolaan</w:t>
      </w:r>
      <w:r>
        <w:br/>
      </w:r>
      <w:r>
        <w:t xml:space="preserve">6282-34-4</w:t>
      </w:r>
      <w:r>
        <w:t xml:space="preserve"> </w:t>
      </w:r>
      <w:r>
        <w:t xml:space="preserve">BMK</w:t>
      </w:r>
      <w:r>
        <w:br/>
      </w:r>
      <w:r>
        <w:t xml:space="preserve">2-benzyl-2,4,5-trimethyl-1,3-dioxolaan</w:t>
      </w:r>
      <w:r>
        <w:br/>
      </w:r>
      <w:r>
        <w:t xml:space="preserve">n.n.b.</w:t>
      </w:r>
      <w:r>
        <w:t xml:space="preserve"> </w:t>
      </w:r>
      <w:r>
        <w:t xml:space="preserve">BMK</w:t>
      </w:r>
      <w:r>
        <w:br/>
      </w:r>
      <w:r>
        <w:t xml:space="preserve">2-benzyl-2,4,4,5,5-pentamethyl-1,3-dioxolaan</w:t>
      </w:r>
      <w:r>
        <w:br/>
      </w:r>
      <w:r>
        <w:t xml:space="preserve">n.n.b.</w:t>
      </w:r>
      <w:r>
        <w:t xml:space="preserve"> </w:t>
      </w:r>
      <w:r>
        <w:t xml:space="preserve">BMK</w:t>
      </w:r>
      <w:r>
        <w:br/>
      </w:r>
      <w:r>
        <w:t xml:space="preserve">(2,2-dimethoxypropyl)benzeen</w:t>
      </w:r>
      <w:r>
        <w:br/>
      </w:r>
      <w:r>
        <w:t xml:space="preserve">26163-01-9</w:t>
      </w:r>
      <w:r>
        <w:t xml:space="preserve"> </w:t>
      </w:r>
      <w:r>
        <w:t xml:space="preserve">BMK</w:t>
      </w:r>
      <w:r>
        <w:br/>
      </w:r>
      <w:r>
        <w:t xml:space="preserve">(2,2-diethoxypropyl)benzeen</w:t>
      </w:r>
      <w:r>
        <w:br/>
      </w:r>
      <w:r>
        <w:t xml:space="preserve">71094-32-1</w:t>
      </w:r>
      <w:r>
        <w:t xml:space="preserve"> </w:t>
      </w:r>
      <w:r>
        <w:t xml:space="preserve">BMK</w:t>
      </w:r>
      <w:r>
        <w:br/>
      </w:r>
      <w:r>
        <w:t xml:space="preserve">1-fenylprop-1-en-2-ylformiaat</w:t>
      </w:r>
      <w:r>
        <w:br/>
      </w:r>
      <w:r>
        <w:t xml:space="preserve">n.n.b.</w:t>
      </w:r>
      <w:r>
        <w:t xml:space="preserve"> </w:t>
      </w:r>
      <w:r>
        <w:t xml:space="preserve">BMK</w:t>
      </w:r>
      <w:r>
        <w:br/>
      </w:r>
      <w:r>
        <w:t xml:space="preserve">1-fenylprop-1-een-2-ylacetaat</w:t>
      </w:r>
      <w:r>
        <w:br/>
      </w:r>
      <w:r>
        <w:t xml:space="preserve">24175-87-9</w:t>
      </w:r>
      <w:r>
        <w:t xml:space="preserve"> </w:t>
      </w:r>
      <w:r>
        <w:t xml:space="preserve">BMK</w:t>
      </w:r>
      <w:r>
        <w:br/>
      </w:r>
      <w:r>
        <w:t xml:space="preserve">4-fenyl-3-oxobutaanzuur</w:t>
      </w:r>
      <w:r>
        <w:br/>
      </w:r>
      <w:r>
        <w:t xml:space="preserve">25832-09-1</w:t>
      </w:r>
      <w:r>
        <w:t xml:space="preserve"> </w:t>
      </w:r>
      <w:r>
        <w:t xml:space="preserve">BMK</w:t>
      </w:r>
      <w:r>
        <w:br/>
      </w:r>
      <w:r>
        <w:t xml:space="preserve">N-acetyl-2-fenyl-3-oxobutaanamide</w:t>
      </w:r>
      <w:r>
        <w:br/>
      </w:r>
      <w:r>
        <w:t xml:space="preserve">122664-30-6</w:t>
      </w:r>
      <w:r>
        <w:t xml:space="preserve"> </w:t>
      </w:r>
      <w:r>
        <w:t xml:space="preserve">BMK</w:t>
      </w:r>
      <w:r>
        <w:br/>
      </w:r>
      <w:r>
        <w:t xml:space="preserve">azijnzuurfenylazijnzuuranhydride</w:t>
      </w:r>
      <w:r>
        <w:br/>
      </w:r>
      <w:r>
        <w:t xml:space="preserve">n.n.b.</w:t>
      </w:r>
      <w:r>
        <w:t xml:space="preserve"> </w:t>
      </w:r>
      <w:r>
        <w:t xml:space="preserve">BMK</w:t>
      </w:r>
      <w:r>
        <w:br/>
      </w:r>
      <w:r>
        <w:t xml:space="preserve">natrium 1-fenyl-2-hydroxy-2-propaan-2-sulfonaat</w:t>
      </w:r>
      <w:r>
        <w:br/>
      </w:r>
      <w:r>
        <w:t xml:space="preserve">BMK bisulfiet adduct</w:t>
      </w:r>
      <w:r>
        <w:t xml:space="preserve"> </w:t>
      </w:r>
      <w:r>
        <w:t xml:space="preserve">BMK</w:t>
      </w:r>
      <w:r>
        <w:br/>
      </w:r>
      <w:r>
        <w:t xml:space="preserve">diethyl (fenylacetyl)propaanedioaat</w:t>
      </w:r>
      <w:r>
        <w:br/>
      </w:r>
      <w:r>
        <w:t xml:space="preserve">20320-59-6, DEPAPD</w:t>
      </w:r>
      <w:r>
        <w:t xml:space="preserve"> </w:t>
      </w:r>
      <w:r>
        <w:t xml:space="preserve">Amfetamine</w:t>
      </w:r>
      <w:r>
        <w:t xml:space="preserve"> </w:t>
      </w:r>
      <w:r>
        <w:t xml:space="preserve">amfetamine</w:t>
      </w:r>
      <w:r>
        <w:br/>
      </w:r>
      <w:r>
        <w:t xml:space="preserve">(9H-fluoreen-9-yl)methyl (1-fenylpropaan-2-</w:t>
      </w:r>
      <w:r>
        <w:t xml:space="preserve"> </w:t>
      </w:r>
      <w:r>
        <w:t xml:space="preserve">yl)carbamaat</w:t>
      </w:r>
      <w:r>
        <w:br/>
      </w:r>
      <w:r>
        <w:t xml:space="preserve">N-FMOC-amfetamine</w:t>
      </w:r>
      <w:r>
        <w:t xml:space="preserve"> </w:t>
      </w:r>
      <w:r>
        <w:t xml:space="preserve">amfetamine</w:t>
      </w:r>
      <w:r>
        <w:br/>
      </w:r>
      <w:r>
        <w:t xml:space="preserve">tert-butyl (1-fenylpropaan-2-yl)carbamaat</w:t>
      </w:r>
      <w:r>
        <w:br/>
      </w:r>
      <w:r>
        <w:t xml:space="preserve">N-tBOC-amfetamine</w:t>
      </w:r>
      <w:r>
        <w:t xml:space="preserve"> </w:t>
      </w:r>
      <w:r>
        <w:t xml:space="preserve">amfetamine</w:t>
      </w:r>
      <w:r>
        <w:br/>
      </w:r>
      <w:r>
        <w:t xml:space="preserve">N-(1-fenylpropaan-2-yl)acetamide</w:t>
      </w:r>
      <w:r>
        <w:br/>
      </w:r>
      <w:r>
        <w:t xml:space="preserve">N-acetylamfetamine, 14383-</w:t>
      </w:r>
      <w:r>
        <w:t xml:space="preserve"> </w:t>
      </w:r>
      <w:r>
        <w:t xml:space="preserve">60-9</w:t>
      </w:r>
      <w:r>
        <w:t xml:space="preserve"> </w:t>
      </w:r>
      <w:r>
        <w:t xml:space="preserve">amfetamine</w:t>
      </w:r>
      <w:r>
        <w:br/>
      </w:r>
      <w:r>
        <w:t xml:space="preserve">trifluormethyl (1-fenylpropaan-2-yl)carbamaat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2,2,2-trifluor-N-(1-fenylpropaan-2-yl)acetamide</w:t>
      </w:r>
      <w:r>
        <w:br/>
      </w:r>
      <w:r>
        <w:t xml:space="preserve">N-TFA-amfetamine, 62840-</w:t>
      </w:r>
      <w:r>
        <w:t xml:space="preserve"> </w:t>
      </w:r>
      <w:r>
        <w:t xml:space="preserve">99-7</w:t>
      </w:r>
      <w:r>
        <w:t xml:space="preserve"> </w:t>
      </w:r>
      <w:r>
        <w:t xml:space="preserve">amfetamine</w:t>
      </w:r>
      <w:r>
        <w:br/>
      </w:r>
      <w:r>
        <w:t xml:space="preserve">N-(1-fenylpropaan-2-yl)formamide</w:t>
      </w:r>
      <w:r>
        <w:br/>
      </w:r>
      <w:r>
        <w:t xml:space="preserve">N-formylamfetamine, 15302-</w:t>
      </w:r>
      <w:r>
        <w:t xml:space="preserve"> </w:t>
      </w:r>
      <w:r>
        <w:t xml:space="preserve">18-8</w:t>
      </w:r>
      <w:r>
        <w:t xml:space="preserve"> </w:t>
      </w:r>
      <w:r>
        <w:t xml:space="preserve">amfetamine</w:t>
      </w:r>
      <w:r>
        <w:br/>
      </w:r>
      <w:r>
        <w:t xml:space="preserve">prop-2-een-1-yl (1-fenylpropaan-2-yl)carbamaat</w:t>
      </w:r>
      <w:r>
        <w:br/>
      </w:r>
      <w:r>
        <w:t xml:space="preserve">N-Alloc-amfetamine</w:t>
      </w:r>
      <w:r>
        <w:t xml:space="preserve"> </w:t>
      </w:r>
      <w:r>
        <w:t xml:space="preserve">amfetamine</w:t>
      </w:r>
      <w:r>
        <w:br/>
      </w:r>
      <w:r>
        <w:t xml:space="preserve">N-(1-fenylpropaan-2-yl)benzamide</w:t>
      </w:r>
      <w:r>
        <w:br/>
      </w:r>
      <w:r>
        <w:t xml:space="preserve">N-Bz-amfetamine, N-</w:t>
      </w:r>
      <w:r>
        <w:t xml:space="preserve"> </w:t>
      </w:r>
      <w:r>
        <w:t xml:space="preserve">benzoylamfetamine, 1795-</w:t>
      </w:r>
      <w:r>
        <w:t xml:space="preserve"> </w:t>
      </w:r>
      <w:r>
        <w:t xml:space="preserve">95-5</w:t>
      </w:r>
      <w:r>
        <w:t xml:space="preserve"> </w:t>
      </w:r>
      <w:r>
        <w:t xml:space="preserve">amfetamine</w:t>
      </w:r>
      <w:r>
        <w:br/>
      </w:r>
      <w:r>
        <w:t xml:space="preserve">benzyl (1-fenylpropaan-2-yl)carbamaat</w:t>
      </w:r>
      <w:r>
        <w:br/>
      </w:r>
      <w:r>
        <w:t xml:space="preserve">N-Cbz-amfetamine</w:t>
      </w:r>
      <w:r>
        <w:t xml:space="preserve"> </w:t>
      </w:r>
      <w:r>
        <w:t xml:space="preserve">amfetamine</w:t>
      </w:r>
      <w:r>
        <w:br/>
      </w:r>
      <w:r>
        <w:t xml:space="preserve">4-methyl-N-(1-fenylpropaan-2-yl)benzeen-1-</w:t>
      </w:r>
      <w:r>
        <w:t xml:space="preserve"> </w:t>
      </w:r>
      <w:r>
        <w:t xml:space="preserve">sulfonamide</w:t>
      </w:r>
      <w:r>
        <w:t xml:space="preserve"> </w:t>
      </w:r>
      <w:r>
        <w:t xml:space="preserve">N-Tosyl-amfetamine, 34542-</w:t>
      </w:r>
      <w:r>
        <w:t xml:space="preserve"> </w:t>
      </w:r>
      <w:r>
        <w:t xml:space="preserve">12-6</w:t>
      </w:r>
      <w:r>
        <w:t xml:space="preserve"> </w:t>
      </w:r>
      <w:r>
        <w:t xml:space="preserve">amfetamine</w:t>
      </w:r>
      <w:r>
        <w:br/>
      </w:r>
      <w:r>
        <w:t xml:space="preserve">4-nitro-N-(1-fenylpropaan-2-yl)benzeen-1-sulfonamide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4-broom-N-(1-fenylpropaan-2-yl)benzeen-1-</w:t>
      </w:r>
      <w:r>
        <w:t xml:space="preserve"> </w:t>
      </w:r>
      <w:r>
        <w:t xml:space="preserve">sulfonamide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N-(trifenylmethyl)-1-fenylpropaan-2-amine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1-fenyl-N-(1-fenylpropaan-2-yl)methanimine</w:t>
      </w:r>
      <w:r>
        <w:br/>
      </w:r>
      <w:r>
        <w:t xml:space="preserve">2980-02-1</w:t>
      </w:r>
      <w:r>
        <w:t xml:space="preserve"> </w:t>
      </w:r>
      <w:r>
        <w:t xml:space="preserve">amfetamine</w:t>
      </w:r>
      <w:r>
        <w:br/>
      </w:r>
      <w:r>
        <w:t xml:space="preserve">2-(1-fenylpropaan-2-yl)-1H-iso-indol-1,3(2H)-dion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2-acetamido-1-fenylpropylacetaat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1-fenyl-2-formamidopropylformiaat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dimethyl N-(1-fenylpropaan-2-yl)fosforamidaat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diethyl N-(1-fenylpropaan-2-yl)fosforamidaat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difenyl N-(1-fenylpropaan-2-yl)fosforamidaat</w:t>
      </w:r>
      <w:r>
        <w:br/>
      </w:r>
      <w:r>
        <w:t xml:space="preserve">7761-65-1</w:t>
      </w:r>
      <w:r>
        <w:t xml:space="preserve"> </w:t>
      </w:r>
      <w:r>
        <w:t xml:space="preserve">amfetamine</w:t>
      </w:r>
      <w:r>
        <w:br/>
      </w:r>
      <w:r>
        <w:t xml:space="preserve">N-(1-fenylpropaan-2-ylideen)hydroxylamine</w:t>
      </w:r>
      <w:r>
        <w:br/>
      </w:r>
      <w:r>
        <w:t xml:space="preserve">fenylaceton-oxime, 13213-</w:t>
      </w:r>
      <w:r>
        <w:t xml:space="preserve"> </w:t>
      </w:r>
      <w:r>
        <w:t xml:space="preserve">36-0</w:t>
      </w:r>
      <w:r>
        <w:t xml:space="preserve"> </w:t>
      </w:r>
      <w:r>
        <w:t xml:space="preserve">amfetamine</w:t>
      </w:r>
      <w:r>
        <w:br/>
      </w:r>
      <w:r>
        <w:t xml:space="preserve">N-methoxy-1-fenylpropaan-2-imine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2-methyl-N-(1-fenylpropaan-2-yl)propaan-2-</w:t>
      </w:r>
      <w:r>
        <w:t xml:space="preserve"> </w:t>
      </w:r>
      <w:r>
        <w:t xml:space="preserve">sulfinamide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1-[2-(fenylsulfanyl)fenyl]propaan-2-amine</w:t>
      </w:r>
      <w:r>
        <w:br/>
      </w:r>
      <w:r>
        <w:t xml:space="preserve">127876-67-9</w:t>
      </w:r>
      <w:r>
        <w:t xml:space="preserve"> </w:t>
      </w:r>
      <w:r>
        <w:t xml:space="preserve">amfetamine</w:t>
      </w:r>
      <w:r>
        <w:br/>
      </w:r>
      <w:r>
        <w:t xml:space="preserve">1-chloor-1-fenylpropaan-2-amine</w:t>
      </w:r>
      <w:r>
        <w:br/>
      </w:r>
      <w:r>
        <w:t xml:space="preserve">107912-52-7</w:t>
      </w:r>
      <w:r>
        <w:t xml:space="preserve"> </w:t>
      </w:r>
      <w:r>
        <w:t xml:space="preserve">amfetamine</w:t>
      </w:r>
      <w:r>
        <w:br/>
      </w:r>
      <w:r>
        <w:t xml:space="preserve">(2-nitro-1-nitrosopropyl)benzeen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1-azido-3-fenyl-2-methylpropaan-1-on</w:t>
      </w:r>
      <w:r>
        <w:br/>
      </w:r>
      <w:r>
        <w:t xml:space="preserve">n.n.b.</w:t>
      </w:r>
      <w:r>
        <w:t xml:space="preserve"> </w:t>
      </w:r>
      <w:r>
        <w:t xml:space="preserve">amfetamine</w:t>
      </w:r>
      <w:r>
        <w:br/>
      </w:r>
      <w:r>
        <w:t xml:space="preserve">(2-azidopropyl)benzeen</w:t>
      </w:r>
      <w:r>
        <w:br/>
      </w:r>
      <w:r>
        <w:t xml:space="preserve">823189-05-5</w:t>
      </w:r>
      <w:r>
        <w:t xml:space="preserve"> </w:t>
      </w:r>
      <w:r>
        <w:t xml:space="preserve">amfetamine</w:t>
      </w:r>
      <w:r>
        <w:br/>
      </w:r>
      <w:r>
        <w:t xml:space="preserve">[(1-fenylpropaan-2-yl)imino]methaansulfonzuur</w:t>
      </w:r>
      <w:r>
        <w:br/>
      </w:r>
      <w:r>
        <w:t xml:space="preserve">n.n.b.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Precursor voor</w:t>
      </w:r>
      <w:r>
        <w:br/>
      </w:r>
      <w:r>
        <w:t xml:space="preserve">Naam</w:t>
      </w:r>
      <w:r>
        <w:br/>
      </w:r>
      <w:r>
        <w:t xml:space="preserve">Andere benaming</w:t>
      </w:r>
      <w:r>
        <w:t xml:space="preserve"> </w:t>
      </w:r>
      <w:r>
        <w:t xml:space="preserve">amfetamine</w:t>
      </w:r>
      <w:r>
        <w:br/>
      </w:r>
      <w:r>
        <w:t xml:space="preserve">3-fenyl-2-methylpropaanamide</w:t>
      </w:r>
      <w:r>
        <w:t xml:space="preserve"> </w:t>
      </w:r>
      <w:r>
        <w:t xml:space="preserve">7499-19-6</w:t>
      </w:r>
      <w:r>
        <w:t xml:space="preserve"> </w:t>
      </w:r>
      <w:r>
        <w:t xml:space="preserve">amfetamine</w:t>
      </w:r>
      <w:r>
        <w:br/>
      </w:r>
      <w:r>
        <w:t xml:space="preserve">4,4,5,5-tetramethyl-N-(1-fenylpropaan-2-yl)-1,3-</w:t>
      </w:r>
      <w:r>
        <w:t xml:space="preserve"> </w:t>
      </w:r>
      <w:r>
        <w:t xml:space="preserve">dioxolaan-2-imine</w:t>
      </w:r>
      <w:r>
        <w:t xml:space="preserve"> </w:t>
      </w:r>
      <w:r>
        <w:t xml:space="preserve">n.n.b.</w:t>
      </w:r>
      <w:r>
        <w:t xml:space="preserve"> </w:t>
      </w:r>
      <w:r>
        <w:t xml:space="preserve">amfetamine</w:t>
      </w:r>
      <w:r>
        <w:t xml:space="preserve"> </w:t>
      </w:r>
      <w:r>
        <w:t xml:space="preserve">5-fenyl-4-methyl-1,3-oxazolidin-2-on</w:t>
      </w:r>
      <w:r>
        <w:br/>
      </w:r>
      <w:r>
        <w:t xml:space="preserve">125133-96-2</w:t>
      </w:r>
      <w:r>
        <w:t xml:space="preserve"> </w:t>
      </w:r>
      <w:r>
        <w:t xml:space="preserve">amfetamine</w:t>
      </w:r>
      <w:r>
        <w:br/>
      </w:r>
      <w:r>
        <w:t xml:space="preserve">(2-isocyanatopropyl)benzeen</w:t>
      </w:r>
      <w:r>
        <w:br/>
      </w:r>
      <w:r>
        <w:t xml:space="preserve">22084-42-0</w:t>
      </w:r>
      <w:r>
        <w:t xml:space="preserve"> </w:t>
      </w:r>
      <w:r>
        <w:t xml:space="preserve">(meth)amfetamine (2-chloorpropyl)benzeen</w:t>
      </w:r>
      <w:r>
        <w:br/>
      </w:r>
      <w:r>
        <w:t xml:space="preserve">10304-81-1</w:t>
      </w:r>
      <w:r>
        <w:t xml:space="preserve"> </w:t>
      </w:r>
      <w:r>
        <w:t xml:space="preserve">(meth)amfetamine (2-broompropyl)benzeen</w:t>
      </w:r>
      <w:r>
        <w:br/>
      </w:r>
      <w:r>
        <w:t xml:space="preserve">130232-93-8</w:t>
      </w:r>
      <w:r>
        <w:t xml:space="preserve"> </w:t>
      </w:r>
      <w:r>
        <w:t xml:space="preserve">(meth)amfetamine (2-joodpropyl)benzeen</w:t>
      </w:r>
      <w:r>
        <w:br/>
      </w:r>
      <w:r>
        <w:t xml:space="preserve">29527-87-5</w:t>
      </w:r>
      <w:r>
        <w:t xml:space="preserve"> </w:t>
      </w:r>
      <w:r>
        <w:t xml:space="preserve">Metamfetamine</w:t>
      </w:r>
      <w:r>
        <w:t xml:space="preserve"> </w:t>
      </w:r>
      <w:r>
        <w:t xml:space="preserve">metamfetamine</w:t>
      </w:r>
      <w:r>
        <w:br/>
      </w:r>
      <w:r>
        <w:t xml:space="preserve">(9H-fluoreen-9-yl)methyl methyl (1-fenylpropaan-2-</w:t>
      </w:r>
      <w:r>
        <w:t xml:space="preserve"> </w:t>
      </w:r>
      <w:r>
        <w:t xml:space="preserve">yl)carbamaat</w:t>
      </w:r>
      <w:r>
        <w:t xml:space="preserve"> </w:t>
      </w:r>
      <w:r>
        <w:t xml:space="preserve">N-FMOC-metamfetamine</w:t>
      </w:r>
      <w:r>
        <w:t xml:space="preserve"> </w:t>
      </w:r>
      <w:r>
        <w:t xml:space="preserve">metamfetamine</w:t>
      </w:r>
      <w:r>
        <w:br/>
      </w:r>
      <w:r>
        <w:t xml:space="preserve">N-methyl-N-(1-fenylpropaan-2-yl)benzamide</w:t>
      </w:r>
      <w:r>
        <w:t xml:space="preserve"> </w:t>
      </w:r>
      <w:r>
        <w:t xml:space="preserve">N-Bz-metamfetamine, N-</w:t>
      </w:r>
      <w:r>
        <w:t xml:space="preserve"> </w:t>
      </w:r>
      <w:r>
        <w:t xml:space="preserve">benzoyl-metamfetamine</w:t>
      </w:r>
      <w:r>
        <w:t xml:space="preserve"> </w:t>
      </w:r>
      <w:r>
        <w:t xml:space="preserve">metamfetamine</w:t>
      </w:r>
      <w:r>
        <w:br/>
      </w:r>
      <w:r>
        <w:t xml:space="preserve">tert-butyl methyl(1-fenylpropaan-2-yl)carbamaat</w:t>
      </w:r>
      <w:r>
        <w:br/>
      </w:r>
      <w:r>
        <w:t xml:space="preserve">N-tBOC-metamfetamine</w:t>
      </w:r>
      <w:r>
        <w:t xml:space="preserve"> </w:t>
      </w:r>
      <w:r>
        <w:t xml:space="preserve">metamfetamine</w:t>
      </w:r>
      <w:r>
        <w:br/>
      </w:r>
      <w:r>
        <w:t xml:space="preserve">N-methyl-N-(1-fenylpropaan-2-yl)acetamide</w:t>
      </w:r>
      <w:r>
        <w:br/>
      </w:r>
      <w:r>
        <w:t xml:space="preserve">N-acetylmetamfetamine,</w:t>
      </w:r>
      <w:r>
        <w:t xml:space="preserve"> </w:t>
      </w:r>
      <w:r>
        <w:t xml:space="preserve">27765-80-6</w:t>
      </w:r>
      <w:r>
        <w:t xml:space="preserve"> </w:t>
      </w:r>
      <w:r>
        <w:t xml:space="preserve">metamfetamine</w:t>
      </w:r>
      <w:r>
        <w:br/>
      </w:r>
      <w:r>
        <w:t xml:space="preserve">trifluormethyl methyl(1-fenylpropaan-2-yl)carbamaat</w:t>
      </w:r>
      <w:r>
        <w:br/>
      </w:r>
      <w:r>
        <w:t xml:space="preserve">n.n.b.</w:t>
      </w:r>
      <w:r>
        <w:t xml:space="preserve"> </w:t>
      </w:r>
      <w:r>
        <w:t xml:space="preserve">metamfetamine</w:t>
      </w:r>
      <w:r>
        <w:br/>
      </w:r>
      <w:r>
        <w:t xml:space="preserve">2,2,2-trifluor-N-methyl-N-(1-fenylpropan-2-</w:t>
      </w:r>
      <w:r>
        <w:t xml:space="preserve"> </w:t>
      </w:r>
      <w:r>
        <w:t xml:space="preserve">yl)acetamide</w:t>
      </w:r>
      <w:r>
        <w:t xml:space="preserve"> </w:t>
      </w:r>
      <w:r>
        <w:t xml:space="preserve">N-TFA-metamfetamine</w:t>
      </w:r>
      <w:r>
        <w:t xml:space="preserve"> </w:t>
      </w:r>
      <w:r>
        <w:t xml:space="preserve">metamfetamine</w:t>
      </w:r>
      <w:r>
        <w:br/>
      </w:r>
      <w:r>
        <w:t xml:space="preserve">N-methyl-N-(1-fenylpropaan-2-yl)formamide</w:t>
      </w:r>
      <w:r>
        <w:br/>
      </w:r>
      <w:r>
        <w:t xml:space="preserve">N-formylmetamfetamine,</w:t>
      </w:r>
      <w:r>
        <w:t xml:space="preserve"> </w:t>
      </w:r>
      <w:r>
        <w:t xml:space="preserve">42932-20-7</w:t>
      </w:r>
      <w:r>
        <w:t xml:space="preserve"> </w:t>
      </w:r>
      <w:r>
        <w:t xml:space="preserve">metamfetamine</w:t>
      </w:r>
      <w:r>
        <w:br/>
      </w:r>
      <w:r>
        <w:t xml:space="preserve">methyl methyl(1-fenylpropaan-2-yl)carbamaat</w:t>
      </w:r>
      <w:r>
        <w:br/>
      </w:r>
      <w:r>
        <w:t xml:space="preserve">N-Moc-metamfetamine</w:t>
      </w:r>
      <w:r>
        <w:t xml:space="preserve"> </w:t>
      </w:r>
      <w:r>
        <w:t xml:space="preserve">metamfetamine</w:t>
      </w:r>
      <w:r>
        <w:br/>
      </w:r>
      <w:r>
        <w:t xml:space="preserve">prop-2-een-1-yl methyl(1-fenylpropaan-2-yl)carbamaat</w:t>
      </w:r>
      <w:r>
        <w:t xml:space="preserve"> </w:t>
      </w:r>
      <w:r>
        <w:t xml:space="preserve">N-Alloc-metamfetamine</w:t>
      </w:r>
      <w:r>
        <w:t xml:space="preserve"> </w:t>
      </w:r>
      <w:r>
        <w:t xml:space="preserve">metamfetamine</w:t>
      </w:r>
      <w:r>
        <w:t xml:space="preserve"> </w:t>
      </w:r>
      <w:r>
        <w:t xml:space="preserve">N-methyl-N-(trifenylmethyl)-1-fenylpropaan-2-amine</w:t>
      </w:r>
      <w:r>
        <w:t xml:space="preserve"> </w:t>
      </w:r>
      <w:r>
        <w:t xml:space="preserve">n.n.b.</w:t>
      </w:r>
      <w:r>
        <w:t xml:space="preserve"> </w:t>
      </w:r>
      <w:r>
        <w:t xml:space="preserve">metamfetamine</w:t>
      </w:r>
      <w:r>
        <w:br/>
      </w:r>
      <w:r>
        <w:t xml:space="preserve">benzyl methyl(1-fenylpropaan-2-yl)carbamaat</w:t>
      </w:r>
      <w:r>
        <w:br/>
      </w:r>
      <w:r>
        <w:t xml:space="preserve">N-Cbz-metamfetamine</w:t>
      </w:r>
      <w:r>
        <w:t xml:space="preserve"> </w:t>
      </w:r>
      <w:r>
        <w:t xml:space="preserve">metamfetamine</w:t>
      </w:r>
      <w:r>
        <w:t xml:space="preserve"> </w:t>
      </w:r>
      <w:r>
        <w:t xml:space="preserve">N,4-dimethyl-N-(1-fenylpropaan-2-yl)benzeen-1-</w:t>
      </w:r>
      <w:r>
        <w:t xml:space="preserve"> </w:t>
      </w:r>
      <w:r>
        <w:t xml:space="preserve">sulfonamide</w:t>
      </w:r>
      <w:r>
        <w:t xml:space="preserve"> </w:t>
      </w:r>
      <w:r>
        <w:t xml:space="preserve">N-Tosyl-metamfetamine,</w:t>
      </w:r>
      <w:r>
        <w:t xml:space="preserve"> </w:t>
      </w:r>
      <w:r>
        <w:t xml:space="preserve">74810-23-4</w:t>
      </w:r>
      <w:r>
        <w:t xml:space="preserve"> </w:t>
      </w:r>
      <w:r>
        <w:t xml:space="preserve">metamfetamine</w:t>
      </w:r>
      <w:r>
        <w:t xml:space="preserve"> </w:t>
      </w:r>
      <w:r>
        <w:t xml:space="preserve">N-methyl-4-nitro-N-(1-fenylpropaan-2-yl)benzeen-1-</w:t>
      </w:r>
      <w:r>
        <w:t xml:space="preserve"> </w:t>
      </w:r>
      <w:r>
        <w:t xml:space="preserve">sulfonamide</w:t>
      </w:r>
      <w:r>
        <w:t xml:space="preserve"> </w:t>
      </w:r>
      <w:r>
        <w:t xml:space="preserve">N-Ns-metamfetamine</w:t>
      </w:r>
      <w:r>
        <w:t xml:space="preserve"> </w:t>
      </w:r>
      <w:r>
        <w:t xml:space="preserve">metamfetamine</w:t>
      </w:r>
      <w:r>
        <w:t xml:space="preserve"> </w:t>
      </w:r>
      <w:r>
        <w:t xml:space="preserve">4-broom-N-methyl-N-(1-fenylpropaan-2-yl)benzeen-1-</w:t>
      </w:r>
      <w:r>
        <w:t xml:space="preserve"> </w:t>
      </w:r>
      <w:r>
        <w:t xml:space="preserve">sulfonamide</w:t>
      </w:r>
      <w:r>
        <w:t xml:space="preserve"> </w:t>
      </w:r>
      <w:r>
        <w:t xml:space="preserve">N-Bs-metamfetamine</w:t>
      </w:r>
      <w:r>
        <w:t xml:space="preserve"> </w:t>
      </w:r>
      <w:r>
        <w:t xml:space="preserve">PMK</w:t>
      </w:r>
      <w:r>
        <w:br/>
      </w:r>
      <w:r>
        <w:t xml:space="preserve">(2H-1,3-benzodioxol-5-yl)acetonitril</w:t>
      </w:r>
      <w:r>
        <w:br/>
      </w:r>
      <w:r>
        <w:t xml:space="preserve">4439-02-5</w:t>
      </w:r>
      <w:r>
        <w:t xml:space="preserve"> </w:t>
      </w:r>
      <w:r>
        <w:t xml:space="preserve">De 3,4-methyleendioxy-gesubstitueerde derivaten van de hierboven opgesomde BMK precursoren, waaronder</w:t>
      </w:r>
      <w:r>
        <w:t xml:space="preserve"> </w:t>
      </w:r>
      <w:r>
        <w:t xml:space="preserve">PMK</w:t>
      </w:r>
      <w:r>
        <w:br/>
      </w:r>
      <w:r>
        <w:t xml:space="preserve">ethyl 2-(2H-1,3-benzodioxol-5-yl)-3-oxobutanoaat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propyl 2-(2H-1,3-benzodioxol-5-yl)-3-oxobutanoaat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isopropyl 2-(2H-1,3-benzodioxol-5-yl)-3-oxobutanoaat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butyl 2-(2H-1,3-benzodioxol-5-yl)-3-oxobutanoaat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isobutyl 2-(2H-1,3-benzodioxol-5-yl)-3-oxobutanoaat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tert-butyl 2-(2H-1,3-benzodioxol-5-yl)-3-oxobutanoaat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propyl 3-(2H-1,3-benzodioxol-5-yl)-2-methyloxiraan-2-</w:t>
      </w:r>
      <w:r>
        <w:t xml:space="preserve"> </w:t>
      </w:r>
      <w:r>
        <w:t xml:space="preserve">carboxylaat</w:t>
      </w:r>
      <w:r>
        <w:t xml:space="preserve"> </w:t>
      </w:r>
      <w:r>
        <w:t xml:space="preserve">propylester van ‘PMK-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PMK</w:t>
      </w:r>
      <w:r>
        <w:t xml:space="preserve"> </w:t>
      </w:r>
      <w:r>
        <w:t xml:space="preserve">isopropyl 3-(2H-1,3-benzodioxol-5-yl)-2-</w:t>
      </w:r>
      <w:r>
        <w:t xml:space="preserve"> </w:t>
      </w:r>
      <w:r>
        <w:t xml:space="preserve">methyloxiraan-2-carboxylaat</w:t>
      </w:r>
      <w:r>
        <w:t xml:space="preserve"> </w:t>
      </w:r>
      <w:r>
        <w:t xml:space="preserve">isopropylester van ‘PMK-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PMK</w:t>
      </w:r>
      <w:r>
        <w:br/>
      </w:r>
      <w:r>
        <w:t xml:space="preserve">butyl 3-(2H-1,3-benzodioxol-5-yl)-2-methyloxiraan-2-</w:t>
      </w:r>
      <w:r>
        <w:t xml:space="preserve"> </w:t>
      </w:r>
      <w:r>
        <w:t xml:space="preserve">carboxylaat</w:t>
      </w:r>
      <w:r>
        <w:t xml:space="preserve"> </w:t>
      </w:r>
      <w:r>
        <w:t xml:space="preserve">butylester van ‘PMK-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PMK</w:t>
      </w:r>
      <w:r>
        <w:br/>
      </w:r>
      <w:r>
        <w:t xml:space="preserve">isobutyl 3-(2H-1,3-benzodioxol-5-yl)-2-methyloxiraan-</w:t>
      </w:r>
      <w:r>
        <w:t xml:space="preserve"> </w:t>
      </w:r>
      <w:r>
        <w:t xml:space="preserve">2-carboxylaat</w:t>
      </w:r>
      <w:r>
        <w:t xml:space="preserve"> </w:t>
      </w:r>
      <w:r>
        <w:t xml:space="preserve">isobutylester van ‘PMK-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PMK</w:t>
      </w:r>
      <w:r>
        <w:br/>
      </w:r>
      <w:r>
        <w:t xml:space="preserve">tert-butyl 3-(2H-1,3-benzodioxol-5-yl)-2-</w:t>
      </w:r>
      <w:r>
        <w:t xml:space="preserve"> </w:t>
      </w:r>
      <w:r>
        <w:t xml:space="preserve">methyloxiraan-2-carboxylaat</w:t>
      </w:r>
      <w:r>
        <w:t xml:space="preserve"> </w:t>
      </w:r>
      <w:r>
        <w:t xml:space="preserve">tert-butylester van ‘PMK-</w:t>
      </w:r>
      <w:r>
        <w:t xml:space="preserve"> </w:t>
      </w:r>
      <w:r>
        <w:t xml:space="preserve">glycidezuur’</w:t>
      </w:r>
      <w:r>
        <w:t xml:space="preserve"> </w:t>
      </w:r>
      <w:r>
        <w:t xml:space="preserve">PMK</w:t>
      </w:r>
      <w:r>
        <w:br/>
      </w:r>
      <w:r>
        <w:t xml:space="preserve">5-[(2-methyl-1,3-dioxolaan-2-yl)methyl]-2H-1,3-</w:t>
      </w:r>
      <w:r>
        <w:t xml:space="preserve"> </w:t>
      </w:r>
      <w:r>
        <w:t xml:space="preserve">benzodioxol</w:t>
      </w:r>
      <w:r>
        <w:br/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5-[(2,4-dimethyl-1,3-dioxolaan-2-yl)methyl]-2H-1,3-</w:t>
      </w:r>
      <w:r>
        <w:t xml:space="preserve"> </w:t>
      </w:r>
      <w:r>
        <w:t xml:space="preserve">benzodioxol</w:t>
      </w:r>
      <w:r>
        <w:t xml:space="preserve"> </w:t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5-[(2,4,5-trimethyl-1,3-dioxolaan-2-yl)methyl]-2H-1,3-</w:t>
      </w:r>
      <w:r>
        <w:t xml:space="preserve"> </w:t>
      </w:r>
      <w:r>
        <w:t xml:space="preserve">benzodioxol</w:t>
      </w:r>
      <w:r>
        <w:t xml:space="preserve"> </w:t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5-[(2,4,4,5,5-pentamethyl-1,3-dioxolaan-2-yl)methyl]-</w:t>
      </w:r>
      <w:r>
        <w:t xml:space="preserve"> </w:t>
      </w:r>
      <w:r>
        <w:t xml:space="preserve">2H-1,3-benzodioxol</w:t>
      </w:r>
      <w:r>
        <w:t xml:space="preserve"> </w:t>
      </w:r>
      <w:r>
        <w:t xml:space="preserve">n.n.b.</w:t>
      </w:r>
      <w:r>
        <w:t xml:space="preserve"> </w:t>
      </w:r>
      <w:r>
        <w:t xml:space="preserve">PMK</w:t>
      </w:r>
      <w:r>
        <w:br/>
      </w:r>
      <w:r>
        <w:t xml:space="preserve">5-(2,2-dimethoxypropyl)-2H-1,3-benzodioxol</w:t>
      </w:r>
      <w:r>
        <w:br/>
      </w:r>
      <w:r>
        <w:t xml:space="preserve">90176-89-9</w:t>
      </w:r>
      <w:r>
        <w:t xml:space="preserve"> </w:t>
      </w:r>
      <w:r>
        <w:t xml:space="preserve">PMK</w:t>
      </w:r>
      <w:r>
        <w:br/>
      </w:r>
      <w:r>
        <w:t xml:space="preserve">5-(2,2-diethoxypropyl)-2H-1,3-benzodioxol</w:t>
      </w:r>
      <w:r>
        <w:br/>
      </w:r>
      <w:r>
        <w:t xml:space="preserve">n.n.b.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Precursor voor</w:t>
      </w:r>
      <w:r>
        <w:br/>
      </w:r>
      <w:r>
        <w:t xml:space="preserve">Naam</w:t>
      </w:r>
      <w:r>
        <w:br/>
      </w:r>
      <w:r>
        <w:t xml:space="preserve">Andere benaming</w:t>
      </w:r>
      <w:r>
        <w:t xml:space="preserve"> </w:t>
      </w:r>
      <w:r>
        <w:t xml:space="preserve">PMK</w:t>
      </w:r>
      <w:r>
        <w:br/>
      </w:r>
      <w:r>
        <w:t xml:space="preserve">natrium 3-(2H-1,3-benzodioxol-5-yl)-2-</w:t>
      </w:r>
      <w:r>
        <w:t xml:space="preserve"> </w:t>
      </w:r>
      <w:r>
        <w:t xml:space="preserve">hydroxypropaan-2-sulfonaat</w:t>
      </w:r>
      <w:r>
        <w:t xml:space="preserve"> </w:t>
      </w:r>
      <w:r>
        <w:t xml:space="preserve">PMK bisulfiet adduct</w:t>
      </w:r>
      <w:r>
        <w:t xml:space="preserve"> </w:t>
      </w:r>
      <w:r>
        <w:t xml:space="preserve">De 3,4-methyleendioxy-gesubstitueerde derivaten van de hierboven opgesomde amfetamine- en</w:t>
      </w:r>
      <w:r>
        <w:t xml:space="preserve"> </w:t>
      </w:r>
      <w:r>
        <w:t xml:space="preserve">metamfetamineprecursoren, waaronder</w:t>
      </w:r>
      <w:r>
        <w:t xml:space="preserve"> </w:t>
      </w:r>
      <w:r>
        <w:t xml:space="preserve">MDMA</w:t>
      </w:r>
      <w:r>
        <w:br/>
      </w:r>
      <w:r>
        <w:t xml:space="preserve">tert-butyl [1-(1,3-benzodioxol-5-yl)propaan-2-</w:t>
      </w:r>
      <w:r>
        <w:t xml:space="preserve"> </w:t>
      </w:r>
      <w:r>
        <w:t xml:space="preserve">yl]methylcarbamaat</w:t>
      </w:r>
      <w:r>
        <w:t xml:space="preserve"> </w:t>
      </w:r>
      <w:r>
        <w:t xml:space="preserve">N-tBOC-MDMA, 1228259-</w:t>
      </w:r>
      <w:r>
        <w:t xml:space="preserve"> </w:t>
      </w:r>
      <w:r>
        <w:t xml:space="preserve">70-8</w:t>
      </w:r>
      <w:r>
        <w:t xml:space="preserve"> </w:t>
      </w:r>
      <w:r>
        <w:t xml:space="preserve">MDMA</w:t>
      </w:r>
      <w:r>
        <w:br/>
      </w:r>
      <w:r>
        <w:t xml:space="preserve">N-[1-(1,3-benzodioxol-5-yl)propaan-2-yl]-N-</w:t>
      </w:r>
      <w:r>
        <w:t xml:space="preserve"> </w:t>
      </w:r>
      <w:r>
        <w:t xml:space="preserve">methylacetamide</w:t>
      </w:r>
      <w:r>
        <w:br/>
      </w:r>
      <w:r>
        <w:t xml:space="preserve">N-acetyl-MDMA</w:t>
      </w:r>
      <w:r>
        <w:t xml:space="preserve"> </w:t>
      </w:r>
      <w:r>
        <w:t xml:space="preserve">MDMA</w:t>
      </w:r>
      <w:r>
        <w:br/>
      </w:r>
      <w:r>
        <w:t xml:space="preserve">trifluormethyl [1-(1,3-benzodioxol-5-yl)propaan-2-</w:t>
      </w:r>
      <w:r>
        <w:t xml:space="preserve"> </w:t>
      </w:r>
      <w:r>
        <w:t xml:space="preserve">yl]methylcarbamaat</w:t>
      </w:r>
      <w:r>
        <w:t xml:space="preserve"> </w:t>
      </w:r>
      <w:r>
        <w:t xml:space="preserve">n.n.b.</w:t>
      </w:r>
      <w:r>
        <w:t xml:space="preserve"> </w:t>
      </w:r>
      <w:r>
        <w:t xml:space="preserve">MDMA</w:t>
      </w:r>
      <w:r>
        <w:br/>
      </w:r>
      <w:r>
        <w:t xml:space="preserve">N-[1-(2H-1,3-benzodioxol-5-yl)propaan-2-yl]-2,2,2-</w:t>
      </w:r>
      <w:r>
        <w:t xml:space="preserve"> </w:t>
      </w:r>
      <w:r>
        <w:t xml:space="preserve">trifluor-N-methylaceetamide</w:t>
      </w:r>
      <w:r>
        <w:t xml:space="preserve"> </w:t>
      </w:r>
      <w:r>
        <w:t xml:space="preserve">N-TFA-MDMA, 158097-59-</w:t>
      </w:r>
      <w:r>
        <w:t xml:space="preserve"> </w:t>
      </w:r>
      <w:r>
        <w:t xml:space="preserve">7</w:t>
      </w:r>
      <w:r>
        <w:t xml:space="preserve"> </w:t>
      </w:r>
      <w:r>
        <w:t xml:space="preserve">MDMA</w:t>
      </w:r>
      <w:r>
        <w:br/>
      </w:r>
      <w:r>
        <w:t xml:space="preserve">N-[1-(1,3-benzodioxol-5-yl)propaan-2-yl]-N-</w:t>
      </w:r>
      <w:r>
        <w:t xml:space="preserve"> </w:t>
      </w:r>
      <w:r>
        <w:t xml:space="preserve">methylformamide</w:t>
      </w:r>
      <w:r>
        <w:br/>
      </w:r>
      <w:r>
        <w:t xml:space="preserve">N-formyl-MDMA,154148-</w:t>
      </w:r>
      <w:r>
        <w:t xml:space="preserve"> </w:t>
      </w:r>
      <w:r>
        <w:t xml:space="preserve">22-8</w:t>
      </w:r>
      <w:r>
        <w:t xml:space="preserve"> </w:t>
      </w:r>
      <w:r>
        <w:t xml:space="preserve">MDMA</w:t>
      </w:r>
      <w:r>
        <w:br/>
      </w:r>
      <w:r>
        <w:t xml:space="preserve">methyl [1-(2H-1,3-benzodioxol-5-yl)propaan-2-</w:t>
      </w:r>
      <w:r>
        <w:t xml:space="preserve"> </w:t>
      </w:r>
      <w:r>
        <w:t xml:space="preserve">yl]methylcarbamaat</w:t>
      </w:r>
      <w:r>
        <w:t xml:space="preserve"> </w:t>
      </w:r>
      <w:r>
        <w:t xml:space="preserve">N-Moc-MDMA</w:t>
      </w:r>
      <w:r>
        <w:t xml:space="preserve"> </w:t>
      </w:r>
      <w:r>
        <w:t xml:space="preserve">MDMA</w:t>
      </w:r>
      <w:r>
        <w:br/>
      </w:r>
      <w:r>
        <w:t xml:space="preserve">prop-2-een-1-yl [1-(2H-1,3-benzodioxol-5-yl)propaan-</w:t>
      </w:r>
      <w:r>
        <w:t xml:space="preserve"> </w:t>
      </w:r>
      <w:r>
        <w:t xml:space="preserve">2-yl]methylcarbamaat</w:t>
      </w:r>
      <w:r>
        <w:t xml:space="preserve"> </w:t>
      </w:r>
      <w:r>
        <w:t xml:space="preserve">N-Alloc-MDMA</w:t>
      </w:r>
      <w:r>
        <w:t xml:space="preserve"> </w:t>
      </w:r>
      <w:r>
        <w:t xml:space="preserve">MDMA</w:t>
      </w:r>
      <w:r>
        <w:br/>
      </w:r>
      <w:r>
        <w:t xml:space="preserve">N-[1-(2H-1,3-benzodioxol-5-yl)propaan-2-yl]-N-</w:t>
      </w:r>
      <w:r>
        <w:t xml:space="preserve"> </w:t>
      </w:r>
      <w:r>
        <w:t xml:space="preserve">methylbenzamide</w:t>
      </w:r>
      <w:r>
        <w:t xml:space="preserve"> </w:t>
      </w:r>
      <w:r>
        <w:t xml:space="preserve">N-Bz-MDMA, N-benzoyl-</w:t>
      </w:r>
      <w:r>
        <w:t xml:space="preserve"> </w:t>
      </w:r>
      <w:r>
        <w:t xml:space="preserve">MDMA</w:t>
      </w:r>
      <w:r>
        <w:t xml:space="preserve"> </w:t>
      </w:r>
      <w:r>
        <w:t xml:space="preserve">MDMA</w:t>
      </w:r>
      <w:r>
        <w:br/>
      </w:r>
      <w:r>
        <w:t xml:space="preserve">benzyl [1-(2H-1,3-benzodioxol-5-yl)propaan-2-</w:t>
      </w:r>
      <w:r>
        <w:t xml:space="preserve"> </w:t>
      </w:r>
      <w:r>
        <w:t xml:space="preserve">yl]methylcarbamaat</w:t>
      </w:r>
      <w:r>
        <w:t xml:space="preserve"> </w:t>
      </w:r>
      <w:r>
        <w:t xml:space="preserve">N-Cbz-MDMA</w:t>
      </w:r>
      <w:r>
        <w:t xml:space="preserve"> </w:t>
      </w:r>
      <w:r>
        <w:t xml:space="preserve">MDMA</w:t>
      </w:r>
      <w:r>
        <w:br/>
      </w:r>
      <w:r>
        <w:t xml:space="preserve">N-[1-(2H-1,3-benzodioxol-5-yl)propaan-2-yl]-N,4-</w:t>
      </w:r>
      <w:r>
        <w:t xml:space="preserve"> </w:t>
      </w:r>
      <w:r>
        <w:t xml:space="preserve">dimethylbenzeen-1-sulfonamide</w:t>
      </w:r>
      <w:r>
        <w:t xml:space="preserve"> </w:t>
      </w:r>
      <w:r>
        <w:t xml:space="preserve">N-Tosyl-MDMA</w:t>
      </w:r>
      <w:r>
        <w:t xml:space="preserve"> </w:t>
      </w:r>
      <w:r>
        <w:t xml:space="preserve">MDMA</w:t>
      </w:r>
      <w:r>
        <w:br/>
      </w:r>
      <w:r>
        <w:t xml:space="preserve">N-[1-(2H-1,3-benzodioxol-5-yl)propaan-2-yl]-N-</w:t>
      </w:r>
      <w:r>
        <w:t xml:space="preserve"> </w:t>
      </w:r>
      <w:r>
        <w:t xml:space="preserve">methyl-4-nitrobenzeen-1-sulfonamide</w:t>
      </w:r>
      <w:r>
        <w:t xml:space="preserve"> </w:t>
      </w:r>
      <w:r>
        <w:t xml:space="preserve">N-Ns-MDMA</w:t>
      </w:r>
      <w:r>
        <w:t xml:space="preserve"> </w:t>
      </w:r>
      <w:r>
        <w:t xml:space="preserve">MDMA</w:t>
      </w:r>
      <w:r>
        <w:br/>
      </w:r>
      <w:r>
        <w:t xml:space="preserve">N-[1-(2H-1,3-benzodioxol-5-yl)propaan-2-yl]-4-broom-</w:t>
      </w:r>
      <w:r>
        <w:t xml:space="preserve"> </w:t>
      </w:r>
      <w:r>
        <w:t xml:space="preserve">N-methylbenzeen-1-sulfonamide</w:t>
      </w:r>
      <w:r>
        <w:t xml:space="preserve"> </w:t>
      </w:r>
      <w:r>
        <w:t xml:space="preserve">N-Bs-MDMA</w:t>
      </w:r>
      <w:r>
        <w:t xml:space="preserve"> </w:t>
      </w:r>
      <w:r>
        <w:t xml:space="preserve">Andere stoffen</w:t>
      </w:r>
      <w:r>
        <w:t xml:space="preserve"> </w:t>
      </w:r>
      <w:r>
        <w:t xml:space="preserve">4-</w:t>
      </w:r>
      <w:r>
        <w:t xml:space="preserve"> </w:t>
      </w:r>
      <w:r>
        <w:t xml:space="preserve">fluoramfetamine</w:t>
      </w:r>
      <w:r>
        <w:br/>
      </w:r>
      <w:r>
        <w:t xml:space="preserve">1-(4-fluorfenyl)propaan-2-on</w:t>
      </w:r>
      <w:r>
        <w:t xml:space="preserve"> </w:t>
      </w:r>
      <w:r>
        <w:t xml:space="preserve">459-03-0</w:t>
      </w:r>
      <w:r>
        <w:t xml:space="preserve"> </w:t>
      </w:r>
      <w:r>
        <w:t xml:space="preserve">4-MMC</w:t>
      </w:r>
      <w:r>
        <w:br/>
      </w:r>
      <w:r>
        <w:t xml:space="preserve">(mefedron) 2-broom-1-(4-methylfenyl)propaan-1-on</w:t>
      </w:r>
      <w:r>
        <w:t xml:space="preserve"> </w:t>
      </w:r>
      <w:r>
        <w:t xml:space="preserve">1451-82-7</w:t>
      </w:r>
      <w:r>
        <w:t xml:space="preserve"> </w:t>
      </w:r>
      <w:r>
        <w:t xml:space="preserve">2C-H</w:t>
      </w:r>
      <w:r>
        <w:br/>
      </w:r>
      <w:r>
        <w:t xml:space="preserve">1,4-dimethoxy-2-(2-nitroethenyl)benzeen</w:t>
      </w:r>
      <w:r>
        <w:t xml:space="preserve"> </w:t>
      </w:r>
      <w:r>
        <w:t xml:space="preserve">108536-18-1</w:t>
      </w:r>
    </w:p>
    <w:p>
      <w:pPr>
        <w:pStyle w:val="Compact"/>
        <w:numPr>
          <w:ilvl w:val="0"/>
          <w:numId w:val="1013"/>
        </w:numPr>
      </w:pPr>
      <w:r>
        <w:t xml:space="preserve">Describing the possible ATS designer precursor as families of derivatives or related</w:t>
      </w:r>
      <w:r>
        <w:t xml:space="preserve"> </w:t>
      </w:r>
      <w:r>
        <w:t xml:space="preserve">chemicals</w:t>
      </w:r>
      <w:r>
        <w:br/>
      </w:r>
      <w:r>
        <w:t xml:space="preserve">Designer precursors are chemically tweaked substances. One or a group of atoms are replaced</w:t>
      </w:r>
      <w:r>
        <w:t xml:space="preserve"> </w:t>
      </w:r>
      <w:r>
        <w:t xml:space="preserve">to create a brand-new substance. Such substances are also known as derivatives (substance y</w:t>
      </w:r>
      <w:r>
        <w:t xml:space="preserve"> </w:t>
      </w:r>
      <w:r>
        <w:t xml:space="preserve">derives from substance x). It is therefore possible to describe designer precursors as a family of</w:t>
      </w:r>
      <w:r>
        <w:t xml:space="preserve"> </w:t>
      </w:r>
      <w:r>
        <w:t xml:space="preserve">derivatives of a base molecule. Applying this technique to the substances listed above, an</w:t>
      </w:r>
      <w:r>
        <w:t xml:space="preserve"> </w:t>
      </w:r>
      <w:r>
        <w:t xml:space="preserve">additional 56 substances would be included in the scope of scheduling.</w:t>
      </w:r>
    </w:p>
    <w:p>
      <w:pPr>
        <w:pStyle w:val="FirstParagraph"/>
      </w:pPr>
      <w:r>
        <w:t xml:space="preserve">51</w:t>
      </w:r>
      <w:r>
        <w:t xml:space="preserve"> </w:t>
      </w:r>
      <w:r>
        <w:t xml:space="preserve">Base molecule</w:t>
      </w:r>
      <w:r>
        <w:t xml:space="preserve"> </w:t>
      </w:r>
      <w:r>
        <w:t xml:space="preserve">Designer</w:t>
      </w:r>
      <w:r>
        <w:t xml:space="preserve"> </w:t>
      </w:r>
      <w:r>
        <w:t xml:space="preserve">precursors</w:t>
      </w:r>
      <w:r>
        <w:t xml:space="preserve"> </w:t>
      </w:r>
      <w:r>
        <w:t xml:space="preserve">are</w:t>
      </w:r>
      <w:r>
        <w:t xml:space="preserve"> </w:t>
      </w:r>
      <w:r>
        <w:t xml:space="preserve">following derivatives of the base</w:t>
      </w:r>
      <w:r>
        <w:t xml:space="preserve"> </w:t>
      </w:r>
      <w:r>
        <w:t xml:space="preserve">molecule</w:t>
      </w:r>
      <w:r>
        <w:br/>
      </w:r>
      <w:r>
        <w:t xml:space="preserve">Explanatory note to the proposed</w:t>
      </w:r>
      <w:r>
        <w:t xml:space="preserve"> </w:t>
      </w:r>
      <w:r>
        <w:t xml:space="preserve">scheduling</w:t>
      </w:r>
      <w:r>
        <w:br/>
      </w:r>
      <w:r>
        <w:t xml:space="preserve">1-(2H-1,3-Benzodioxol-5-</w:t>
      </w:r>
      <w:r>
        <w:t xml:space="preserve"> </w:t>
      </w:r>
      <w:r>
        <w:t xml:space="preserve">yl)propan-2-one or</w:t>
      </w:r>
      <w:r>
        <w:t xml:space="preserve"> </w:t>
      </w:r>
      <w:r>
        <w:t xml:space="preserve">1-phenyl-propan-2-one</w:t>
      </w:r>
      <w:r>
        <w:t xml:space="preserve"> </w:t>
      </w:r>
      <w:r>
        <w:t xml:space="preserve">Acetals</w:t>
      </w:r>
      <w:r>
        <w:t xml:space="preserve"> </w:t>
      </w:r>
      <w:r>
        <w:t xml:space="preserve">(aldehydes/ketones</w:t>
      </w:r>
      <w:r>
        <w:t xml:space="preserve"> </w:t>
      </w:r>
      <w:r>
        <w:t xml:space="preserve">+</w:t>
      </w:r>
      <w:r>
        <w:t xml:space="preserve"> </w:t>
      </w:r>
      <w:r>
        <w:t xml:space="preserve">alcohol) with linear or branched</w:t>
      </w:r>
      <w:r>
        <w:t xml:space="preserve"> </w:t>
      </w:r>
      <w:r>
        <w:t xml:space="preserve">alkyl chain up to 6 carbon atoms</w:t>
      </w:r>
      <w:r>
        <w:t xml:space="preserve"> </w:t>
      </w:r>
      <w:r>
        <w:t xml:space="preserve">and the sulfo substituted variants</w:t>
      </w:r>
      <w:r>
        <w:t xml:space="preserve"> </w:t>
      </w:r>
      <w:r>
        <w:t xml:space="preserve">This ‘generic’ derivative scheduling</w:t>
      </w:r>
      <w:r>
        <w:t xml:space="preserve"> </w:t>
      </w:r>
      <w:r>
        <w:t xml:space="preserve">will include 22 substances that are</w:t>
      </w:r>
      <w:r>
        <w:t xml:space="preserve"> </w:t>
      </w:r>
      <w:r>
        <w:t xml:space="preserve">not included in the above list.</w:t>
      </w:r>
      <w:r>
        <w:t xml:space="preserve"> </w:t>
      </w:r>
      <w:r>
        <w:t xml:space="preserve">1-phenyl-prop-1-en-2-ol or</w:t>
      </w:r>
      <w:r>
        <w:br/>
      </w:r>
      <w:r>
        <w:t xml:space="preserve">2-(2H-1,3-benzodioxol-5-yl)-3-</w:t>
      </w:r>
      <w:r>
        <w:t xml:space="preserve"> </w:t>
      </w:r>
      <w:r>
        <w:t xml:space="preserve">oxobutanoic acid or</w:t>
      </w:r>
      <w:r>
        <w:br/>
      </w:r>
      <w:r>
        <w:t xml:space="preserve">3-oxo-2-phenylbutanoic acid</w:t>
      </w:r>
      <w:r>
        <w:t xml:space="preserve"> </w:t>
      </w:r>
      <w:r>
        <w:t xml:space="preserve">Esters (carboxylic acid + alcohol)</w:t>
      </w:r>
      <w:r>
        <w:t xml:space="preserve"> </w:t>
      </w:r>
      <w:r>
        <w:t xml:space="preserve">with carboxilic up to 6 carbon</w:t>
      </w:r>
      <w:r>
        <w:t xml:space="preserve"> </w:t>
      </w:r>
      <w:r>
        <w:t xml:space="preserve">atoms</w:t>
      </w:r>
      <w:r>
        <w:br/>
      </w:r>
      <w:r>
        <w:t xml:space="preserve">This ‘generic’ derivative scheduling</w:t>
      </w:r>
      <w:r>
        <w:t xml:space="preserve"> </w:t>
      </w:r>
      <w:r>
        <w:t xml:space="preserve">will include 14 substances that are</w:t>
      </w:r>
      <w:r>
        <w:t xml:space="preserve"> </w:t>
      </w:r>
      <w:r>
        <w:t xml:space="preserve">not included in the above list.</w:t>
      </w:r>
      <w:r>
        <w:t xml:space="preserve"> </w:t>
      </w:r>
      <w:r>
        <w:t xml:space="preserve">2-methyl-3-phenyl-2-</w:t>
      </w:r>
      <w:r>
        <w:t xml:space="preserve"> </w:t>
      </w:r>
      <w:r>
        <w:t xml:space="preserve">oxiranecarboxylic acid or</w:t>
      </w:r>
      <w:r>
        <w:t xml:space="preserve"> </w:t>
      </w:r>
      <w:r>
        <w:t xml:space="preserve">3-(2H-1,3-benzodioxol-5-yl)-2-</w:t>
      </w:r>
      <w:r>
        <w:t xml:space="preserve"> </w:t>
      </w:r>
      <w:r>
        <w:t xml:space="preserve">methyloxirane-2-carboxylic acid or</w:t>
      </w:r>
    </w:p>
    <w:p>
      <w:pPr>
        <w:pStyle w:val="BodyText"/>
      </w:pPr>
      <w:r>
        <w:t xml:space="preserve">Esters with carboxylic up to 7</w:t>
      </w:r>
      <w:r>
        <w:t xml:space="preserve"> </w:t>
      </w:r>
      <w:r>
        <w:t xml:space="preserve">carbon atoms</w:t>
      </w:r>
      <w:r>
        <w:t xml:space="preserve"> </w:t>
      </w:r>
      <w:r>
        <w:t xml:space="preserve">This ‘generic’ derivative scheduling</w:t>
      </w:r>
      <w:r>
        <w:t xml:space="preserve"> </w:t>
      </w:r>
      <w:r>
        <w:t xml:space="preserve">will include 24 substances that are</w:t>
      </w:r>
      <w:r>
        <w:t xml:space="preserve"> </w:t>
      </w:r>
      <w:r>
        <w:t xml:space="preserve">not included in the above list.</w:t>
      </w:r>
      <w:r>
        <w:t xml:space="preserve"> </w:t>
      </w:r>
      <w:r>
        <w:t xml:space="preserve">1-phenylpropan-2-amine or</w:t>
      </w:r>
      <w:r>
        <w:br/>
      </w:r>
      <w:r>
        <w:t xml:space="preserve">N-methyl-1-phenylpropan-2-amine</w:t>
      </w:r>
      <w:r>
        <w:t xml:space="preserve"> </w:t>
      </w:r>
      <w:r>
        <w:t xml:space="preserve">or</w:t>
      </w:r>
      <w:r>
        <w:t xml:space="preserve"> </w:t>
      </w:r>
      <w:r>
        <w:t xml:space="preserve">N-methyl-1-(3,4-</w:t>
      </w:r>
      <w:r>
        <w:t xml:space="preserve"> </w:t>
      </w:r>
      <w:r>
        <w:t xml:space="preserve">methylenedioxyphenyl)propan-2-</w:t>
      </w:r>
      <w:r>
        <w:t xml:space="preserve"> </w:t>
      </w:r>
      <w:r>
        <w:t xml:space="preserve">amine</w:t>
      </w:r>
      <w:r>
        <w:t xml:space="preserve"> </w:t>
      </w:r>
      <w:r>
        <w:t xml:space="preserve">Sulfonamides (sulfonic acid +</w:t>
      </w:r>
      <w:r>
        <w:t xml:space="preserve"> </w:t>
      </w:r>
      <w:r>
        <w:t xml:space="preserve">amine) with 4-nitro-, 4-bromo-, 4-</w:t>
      </w:r>
      <w:r>
        <w:t xml:space="preserve"> </w:t>
      </w:r>
      <w:r>
        <w:t xml:space="preserve">methyl</w:t>
      </w:r>
      <w:r>
        <w:t xml:space="preserve"> </w:t>
      </w:r>
      <w:r>
        <w:t xml:space="preserve">substituted</w:t>
      </w:r>
      <w:r>
        <w:t xml:space="preserve"> </w:t>
      </w:r>
      <w:r>
        <w:t xml:space="preserve">benzene-1-</w:t>
      </w:r>
      <w:r>
        <w:t xml:space="preserve"> </w:t>
      </w:r>
      <w:r>
        <w:t xml:space="preserve">sulfonic acid.</w:t>
      </w:r>
      <w:r>
        <w:t xml:space="preserve"> </w:t>
      </w:r>
      <w:r>
        <w:t xml:space="preserve">This ‘generic’ derivative scheduling</w:t>
      </w:r>
      <w:r>
        <w:t xml:space="preserve"> </w:t>
      </w:r>
      <w:r>
        <w:t xml:space="preserve">will include 3 substances that are</w:t>
      </w:r>
      <w:r>
        <w:t xml:space="preserve"> </w:t>
      </w:r>
      <w:r>
        <w:t xml:space="preserve">not included in the above list.</w:t>
      </w:r>
      <w:r>
        <w:t xml:space="preserve"> </w:t>
      </w:r>
      <w:r>
        <w:t xml:space="preserve">(1-phenylpropan-2-yl)carbamic</w:t>
      </w:r>
      <w:r>
        <w:t xml:space="preserve"> </w:t>
      </w:r>
      <w:r>
        <w:t xml:space="preserve">acid or</w:t>
      </w:r>
      <w:r>
        <w:br/>
      </w:r>
      <w:r>
        <w:t xml:space="preserve">Methyl (1-phenylpropan-2-</w:t>
      </w:r>
      <w:r>
        <w:t xml:space="preserve"> </w:t>
      </w:r>
      <w:r>
        <w:t xml:space="preserve">yl)carbamic acid or</w:t>
      </w:r>
      <w:r>
        <w:t xml:space="preserve"> </w:t>
      </w:r>
      <w:r>
        <w:t xml:space="preserve">N-methyl-(1-phenylpropan-2-</w:t>
      </w:r>
      <w:r>
        <w:t xml:space="preserve"> </w:t>
      </w:r>
      <w:r>
        <w:t xml:space="preserve">yl)carbamic acid or</w:t>
      </w:r>
      <w:r>
        <w:t xml:space="preserve"> </w:t>
      </w:r>
      <w:r>
        <w:t xml:space="preserve">N-methyl-(3,4-</w:t>
      </w:r>
      <w:r>
        <w:t xml:space="preserve"> </w:t>
      </w:r>
      <w:r>
        <w:t xml:space="preserve">methylenedioxyphenyl)propan-2-</w:t>
      </w:r>
      <w:r>
        <w:t xml:space="preserve"> </w:t>
      </w:r>
      <w:r>
        <w:t xml:space="preserve">carbamic acid</w:t>
      </w:r>
      <w:r>
        <w:t xml:space="preserve"> </w:t>
      </w:r>
      <w:r>
        <w:t xml:space="preserve">Carbamates (carbamic acid +</w:t>
      </w:r>
      <w:r>
        <w:t xml:space="preserve"> </w:t>
      </w:r>
      <w:r>
        <w:t xml:space="preserve">alcohol)</w:t>
      </w:r>
      <w:r>
        <w:t xml:space="preserve"> </w:t>
      </w:r>
      <w:r>
        <w:t xml:space="preserve">It is not possible to delimit the scope</w:t>
      </w:r>
      <w:r>
        <w:t xml:space="preserve"> </w:t>
      </w:r>
      <w:r>
        <w:t xml:space="preserve">based on the number of carbon</w:t>
      </w:r>
      <w:r>
        <w:t xml:space="preserve"> </w:t>
      </w:r>
      <w:r>
        <w:t xml:space="preserve">atoms because there is no such</w:t>
      </w:r>
      <w:r>
        <w:t xml:space="preserve"> </w:t>
      </w:r>
      <w:r>
        <w:t xml:space="preserve">correlation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16</w:t>
      </w:r>
      <w:r>
        <w:t xml:space="preserve"> </w:t>
      </w:r>
      <w:r>
        <w:t xml:space="preserve">carbamates listed above. On the</w:t>
      </w:r>
      <w:r>
        <w:t xml:space="preserve"> </w:t>
      </w:r>
      <w:r>
        <w:t xml:space="preserve">other</w:t>
      </w:r>
      <w:r>
        <w:t xml:space="preserve"> </w:t>
      </w:r>
      <w:r>
        <w:t xml:space="preserve">hand,</w:t>
      </w:r>
      <w:r>
        <w:t xml:space="preserve"> </w:t>
      </w:r>
      <w:r>
        <w:t xml:space="preserve">carbamates</w:t>
      </w:r>
      <w:r>
        <w:t xml:space="preserve"> </w:t>
      </w:r>
      <w:r>
        <w:t xml:space="preserve">are</w:t>
      </w:r>
      <w:r>
        <w:t xml:space="preserve"> </w:t>
      </w:r>
      <w:r>
        <w:t xml:space="preserve">artificial substances having no</w:t>
      </w:r>
      <w:r>
        <w:t xml:space="preserve"> </w:t>
      </w:r>
      <w:r>
        <w:t xml:space="preserve">known legal use. The risk of</w:t>
      </w:r>
      <w:r>
        <w:t xml:space="preserve"> </w:t>
      </w:r>
      <w:r>
        <w:t xml:space="preserve">scheduling substance with legal use</w:t>
      </w:r>
      <w:r>
        <w:t xml:space="preserve"> </w:t>
      </w:r>
      <w:r>
        <w:t xml:space="preserve">is extremely low.</w:t>
      </w:r>
      <w:r>
        <w:t xml:space="preserve"> </w:t>
      </w:r>
      <w:r>
        <w:t xml:space="preserve">1-phenylpropan-2-amine or</w:t>
      </w:r>
      <w:r>
        <w:t xml:space="preserve"> </w:t>
      </w:r>
      <w:r>
        <w:t xml:space="preserve">N-methyl-1-phenylpropan-2-amine</w:t>
      </w:r>
      <w:r>
        <w:t xml:space="preserve"> </w:t>
      </w:r>
      <w:r>
        <w:t xml:space="preserve">or</w:t>
      </w:r>
      <w:r>
        <w:t xml:space="preserve"> </w:t>
      </w:r>
      <w:r>
        <w:t xml:space="preserve">N-methyl-1-(3,4-</w:t>
      </w:r>
      <w:r>
        <w:t xml:space="preserve"> </w:t>
      </w:r>
      <w:r>
        <w:t xml:space="preserve">methylenedioxyphenyl)propan-2-</w:t>
      </w:r>
      <w:r>
        <w:t xml:space="preserve"> </w:t>
      </w:r>
      <w:r>
        <w:t xml:space="preserve">amine</w:t>
      </w:r>
      <w:r>
        <w:t xml:space="preserve"> </w:t>
      </w:r>
      <w:r>
        <w:t xml:space="preserve">Alkyls, amides, azide, chloro,</w:t>
      </w:r>
      <w:r>
        <w:t xml:space="preserve"> </w:t>
      </w:r>
      <w:r>
        <w:t xml:space="preserve">fluoro, bromo or iodo substituted</w:t>
      </w:r>
      <w:r>
        <w:t xml:space="preserve"> </w:t>
      </w:r>
      <w:r>
        <w:t xml:space="preserve">variant, hydroxylamine (only 1</w:t>
      </w:r>
      <w:r>
        <w:t xml:space="preserve"> </w:t>
      </w:r>
      <w:r>
        <w:t xml:space="preserve">variant possible), imides with</w:t>
      </w:r>
      <w:r>
        <w:t xml:space="preserve"> </w:t>
      </w:r>
      <w:r>
        <w:t xml:space="preserve">carboxylate substitution with both</w:t>
      </w:r>
      <w:r>
        <w:t xml:space="preserve"> </w:t>
      </w:r>
      <w:r>
        <w:t xml:space="preserve">up to 2 carbon atoms, imines with</w:t>
      </w:r>
      <w:r>
        <w:t xml:space="preserve"> </w:t>
      </w:r>
      <w:r>
        <w:t xml:space="preserve">toluene, methoxy, methansulfonic</w:t>
      </w:r>
      <w:r>
        <w:t xml:space="preserve"> </w:t>
      </w:r>
      <w:r>
        <w:t xml:space="preserve">acid and substituted dioxolane</w:t>
      </w:r>
      <w:r>
        <w:t xml:space="preserve"> </w:t>
      </w:r>
      <w:r>
        <w:t xml:space="preserve">substitutions,</w:t>
      </w:r>
      <w:r>
        <w:br/>
      </w:r>
      <w:r>
        <w:t xml:space="preserve">It is not possible to delimit the scope</w:t>
      </w:r>
      <w:r>
        <w:t xml:space="preserve"> </w:t>
      </w:r>
      <w:r>
        <w:t xml:space="preserve">based on the number of carbon</w:t>
      </w:r>
      <w:r>
        <w:t xml:space="preserve"> </w:t>
      </w:r>
      <w:r>
        <w:t xml:space="preserve">atoms. This generic derivatives</w:t>
      </w:r>
      <w:r>
        <w:t xml:space="preserve"> </w:t>
      </w:r>
      <w:r>
        <w:t xml:space="preserve">scheduling would have a much</w:t>
      </w:r>
      <w:r>
        <w:t xml:space="preserve"> </w:t>
      </w:r>
      <w:r>
        <w:t xml:space="preserve">wider scope than the list above and</w:t>
      </w:r>
      <w:r>
        <w:t xml:space="preserve"> </w:t>
      </w:r>
      <w:r>
        <w:t xml:space="preserve">would inevitably include substances</w:t>
      </w:r>
      <w:r>
        <w:t xml:space="preserve"> </w:t>
      </w:r>
      <w:r>
        <w:t xml:space="preserve">with legal use.</w:t>
      </w:r>
    </w:p>
    <w:p>
      <w:pPr>
        <w:pStyle w:val="BodyText"/>
      </w:pPr>
      <w:r>
        <w:t xml:space="preserve">For some type of derivatives, such as carbamates, alkyls, amides, it is difficult to delineate the</w:t>
      </w:r>
      <w:r>
        <w:t xml:space="preserve"> </w:t>
      </w:r>
      <w:r>
        <w:t xml:space="preserve">scope by number of carbon atoms. The variants of these families of derivatives do not vary</w:t>
      </w:r>
      <w:r>
        <w:t xml:space="preserve"> </w:t>
      </w:r>
      <w:r>
        <w:t xml:space="preserve">based on incremental number of carbon atoms. Several parameters may vary while maintaining</w:t>
      </w:r>
      <w:r>
        <w:t xml:space="preserve"> </w:t>
      </w:r>
      <w:r>
        <w:t xml:space="preserve">the characteristics to easily ‘eject’ the precursor molecule. However, the family of carbamate-</w:t>
      </w:r>
      <w:r>
        <w:t xml:space="preserve"> </w:t>
      </w:r>
      <w:r>
        <w:t xml:space="preserve">precursors have no known legal use at present. The generic derivative scheduling of these</w:t>
      </w:r>
      <w:r>
        <w:t xml:space="preserve"> </w:t>
      </w:r>
      <w:r>
        <w:t xml:space="preserve">families would result in a very wide scope probably including substances with legitimate use.</w:t>
      </w:r>
      <w:r>
        <w:br/>
      </w:r>
      <w:r>
        <w:t xml:space="preserve">Derivative scheduling as described here would not cover 18 substances from the above list.</w:t>
      </w:r>
      <w:r>
        <w:br/>
      </w:r>
      <w:r>
        <w:t xml:space="preserve">Nomenclatures would need to be spelled out sufficiently clearly to provide legal certainty.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3. Describing the possible ATS designer precursor based on a chemical formula</w:t>
      </w:r>
      <w:r>
        <w:br/>
      </w:r>
      <w:r>
        <w:t xml:space="preserve">Substances can be identified by their chemical name, common name, registration number,</w:t>
      </w:r>
      <w:r>
        <w:t xml:space="preserve"> </w:t>
      </w:r>
      <w:r>
        <w:t xml:space="preserve">formula or structure. As explained above, designer precursors are derived from a core molecule.</w:t>
      </w:r>
      <w:r>
        <w:t xml:space="preserve"> </w:t>
      </w:r>
      <w:r>
        <w:t xml:space="preserve">Consequently, they all have a similar core structure. It is therefore possible to describe designer</w:t>
      </w:r>
      <w:r>
        <w:t xml:space="preserve"> </w:t>
      </w:r>
      <w:r>
        <w:t xml:space="preserve">precursors as a core structure with one or more variables. For example, the generic structure for</w:t>
      </w:r>
      <w:r>
        <w:t xml:space="preserve"> </w:t>
      </w:r>
      <w:r>
        <w:t xml:space="preserve">the above list of 110 designer precursors is: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Substances and their salts fulfilling following equations are designer precursors:</w:t>
      </w:r>
    </w:p>
    <w:p>
      <w:pPr>
        <w:pStyle w:val="BodyText"/>
      </w:pPr>
      <w:r>
        <w:t xml:space="preserve">With</w:t>
      </w:r>
    </w:p>
    <w:p>
      <w:pPr>
        <w:pStyle w:val="BodyText"/>
      </w:pPr>
      <w:r>
        <w:t xml:space="preserve">Part A</w:t>
      </w:r>
      <w:r>
        <w:t xml:space="preserve"> </w:t>
      </w:r>
      <w:r>
        <w:t xml:space="preserve">Part B</w:t>
      </w:r>
      <w:r>
        <w:t xml:space="preserve"> </w:t>
      </w:r>
      <w:r>
        <w:t xml:space="preserve">Explanatory note to the proposed</w:t>
      </w:r>
      <w:r>
        <w:t xml:space="preserve"> </w:t>
      </w:r>
      <w:r>
        <w:t xml:space="preserve">scheduling)</w:t>
      </w:r>
      <w:r>
        <w:t xml:space="preserve"> </w:t>
      </w:r>
      <w:r>
        <w:t xml:space="preserve">Rn* Ring system</w:t>
      </w:r>
      <w:r>
        <w:t xml:space="preserve"> </w:t>
      </w:r>
      <w:r>
        <w:t xml:space="preserve">R1</w:t>
      </w:r>
      <w:r>
        <w:t xml:space="preserve"> </w:t>
      </w:r>
      <w:r>
        <w:t xml:space="preserve">R2 R3</w:t>
      </w:r>
      <w:r>
        <w:t xml:space="preserve"> </w:t>
      </w:r>
      <w:r>
        <w:t xml:space="preserve">R4</w:t>
      </w:r>
      <w:r>
        <w:t xml:space="preserve"> </w:t>
      </w:r>
      <w:r>
        <w:t xml:space="preserve">R5 R6 R7</w:t>
      </w:r>
      <w:r>
        <w:t xml:space="preserve"> </w:t>
      </w:r>
      <w:r>
        <w:t xml:space="preserve">With Ra</w:t>
      </w:r>
      <w:r>
        <w:br/>
      </w:r>
      <w:r>
        <w:t xml:space="preserve">H</w:t>
      </w:r>
      <w:r>
        <w:t xml:space="preserve"> </w:t>
      </w:r>
      <w:r>
        <w:t xml:space="preserve">Phenyl, or</w:t>
      </w:r>
      <w:r>
        <w:t xml:space="preserve"> </w:t>
      </w:r>
      <w:r>
        <w:t xml:space="preserve">Methylene- dioxyphenyl</w:t>
      </w:r>
      <w:r>
        <w:t xml:space="preserve"> </w:t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-NH(CO)ORa</w:t>
      </w:r>
      <w:r>
        <w:t xml:space="preserve"> </w:t>
      </w:r>
      <w:r>
        <w:t xml:space="preserve">-NC(CO)ORa</w:t>
      </w:r>
      <w:r>
        <w:t xml:space="preserve"> </w:t>
      </w:r>
      <w:r>
        <w:t xml:space="preserve">H H H</w:t>
      </w:r>
      <w:r>
        <w:t xml:space="preserve"> </w:t>
      </w:r>
      <w:r>
        <w:t xml:space="preserve">9H-fluoren-9-yl-methyl, or</w:t>
      </w:r>
      <w:r>
        <w:t xml:space="preserve"> </w:t>
      </w:r>
      <w:r>
        <w:t xml:space="preserve">Tert-butyl, or</w:t>
      </w:r>
      <w:r>
        <w:t xml:space="preserve"> </w:t>
      </w:r>
      <w:r>
        <w:t xml:space="preserve">Trifluoromethyl, or</w:t>
      </w:r>
      <w:r>
        <w:t xml:space="preserve"> </w:t>
      </w:r>
      <w:r>
        <w:t xml:space="preserve">Prop-2-en-1-yl, or</w:t>
      </w:r>
      <w:r>
        <w:t xml:space="preserve"> </w:t>
      </w:r>
      <w:r>
        <w:t xml:space="preserve">Benzyl (Cbz), or</w:t>
      </w:r>
      <w:r>
        <w:t xml:space="preserve"> </w:t>
      </w:r>
      <w:r>
        <w:t xml:space="preserve">Methyl</w:t>
      </w:r>
      <w:r>
        <w:br/>
      </w:r>
      <w:r>
        <w:t xml:space="preserve">This row schedules 24 substances of</w:t>
      </w:r>
      <w:r>
        <w:t xml:space="preserve"> </w:t>
      </w:r>
      <w:r>
        <w:t xml:space="preserve">which 8 are not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Phenyl, or</w:t>
      </w:r>
      <w:r>
        <w:t xml:space="preserve"> </w:t>
      </w:r>
      <w:r>
        <w:t xml:space="preserve">Methylene- dioxyphenyl</w:t>
      </w:r>
      <w:r>
        <w:br/>
      </w:r>
      <w:r>
        <w:t xml:space="preserve">-(CO)ORa</w:t>
      </w:r>
      <w:r>
        <w:t xml:space="preserve"> </w:t>
      </w:r>
      <w:r>
        <w:t xml:space="preserve">H =O</w:t>
      </w:r>
      <w:r>
        <w:t xml:space="preserve"> </w:t>
      </w:r>
      <w:r>
        <w:t xml:space="preserve">-</w:t>
      </w:r>
      <w:r>
        <w:t xml:space="preserve"> </w:t>
      </w:r>
      <w:r>
        <w:t xml:space="preserve">H H H</w:t>
      </w:r>
      <w:r>
        <w:t xml:space="preserve"> </w:t>
      </w:r>
      <w:r>
        <w:t xml:space="preserve">H, or</w:t>
      </w:r>
      <w:r>
        <w:t xml:space="preserve"> </w:t>
      </w:r>
      <w:r>
        <w:t xml:space="preserve">any linear, branched alkyl chain up to 6 carbon</w:t>
      </w:r>
      <w:r>
        <w:t xml:space="preserve"> </w:t>
      </w:r>
      <w:r>
        <w:t xml:space="preserve">atoms</w:t>
      </w:r>
      <w:r>
        <w:t xml:space="preserve"> </w:t>
      </w:r>
      <w:r>
        <w:t xml:space="preserve">This row schedules 28 substances of</w:t>
      </w:r>
      <w:r>
        <w:t xml:space="preserve"> </w:t>
      </w:r>
      <w:r>
        <w:t xml:space="preserve">which 12 are not in the above list.</w:t>
      </w:r>
      <w:r>
        <w:br/>
      </w:r>
      <w:r>
        <w:t xml:space="preserve">H</w:t>
      </w:r>
      <w:r>
        <w:t xml:space="preserve"> </w:t>
      </w:r>
      <w:r>
        <w:t xml:space="preserve">Phenyl, or</w:t>
      </w:r>
      <w:r>
        <w:t xml:space="preserve"> </w:t>
      </w:r>
      <w:r>
        <w:t xml:space="preserve">Methylene- dioxyphenyl</w:t>
      </w:r>
      <w:r>
        <w:br/>
      </w:r>
      <w:r>
        <w:t xml:space="preserve">-O- on R3</w:t>
      </w:r>
      <w:r>
        <w:t xml:space="preserve"> </w:t>
      </w:r>
      <w:r>
        <w:t xml:space="preserve">H -</w:t>
      </w:r>
      <w:r>
        <w:t xml:space="preserve"> </w:t>
      </w:r>
      <w:r>
        <w:t xml:space="preserve">-(CO)ORa</w:t>
      </w:r>
      <w:r>
        <w:t xml:space="preserve"> </w:t>
      </w:r>
      <w:r>
        <w:t xml:space="preserve">H H H</w:t>
      </w:r>
      <w:r>
        <w:t xml:space="preserve"> </w:t>
      </w:r>
      <w:r>
        <w:t xml:space="preserve">H, or</w:t>
      </w:r>
      <w:r>
        <w:t xml:space="preserve"> </w:t>
      </w:r>
      <w:r>
        <w:t xml:space="preserve">any linear, branched alkyl chain up to 7 carbon</w:t>
      </w:r>
      <w:r>
        <w:t xml:space="preserve"> </w:t>
      </w:r>
      <w:r>
        <w:t xml:space="preserve">atoms</w:t>
      </w:r>
      <w:r>
        <w:t xml:space="preserve"> </w:t>
      </w:r>
      <w:r>
        <w:t xml:space="preserve">This row schedules 46 substances of</w:t>
      </w:r>
      <w:r>
        <w:t xml:space="preserve"> </w:t>
      </w:r>
      <w:r>
        <w:t xml:space="preserve">which 34 are not in the above list.</w:t>
      </w:r>
      <w:r>
        <w:t xml:space="preserve"> </w:t>
      </w:r>
      <w:r>
        <w:t xml:space="preserve">For pentyl you need up to 7 carbon</w:t>
      </w:r>
      <w:r>
        <w:t xml:space="preserve"> </w:t>
      </w:r>
      <w:r>
        <w:t xml:space="preserve">atoms which multiply considerably</w:t>
      </w:r>
      <w:r>
        <w:t xml:space="preserve"> </w:t>
      </w:r>
      <w:r>
        <w:t xml:space="preserve">the number of possible</w:t>
      </w:r>
      <w:r>
        <w:t xml:space="preserve"> </w:t>
      </w:r>
      <w:r>
        <w:t xml:space="preserve">combinations.</w:t>
      </w:r>
      <w:r>
        <w:br/>
      </w:r>
      <w:r>
        <w:t xml:space="preserve">H</w:t>
      </w:r>
      <w:r>
        <w:t xml:space="preserve"> </w:t>
      </w:r>
      <w:r>
        <w:t xml:space="preserve">Phenyl or</w:t>
      </w:r>
      <w:r>
        <w:t xml:space="preserve"> </w:t>
      </w:r>
      <w:r>
        <w:t xml:space="preserve">Methylene- dioxyphenyl</w:t>
      </w:r>
      <w:r>
        <w:br/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-NH(CO)Ra</w:t>
      </w:r>
      <w:r>
        <w:t xml:space="preserve"> </w:t>
      </w:r>
      <w:r>
        <w:t xml:space="preserve">-NC(CO)Ra</w:t>
      </w:r>
      <w:r>
        <w:t xml:space="preserve"> </w:t>
      </w:r>
      <w:r>
        <w:t xml:space="preserve">H H H</w:t>
      </w:r>
      <w:r>
        <w:t xml:space="preserve"> </w:t>
      </w:r>
      <w:r>
        <w:t xml:space="preserve">H, or</w:t>
      </w:r>
      <w:r>
        <w:t xml:space="preserve"> </w:t>
      </w:r>
      <w:r>
        <w:t xml:space="preserve">any linear alkyl chain up to 2 carbon atoms, or</w:t>
      </w:r>
      <w:r>
        <w:t xml:space="preserve"> </w:t>
      </w:r>
      <w:r>
        <w:t xml:space="preserve">Trifluoromethyl, or</w:t>
      </w:r>
      <w:r>
        <w:t xml:space="preserve"> </w:t>
      </w:r>
      <w:r>
        <w:t xml:space="preserve">Phenyl</w:t>
      </w:r>
      <w:r>
        <w:t xml:space="preserve"> </w:t>
      </w:r>
      <w:r>
        <w:t xml:space="preserve">This row schedules 20 substances of</w:t>
      </w:r>
      <w:r>
        <w:t xml:space="preserve"> </w:t>
      </w:r>
      <w:r>
        <w:t xml:space="preserve">which 8 are not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-ORa</w:t>
      </w:r>
      <w:r>
        <w:t xml:space="preserve"> </w:t>
      </w:r>
      <w:r>
        <w:t xml:space="preserve">H H</w:t>
      </w:r>
      <w:r>
        <w:t xml:space="preserve"> </w:t>
      </w:r>
      <w:r>
        <w:t xml:space="preserve">-NHRa</w:t>
      </w:r>
      <w:r>
        <w:t xml:space="preserve"> </w:t>
      </w:r>
      <w:r>
        <w:t xml:space="preserve">H H H</w:t>
      </w:r>
      <w:r>
        <w:t xml:space="preserve"> </w:t>
      </w:r>
      <w:r>
        <w:t xml:space="preserve">Any linear alkanoyl up to 2 carbon atoms</w:t>
      </w:r>
      <w:r>
        <w:t xml:space="preserve"> </w:t>
      </w:r>
      <w:r>
        <w:t xml:space="preserve">This row schedules 2 substances,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Methylene- dioxyphenyl</w:t>
      </w:r>
      <w:r>
        <w:br/>
      </w:r>
      <w:r>
        <w:t xml:space="preserve">H</w:t>
      </w:r>
      <w:r>
        <w:t xml:space="preserve"> </w:t>
      </w:r>
      <w:r>
        <w:t xml:space="preserve">H -</w:t>
      </w:r>
      <w:r>
        <w:t xml:space="preserve"> </w:t>
      </w:r>
      <w:r>
        <w:t xml:space="preserve">-ORa- on R3</w:t>
      </w:r>
      <w:r>
        <w:t xml:space="preserve"> </w:t>
      </w:r>
      <w:r>
        <w:t xml:space="preserve">H H H</w:t>
      </w:r>
      <w:r>
        <w:t xml:space="preserve"> </w:t>
      </w:r>
      <w:r>
        <w:t xml:space="preserve">any linear or branched alkyl chain up to 6</w:t>
      </w:r>
      <w:r>
        <w:t xml:space="preserve"> </w:t>
      </w:r>
      <w:r>
        <w:t xml:space="preserve">carbon atoms</w:t>
      </w:r>
      <w:r>
        <w:br/>
      </w:r>
      <w:r>
        <w:t xml:space="preserve">This row schedules 14 substances of</w:t>
      </w:r>
      <w:r>
        <w:t xml:space="preserve"> </w:t>
      </w:r>
      <w:r>
        <w:t xml:space="preserve">which 8 are not in the above list.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Part A</w:t>
      </w:r>
      <w:r>
        <w:t xml:space="preserve"> </w:t>
      </w:r>
      <w:r>
        <w:t xml:space="preserve">Part B</w:t>
      </w:r>
      <w:r>
        <w:t xml:space="preserve"> </w:t>
      </w:r>
      <w:r>
        <w:t xml:space="preserve">Explanatory note to the proposed</w:t>
      </w:r>
      <w:r>
        <w:t xml:space="preserve"> </w:t>
      </w:r>
      <w:r>
        <w:t xml:space="preserve">scheduling)</w:t>
      </w:r>
      <w:r>
        <w:t xml:space="preserve"> </w:t>
      </w:r>
      <w:r>
        <w:t xml:space="preserve">Rn* Ring system</w:t>
      </w:r>
      <w:r>
        <w:t xml:space="preserve"> </w:t>
      </w:r>
      <w:r>
        <w:t xml:space="preserve">R1</w:t>
      </w:r>
      <w:r>
        <w:t xml:space="preserve"> </w:t>
      </w:r>
      <w:r>
        <w:t xml:space="preserve">R2 R3</w:t>
      </w:r>
      <w:r>
        <w:t xml:space="preserve"> </w:t>
      </w:r>
      <w:r>
        <w:t xml:space="preserve">R4</w:t>
      </w:r>
      <w:r>
        <w:t xml:space="preserve"> </w:t>
      </w:r>
      <w:r>
        <w:t xml:space="preserve">R5 R6 R7</w:t>
      </w:r>
      <w:r>
        <w:t xml:space="preserve"> </w:t>
      </w:r>
      <w:r>
        <w:t xml:space="preserve">With Ra</w:t>
      </w:r>
      <w:r>
        <w:br/>
      </w:r>
      <w:r>
        <w:t xml:space="preserve">H</w:t>
      </w:r>
      <w:r>
        <w:t xml:space="preserve"> </w:t>
      </w:r>
      <w:r>
        <w:t xml:space="preserve">Phenyl, or</w:t>
      </w:r>
      <w:r>
        <w:t xml:space="preserve"> </w:t>
      </w:r>
      <w:r>
        <w:t xml:space="preserve">Methylene- dioxyphenyl</w:t>
      </w:r>
      <w:r>
        <w:br/>
      </w:r>
      <w:r>
        <w:t xml:space="preserve">H</w:t>
      </w:r>
      <w:r>
        <w:t xml:space="preserve"> </w:t>
      </w:r>
      <w:r>
        <w:t xml:space="preserve">H -ORa -ORa</w:t>
      </w:r>
      <w:r>
        <w:t xml:space="preserve"> </w:t>
      </w:r>
      <w:r>
        <w:t xml:space="preserve">H H H</w:t>
      </w:r>
      <w:r>
        <w:t xml:space="preserve"> </w:t>
      </w:r>
      <w:r>
        <w:t xml:space="preserve">any linear alkyl chain up to 2 carbon atoms</w:t>
      </w:r>
      <w:r>
        <w:br/>
      </w:r>
      <w:r>
        <w:t xml:space="preserve">This row schedules 4 substances,</w:t>
      </w:r>
      <w:r>
        <w:t xml:space="preserve"> </w:t>
      </w:r>
      <w:r>
        <w:t xml:space="preserve">same as in the above list</w:t>
      </w:r>
      <w:r>
        <w:br/>
      </w:r>
      <w:r>
        <w:t xml:space="preserve">H</w:t>
      </w:r>
      <w:r>
        <w:t xml:space="preserve"> </w:t>
      </w:r>
      <w:r>
        <w:t xml:space="preserve">Phenyl, or</w:t>
      </w:r>
      <w:r>
        <w:t xml:space="preserve"> </w:t>
      </w:r>
      <w:r>
        <w:t xml:space="preserve">Methylene- dioxyphenyl</w:t>
      </w:r>
      <w:r>
        <w:br/>
      </w:r>
      <w:r>
        <w:t xml:space="preserve">H</w:t>
      </w:r>
      <w:r>
        <w:t xml:space="preserve"> </w:t>
      </w:r>
      <w:r>
        <w:t xml:space="preserve">H -</w:t>
      </w:r>
      <w:r>
        <w:t xml:space="preserve"> </w:t>
      </w:r>
      <w:r>
        <w:t xml:space="preserve">-NHRa, or</w:t>
      </w:r>
      <w:r>
        <w:t xml:space="preserve"> </w:t>
      </w:r>
      <w:r>
        <w:t xml:space="preserve">-NCH3Ra</w:t>
      </w:r>
      <w:r>
        <w:t xml:space="preserve"> </w:t>
      </w:r>
      <w:r>
        <w:t xml:space="preserve">H H H</w:t>
      </w:r>
      <w:r>
        <w:t xml:space="preserve"> </w:t>
      </w:r>
      <w:r>
        <w:t xml:space="preserve">4-alkylbenzene-1-sulfonyl, with alkyl any</w:t>
      </w:r>
      <w:r>
        <w:t xml:space="preserve"> </w:t>
      </w:r>
      <w:r>
        <w:t xml:space="preserve">linear alkyl chain up to 1 carbon atoms, or</w:t>
      </w:r>
      <w:r>
        <w:t xml:space="preserve"> </w:t>
      </w:r>
      <w:r>
        <w:t xml:space="preserve">4-nitrobenzene-1-sulfonyl, or</w:t>
      </w:r>
      <w:r>
        <w:t xml:space="preserve"> </w:t>
      </w:r>
      <w:r>
        <w:t xml:space="preserve">4-bromobenzene-1-sulfonyl</w:t>
      </w:r>
      <w:r>
        <w:t xml:space="preserve"> </w:t>
      </w:r>
      <w:r>
        <w:t xml:space="preserve">This row schedules 12 substances of</w:t>
      </w:r>
      <w:r>
        <w:t xml:space="preserve"> </w:t>
      </w:r>
      <w:r>
        <w:t xml:space="preserve">which 3 are not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NRa</w:t>
      </w:r>
      <w:r>
        <w:t xml:space="preserve"> </w:t>
      </w:r>
      <w:r>
        <w:t xml:space="preserve">H H H</w:t>
      </w:r>
      <w:r>
        <w:t xml:space="preserve"> </w:t>
      </w:r>
      <w:r>
        <w:t xml:space="preserve">-OH, or</w:t>
      </w:r>
      <w:r>
        <w:t xml:space="preserve"> </w:t>
      </w:r>
      <w:r>
        <w:t xml:space="preserve">benzyl, or</w:t>
      </w:r>
      <w:r>
        <w:t xml:space="preserve"> </w:t>
      </w:r>
      <w:r>
        <w:t xml:space="preserve">Methoxyl, or</w:t>
      </w:r>
      <w:r>
        <w:t xml:space="preserve"> </w:t>
      </w:r>
      <w:r>
        <w:t xml:space="preserve">Sulfomethyl, or</w:t>
      </w:r>
      <w:r>
        <w:t xml:space="preserve"> </w:t>
      </w:r>
      <w:r>
        <w:t xml:space="preserve">4,4,5,5-tetramethyl-dioxolanyl</w:t>
      </w:r>
      <w:r>
        <w:t xml:space="preserve"> </w:t>
      </w:r>
      <w:r>
        <w:t xml:space="preserve">This row schedules 5 substances,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</w:t>
      </w:r>
      <w:r>
        <w:t xml:space="preserve"> </w:t>
      </w:r>
      <w:r>
        <w:t xml:space="preserve">Ra</w:t>
      </w:r>
      <w:r>
        <w:t xml:space="preserve"> </w:t>
      </w:r>
      <w:r>
        <w:t xml:space="preserve">H H H</w:t>
      </w:r>
      <w:r>
        <w:t xml:space="preserve"> </w:t>
      </w:r>
      <w:r>
        <w:t xml:space="preserve">-Br, or</w:t>
      </w:r>
      <w:r>
        <w:t xml:space="preserve"> </w:t>
      </w:r>
      <w:r>
        <w:t xml:space="preserve">-Cl, or</w:t>
      </w:r>
      <w:r>
        <w:t xml:space="preserve"> </w:t>
      </w:r>
      <w:r>
        <w:t xml:space="preserve">-I, or</w:t>
      </w:r>
      <w:r>
        <w:t xml:space="preserve"> </w:t>
      </w:r>
      <w:r>
        <w:t xml:space="preserve">-(CO)NH2, or</w:t>
      </w:r>
      <w:r>
        <w:t xml:space="preserve"> </w:t>
      </w:r>
      <w:r>
        <w:t xml:space="preserve">-N=N+=N-, or</w:t>
      </w:r>
      <w:r>
        <w:t xml:space="preserve"> </w:t>
      </w:r>
      <w:r>
        <w:t xml:space="preserve">-(CO) N=N+=N-, or</w:t>
      </w:r>
      <w:r>
        <w:t xml:space="preserve"> </w:t>
      </w:r>
      <w:r>
        <w:t xml:space="preserve">-N=C=O</w:t>
      </w:r>
      <w:r>
        <w:t xml:space="preserve"> </w:t>
      </w:r>
      <w:r>
        <w:t xml:space="preserve">This row schedules 7 substances,</w:t>
      </w:r>
      <w:r>
        <w:t xml:space="preserve"> </w:t>
      </w:r>
      <w:r>
        <w:t xml:space="preserve">same as in the above list</w:t>
      </w:r>
      <w:r>
        <w:t xml:space="preserve"> </w:t>
      </w:r>
      <w:r>
        <w:t xml:space="preserve">F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=O</w:t>
      </w:r>
      <w:r>
        <w:t xml:space="preserve"> </w:t>
      </w:r>
      <w:r>
        <w:t xml:space="preserve">H H H</w:t>
      </w:r>
      <w:r>
        <w:t xml:space="preserve"> </w:t>
      </w:r>
      <w:r>
        <w:t xml:space="preserve">This row schedules 1 substance,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Ra</w:t>
      </w:r>
      <w:r>
        <w:t xml:space="preserve"> </w:t>
      </w:r>
      <w:r>
        <w:t xml:space="preserve">H H</w:t>
      </w:r>
      <w:r>
        <w:t xml:space="preserve"> </w:t>
      </w:r>
      <w:r>
        <w:t xml:space="preserve">NH2</w:t>
      </w:r>
      <w:r>
        <w:t xml:space="preserve"> </w:t>
      </w:r>
      <w:r>
        <w:t xml:space="preserve">H H H</w:t>
      </w:r>
      <w:r>
        <w:t xml:space="preserve"> </w:t>
      </w:r>
      <w:r>
        <w:t xml:space="preserve">-Br, or</w:t>
      </w:r>
      <w:r>
        <w:t xml:space="preserve"> </w:t>
      </w:r>
      <w:r>
        <w:t xml:space="preserve">-Cl, or</w:t>
      </w:r>
      <w:r>
        <w:t xml:space="preserve"> </w:t>
      </w:r>
      <w:r>
        <w:t xml:space="preserve">-I</w:t>
      </w:r>
      <w:r>
        <w:t xml:space="preserve"> </w:t>
      </w:r>
      <w:r>
        <w:t xml:space="preserve">This row schedules 3 substances,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-S-</w:t>
      </w:r>
      <w:r>
        <w:t xml:space="preserve"> </w:t>
      </w:r>
      <w:r>
        <w:t xml:space="preserve">benzyl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NH2</w:t>
      </w:r>
      <w:r>
        <w:t xml:space="preserve"> </w:t>
      </w:r>
      <w:r>
        <w:t xml:space="preserve">H H H</w:t>
      </w:r>
      <w:r>
        <w:t xml:space="preserve"> </w:t>
      </w:r>
      <w:r>
        <w:t xml:space="preserve">This row schedules 1 substance,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=O</w:t>
      </w:r>
      <w:r>
        <w:t xml:space="preserve"> </w:t>
      </w:r>
      <w:r>
        <w:t xml:space="preserve">H H -(CO)OH</w:t>
      </w:r>
      <w:r>
        <w:t xml:space="preserve"> </w:t>
      </w:r>
      <w:r>
        <w:t xml:space="preserve">This row schedules 1 substance,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-N=O</w:t>
      </w:r>
      <w:r>
        <w:t xml:space="preserve"> </w:t>
      </w:r>
      <w:r>
        <w:t xml:space="preserve">H H</w:t>
      </w:r>
      <w:r>
        <w:t xml:space="preserve"> </w:t>
      </w:r>
      <w:r>
        <w:t xml:space="preserve">NO2</w:t>
      </w:r>
      <w:r>
        <w:t xml:space="preserve"> </w:t>
      </w:r>
      <w:r>
        <w:t xml:space="preserve">H H H</w:t>
      </w:r>
      <w:r>
        <w:t xml:space="preserve"> </w:t>
      </w:r>
      <w:r>
        <w:t xml:space="preserve">This row schedules 1 substance,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-O(CO)NH on</w:t>
      </w:r>
      <w:r>
        <w:t xml:space="preserve"> </w:t>
      </w:r>
      <w:r>
        <w:t xml:space="preserve">R4</w:t>
      </w:r>
      <w:r>
        <w:t xml:space="preserve"> </w:t>
      </w:r>
      <w:r>
        <w:t xml:space="preserve">H H</w:t>
      </w:r>
      <w:r>
        <w:t xml:space="preserve"> </w:t>
      </w:r>
      <w:r>
        <w:t xml:space="preserve">-</w:t>
      </w:r>
      <w:r>
        <w:t xml:space="preserve"> </w:t>
      </w:r>
      <w:r>
        <w:t xml:space="preserve">H H H</w:t>
      </w:r>
      <w:r>
        <w:t xml:space="preserve"> </w:t>
      </w:r>
      <w:r>
        <w:t xml:space="preserve">This row schedules 1 substances,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 H</w:t>
      </w:r>
      <w:r>
        <w:t xml:space="preserve"> </w:t>
      </w:r>
      <w:r>
        <w:t xml:space="preserve">NHP(=O)(ORa)2 H H H</w:t>
      </w:r>
      <w:r>
        <w:t xml:space="preserve"> </w:t>
      </w:r>
      <w:r>
        <w:t xml:space="preserve">any linear aldehyde chain up to 2 carbon</w:t>
      </w:r>
      <w:r>
        <w:t xml:space="preserve"> </w:t>
      </w:r>
      <w:r>
        <w:t xml:space="preserve">atoms, or</w:t>
      </w:r>
      <w:r>
        <w:t xml:space="preserve"> </w:t>
      </w:r>
      <w:r>
        <w:t xml:space="preserve">phenyl</w:t>
      </w:r>
      <w:r>
        <w:t xml:space="preserve"> </w:t>
      </w:r>
      <w:r>
        <w:t xml:space="preserve">This row schedules 3 substances,</w:t>
      </w:r>
      <w:r>
        <w:t xml:space="preserve"> </w:t>
      </w:r>
      <w:r>
        <w:t xml:space="preserve">same as in the above list.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Part A</w:t>
      </w:r>
      <w:r>
        <w:t xml:space="preserve"> </w:t>
      </w:r>
      <w:r>
        <w:t xml:space="preserve">Part B</w:t>
      </w:r>
      <w:r>
        <w:t xml:space="preserve"> </w:t>
      </w:r>
      <w:r>
        <w:t xml:space="preserve">Explanatory note to the proposed</w:t>
      </w:r>
      <w:r>
        <w:t xml:space="preserve"> </w:t>
      </w:r>
      <w:r>
        <w:t xml:space="preserve">scheduling)</w:t>
      </w:r>
      <w:r>
        <w:t xml:space="preserve"> </w:t>
      </w:r>
      <w:r>
        <w:t xml:space="preserve">Rn* Ring system</w:t>
      </w:r>
      <w:r>
        <w:t xml:space="preserve"> </w:t>
      </w:r>
      <w:r>
        <w:t xml:space="preserve">R1</w:t>
      </w:r>
      <w:r>
        <w:t xml:space="preserve"> </w:t>
      </w:r>
      <w:r>
        <w:t xml:space="preserve">R2 R3</w:t>
      </w:r>
      <w:r>
        <w:t xml:space="preserve"> </w:t>
      </w:r>
      <w:r>
        <w:t xml:space="preserve">R4</w:t>
      </w:r>
      <w:r>
        <w:t xml:space="preserve"> </w:t>
      </w:r>
      <w:r>
        <w:t xml:space="preserve">R5 R6 R7</w:t>
      </w:r>
      <w:r>
        <w:t xml:space="preserve"> </w:t>
      </w:r>
      <w:r>
        <w:t xml:space="preserve">With Ra</w:t>
      </w:r>
      <w:r>
        <w:br/>
      </w:r>
      <w:r>
        <w:t xml:space="preserve">H</w:t>
      </w:r>
      <w:r>
        <w:t xml:space="preserve"> </w:t>
      </w:r>
      <w:r>
        <w:t xml:space="preserve">Phenyl, or</w:t>
      </w:r>
      <w:r>
        <w:t xml:space="preserve"> </w:t>
      </w:r>
      <w:r>
        <w:t xml:space="preserve">Methylene- dioxyphenyl</w:t>
      </w:r>
      <w:r>
        <w:br/>
      </w:r>
      <w:r>
        <w:t xml:space="preserve">H</w:t>
      </w:r>
      <w:r>
        <w:t xml:space="preserve"> </w:t>
      </w:r>
      <w:r>
        <w:t xml:space="preserve">H -OH</w:t>
      </w:r>
      <w:r>
        <w:t xml:space="preserve"> </w:t>
      </w:r>
      <w:r>
        <w:t xml:space="preserve">-SO3-</w:t>
      </w:r>
      <w:r>
        <w:t xml:space="preserve"> </w:t>
      </w:r>
      <w:r>
        <w:t xml:space="preserve">H H H</w:t>
      </w:r>
      <w:r>
        <w:t xml:space="preserve"> </w:t>
      </w:r>
      <w:r>
        <w:t xml:space="preserve">This row schedules 2 substances,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H</w:t>
      </w:r>
      <w:r>
        <w:t xml:space="preserve"> </w:t>
      </w:r>
      <w:r>
        <w:t xml:space="preserve">H -</w:t>
      </w:r>
      <w:r>
        <w:t xml:space="preserve"> </w:t>
      </w:r>
      <w:r>
        <w:t xml:space="preserve">-NHRa, or</w:t>
      </w:r>
      <w:r>
        <w:t xml:space="preserve"> </w:t>
      </w:r>
      <w:r>
        <w:t xml:space="preserve">-NCH3Ra</w:t>
      </w:r>
      <w:r>
        <w:t xml:space="preserve"> </w:t>
      </w:r>
      <w:r>
        <w:t xml:space="preserve">H H H</w:t>
      </w:r>
      <w:r>
        <w:t xml:space="preserve"> </w:t>
      </w:r>
      <w:r>
        <w:t xml:space="preserve">triphenylmethyl</w:t>
      </w:r>
      <w:r>
        <w:t xml:space="preserve"> </w:t>
      </w:r>
      <w:r>
        <w:t xml:space="preserve">This row schedules 2 substances,</w:t>
      </w:r>
      <w:r>
        <w:t xml:space="preserve"> </w:t>
      </w:r>
      <w:r>
        <w:t xml:space="preserve">same as in the above list.</w:t>
      </w:r>
      <w:r>
        <w:t xml:space="preserve"> </w:t>
      </w:r>
      <w:r>
        <w:t xml:space="preserve">H</w:t>
      </w:r>
      <w:r>
        <w:t xml:space="preserve"> </w:t>
      </w:r>
      <w:r>
        <w:t xml:space="preserve">Phenyl</w:t>
      </w:r>
      <w:r>
        <w:t xml:space="preserve"> </w:t>
      </w:r>
      <w:r>
        <w:t xml:space="preserve">-(CO)NH(CO)Ra H H</w:t>
      </w:r>
      <w:r>
        <w:t xml:space="preserve"> </w:t>
      </w:r>
      <w:r>
        <w:t xml:space="preserve">H=0</w:t>
      </w:r>
      <w:r>
        <w:t xml:space="preserve"> </w:t>
      </w:r>
      <w:r>
        <w:t xml:space="preserve">H H H</w:t>
      </w:r>
      <w:r>
        <w:t xml:space="preserve"> </w:t>
      </w:r>
      <w:r>
        <w:t xml:space="preserve">any linear alkyl chain up to 1 carbon atom</w:t>
      </w:r>
      <w:r>
        <w:t xml:space="preserve"> </w:t>
      </w:r>
      <w:r>
        <w:t xml:space="preserve">This row schedules 1 substance,</w:t>
      </w:r>
      <w:r>
        <w:t xml:space="preserve"> </w:t>
      </w:r>
      <w:r>
        <w:t xml:space="preserve">same as in the above list.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Such chemical equation is unambiguous. Chemical substances have a chemical formula. They</w:t>
      </w:r>
      <w:r>
        <w:t xml:space="preserve"> </w:t>
      </w:r>
      <w:r>
        <w:t xml:space="preserve">either fit the equation or not.</w:t>
      </w:r>
    </w:p>
    <w:p>
      <w:pPr>
        <w:pStyle w:val="BodyText"/>
      </w:pPr>
      <w:r>
        <w:t xml:space="preserve">The above proposed ‘simplified’ chemical formula scheduling schedules 173 substances of</w:t>
      </w:r>
      <w:r>
        <w:t xml:space="preserve"> </w:t>
      </w:r>
      <w:r>
        <w:t xml:space="preserve">which 73 are not included in the list described under 1. 6 substances included in the list above</w:t>
      </w:r>
      <w:r>
        <w:t xml:space="preserve"> </w:t>
      </w:r>
      <w:r>
        <w:t xml:space="preserve">cannot be integrated in the formula scheduling. These substances have a structure that is very</w:t>
      </w:r>
      <w:r>
        <w:t xml:space="preserve"> </w:t>
      </w:r>
      <w:r>
        <w:t xml:space="preserve">distinct from the other substances. Adding them in the format of a formula will make the</w:t>
      </w:r>
      <w:r>
        <w:t xml:space="preserve"> </w:t>
      </w:r>
      <w:r>
        <w:t xml:space="preserve">scheduling disproportionately complex.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2.</w:t>
      </w:r>
      <w:r>
        <w:t xml:space="preserve"> </w:t>
      </w:r>
      <w:r>
        <w:t xml:space="preserve">INTERNATIONAL DEVELOPMENTS AND THIRD COUNTRY LEGISLATION</w:t>
      </w:r>
      <w:r>
        <w:t xml:space="preserve"> </w:t>
      </w:r>
      <w:r>
        <w:t xml:space="preserve">In 2020, the conference room paper on “Options to address the proliferation of non-scheduled</w:t>
      </w:r>
      <w:r>
        <w:t xml:space="preserve"> </w:t>
      </w:r>
      <w:r>
        <w:t xml:space="preserve">chemicals, including designer precursors”[1], the International Narcotics Control Board (INCB)</w:t>
      </w:r>
      <w:r>
        <w:t xml:space="preserve"> </w:t>
      </w:r>
      <w:r>
        <w:t xml:space="preserve">proposed the following: (i) while keeping the substance-by-substance scheduling the closely</w:t>
      </w:r>
      <w:r>
        <w:t xml:space="preserve"> </w:t>
      </w:r>
      <w:r>
        <w:t xml:space="preserve">related substances could be scheduled together, (ii) increase the speed of the scheduling</w:t>
      </w:r>
      <w:r>
        <w:t xml:space="preserve"> </w:t>
      </w:r>
      <w:r>
        <w:t xml:space="preserve">and assessment process, and (iii) introducing a category of scheduled substances with no</w:t>
      </w:r>
      <w:r>
        <w:t xml:space="preserve"> </w:t>
      </w:r>
      <w:r>
        <w:t xml:space="preserve">known legitimate uses within one of the existing tables for which the powers and obligations</w:t>
      </w:r>
      <w:r>
        <w:t xml:space="preserve"> </w:t>
      </w:r>
      <w:r>
        <w:t xml:space="preserve">to seize and interdict are not linked to requirements to monitor (non-existent or severely limited)</w:t>
      </w:r>
      <w:r>
        <w:t xml:space="preserve"> </w:t>
      </w:r>
      <w:r>
        <w:t xml:space="preserve">licit trade.</w:t>
      </w:r>
      <w:r>
        <w:br/>
      </w:r>
      <w:r>
        <w:t xml:space="preserve">In March 2022, the Commission of Narcotic Drugs adopted Resolution 65/3 “Intensifying</w:t>
      </w:r>
      <w:r>
        <w:t xml:space="preserve"> </w:t>
      </w:r>
      <w:r>
        <w:t xml:space="preserve">efforts to address the diversion of non-scheduled chemicals frequently used in the illicit</w:t>
      </w:r>
      <w:r>
        <w:t xml:space="preserve"> </w:t>
      </w:r>
      <w:r>
        <w:t xml:space="preserve">manufacture of drugs and the proliferation of designer precursors” where in its operative</w:t>
      </w:r>
      <w:r>
        <w:t xml:space="preserve"> </w:t>
      </w:r>
      <w:r>
        <w:t xml:space="preserve">paragraph 7 encouraged Member States, when placing domestic controls on a substance to</w:t>
      </w:r>
      <w:r>
        <w:t xml:space="preserve"> </w:t>
      </w:r>
      <w:r>
        <w:t xml:space="preserve">consider also taking domestic measures, on related chemicals that may readily be</w:t>
      </w:r>
      <w:r>
        <w:t xml:space="preserve"> </w:t>
      </w:r>
      <w:r>
        <w:t xml:space="preserve">converted or substituted for that substance.</w:t>
      </w:r>
      <w:r>
        <w:br/>
      </w:r>
      <w:r>
        <w:t xml:space="preserve">Practical implementation of resolution 65/3 can be seen in countries such as Argentina, Canada,</w:t>
      </w:r>
      <w:r>
        <w:t xml:space="preserve"> </w:t>
      </w:r>
      <w:r>
        <w:t xml:space="preserve">Mexico, USA and more recently China that introduced extended scheduling on drug precursors</w:t>
      </w:r>
      <w:r>
        <w:t xml:space="preserve"> </w:t>
      </w:r>
      <w:r>
        <w:t xml:space="preserve">legislation.</w:t>
      </w:r>
      <w:r>
        <w:t xml:space="preserve"> </w:t>
      </w:r>
      <w:r>
        <w:t xml:space="preserve">Phenylacetic acid is a key precursor for amphetamine and methamphetamine production. While</w:t>
      </w:r>
      <w:r>
        <w:t xml:space="preserve"> </w:t>
      </w:r>
      <w:r>
        <w:t xml:space="preserve">Argentina scheduled phenylacetic acid and all its salts and esters, Mexico on the other hand,</w:t>
      </w:r>
      <w:r>
        <w:t xml:space="preserve"> </w:t>
      </w:r>
      <w:r>
        <w:t xml:space="preserve">decided to schedule in addition the phenylacetic acid its salts and its derivatives naming all</w:t>
      </w:r>
      <w:r>
        <w:t xml:space="preserve"> </w:t>
      </w:r>
      <w:r>
        <w:t xml:space="preserve">derivatives individually.</w:t>
      </w:r>
      <w:r>
        <w:br/>
      </w:r>
      <w:r>
        <w:t xml:space="preserve">USA has also included extended scheduling in its legislation and depending on the key</w:t>
      </w:r>
      <w:r>
        <w:t xml:space="preserve"> </w:t>
      </w:r>
      <w:r>
        <w:t xml:space="preserve">precursor it extended the scope to different derivatives: For amphetamine type stimulants</w:t>
      </w:r>
      <w:r>
        <w:t xml:space="preserve"> </w:t>
      </w:r>
      <w:r>
        <w:t xml:space="preserve">precursors such as APAAN (alpha-acetoacetonitrile) the scheduling includes also its salts,</w:t>
      </w:r>
      <w:r>
        <w:t xml:space="preserve"> </w:t>
      </w:r>
      <w:r>
        <w:t xml:space="preserve">optical isomers, &amp; salts of optical isomers. For fentanyl precursors such as 4-Anilinopiperidine</w:t>
      </w:r>
      <w:r>
        <w:t xml:space="preserve"> </w:t>
      </w:r>
      <w:r>
        <w:t xml:space="preserve">the scheduling includes also: its amides, its carbamates, and its salts.</w:t>
      </w:r>
      <w:r>
        <w:t xml:space="preserve"> </w:t>
      </w:r>
      <w:r>
        <w:t xml:space="preserve">Canada lists the controlled substance and uses a very broad definition referring to its analogues</w:t>
      </w:r>
      <w:r>
        <w:t xml:space="preserve"> </w:t>
      </w:r>
      <w:r>
        <w:t xml:space="preserve">and derivatives. This can be seen for both amphetamine type stimulants precursors such as</w:t>
      </w:r>
      <w:r>
        <w:t xml:space="preserve"> </w:t>
      </w:r>
      <w:r>
        <w:t xml:space="preserve">BMK (1-Phenyl-2-propanone) and for fentanyl precursors such as norfentanyl. In some cases,</w:t>
      </w:r>
      <w:r>
        <w:t xml:space="preserve"> </w:t>
      </w:r>
      <w:r>
        <w:t xml:space="preserve">the Canadian legislation lists individually some of the substances that are part of the analogues</w:t>
      </w:r>
      <w:r>
        <w:t xml:space="preserve"> </w:t>
      </w:r>
      <w:r>
        <w:t xml:space="preserve">or derivatives of the controlled substance.</w:t>
      </w:r>
      <w:r>
        <w:t xml:space="preserve"> </w:t>
      </w:r>
      <w:r>
        <w:t xml:space="preserve">China introduced extended scheduling on 1st of September 2024 covering the esters of BMK</w:t>
      </w:r>
      <w:r>
        <w:t xml:space="preserve"> </w:t>
      </w:r>
      <w:r>
        <w:t xml:space="preserve">glycidic acid and PMK glycidic acid. China went further than what was decided at the</w:t>
      </w:r>
      <w:r>
        <w:t xml:space="preserve"> </w:t>
      </w:r>
      <w:r>
        <w:t xml:space="preserve">Commission of Narcotic Drugs in March 2024 that was to schedule seven esters of PMK</w:t>
      </w:r>
      <w:r>
        <w:t xml:space="preserve"> </w:t>
      </w:r>
      <w:r>
        <w:t xml:space="preserve">Glycidic acid and 8 esters of BMK glycidic acid.</w:t>
      </w:r>
      <w:r>
        <w:br/>
      </w:r>
      <w:r>
        <w:t xml:space="preserve">In advance of the March 2024 Commission on Narcotics Drugs that would decide the schedule</w:t>
      </w:r>
      <w:r>
        <w:t xml:space="preserve"> </w:t>
      </w:r>
      <w:r>
        <w:t xml:space="preserve">of the seven esters of PMK glycidic acid and 8 esters of BMK glycidic acid, the EU proactively</w:t>
      </w:r>
      <w:r>
        <w:t xml:space="preserve"> </w:t>
      </w:r>
      <w:r>
        <w:t xml:space="preserve">scheduled them in January 2024 ahead of the UN decision.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The March 2024 Commission of Narcotic drugs can be considered as a landmark. For the first</w:t>
      </w:r>
      <w:r>
        <w:t xml:space="preserve"> </w:t>
      </w:r>
      <w:r>
        <w:t xml:space="preserve">time, the INCB recommended scheduling as a direct application on Resolution 65/3 and</w:t>
      </w:r>
      <w:r>
        <w:t xml:space="preserve"> </w:t>
      </w:r>
      <w:r>
        <w:t xml:space="preserve">introduced proactive scheduling, resulting that some of the substances proposed for scheduling</w:t>
      </w:r>
      <w:r>
        <w:t xml:space="preserve"> </w:t>
      </w:r>
      <w:r>
        <w:t xml:space="preserve">were never detected. This is an important change as for the first-time authorities are working</w:t>
      </w:r>
      <w:r>
        <w:t xml:space="preserve"> </w:t>
      </w:r>
      <w:r>
        <w:t xml:space="preserve">on a proactive way instead of working only on a reactive way to the new modus operandi by</w:t>
      </w:r>
      <w:r>
        <w:t xml:space="preserve"> </w:t>
      </w:r>
      <w:r>
        <w:t xml:space="preserve">criminals.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Please see table below with examples of extended scheduling in the countries mentioned above</w:t>
      </w:r>
      <w:r>
        <w:br/>
      </w:r>
      <w:r>
        <w:t xml:space="preserve">Coun</w:t>
      </w:r>
      <w:r>
        <w:t xml:space="preserve"> </w:t>
      </w:r>
      <w:r>
        <w:t xml:space="preserve">try</w:t>
      </w:r>
      <w:r>
        <w:t xml:space="preserve"> </w:t>
      </w:r>
      <w:r>
        <w:t xml:space="preserve">Sign</w:t>
      </w:r>
      <w:r>
        <w:t xml:space="preserve"> </w:t>
      </w:r>
      <w:r>
        <w:t xml:space="preserve">ator</w:t>
      </w:r>
      <w:r>
        <w:t xml:space="preserve"> </w:t>
      </w:r>
      <w:r>
        <w:t xml:space="preserve">y of</w:t>
      </w:r>
      <w:r>
        <w:t xml:space="preserve"> </w:t>
      </w:r>
      <w:r>
        <w:t xml:space="preserve">the</w:t>
      </w:r>
      <w:r>
        <w:t xml:space="preserve"> </w:t>
      </w:r>
      <w:r>
        <w:t xml:space="preserve">1988</w:t>
      </w:r>
      <w:r>
        <w:t xml:space="preserve"> </w:t>
      </w:r>
      <w:r>
        <w:t xml:space="preserve">UN</w:t>
      </w:r>
      <w:r>
        <w:t xml:space="preserve"> </w:t>
      </w:r>
      <w:r>
        <w:t xml:space="preserve">Con</w:t>
      </w:r>
      <w:r>
        <w:t xml:space="preserve"> </w:t>
      </w:r>
      <w:r>
        <w:t xml:space="preserve">vent</w:t>
      </w:r>
      <w:r>
        <w:t xml:space="preserve"> </w:t>
      </w:r>
      <w:r>
        <w:t xml:space="preserve">ion</w:t>
      </w:r>
    </w:p>
    <w:p>
      <w:pPr>
        <w:pStyle w:val="BodyText"/>
      </w:pPr>
      <w:r>
        <w:t xml:space="preserve">Chemical substance</w:t>
      </w:r>
      <w:r>
        <w:t xml:space="preserve"> </w:t>
      </w:r>
      <w:r>
        <w:t xml:space="preserve">Derivatives</w:t>
      </w:r>
      <w:r>
        <w:t xml:space="preserve"> </w:t>
      </w:r>
      <w:r>
        <w:t xml:space="preserve">Legislation</w:t>
      </w:r>
      <w:r>
        <w:t xml:space="preserve"> </w:t>
      </w:r>
      <w:r>
        <w:t xml:space="preserve">Arge</w:t>
      </w:r>
      <w:r>
        <w:t xml:space="preserve"> </w:t>
      </w:r>
      <w:r>
        <w:t xml:space="preserve">ntina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Phenylacetic acid,</w:t>
      </w:r>
      <w:r>
        <w:br/>
      </w:r>
      <w:r>
        <w:t xml:space="preserve">Its salts, and its esters</w:t>
      </w:r>
      <w:r>
        <w:t xml:space="preserve"> </w:t>
      </w:r>
      <w:r>
        <w:t xml:space="preserve">Decreto 593-2019</w:t>
      </w:r>
      <w:r>
        <w:t xml:space="preserve"> </w:t>
      </w:r>
      <w:r>
        <w:t xml:space="preserve">Mexi</w:t>
      </w:r>
      <w:r>
        <w:t xml:space="preserve"> </w:t>
      </w:r>
      <w:r>
        <w:t xml:space="preserve">co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Phenylacetic acid,</w:t>
      </w:r>
      <w:r>
        <w:br/>
      </w:r>
      <w:r>
        <w:t xml:space="preserve">Salts and derivatives - the state officials, in collaboration with the</w:t>
      </w:r>
      <w:r>
        <w:t xml:space="preserve"> </w:t>
      </w:r>
      <w:r>
        <w:t xml:space="preserve">chemical industry, developed a list naming all esters individually to</w:t>
      </w:r>
      <w:r>
        <w:t xml:space="preserve"> </w:t>
      </w:r>
      <w:r>
        <w:t xml:space="preserve">avoid legal loopholes.</w:t>
      </w:r>
    </w:p>
    <w:p>
      <w:pPr>
        <w:pStyle w:val="BodyText"/>
      </w:pPr>
      <w:r>
        <w:t xml:space="preserve">Ley Federal para el Control de</w:t>
      </w:r>
      <w:r>
        <w:t xml:space="preserve"> </w:t>
      </w:r>
      <w:r>
        <w:t xml:space="preserve">Precursores Químicos, Productos</w:t>
      </w:r>
      <w:r>
        <w:t xml:space="preserve"> </w:t>
      </w:r>
      <w:r>
        <w:t xml:space="preserve">Químicos Esenciales y Máquinas</w:t>
      </w:r>
      <w:r>
        <w:t xml:space="preserve"> </w:t>
      </w:r>
      <w:r>
        <w:t xml:space="preserve">para Elaborar Cápsulas, Tabletas</w:t>
      </w:r>
      <w:r>
        <w:t xml:space="preserve"> </w:t>
      </w:r>
      <w:r>
        <w:t xml:space="preserve">y/o</w:t>
      </w:r>
      <w:r>
        <w:t xml:space="preserve"> </w:t>
      </w:r>
      <w:r>
        <w:t xml:space="preserve">Comprimidos</w:t>
      </w:r>
      <w:r>
        <w:t xml:space="preserve"> </w:t>
      </w:r>
      <w:r>
        <w:t xml:space="preserve">(diputados.gob.mx)</w:t>
      </w:r>
      <w:r>
        <w:t xml:space="preserve"> </w:t>
      </w:r>
      <w:r>
        <w:t xml:space="preserve">Cana</w:t>
      </w:r>
      <w:r>
        <w:t xml:space="preserve"> </w:t>
      </w:r>
      <w:r>
        <w:t xml:space="preserve">da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N-Phenyl-4-piperidinamine</w:t>
      </w:r>
    </w:p>
    <w:p>
      <w:pPr>
        <w:pStyle w:val="BodyText"/>
      </w:pPr>
      <w:r>
        <w:t xml:space="preserve">Analogues and derivatives of N-Phenyl-4-piperidinamine and its</w:t>
      </w:r>
      <w:r>
        <w:t xml:space="preserve"> </w:t>
      </w:r>
      <w:r>
        <w:t xml:space="preserve">salts including:</w:t>
      </w:r>
    </w:p>
    <w:p>
      <w:pPr>
        <w:numPr>
          <w:ilvl w:val="0"/>
          <w:numId w:val="1014"/>
        </w:numPr>
      </w:pPr>
      <w:r>
        <w:t xml:space="preserve">4-anilino-1-boc-piperidine</w:t>
      </w:r>
    </w:p>
    <w:p>
      <w:pPr>
        <w:numPr>
          <w:ilvl w:val="0"/>
          <w:numId w:val="1014"/>
        </w:numPr>
      </w:pPr>
      <w:r>
        <w:t xml:space="preserve">4-fluoro anilino-1-boc-piperidine</w:t>
      </w:r>
    </w:p>
    <w:p>
      <w:pPr>
        <w:numPr>
          <w:ilvl w:val="0"/>
          <w:numId w:val="1014"/>
        </w:numPr>
      </w:pPr>
      <w:r>
        <w:t xml:space="preserve">N-(4-fluorophenyl)-4-piperidinamine</w:t>
      </w:r>
    </w:p>
    <w:p>
      <w:pPr>
        <w:numPr>
          <w:ilvl w:val="0"/>
          <w:numId w:val="1014"/>
        </w:numPr>
      </w:pPr>
      <w:r>
        <w:t xml:space="preserve">4-bromo anilino-1-boc-piperidine</w:t>
      </w:r>
    </w:p>
    <w:p>
      <w:pPr>
        <w:pStyle w:val="FirstParagraph"/>
      </w:pPr>
      <w:r>
        <w:t xml:space="preserve">Regulations Amending the Narcotic</w:t>
      </w:r>
      <w:r>
        <w:t xml:space="preserve"> </w:t>
      </w:r>
      <w:r>
        <w:t xml:space="preserve">Control Regulations and the Precursor</w:t>
      </w:r>
      <w:r>
        <w:t xml:space="preserve"> </w:t>
      </w:r>
      <w:r>
        <w:t xml:space="preserve">Control Regulations</w:t>
      </w:r>
    </w:p>
    <w:p>
      <w:pPr>
        <w:pStyle w:val="BodyText"/>
      </w:pPr>
      <w:r>
        <w:t xml:space="preserve">Order Amending Schedule V to the</w:t>
      </w:r>
      <w:r>
        <w:t xml:space="preserve"> </w:t>
      </w:r>
      <w:r>
        <w:t xml:space="preserve">Controlled Drugs and Substances Act</w:t>
      </w:r>
    </w:p>
    <w:p>
      <w:pPr>
        <w:pStyle w:val="BodyText"/>
      </w:pPr>
      <w:r>
        <w:t xml:space="preserve">4-Anilino-N-phenethylpiperidine</w:t>
      </w:r>
      <w:r>
        <w:t xml:space="preserve"> </w:t>
      </w:r>
      <w:r>
        <w:t xml:space="preserve">(ANPP)</w:t>
      </w:r>
      <w:r>
        <w:t xml:space="preserve"> </w:t>
      </w:r>
      <w:r>
        <w:t xml:space="preserve">(N-phenyl-1-(2-</w:t>
      </w:r>
      <w:r>
        <w:t xml:space="preserve"> </w:t>
      </w:r>
      <w:r>
        <w:t xml:space="preserve">phenylethyl)piperidine-4-amine)</w:t>
      </w:r>
      <w:r>
        <w:t xml:space="preserve"> </w:t>
      </w:r>
      <w:r>
        <w:t xml:space="preserve">its derivatives and analogues and salts of derivatives and analogues</w:t>
      </w:r>
    </w:p>
    <w:p>
      <w:pPr>
        <w:pStyle w:val="BodyText"/>
      </w:pPr>
      <w:r>
        <w:t xml:space="preserve">1-Phenyl-2-propanone (BMK)</w:t>
      </w:r>
    </w:p>
    <w:p>
      <w:pPr>
        <w:pStyle w:val="BodyText"/>
      </w:pPr>
      <w:r>
        <w:t xml:space="preserve">1-Phenyl-2-propanone, its derivatives and analogues and salts of</w:t>
      </w:r>
      <w:r>
        <w:t xml:space="preserve"> </w:t>
      </w:r>
      <w:r>
        <w:t xml:space="preserve">derivatives and analogues Including: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(1) methyl 2-methyl-3-phenyloxirane-2-carboxylate (BMK methyl</w:t>
      </w:r>
      <w:r>
        <w:t xml:space="preserve"> </w:t>
      </w:r>
      <w:r>
        <w:t xml:space="preserve">glycidate)</w:t>
      </w:r>
    </w:p>
    <w:p>
      <w:pPr>
        <w:pStyle w:val="Compact"/>
        <w:numPr>
          <w:ilvl w:val="0"/>
          <w:numId w:val="1015"/>
        </w:numPr>
      </w:pPr>
      <w:r>
        <w:t xml:space="preserve">3-oxo-2-phenylbutanamide (α-phenylacetoacetamide-APAA)</w:t>
      </w:r>
    </w:p>
    <w:p>
      <w:pPr>
        <w:pStyle w:val="FirstParagraph"/>
      </w:pPr>
      <w:r>
        <w:t xml:space="preserve">Methylenedioxyphenyl-2-</w:t>
      </w:r>
      <w:r>
        <w:t xml:space="preserve"> </w:t>
      </w:r>
      <w:r>
        <w:t xml:space="preserve">propanone</w:t>
      </w:r>
      <w:r>
        <w:t xml:space="preserve"> </w:t>
      </w:r>
      <w:r>
        <w:t xml:space="preserve">3,4-Methylenedioxyphenyl-2- propanone (1-(1,3-benzodioxole)-2-</w:t>
      </w:r>
      <w:r>
        <w:t xml:space="preserve"> </w:t>
      </w:r>
      <w:r>
        <w:t xml:space="preserve">propanone), its derivatives and analogues and salts of derivatives and</w:t>
      </w:r>
      <w:r>
        <w:t xml:space="preserve"> </w:t>
      </w:r>
      <w:r>
        <w:t xml:space="preserve">analogues Including:</w:t>
      </w:r>
    </w:p>
    <w:p>
      <w:pPr>
        <w:pStyle w:val="Compact"/>
        <w:numPr>
          <w:ilvl w:val="0"/>
          <w:numId w:val="1016"/>
        </w:numPr>
      </w:pPr>
      <w:r>
        <w:t xml:space="preserve">methyl 3-(1,3-benzodioxol-5-yl)-2-methyloxirane-2-carboxylate</w:t>
      </w:r>
      <w:r>
        <w:t xml:space="preserve"> </w:t>
      </w:r>
      <w:r>
        <w:t xml:space="preserve">(MMDMG)</w:t>
      </w:r>
    </w:p>
    <w:p>
      <w:pPr>
        <w:pStyle w:val="FirstParagraph"/>
      </w:pPr>
      <w:r>
        <w:t xml:space="preserve">Norfentanyl</w:t>
      </w:r>
      <w:r>
        <w:t xml:space="preserve"> </w:t>
      </w:r>
      <w:r>
        <w:t xml:space="preserve">(N-phenyl-N-</w:t>
      </w:r>
      <w:r>
        <w:t xml:space="preserve"> </w:t>
      </w:r>
      <w:r>
        <w:t xml:space="preserve">piperidin- 4-ylpropanamide)</w:t>
      </w:r>
      <w:r>
        <w:t xml:space="preserve"> </w:t>
      </w:r>
      <w:r>
        <w:t xml:space="preserve">its salts, derivatives and analogues and salts of derivatives and</w:t>
      </w:r>
      <w:r>
        <w:t xml:space="preserve"> </w:t>
      </w:r>
      <w:r>
        <w:t xml:space="preserve">analogues</w:t>
      </w:r>
    </w:p>
    <w:p>
      <w:pPr>
        <w:pStyle w:val="BodyText"/>
      </w:pPr>
      <w:r>
        <w:t xml:space="preserve">Benzylfentanyl</w:t>
      </w:r>
      <w:r>
        <w:t xml:space="preserve"> </w:t>
      </w:r>
      <w:r>
        <w:t xml:space="preserve">(N-(1-</w:t>
      </w:r>
      <w:r>
        <w:t xml:space="preserve"> </w:t>
      </w:r>
      <w:r>
        <w:t xml:space="preserve">benzylpiperidin-4-yl)-N-</w:t>
      </w:r>
      <w:r>
        <w:t xml:space="preserve"> </w:t>
      </w:r>
      <w:r>
        <w:t xml:space="preserve">phenylpropionamide)</w:t>
      </w:r>
      <w:r>
        <w:t xml:space="preserve"> </w:t>
      </w:r>
      <w:r>
        <w:t xml:space="preserve">its salts, derivatives and analogues and salts of derivatives and</w:t>
      </w:r>
      <w:r>
        <w:t xml:space="preserve"> </w:t>
      </w:r>
      <w:r>
        <w:t xml:space="preserve">analogues</w:t>
      </w:r>
      <w:r>
        <w:t xml:space="preserve"> </w:t>
      </w:r>
      <w:r>
        <w:t xml:space="preserve">China Yes</w:t>
      </w:r>
    </w:p>
    <w:p>
      <w:pPr>
        <w:pStyle w:val="BodyText"/>
      </w:pPr>
      <w:r>
        <w:t xml:space="preserve">BMK glycidic acid</w:t>
      </w:r>
      <w:r>
        <w:t xml:space="preserve"> </w:t>
      </w:r>
      <w:r>
        <w:t xml:space="preserve">Its esters</w:t>
      </w:r>
    </w:p>
    <w:p>
      <w:pPr>
        <w:pStyle w:val="BodyText"/>
      </w:pPr>
      <w:r>
        <w:t xml:space="preserve">https://m.mps.gov.cn/n6935718/n6936</w:t>
      </w:r>
      <w:r>
        <w:t xml:space="preserve"> </w:t>
      </w:r>
      <w:r>
        <w:t xml:space="preserve">579/c9690580/content.html</w:t>
      </w:r>
    </w:p>
    <w:p>
      <w:pPr>
        <w:pStyle w:val="BodyText"/>
      </w:pPr>
      <w:r>
        <w:t xml:space="preserve">PMK glycidic acid</w:t>
      </w:r>
      <w:r>
        <w:br/>
      </w:r>
      <w:r>
        <w:t xml:space="preserve">Its esters</w:t>
      </w:r>
    </w:p>
    <w:p>
      <w:pPr>
        <w:pStyle w:val="BodyText"/>
      </w:pPr>
      <w:r>
        <w:t xml:space="preserve">Ephedrine</w:t>
      </w:r>
      <w:r>
        <w:br/>
      </w:r>
      <w:r>
        <w:t xml:space="preserve">Its derivatives</w:t>
      </w:r>
      <w:r>
        <w:t xml:space="preserve"> </w:t>
      </w:r>
      <w:r>
        <w:t xml:space="preserve">USA</w:t>
      </w:r>
      <w:r>
        <w:t xml:space="preserve"> </w:t>
      </w:r>
      <w:r>
        <w:t xml:space="preserve">YES</w:t>
      </w:r>
      <w:r>
        <w:br/>
      </w:r>
      <w:r>
        <w:t xml:space="preserve">4-ANILINOPIPERIDINE</w:t>
      </w:r>
      <w:r>
        <w:t xml:space="preserve"> </w:t>
      </w:r>
      <w:r>
        <w:t xml:space="preserve">(N-</w:t>
      </w:r>
      <w:r>
        <w:t xml:space="preserve"> </w:t>
      </w:r>
      <w:r>
        <w:t xml:space="preserve">phenylpiperidin-4-amine;</w:t>
      </w:r>
      <w:r>
        <w:t xml:space="preserve"> </w:t>
      </w:r>
      <w:r>
        <w:t xml:space="preserve">N</w:t>
      </w:r>
      <w:r>
        <w:t xml:space="preserve"> </w:t>
      </w:r>
      <w:r>
        <w:t xml:space="preserve">phenyl-4- piperidinamine; 4–AP)</w:t>
      </w:r>
      <w:r>
        <w:br/>
      </w:r>
      <w:r>
        <w:t xml:space="preserve">The scheduling includes also: its amides, its carbamates, and its salts.</w:t>
      </w:r>
      <w:r>
        <w:t xml:space="preserve"> </w:t>
      </w:r>
      <w:r>
        <w:t xml:space="preserve">Chemical Diversion and Trafficking</w:t>
      </w:r>
      <w:r>
        <w:t xml:space="preserve"> </w:t>
      </w:r>
      <w:r>
        <w:t xml:space="preserve">Act (CDTA)</w:t>
      </w:r>
    </w:p>
    <w:p>
      <w:pPr>
        <w:pStyle w:val="BodyText"/>
      </w:pPr>
      <w:r>
        <w:t xml:space="preserve">List of monitored drug precursors</w:t>
      </w:r>
    </w:p>
    <w:p>
      <w:pPr>
        <w:pStyle w:val="BodyText"/>
      </w:pPr>
      <w:r>
        <w:t xml:space="preserve">Other source to find the list of</w:t>
      </w:r>
      <w:r>
        <w:t xml:space="preserve"> </w:t>
      </w:r>
      <w:r>
        <w:t xml:space="preserve">monitored drug precursors</w:t>
      </w:r>
    </w:p>
    <w:p>
      <w:pPr>
        <w:pStyle w:val="BodyText"/>
      </w:pPr>
      <w:r>
        <w:t xml:space="preserve">USC page on drug precursors</w:t>
      </w:r>
    </w:p>
    <w:p>
      <w:pPr>
        <w:pStyle w:val="BodyText"/>
      </w:pPr>
      <w:r>
        <w:t xml:space="preserve">APAA</w:t>
      </w:r>
      <w:r>
        <w:t xml:space="preserve"> </w:t>
      </w:r>
      <w:r>
        <w:t xml:space="preserve">(Alpha-</w:t>
      </w:r>
      <w:r>
        <w:t xml:space="preserve"> </w:t>
      </w:r>
      <w:r>
        <w:t xml:space="preserve">phenylacetoacetamide)</w:t>
      </w:r>
      <w:r>
        <w:br/>
      </w:r>
      <w:r>
        <w:t xml:space="preserve">The scheduling includes also: its optical isomers.</w:t>
      </w:r>
    </w:p>
    <w:p>
      <w:pPr>
        <w:pStyle w:val="BodyText"/>
      </w:pPr>
      <w:r>
        <w:t xml:space="preserve">APAAN (Alpha-acetoacetonitrile)</w:t>
      </w:r>
      <w:r>
        <w:t xml:space="preserve"> </w:t>
      </w:r>
      <w:r>
        <w:t xml:space="preserve">The scheduling includes also: salts, optical isomers, &amp; salts of optical</w:t>
      </w:r>
      <w:r>
        <w:t xml:space="preserve"> </w:t>
      </w:r>
      <w:r>
        <w:t xml:space="preserve">isomer.</w:t>
      </w:r>
    </w:p>
    <w:p>
      <w:pPr>
        <w:pStyle w:val="BodyText"/>
      </w:pPr>
      <w:r>
        <w:t xml:space="preserve">EPHEDRINE</w:t>
      </w:r>
      <w:r>
        <w:t xml:space="preserve"> </w:t>
      </w:r>
      <w:r>
        <w:t xml:space="preserve">The scheduling includes also: salts, optical isomers, &amp; salts of optical</w:t>
      </w:r>
      <w:r>
        <w:t xml:space="preserve"> </w:t>
      </w:r>
      <w:r>
        <w:t xml:space="preserve">isomers.</w:t>
      </w:r>
    </w:p>
    <w:p>
      <w:pPr>
        <w:pStyle w:val="BodyText"/>
      </w:pPr>
      <w:r>
        <w:t xml:space="preserve">PHENYLPROPANOLAMINE</w:t>
      </w:r>
      <w:r>
        <w:t xml:space="preserve"> </w:t>
      </w:r>
      <w:r>
        <w:t xml:space="preserve">The scheduling includes also: salts, optical isomers, &amp; salts of optical</w:t>
      </w:r>
      <w:r>
        <w:t xml:space="preserve"> </w:t>
      </w:r>
      <w:r>
        <w:t xml:space="preserve">isomers.</w:t>
      </w:r>
    </w:p>
    <w:p>
      <w:pPr>
        <w:pStyle w:val="BodyText"/>
      </w:pPr>
      <w:r>
        <w:t xml:space="preserve">[1] Options to address the proliferation of non-scheduled chemicals, including designer precursors – contribution to a wider policy dialogue, INCB, 21 February 2020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ANNEX 8: DIGITALIZATION OF EU DRUG PRECURSORS</w:t>
      </w:r>
      <w:r>
        <w:t xml:space="preserve"> </w:t>
      </w:r>
      <w:r>
        <w:t xml:space="preserve">FORMALITIES AND PROCEDURES.</w:t>
      </w:r>
      <w:r>
        <w:t xml:space="preserve"> </w:t>
      </w:r>
      <w:r>
        <w:t xml:space="preserve">I.</w:t>
      </w:r>
      <w:r>
        <w:t xml:space="preserve"> </w:t>
      </w:r>
      <w:r>
        <w:t xml:space="preserve">INTERNAL TRADE:</w:t>
      </w:r>
      <w:r>
        <w:t xml:space="preserve"> </w:t>
      </w:r>
      <w:r>
        <w:t xml:space="preserve">Baseline cost provided by Commission services:</w:t>
      </w:r>
      <w:r>
        <w:t xml:space="preserve"> </w:t>
      </w:r>
      <w:r>
        <w:t xml:space="preserve">Expected /estimated Volume/traffic/use for the function 3</w:t>
      </w:r>
      <w:r>
        <w:t xml:space="preserve"> </w:t>
      </w:r>
      <w:r>
        <w:t xml:space="preserve">• Currently there are around 4,000 operators.</w:t>
      </w:r>
      <w:r>
        <w:t xml:space="preserve"> </w:t>
      </w:r>
      <w:r>
        <w:t xml:space="preserve">• It is assumed that the final number of operators will never exceed 50,000 operators.</w:t>
      </w:r>
      <w:r>
        <w:br/>
      </w:r>
      <w:r>
        <w:t xml:space="preserve">• It is expected that the operators will connect to the future system to fill in a form once a</w:t>
      </w:r>
      <w:r>
        <w:t xml:space="preserve"> </w:t>
      </w:r>
      <w:r>
        <w:t xml:space="preserve">year. Therefore, the user will not connect daily but will connect between 2 and 10 times a</w:t>
      </w:r>
      <w:r>
        <w:t xml:space="preserve"> </w:t>
      </w:r>
      <w:r>
        <w:t xml:space="preserve">year.</w:t>
      </w:r>
      <w:r>
        <w:br/>
      </w:r>
      <w:r>
        <w:t xml:space="preserve">• The traffic can be estimated as the current one existing (around 100 users) and multiply it</w:t>
      </w:r>
      <w:r>
        <w:t xml:space="preserve"> </w:t>
      </w:r>
      <w:r>
        <w:t xml:space="preserve">by 500 (if 50,000 operators were expected).</w:t>
      </w:r>
    </w:p>
    <w:p>
      <w:pPr>
        <w:pStyle w:val="BodyText"/>
      </w:pPr>
      <w:r>
        <w:t xml:space="preserve">Development for Options 2 and 3 (e-licenses and registrations, verification):</w:t>
      </w:r>
    </w:p>
    <w:p>
      <w:pPr>
        <w:pStyle w:val="BodyText"/>
      </w:pPr>
      <w:r>
        <w:t xml:space="preserve">While the digital solution goes further than function 3 contained in the baseline, there are still</w:t>
      </w:r>
      <w:r>
        <w:t xml:space="preserve"> </w:t>
      </w:r>
      <w:r>
        <w:t xml:space="preserve">some common aspects that a digital solution for the internal market would need to include. This</w:t>
      </w:r>
      <w:r>
        <w:t xml:space="preserve"> </w:t>
      </w:r>
      <w:r>
        <w:t xml:space="preserve">is notably a database with a role for economic operators, a mechanism to grant access securely</w:t>
      </w:r>
      <w:r>
        <w:t xml:space="preserve"> </w:t>
      </w:r>
      <w:r>
        <w:t xml:space="preserve">and an infrastructure to support many users.</w:t>
      </w:r>
      <w:r>
        <w:br/>
      </w:r>
      <w:r>
        <w:t xml:space="preserve">A simple workflow would be set up in which the user applies for a license (registration), and</w:t>
      </w:r>
      <w:r>
        <w:t xml:space="preserve"> </w:t>
      </w:r>
      <w:r>
        <w:t xml:space="preserve">afterwards the authority approves or reject the application, a confirmation e-mail is then sent to</w:t>
      </w:r>
      <w:r>
        <w:t xml:space="preserve"> </w:t>
      </w:r>
      <w:r>
        <w:t xml:space="preserve">the concerned operator. After approval a certificate is generated. This EU license (registration)</w:t>
      </w:r>
      <w:r>
        <w:t xml:space="preserve"> </w:t>
      </w:r>
      <w:r>
        <w:t xml:space="preserve">certificate will contain a QR code with a digital signature to protect it against falsification.</w:t>
      </w:r>
      <w:r>
        <w:t xml:space="preserve"> </w:t>
      </w:r>
      <w:r>
        <w:t xml:space="preserve">When checked, the QR code will be scanned, and the signature verified. The Commission has</w:t>
      </w:r>
      <w:r>
        <w:t xml:space="preserve"> </w:t>
      </w:r>
      <w:r>
        <w:t xml:space="preserve">EU sign tools that can be used for such purposes.</w:t>
      </w:r>
      <w:r>
        <w:t xml:space="preserve"> </w:t>
      </w:r>
      <w:r>
        <w:t xml:space="preserve">High-level budgetary estimates for e-licensing a verification</w:t>
      </w:r>
    </w:p>
    <w:p>
      <w:pPr>
        <w:pStyle w:val="BodyText"/>
      </w:pPr>
      <w:r>
        <w:t xml:space="preserve">The challenge is to ensure that the system can accept thousands of users.</w:t>
      </w:r>
    </w:p>
    <w:p>
      <w:pPr>
        <w:pStyle w:val="BodyText"/>
      </w:pPr>
      <w:r>
        <w:t xml:space="preserve">There are some economies of scale to be had from implementing both function 3 and the e-</w:t>
      </w:r>
      <w:r>
        <w:t xml:space="preserve"> </w:t>
      </w:r>
      <w:r>
        <w:t xml:space="preserve">license service, since there are many common grounds/aspects: The Role management, the</w:t>
      </w:r>
      <w:r>
        <w:t xml:space="preserve"> </w:t>
      </w:r>
      <w:r>
        <w:t xml:space="preserve">operators’ management and the user access grant, the license/registration recorded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Further costs to consider are hosting costs, the evolutive / corrective maintenance (e.g. the</w:t>
      </w:r>
      <w:r>
        <w:t xml:space="preserve"> </w:t>
      </w:r>
      <w:r>
        <w:t xml:space="preserve">first year: EUR 100 000 for after care, the second year EUR 50 000, the third year</w:t>
      </w:r>
      <w:r>
        <w:t xml:space="preserve"> </w:t>
      </w:r>
      <w:r>
        <w:t xml:space="preserve">EUR 25 000, the following years EUR 10 000). Support costs which are at about</w:t>
      </w:r>
      <w:r>
        <w:t xml:space="preserve"> </w:t>
      </w:r>
      <w:r>
        <w:t xml:space="preserve">EUR 25 000/year for 250-500 incident tickets a year.</w:t>
      </w:r>
    </w:p>
    <w:p>
      <w:pPr>
        <w:pStyle w:val="BodyText"/>
      </w:pPr>
      <w:r>
        <w:t xml:space="preserve">Some additional budget may be required if the service is required seven days a week, 24h/24.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II.</w:t>
      </w:r>
      <w:r>
        <w:t xml:space="preserve"> </w:t>
      </w:r>
      <w:r>
        <w:t xml:space="preserve">EXTERNAL TRADE</w:t>
      </w:r>
      <w:r>
        <w:t xml:space="preserve"> </w:t>
      </w:r>
      <w:r>
        <w:t xml:space="preserve">1. BACKGROUND</w:t>
      </w:r>
      <w:r>
        <w:t xml:space="preserve"> </w:t>
      </w:r>
      <w:r>
        <w:t xml:space="preserve">This analysis supports the Impact Assessment Study on the Revision of the EU Drug Precursors</w:t>
      </w:r>
      <w:r>
        <w:t xml:space="preserve"> </w:t>
      </w:r>
      <w:r>
        <w:t xml:space="preserve">(DP) Regulations. A key problem driver identified during this study pertains to complex</w:t>
      </w:r>
      <w:r>
        <w:t xml:space="preserve"> </w:t>
      </w:r>
      <w:r>
        <w:t xml:space="preserve">implementation rules and procedures, including very limited and partially digitalised</w:t>
      </w:r>
      <w:r>
        <w:t xml:space="preserve"> </w:t>
      </w:r>
      <w:r>
        <w:t xml:space="preserve">procedures and a lack of integration into the customs environment in line with the EU Single</w:t>
      </w:r>
      <w:r>
        <w:t xml:space="preserve"> </w:t>
      </w:r>
      <w:r>
        <w:t xml:space="preserve">Window Environment for Customs (SWE-C) Digital Framework Policy and its legal</w:t>
      </w:r>
      <w:r>
        <w:t xml:space="preserve"> </w:t>
      </w:r>
      <w:r>
        <w:t xml:space="preserve">framework.31 One specific policy objective is to streamline, modernise, and reduce the burden</w:t>
      </w:r>
      <w:r>
        <w:t xml:space="preserve"> </w:t>
      </w:r>
      <w:r>
        <w:t xml:space="preserve">of the EU control system for legal trade. This involves digitalising paper-based procedures</w:t>
      </w:r>
      <w:r>
        <w:t xml:space="preserve"> </w:t>
      </w:r>
      <w:r>
        <w:t xml:space="preserve">related to the DP policy to be compliant with EU digital strategy and modify provisions that</w:t>
      </w:r>
      <w:r>
        <w:t xml:space="preserve"> </w:t>
      </w:r>
      <w:r>
        <w:t xml:space="preserve">create unnecessary burdens. This approach is compliant with international agreements and</w:t>
      </w:r>
      <w:r>
        <w:t xml:space="preserve"> </w:t>
      </w:r>
      <w:r>
        <w:t xml:space="preserve">supports the EU policy on illicit drugs, while minimising disruptions to legal trade in</w:t>
      </w:r>
      <w:r>
        <w:t xml:space="preserve"> </w:t>
      </w:r>
      <w:r>
        <w:t xml:space="preserve">accordance with the EU internal market and common commercial policy.</w:t>
      </w:r>
      <w:r>
        <w:t xml:space="preserve"> </w:t>
      </w:r>
      <w:r>
        <w:t xml:space="preserve">The analysis focuses on supporting the core aspects of policy options 232 and 333 from the list</w:t>
      </w:r>
      <w:r>
        <w:t xml:space="preserve"> </w:t>
      </w:r>
      <w:r>
        <w:t xml:space="preserve">of policy options initially formulated in the Inception Report. These options entail substantial</w:t>
      </w:r>
      <w:r>
        <w:t xml:space="preserve"> </w:t>
      </w:r>
      <w:r>
        <w:t xml:space="preserve">digitalisation of the formalities using different methods for deregulation, facilitation, and</w:t>
      </w:r>
      <w:r>
        <w:t xml:space="preserve"> </w:t>
      </w:r>
      <w:r>
        <w:t xml:space="preserve">simplification of the procedural rules, proposing measures such as customs simplification</w:t>
      </w:r>
      <w:r>
        <w:t xml:space="preserve"> </w:t>
      </w:r>
      <w:r>
        <w:t xml:space="preserve">through connecting the EU database to the customs environment by implementation of EU</w:t>
      </w:r>
      <w:r>
        <w:t xml:space="preserve"> </w:t>
      </w:r>
      <w:r>
        <w:t xml:space="preserve">SWE-C legal framework and streamlining reporting obligations. Conversely, option 3</w:t>
      </w:r>
      <w:r>
        <w:t xml:space="preserve"> </w:t>
      </w:r>
      <w:r>
        <w:t xml:space="preserve">advocates for an additional simplification for AEOs and possibility to verify electronically the</w:t>
      </w:r>
      <w:r>
        <w:t xml:space="preserve"> </w:t>
      </w:r>
      <w:r>
        <w:t xml:space="preserve">permissions issued for the substances of new Category 2.</w:t>
      </w:r>
      <w:r>
        <w:br/>
      </w:r>
      <w:r>
        <w:t xml:space="preserve">The scope of this analysis of digitalisation options is limited to assessing the approach and</w:t>
      </w:r>
      <w:r>
        <w:t xml:space="preserve"> </w:t>
      </w:r>
      <w:r>
        <w:t xml:space="preserve">impacts of digitalising current paper flows, assuming that permissions34 would be required for</w:t>
      </w:r>
      <w:r>
        <w:t xml:space="preserve"> </w:t>
      </w:r>
      <w:r>
        <w:t xml:space="preserve">licit activity in the DP domain and cross-border trade. The primary objective of this analysis is</w:t>
      </w:r>
      <w:r>
        <w:t xml:space="preserve"> </w:t>
      </w:r>
      <w:r>
        <w:t xml:space="preserve">to evaluate, compare and choose the preferred digitalisation option to facilitate a transformation</w:t>
      </w:r>
      <w:r>
        <w:t xml:space="preserve"> </w:t>
      </w:r>
      <w:r>
        <w:t xml:space="preserve">from the existing paper-based process and minimise the administrative burden for economic</w:t>
      </w:r>
      <w:r>
        <w:t xml:space="preserve"> </w:t>
      </w:r>
      <w:r>
        <w:t xml:space="preserve">operators and competent authorities. The analysis is technology agnostic and not meant to be</w:t>
      </w:r>
      <w:r>
        <w:t xml:space="preserve"> </w:t>
      </w:r>
      <w:r>
        <w:t xml:space="preserve">an assessment of the possible technologic capabilities available for digitalisation.</w:t>
      </w:r>
      <w:r>
        <w:t xml:space="preserve"> </w:t>
      </w:r>
      <w:r>
        <w:t xml:space="preserve">In considering the optimal option for digitalisation of the EU DP domain, an e-licensing</w:t>
      </w:r>
      <w:r>
        <w:t xml:space="preserve"> </w:t>
      </w:r>
      <w:r>
        <w:t xml:space="preserve">platform is integral for the management and issuance of permissions. It is important to note that</w:t>
      </w:r>
      <w:r>
        <w:t xml:space="preserve"> </w:t>
      </w:r>
      <w:r>
        <w:t xml:space="preserve">the preferred digitalisation option must comply with EU Digital Strategy, the long-term EU</w:t>
      </w:r>
    </w:p>
    <w:p>
      <w:pPr>
        <w:pStyle w:val="BodyText"/>
      </w:pPr>
      <w:r>
        <w:t xml:space="preserve">31 EU SWE-C Digital Framework Policy is based on Regulation (EU) 2022/2399 of the European Parliament and of the Council of 23</w:t>
      </w:r>
      <w:r>
        <w:t xml:space="preserve"> </w:t>
      </w:r>
      <w:r>
        <w:t xml:space="preserve">November 2022 establishing the European Union Single Window Environment for Customs and amending Regulation (EU) No 952/2013.</w:t>
      </w:r>
      <w:r>
        <w:br/>
      </w:r>
      <w:r>
        <w:t xml:space="preserve">32 Based on the Interim Report policy option 2 is initially formulated as a set of regulatory changes aimed at tackling illicit trade and facilitating</w:t>
      </w:r>
      <w:r>
        <w:t xml:space="preserve"> </w:t>
      </w:r>
      <w:r>
        <w:t xml:space="preserve">legal trade, with particular emphasis on simplification, modernisation and burden reduction. The concrete measures proposed include a</w:t>
      </w:r>
      <w:r>
        <w:t xml:space="preserve"> </w:t>
      </w:r>
      <w:r>
        <w:t xml:space="preserve">comprehensive digitalisation of the procedures accompanied by a streamlining of the legal text and of non-critical obligations., which would</w:t>
      </w:r>
      <w:r>
        <w:t xml:space="preserve"> </w:t>
      </w:r>
      <w:r>
        <w:t xml:space="preserve">reduce the administrative burden by changing the procedural rules for monitoring international trade to be aligned to those at the UN level in</w:t>
      </w:r>
      <w:r>
        <w:t xml:space="preserve"> </w:t>
      </w:r>
      <w:r>
        <w:t xml:space="preserve">combination with the digital transition.</w:t>
      </w:r>
      <w:r>
        <w:br/>
      </w:r>
      <w:r>
        <w:t xml:space="preserve">33 Policy option 3 addresses both objectives of the intervention, but compared to the previous one is more comprehensive as regards fight</w:t>
      </w:r>
      <w:r>
        <w:t xml:space="preserve"> </w:t>
      </w:r>
      <w:r>
        <w:t xml:space="preserve">against illegal trade, i.e. with a stronger ban on designer precursors and a more extensive ‘catch-all clause’ for non-scheduled substances.</w:t>
      </w:r>
      <w:r>
        <w:t xml:space="preserve"> </w:t>
      </w:r>
      <w:r>
        <w:t xml:space="preserve">Regarding Option #2, digitalisation and simplification are also envisaged, but some burden-reduction changes envisaged under Option #2 do</w:t>
      </w:r>
      <w:r>
        <w:t xml:space="preserve"> </w:t>
      </w:r>
      <w:r>
        <w:t xml:space="preserve">not apply here as the emphasis is on maintaining control.</w:t>
      </w:r>
      <w:r>
        <w:br/>
      </w:r>
      <w:r>
        <w:t xml:space="preserve">34 Permissions in the context of this analysis refers to the registration/self-registration, licensing and authorisations required by economic</w:t>
      </w:r>
      <w:r>
        <w:t xml:space="preserve"> </w:t>
      </w:r>
      <w:r>
        <w:t xml:space="preserve">operators.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strategy of an EU Customs Data Hub with the Single Window as its backbone and international</w:t>
      </w:r>
      <w:r>
        <w:t xml:space="preserve"> </w:t>
      </w:r>
      <w:r>
        <w:t xml:space="preserve">DP policy, which are reliant on the special permissions required for the cross-border movement</w:t>
      </w:r>
      <w:r>
        <w:t xml:space="preserve"> </w:t>
      </w:r>
      <w:r>
        <w:t xml:space="preserve">of listed drug precursors. This implies that trade involving these goods should be authorised by</w:t>
      </w:r>
      <w:r>
        <w:t xml:space="preserve"> </w:t>
      </w:r>
      <w:r>
        <w:t xml:space="preserve">competent authorities through cross-border permissions, in accordance with the UN</w:t>
      </w:r>
      <w:r>
        <w:t xml:space="preserve"> </w:t>
      </w:r>
      <w:r>
        <w:t xml:space="preserve">Convention 198835. Article 12, paragraph 8(b)(iii) of the UN Convention 1988 mandates</w:t>
      </w:r>
      <w:r>
        <w:t xml:space="preserve"> </w:t>
      </w:r>
      <w:r>
        <w:t xml:space="preserve">competent authorities to implement appropriate measures to monitor the manufacture and</w:t>
      </w:r>
      <w:r>
        <w:t xml:space="preserve"> </w:t>
      </w:r>
      <w:r>
        <w:t xml:space="preserve">distribution of drug precursors carried out in their territory, and may require licensees to obtain</w:t>
      </w:r>
      <w:r>
        <w:t xml:space="preserve"> </w:t>
      </w:r>
      <w:r>
        <w:t xml:space="preserve">permits for conducting their operations.</w:t>
      </w:r>
    </w:p>
    <w:p>
      <w:pPr>
        <w:pStyle w:val="BodyText"/>
      </w:pPr>
      <w:r>
        <w:t xml:space="preserve">35 United Nations Convention Against Illicit Traffic in Narcotics Drugs and Psychotropic Substances, 1988 (UN Convention 1988).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Figure 1 Level of digitisation in EU Member States</w:t>
      </w:r>
    </w:p>
    <w:p>
      <w:pPr>
        <w:pStyle w:val="BodyText"/>
      </w:pPr>
      <w:r>
        <w:t xml:space="preserve">Digitisation of licences and registrations in the EU Digitisation of various formalities</w:t>
      </w:r>
    </w:p>
    <w:p>
      <w:pPr>
        <w:pStyle w:val="BodyText"/>
      </w:pPr>
      <w:r>
        <w:t xml:space="preserve">Source: EU Survey ‘Questionnaire on current drug precursors formalities in preparation for digitalisation’, run in</w:t>
      </w:r>
      <w:r>
        <w:t xml:space="preserve"> </w:t>
      </w:r>
      <w:r>
        <w:t xml:space="preserve">Q4 2022. 23 Member States responded to the Licenses and registration and authorisation questions, 21 Member</w:t>
      </w:r>
      <w:r>
        <w:t xml:space="preserve"> </w:t>
      </w:r>
      <w:r>
        <w:t xml:space="preserve">States responded to the summary of transactions and notifications of suspicious transactions.</w:t>
      </w:r>
      <w:r>
        <w:t xml:space="preserve"> </w:t>
      </w:r>
      <w:r>
        <w:t xml:space="preserve">2. DESCRIPTION OF OPTIONS</w:t>
      </w:r>
      <w:r>
        <w:t xml:space="preserve"> </w:t>
      </w:r>
      <w:r>
        <w:t xml:space="preserve">Three options have been identified and examined in collaboration with the experts of the Project</w:t>
      </w:r>
      <w:r>
        <w:t xml:space="preserve"> </w:t>
      </w:r>
      <w:r>
        <w:t xml:space="preserve">Group for the digitalisation of the EU Drug Precursors (DP) system. The three options are:</w:t>
      </w:r>
      <w:r>
        <w:t xml:space="preserve"> </w:t>
      </w:r>
      <w:r>
        <w:t xml:space="preserve">a) Decentralised: An option of decentralised system is soft law policy scenario36 or baseline</w:t>
      </w:r>
      <w:r>
        <w:t xml:space="preserve"> </w:t>
      </w:r>
      <w:r>
        <w:t xml:space="preserve">scenario from digitalisation point of view, which would involve multiple national systems</w:t>
      </w:r>
      <w:r>
        <w:t xml:space="preserve"> </w:t>
      </w:r>
      <w:r>
        <w:t xml:space="preserve">responsible for managing different aspects of the drug precursors e-licensing platform.</w:t>
      </w:r>
      <w:r>
        <w:t xml:space="preserve"> </w:t>
      </w:r>
      <w:r>
        <w:t xml:space="preserve">These national systems would operate independently, with no possibility of implementing</w:t>
      </w:r>
      <w:r>
        <w:t xml:space="preserve"> </w:t>
      </w:r>
      <w:r>
        <w:t xml:space="preserve">the EU SWE-C Digital Framework Policy37 to streamline the electronic exchange of</w:t>
      </w:r>
      <w:r>
        <w:t xml:space="preserve"> </w:t>
      </w:r>
      <w:r>
        <w:t xml:space="preserve">documents and information with customs. Member States will only be able to integrate and</w:t>
      </w:r>
      <w:r>
        <w:t xml:space="preserve"> </w:t>
      </w:r>
      <w:r>
        <w:t xml:space="preserve">automate customs controls within their own national customs IT systems, and will continue</w:t>
      </w:r>
      <w:r>
        <w:t xml:space="preserve"> </w:t>
      </w:r>
      <w:r>
        <w:t xml:space="preserve">to use a user interface for collaboration with third countries via the Pre-Export Notification</w:t>
      </w:r>
      <w:r>
        <w:t xml:space="preserve"> </w:t>
      </w:r>
      <w:r>
        <w:t xml:space="preserve">(PEN) Online system. Consequently, IT solutions based on common requirements for the</w:t>
      </w:r>
      <w:r>
        <w:t xml:space="preserve"> </w:t>
      </w:r>
      <w:r>
        <w:t xml:space="preserve">management and issuance of permissions will be developed and deployed by Member</w:t>
      </w:r>
      <w:r>
        <w:t xml:space="preserve"> </w:t>
      </w:r>
      <w:r>
        <w:t xml:space="preserve">States themselves.</w:t>
      </w:r>
      <w:r>
        <w:t xml:space="preserve"> </w:t>
      </w:r>
      <w:r>
        <w:t xml:space="preserve">b) Centralised: A centralised system would consist of a single system responsible for</w:t>
      </w:r>
      <w:r>
        <w:t xml:space="preserve"> </w:t>
      </w:r>
      <w:r>
        <w:t xml:space="preserve">managing all applications in the drug precursors platform. With a fully centralised EU-</w:t>
      </w:r>
    </w:p>
    <w:p>
      <w:pPr>
        <w:pStyle w:val="BodyText"/>
      </w:pPr>
      <w:r>
        <w:t xml:space="preserve">36 Option #1 is soft law approach, which encompasses a series of measures that do not require a revision of the EU Regulations themselves.</w:t>
      </w:r>
      <w:r>
        <w:t xml:space="preserve"> </w:t>
      </w:r>
      <w:r>
        <w:t xml:space="preserve">This option foresees developing the guidance for MS who develop their own digital solutions.</w:t>
      </w:r>
      <w:r>
        <w:br/>
      </w:r>
      <w:r>
        <w:t xml:space="preserve">37 EU SWE-C Digital Framework Policy is based on Regulation (EU) 2022/2399 of the European Parliament and of the Council of 23</w:t>
      </w:r>
      <w:r>
        <w:t xml:space="preserve"> </w:t>
      </w:r>
      <w:r>
        <w:t xml:space="preserve">November 2022 establishing the European Union Single Window Environment for Customs and amending Regulation (EU) No 952/2013.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wide system, there would be a single user interface for information exchange between</w:t>
      </w:r>
      <w:r>
        <w:t xml:space="preserve"> </w:t>
      </w:r>
      <w:r>
        <w:t xml:space="preserve">economic operators and Member States’ competent authorities. This interface will support</w:t>
      </w:r>
      <w:r>
        <w:t xml:space="preserve"> </w:t>
      </w:r>
      <w:r>
        <w:t xml:space="preserve">the necessary permissions required by economic operators. This solution would be</w:t>
      </w:r>
      <w:r>
        <w:t xml:space="preserve"> </w:t>
      </w:r>
      <w:r>
        <w:t xml:space="preserve">consistent with the EU SWE-C Digital Framework Policy and allow automated checks by</w:t>
      </w:r>
      <w:r>
        <w:t xml:space="preserve"> </w:t>
      </w:r>
      <w:r>
        <w:t xml:space="preserve">Member States’ customs. Additionally, a functionality could be developed and deployed</w:t>
      </w:r>
      <w:r>
        <w:t xml:space="preserve"> </w:t>
      </w:r>
      <w:r>
        <w:t xml:space="preserve">to facilitate effective integration with the UN system.</w:t>
      </w:r>
      <w:r>
        <w:t xml:space="preserve"> </w:t>
      </w:r>
      <w:r>
        <w:t xml:space="preserve">c) Hybrid: A hybrid system aims to accommodate Member States who have customised IT</w:t>
      </w:r>
      <w:r>
        <w:t xml:space="preserve"> </w:t>
      </w:r>
      <w:r>
        <w:t xml:space="preserve">solutions for end-to-end issuance through a system-to-system interface that is connected to</w:t>
      </w:r>
      <w:r>
        <w:t xml:space="preserve"> </w:t>
      </w:r>
      <w:r>
        <w:t xml:space="preserve">the EU-wide central system. This connection would allow the necessary replication of data</w:t>
      </w:r>
      <w:r>
        <w:t xml:space="preserve"> </w:t>
      </w:r>
      <w:r>
        <w:t xml:space="preserve">from national to central database. Member States who do not have their own IT solutions</w:t>
      </w:r>
      <w:r>
        <w:t xml:space="preserve"> </w:t>
      </w:r>
      <w:r>
        <w:t xml:space="preserve">will be able to use the central system. Under a hybrid system there will be a user interface</w:t>
      </w:r>
      <w:r>
        <w:t xml:space="preserve"> </w:t>
      </w:r>
      <w:r>
        <w:t xml:space="preserve">within the central system available for Member States not having a national solution in</w:t>
      </w:r>
      <w:r>
        <w:t xml:space="preserve"> </w:t>
      </w:r>
      <w:r>
        <w:t xml:space="preserve">place, available to its national competent authorities and economic operators. ´</w:t>
      </w:r>
      <w:r>
        <w:t xml:space="preserve"> </w:t>
      </w:r>
      <w:r>
        <w:t xml:space="preserve">Both centralised and hybrid approaches for digitalisation would address the measures of</w:t>
      </w:r>
      <w:r>
        <w:t xml:space="preserve"> </w:t>
      </w:r>
      <w:r>
        <w:t xml:space="preserve">digitalisation and rationalisation of procedures under the policy options 2 and 3. The differences</w:t>
      </w:r>
      <w:r>
        <w:t xml:space="preserve"> </w:t>
      </w:r>
      <w:r>
        <w:t xml:space="preserve">of the central and hybrid approaches are reflected in the comparative analysis, in particular the</w:t>
      </w:r>
      <w:r>
        <w:t xml:space="preserve"> </w:t>
      </w:r>
      <w:r>
        <w:t xml:space="preserve">analysis regarding the criteria of effectiveness, coherence and proportionality.</w:t>
      </w:r>
      <w:r>
        <w:br/>
      </w:r>
      <w:r>
        <w:t xml:space="preserve">3. ANALYSIS OF OPTIONS</w:t>
      </w:r>
      <w:r>
        <w:t xml:space="preserve"> </w:t>
      </w:r>
      <w:r>
        <w:t xml:space="preserve">In line with the broader Impact Assessment Study related to the revision of the EU DP</w:t>
      </w:r>
      <w:r>
        <w:t xml:space="preserve"> </w:t>
      </w:r>
      <w:r>
        <w:t xml:space="preserve">framework, this analysis is performed to advance the digital transformation of the EU DP</w:t>
      </w:r>
      <w:r>
        <w:t xml:space="preserve"> </w:t>
      </w:r>
      <w:r>
        <w:t xml:space="preserve">domain. The objective of the analysis is to identify the most preferred option for digitalisation</w:t>
      </w:r>
      <w:r>
        <w:t xml:space="preserve"> </w:t>
      </w:r>
      <w:r>
        <w:t xml:space="preserve">based on the policy options. This analysis is performed through a collaboration effort within</w:t>
      </w:r>
      <w:r>
        <w:t xml:space="preserve"> </w:t>
      </w:r>
      <w:r>
        <w:t xml:space="preserve">the project team together with Project Group experts. It will undergo further evaluation based</w:t>
      </w:r>
      <w:r>
        <w:t xml:space="preserve"> </w:t>
      </w:r>
      <w:r>
        <w:t xml:space="preserve">on the outcome of the study, with a specific focus on the cost-benefits analysis and potential</w:t>
      </w:r>
      <w:r>
        <w:t xml:space="preserve"> </w:t>
      </w:r>
      <w:r>
        <w:t xml:space="preserve">rewards expected from digitalisation to reduce the administrative burden, improve cost-</w:t>
      </w:r>
      <w:r>
        <w:t xml:space="preserve"> </w:t>
      </w:r>
      <w:r>
        <w:t xml:space="preserve">efficiency, and ensure effective enforcement of regulatory requirements.</w:t>
      </w:r>
      <w:r>
        <w:t xml:space="preserve"> </w:t>
      </w:r>
      <w:r>
        <w:t xml:space="preserve">The ensuing sub-sections provide a summary of the comparative analysis of the three options,</w:t>
      </w:r>
      <w:r>
        <w:t xml:space="preserve"> </w:t>
      </w:r>
      <w:r>
        <w:t xml:space="preserve">based on each of the pre-defined criteria.</w:t>
      </w:r>
      <w:r>
        <w:t xml:space="preserve"> </w:t>
      </w:r>
      <w:r>
        <w:t xml:space="preserve">3.1.EFFECTIVENESS</w:t>
      </w:r>
      <w:r>
        <w:t xml:space="preserve"> </w:t>
      </w:r>
      <w:r>
        <w:t xml:space="preserve">This criterion evaluates the extent to which the digitalisation of the option will achieve the</w:t>
      </w:r>
      <w:r>
        <w:t xml:space="preserve"> </w:t>
      </w:r>
      <w:r>
        <w:t xml:space="preserve">business requirements of the EU DP domain. Factors considered under this criterion include:</w:t>
      </w:r>
      <w:r>
        <w:t xml:space="preserve"> </w:t>
      </w:r>
      <w:r>
        <w:t xml:space="preserve">improvements in the enforcement of regulatory requirements; the potential to facilitate licit</w:t>
      </w:r>
      <w:r>
        <w:t xml:space="preserve"> </w:t>
      </w:r>
      <w:r>
        <w:t xml:space="preserve">trade by reducing the administrative burden for competent authorities and economic operators</w:t>
      </w:r>
      <w:r>
        <w:t xml:space="preserve"> </w:t>
      </w:r>
      <w:r>
        <w:t xml:space="preserve">(EOs); and the impact on international cooperation.</w:t>
      </w:r>
      <w:r>
        <w:t xml:space="preserve"> </w:t>
      </w:r>
      <w:r>
        <w:t xml:space="preserve">a) Decentralised: A decentralised system will give flexibility to Member States to operate</w:t>
      </w:r>
      <w:r>
        <w:t xml:space="preserve"> </w:t>
      </w:r>
      <w:r>
        <w:t xml:space="preserve">independently. To reduce the administrative burden, Form D can be incorporated into</w:t>
      </w:r>
      <w:r>
        <w:t xml:space="preserve"> </w:t>
      </w:r>
      <w:r>
        <w:t xml:space="preserve">national systems to enable the capture of EO data for reporting, but submission of</w:t>
      </w:r>
      <w:r>
        <w:t xml:space="preserve"> </w:t>
      </w:r>
      <w:r>
        <w:t xml:space="preserve">consolidated data of Member States to COM would still be a manual process. The absence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of a central database raises the concern about cross-border validation between up to 27</w:t>
      </w:r>
      <w:r>
        <w:t xml:space="preserve"> </w:t>
      </w:r>
      <w:r>
        <w:t xml:space="preserve">different national systems. Possible difficulties are foreseen in streamlining processes with</w:t>
      </w:r>
      <w:r>
        <w:t xml:space="preserve"> </w:t>
      </w:r>
      <w:r>
        <w:t xml:space="preserve">customs if national IT systems are not interconnected. There is no possibility to ensure</w:t>
      </w:r>
      <w:r>
        <w:t xml:space="preserve"> </w:t>
      </w:r>
      <w:r>
        <w:t xml:space="preserve">implementation of the G2G schema of EU SWE-C Digital Framework Policy, which</w:t>
      </w:r>
      <w:r>
        <w:t xml:space="preserve"> </w:t>
      </w:r>
      <w:r>
        <w:t xml:space="preserve">allows proper monitoring and control of the quantities of goods imported or exported at the</w:t>
      </w:r>
      <w:r>
        <w:t xml:space="preserve"> </w:t>
      </w:r>
      <w:r>
        <w:t xml:space="preserve">EU level. It will thus maintain high risks of fraud and gaps in the enforcement of DP</w:t>
      </w:r>
      <w:r>
        <w:t xml:space="preserve"> </w:t>
      </w:r>
      <w:r>
        <w:t xml:space="preserve">requirements. This option also creates a risk of the current paper-based system persisting</w:t>
      </w:r>
      <w:r>
        <w:t xml:space="preserve"> </w:t>
      </w:r>
      <w:r>
        <w:t xml:space="preserve">for certain customs controls, maintaining an administrative burden on customs authorities</w:t>
      </w:r>
      <w:r>
        <w:t xml:space="preserve"> </w:t>
      </w:r>
      <w:r>
        <w:t xml:space="preserve">and EOs involved in cross-border trade - customs authorities at points of exit would still</w:t>
      </w:r>
      <w:r>
        <w:t xml:space="preserve"> </w:t>
      </w:r>
      <w:r>
        <w:t xml:space="preserve">require EOs to present a paper-based document if permissions were issued by other</w:t>
      </w:r>
      <w:r>
        <w:t xml:space="preserve"> </w:t>
      </w:r>
      <w:r>
        <w:t xml:space="preserve">Member States. Member States are accountable for complying with international reporting</w:t>
      </w:r>
      <w:r>
        <w:t xml:space="preserve"> </w:t>
      </w:r>
      <w:r>
        <w:t xml:space="preserve">requirements. In the case of 27 national solutions, streamlining the process by building a</w:t>
      </w:r>
      <w:r>
        <w:t xml:space="preserve"> </w:t>
      </w:r>
      <w:r>
        <w:t xml:space="preserve">system-to system interface with the PEN Online system would require very close</w:t>
      </w:r>
      <w:r>
        <w:t xml:space="preserve"> </w:t>
      </w:r>
      <w:r>
        <w:t xml:space="preserve">collaboration between Member States to define common requirements and ensure</w:t>
      </w:r>
      <w:r>
        <w:t xml:space="preserve"> </w:t>
      </w:r>
      <w:r>
        <w:t xml:space="preserve">consistency across national systems. Possible differences in the technology that is</w:t>
      </w:r>
      <w:r>
        <w:t xml:space="preserve"> </w:t>
      </w:r>
      <w:r>
        <w:t xml:space="preserve">accessible to Member States is a risk that might have to be addressed in the development</w:t>
      </w:r>
      <w:r>
        <w:t xml:space="preserve"> </w:t>
      </w:r>
      <w:r>
        <w:t xml:space="preserve">of the interface with the PEN Online system. Therefore, it would be very challenging to</w:t>
      </w:r>
      <w:r>
        <w:t xml:space="preserve"> </w:t>
      </w:r>
      <w:r>
        <w:t xml:space="preserve">avoid duplication and reduce the administrative burden. Under the decentralised option</w:t>
      </w:r>
      <w:r>
        <w:t xml:space="preserve"> </w:t>
      </w:r>
      <w:r>
        <w:t xml:space="preserve">each Member State would retain responsibility to send Pre-Export Notifications via the</w:t>
      </w:r>
      <w:r>
        <w:t xml:space="preserve"> </w:t>
      </w:r>
      <w:r>
        <w:t xml:space="preserve">PEN Online system38 to third countries’ competent authorities. There is a very low</w:t>
      </w:r>
      <w:r>
        <w:t xml:space="preserve"> </w:t>
      </w:r>
      <w:r>
        <w:t xml:space="preserve">likelihood that the decentralised approach would be more effective than the current</w:t>
      </w:r>
      <w:r>
        <w:t xml:space="preserve"> </w:t>
      </w:r>
      <w:r>
        <w:t xml:space="preserve">baseline paper-based approach.</w:t>
      </w:r>
      <w:r>
        <w:t xml:space="preserve"> </w:t>
      </w:r>
      <w:r>
        <w:t xml:space="preserve">b) Centralised: Under a fully centralised system, EOs and competent authorities will have</w:t>
      </w:r>
      <w:r>
        <w:t xml:space="preserve"> </w:t>
      </w:r>
      <w:r>
        <w:t xml:space="preserve">the capability to use a unified platform. This system will feature harmonised functionalities</w:t>
      </w:r>
      <w:r>
        <w:t xml:space="preserve"> </w:t>
      </w:r>
      <w:r>
        <w:t xml:space="preserve">for all Member States, providing a streamlined and consistent approach. EOs will benefit</w:t>
      </w:r>
      <w:r>
        <w:t xml:space="preserve"> </w:t>
      </w:r>
      <w:r>
        <w:t xml:space="preserve">from direct access to the front-end solution, enabling them to submit applications directly</w:t>
      </w:r>
      <w:r>
        <w:t xml:space="preserve"> </w:t>
      </w:r>
      <w:r>
        <w:t xml:space="preserve">in the system. Implementation of a centralised option will enhance and streamline</w:t>
      </w:r>
      <w:r>
        <w:t xml:space="preserve"> </w:t>
      </w:r>
      <w:r>
        <w:t xml:space="preserve">information-sharing between customs and partner competent authorities by enabling them</w:t>
      </w:r>
      <w:r>
        <w:t xml:space="preserve"> </w:t>
      </w:r>
      <w:r>
        <w:t xml:space="preserve">to automatically exchange and verify the information that is required by the EU SWE-C</w:t>
      </w:r>
      <w:r>
        <w:t xml:space="preserve"> </w:t>
      </w:r>
      <w:r>
        <w:t xml:space="preserve">Digital Framework Policy. The integration of synchronised online communication with</w:t>
      </w:r>
      <w:r>
        <w:t xml:space="preserve"> </w:t>
      </w:r>
      <w:r>
        <w:t xml:space="preserve">Customs IT systems and the utilisation of EORI numbers for quantity management enhance</w:t>
      </w:r>
      <w:r>
        <w:t xml:space="preserve"> </w:t>
      </w:r>
      <w:r>
        <w:t xml:space="preserve">the efficiency of the centralised option. The system will support a multi-lingual operability</w:t>
      </w:r>
      <w:r>
        <w:t xml:space="preserve"> </w:t>
      </w:r>
      <w:r>
        <w:t xml:space="preserve">with 23 languages. The harmonised interface and a single data repository will reduce the</w:t>
      </w:r>
      <w:r>
        <w:t xml:space="preserve"> </w:t>
      </w:r>
      <w:r>
        <w:t xml:space="preserve">administrative burden, especially for multinational companies. Furthermore, this option</w:t>
      </w:r>
      <w:r>
        <w:t xml:space="preserve"> </w:t>
      </w:r>
      <w:r>
        <w:t xml:space="preserve">will facilitate the collection of information by competent authorities for regulatory</w:t>
      </w:r>
      <w:r>
        <w:t xml:space="preserve"> </w:t>
      </w:r>
      <w:r>
        <w:t xml:space="preserve">enforcement to potentially reduce this administrative burden too. With a centralised</w:t>
      </w:r>
      <w:r>
        <w:t xml:space="preserve"> </w:t>
      </w:r>
      <w:r>
        <w:t xml:space="preserve">system, competent authorities would also be relieved from the administrative burden of</w:t>
      </w:r>
      <w:r>
        <w:t xml:space="preserve"> </w:t>
      </w:r>
      <w:r>
        <w:t xml:space="preserve">having to develop a national system. The central system could facilitate peer-to-peer</w:t>
      </w:r>
      <w:r>
        <w:t xml:space="preserve"> </w:t>
      </w:r>
      <w:r>
        <w:t xml:space="preserve">verification for intra-EU and extra-EU trade, however, competent authorities and EOs</w:t>
      </w:r>
      <w:r>
        <w:t xml:space="preserve"> </w:t>
      </w:r>
      <w:r>
        <w:t xml:space="preserve">would have to be trained on usage of the system. Form D can be incorporated into the</w:t>
      </w:r>
    </w:p>
    <w:p>
      <w:pPr>
        <w:pStyle w:val="BodyText"/>
      </w:pPr>
      <w:r>
        <w:t xml:space="preserve">38 The Pre-Export Notification (PEN) Online System launched in 2005 by INCB enables easy on-line exchange of information between</w:t>
      </w:r>
      <w:r>
        <w:t xml:space="preserve"> </w:t>
      </w:r>
      <w:r>
        <w:t xml:space="preserve">competent national authorities on planned exports of precursor chemicals, United Nations Office on Drugs and Crime, 2024,</w:t>
      </w:r>
      <w:r>
        <w:t xml:space="preserve"> </w:t>
      </w:r>
      <w:r>
        <w:t xml:space="preserve">https://www.unodc.org/unodc/en/global-it-products/pen.html.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central system to facilitate a streamlined process starting from the collection and</w:t>
      </w:r>
      <w:r>
        <w:t xml:space="preserve"> </w:t>
      </w:r>
      <w:r>
        <w:t xml:space="preserve">consolidation of information, subsequently making such data available in the central</w:t>
      </w:r>
      <w:r>
        <w:t xml:space="preserve"> </w:t>
      </w:r>
      <w:r>
        <w:t xml:space="preserve">database, up until reporting to the International Narcotics Control Board (INCB). The full</w:t>
      </w:r>
      <w:r>
        <w:t xml:space="preserve"> </w:t>
      </w:r>
      <w:r>
        <w:t xml:space="preserve">centralisation option advocates for a single gateway for communication with third</w:t>
      </w:r>
      <w:r>
        <w:t xml:space="preserve"> </w:t>
      </w:r>
      <w:r>
        <w:t xml:space="preserve">countries to ensure coherence with the UN Convention. The design would incorporate</w:t>
      </w:r>
      <w:r>
        <w:t xml:space="preserve"> </w:t>
      </w:r>
      <w:r>
        <w:t xml:space="preserve">functionalities that guide compliance with international initiatives, such as facilitating the</w:t>
      </w:r>
      <w:r>
        <w:t xml:space="preserve"> </w:t>
      </w:r>
      <w:r>
        <w:t xml:space="preserve">sending of pre-export notifications by leveraging the PEN Online system for efficient</w:t>
      </w:r>
      <w:r>
        <w:t xml:space="preserve"> </w:t>
      </w:r>
      <w:r>
        <w:t xml:space="preserve">communication of notifications. There is a very high likelihood that the centralised</w:t>
      </w:r>
      <w:r>
        <w:t xml:space="preserve"> </w:t>
      </w:r>
      <w:r>
        <w:t xml:space="preserve">approach would be more effective than the current baseline paper-based approach.</w:t>
      </w:r>
      <w:r>
        <w:t xml:space="preserve"> </w:t>
      </w:r>
      <w:r>
        <w:t xml:space="preserve">c) Hybrid: The hybrid option provides a flexible approach to accommodate the preference of</w:t>
      </w:r>
      <w:r>
        <w:t xml:space="preserve"> </w:t>
      </w:r>
      <w:r>
        <w:t xml:space="preserve">Member States that wish to create their own national solution or maintain the existing one.</w:t>
      </w:r>
      <w:r>
        <w:t xml:space="preserve"> </w:t>
      </w:r>
      <w:r>
        <w:t xml:space="preserve">For those Member States who opt to create their own national solution, data will have to</w:t>
      </w:r>
      <w:r>
        <w:t xml:space="preserve"> </w:t>
      </w:r>
      <w:r>
        <w:t xml:space="preserve">be replicated to the central database. This will allow a streamlined approach within the</w:t>
      </w:r>
      <w:r>
        <w:t xml:space="preserve"> </w:t>
      </w:r>
      <w:r>
        <w:t xml:space="preserve">customs environment. Developing national solutions require harmonisation of data</w:t>
      </w:r>
      <w:r>
        <w:t xml:space="preserve"> </w:t>
      </w:r>
      <w:r>
        <w:t xml:space="preserve">elements and compliance with future legislative requirements for national solutions. For</w:t>
      </w:r>
      <w:r>
        <w:t xml:space="preserve"> </w:t>
      </w:r>
      <w:r>
        <w:t xml:space="preserve">Member States without a dedicated national system, EOs will be able to use the graphic</w:t>
      </w:r>
      <w:r>
        <w:t xml:space="preserve"> </w:t>
      </w:r>
      <w:r>
        <w:t xml:space="preserve">user interface (GUI) of the EU-wide solution. Form D can be incorporated into the system</w:t>
      </w:r>
      <w:r>
        <w:t xml:space="preserve"> </w:t>
      </w:r>
      <w:r>
        <w:t xml:space="preserve">to capture the EO data for reporting and facilitate a similar end-to-end process from</w:t>
      </w:r>
      <w:r>
        <w:t xml:space="preserve"> </w:t>
      </w:r>
      <w:r>
        <w:t xml:space="preserve">collection of information up until reporting to the INCB, as mentioned above under the</w:t>
      </w:r>
      <w:r>
        <w:t xml:space="preserve"> </w:t>
      </w:r>
      <w:r>
        <w:t xml:space="preserve">centralised option.</w:t>
      </w:r>
      <w:r>
        <w:t xml:space="preserve"> </w:t>
      </w:r>
      <w:r>
        <w:t xml:space="preserve">3.2.COHERENCE</w:t>
      </w:r>
      <w:r>
        <w:t xml:space="preserve"> </w:t>
      </w:r>
      <w:r>
        <w:t xml:space="preserve">This criterion assesses whether the option is aligned with international policies and standards,</w:t>
      </w:r>
      <w:r>
        <w:t xml:space="preserve"> </w:t>
      </w:r>
      <w:r>
        <w:t xml:space="preserve">including the EU policy related to digitalisation of government services and interoperability,</w:t>
      </w:r>
      <w:r>
        <w:t xml:space="preserve"> </w:t>
      </w:r>
      <w:r>
        <w:t xml:space="preserve">EU customs policy, as well as international initiatives such as the exchange of information on</w:t>
      </w:r>
      <w:r>
        <w:t xml:space="preserve"> </w:t>
      </w:r>
      <w:r>
        <w:t xml:space="preserve">pre-export notification with third countries via the IT solution developed by the INCB in line</w:t>
      </w:r>
      <w:r>
        <w:t xml:space="preserve"> </w:t>
      </w:r>
      <w:r>
        <w:t xml:space="preserve">with the UN Convention.</w:t>
      </w:r>
      <w:r>
        <w:t xml:space="preserve"> </w:t>
      </w:r>
      <w:r>
        <w:t xml:space="preserve">a) Decentralised: The decentralised option does not support the quantity management</w:t>
      </w:r>
      <w:r>
        <w:t xml:space="preserve"> </w:t>
      </w:r>
      <w:r>
        <w:t xml:space="preserve">objectives of the EU SWE-C Digital Framework Policy, nor is it aligned with the long-</w:t>
      </w:r>
      <w:r>
        <w:t xml:space="preserve"> </w:t>
      </w:r>
      <w:r>
        <w:t xml:space="preserve">term customs policy related to the establishment of the EU Customs Data Hub. It also does</w:t>
      </w:r>
      <w:r>
        <w:t xml:space="preserve"> </w:t>
      </w:r>
      <w:r>
        <w:t xml:space="preserve">not improve information-sharing between customs and partner competent authorities</w:t>
      </w:r>
      <w:r>
        <w:t xml:space="preserve"> </w:t>
      </w:r>
      <w:r>
        <w:t xml:space="preserve">across Member States. It fails to fully implement the EU policy related to digitalisation of</w:t>
      </w:r>
      <w:r>
        <w:t xml:space="preserve"> </w:t>
      </w:r>
      <w:r>
        <w:t xml:space="preserve">government services and interoperability. In order to be aligned with international</w:t>
      </w:r>
      <w:r>
        <w:t xml:space="preserve"> </w:t>
      </w:r>
      <w:r>
        <w:t xml:space="preserve">reporting obligations Member States would have to send Pre-Export Notifications via the</w:t>
      </w:r>
      <w:r>
        <w:t xml:space="preserve"> </w:t>
      </w:r>
      <w:r>
        <w:t xml:space="preserve">PEN Online system manually.</w:t>
      </w:r>
      <w:r>
        <w:t xml:space="preserve"> </w:t>
      </w:r>
      <w:r>
        <w:t xml:space="preserve">b) Centralised: Overall, this option is aligned with the EU digital strategy to increase the</w:t>
      </w:r>
      <w:r>
        <w:t xml:space="preserve"> </w:t>
      </w:r>
      <w:r>
        <w:t xml:space="preserve">efficiency of public services by reducing the administrative and improving the quality of</w:t>
      </w:r>
      <w:r>
        <w:t xml:space="preserve"> </w:t>
      </w:r>
      <w:r>
        <w:t xml:space="preserve">communication with EOs. The centralised solution would be in adherence to the EU SWE-</w:t>
      </w:r>
      <w:r>
        <w:t xml:space="preserve"> </w:t>
      </w:r>
      <w:r>
        <w:t xml:space="preserve">C Digital Framework Policy and in line with the long-term strategy on the establishment</w:t>
      </w:r>
      <w:r>
        <w:t xml:space="preserve"> </w:t>
      </w:r>
      <w:r>
        <w:t xml:space="preserve">of the EU Customs Data Hub. Moreover, it would be easily accessible to candidate EU</w:t>
      </w:r>
      <w:r>
        <w:t xml:space="preserve"> </w:t>
      </w:r>
      <w:r>
        <w:t xml:space="preserve">countries, suggesting a smoother adoption process for countries seeking alignment with the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EU policy on digitalisation. The centralised option will align with international obligations</w:t>
      </w:r>
      <w:r>
        <w:t xml:space="preserve"> </w:t>
      </w:r>
      <w:r>
        <w:t xml:space="preserve">and following consultation with the INCB it would potentially make it possible to</w:t>
      </w:r>
      <w:r>
        <w:t xml:space="preserve"> </w:t>
      </w:r>
      <w:r>
        <w:t xml:space="preserve">implement a system-to-system interface for proceedings with PEN notifications</w:t>
      </w:r>
      <w:r>
        <w:t xml:space="preserve"> </w:t>
      </w:r>
      <w:r>
        <w:t xml:space="preserve">automatically.</w:t>
      </w:r>
      <w:r>
        <w:t xml:space="preserve"> </w:t>
      </w:r>
      <w:r>
        <w:t xml:space="preserve">c) Hybrid: The hybrid option would firstly need the system-to-system interface to allow</w:t>
      </w:r>
      <w:r>
        <w:t xml:space="preserve"> </w:t>
      </w:r>
      <w:r>
        <w:t xml:space="preserve">connection of national solutions with the central database. This option supports the EU</w:t>
      </w:r>
      <w:r>
        <w:t xml:space="preserve"> </w:t>
      </w:r>
      <w:r>
        <w:t xml:space="preserve">digital strategy and EU SWE-C Digital Framework Policy by ensuring quantity</w:t>
      </w:r>
      <w:r>
        <w:t xml:space="preserve"> </w:t>
      </w:r>
      <w:r>
        <w:t xml:space="preserve">management and streamlining the exchange of information between customs and non-</w:t>
      </w:r>
      <w:r>
        <w:t xml:space="preserve"> </w:t>
      </w:r>
      <w:r>
        <w:t xml:space="preserve">customs authorities, however, in the long-term it is not in line with the customs union</w:t>
      </w:r>
      <w:r>
        <w:t xml:space="preserve"> </w:t>
      </w:r>
      <w:r>
        <w:t xml:space="preserve">strategy related to the establishment of the EU Customs Data Hub. Implementation of</w:t>
      </w:r>
      <w:r>
        <w:t xml:space="preserve"> </w:t>
      </w:r>
      <w:r>
        <w:t xml:space="preserve">international obligations could be standardised via a single system-to-system interface</w:t>
      </w:r>
      <w:r>
        <w:t xml:space="preserve"> </w:t>
      </w:r>
      <w:r>
        <w:t xml:space="preserve">implemented for PEN notifications to align with the INCB.</w:t>
      </w:r>
      <w:r>
        <w:t xml:space="preserve"> </w:t>
      </w:r>
      <w:r>
        <w:t xml:space="preserve">3.3.PROPORTIONALITY</w:t>
      </w:r>
      <w:r>
        <w:t xml:space="preserve"> </w:t>
      </w:r>
      <w:r>
        <w:t xml:space="preserve">This criterion assesses to what extent the future digitalisation can leverage existing IT solutions</w:t>
      </w:r>
      <w:r>
        <w:t xml:space="preserve"> </w:t>
      </w:r>
      <w:r>
        <w:t xml:space="preserve">and infrastructure.</w:t>
      </w:r>
      <w:r>
        <w:t xml:space="preserve"> </w:t>
      </w:r>
      <w:r>
        <w:t xml:space="preserve">a) Decentralised: For some Member States the obligation to develop an IT solution is</w:t>
      </w:r>
      <w:r>
        <w:t xml:space="preserve"> </w:t>
      </w:r>
      <w:r>
        <w:t xml:space="preserve">disproportionate due to the low number of permissions that its competent authority has per</w:t>
      </w:r>
      <w:r>
        <w:t xml:space="preserve"> </w:t>
      </w:r>
      <w:r>
        <w:t xml:space="preserve">year39 and the responsibility to keep systems fully functional at all times. In addition to</w:t>
      </w:r>
      <w:r>
        <w:t xml:space="preserve"> </w:t>
      </w:r>
      <w:r>
        <w:t xml:space="preserve">development of the solution, the possibility to check authenticity and validity of issued</w:t>
      </w:r>
      <w:r>
        <w:t xml:space="preserve"> </w:t>
      </w:r>
      <w:r>
        <w:t xml:space="preserve">permissions via the national system should be developed by Member States. A</w:t>
      </w:r>
      <w:r>
        <w:t xml:space="preserve"> </w:t>
      </w:r>
      <w:r>
        <w:t xml:space="preserve">decentralised option will put pressure on national authorities to collaborate for</w:t>
      </w:r>
      <w:r>
        <w:t xml:space="preserve"> </w:t>
      </w:r>
      <w:r>
        <w:t xml:space="preserve">development purposes in an attempt to alleviate the disproportionate burden.</w:t>
      </w:r>
      <w:r>
        <w:br/>
      </w:r>
      <w:r>
        <w:t xml:space="preserve">b) Centralised: This option will centralise the entire e-licensing platform and make use of</w:t>
      </w:r>
      <w:r>
        <w:t xml:space="preserve"> </w:t>
      </w:r>
      <w:r>
        <w:t xml:space="preserve">the existing EU SWE-C environment architecture and infrastructure, thereby reassuring the</w:t>
      </w:r>
      <w:r>
        <w:t xml:space="preserve"> </w:t>
      </w:r>
      <w:r>
        <w:t xml:space="preserve">EU policy objectives related to interoperability. It is also considered to be optimal because</w:t>
      </w:r>
      <w:r>
        <w:t xml:space="preserve"> </w:t>
      </w:r>
      <w:r>
        <w:t xml:space="preserve">of the potential reuse of existing IT solutions with similar functionalities to the licence</w:t>
      </w:r>
      <w:r>
        <w:t xml:space="preserve"> </w:t>
      </w:r>
      <w:r>
        <w:t xml:space="preserve">management that exists in the EU today. This option is geared towards eliminating the</w:t>
      </w:r>
      <w:r>
        <w:t xml:space="preserve"> </w:t>
      </w:r>
      <w:r>
        <w:t xml:space="preserve">burden of paper-based processes and reducing the workload on Member States in terms of</w:t>
      </w:r>
      <w:r>
        <w:t xml:space="preserve"> </w:t>
      </w:r>
      <w:r>
        <w:t xml:space="preserve">development, implementation, and maintenance responsibilities. An element of concern is</w:t>
      </w:r>
      <w:r>
        <w:t xml:space="preserve"> </w:t>
      </w:r>
      <w:r>
        <w:t xml:space="preserve">the vulnerability to cyber-attacks or system collapse, which could compromise data</w:t>
      </w:r>
      <w:r>
        <w:t xml:space="preserve"> </w:t>
      </w:r>
      <w:r>
        <w:t xml:space="preserve">protection. Consideration should be given to the risk of system redundancy by 2030,</w:t>
      </w:r>
      <w:r>
        <w:t xml:space="preserve"> </w:t>
      </w:r>
      <w:r>
        <w:t xml:space="preserve">attributed to the rapid speed of digital innovation and emergence of new technologies.</w:t>
      </w:r>
      <w:r>
        <w:t xml:space="preserve"> </w:t>
      </w:r>
      <w:r>
        <w:t xml:space="preserve">c) Hybrid: Some Member States (e.g. Portugal, Netherland, Belgium) have already</w:t>
      </w:r>
      <w:r>
        <w:t xml:space="preserve"> </w:t>
      </w:r>
      <w:r>
        <w:t xml:space="preserve">developed national systems. The hybrid option offers flexibility to those Member States</w:t>
      </w:r>
      <w:r>
        <w:t xml:space="preserve"> </w:t>
      </w:r>
      <w:r>
        <w:t xml:space="preserve">who prefer to continue using their existing national systems, however, those Member States</w:t>
      </w:r>
      <w:r>
        <w:t xml:space="preserve"> </w:t>
      </w:r>
      <w:r>
        <w:t xml:space="preserve">would have to create a new interface for replication of data to the central database and</w:t>
      </w:r>
      <w:r>
        <w:t xml:space="preserve"> </w:t>
      </w:r>
      <w:r>
        <w:t xml:space="preserve">upgrade national solutions. At the same time, the disproportionate burden for Member</w:t>
      </w:r>
      <w:r>
        <w:t xml:space="preserve"> </w:t>
      </w:r>
      <w:r>
        <w:t xml:space="preserve">States who still work on a paper-based approach will be eliminated by the availability of</w:t>
      </w:r>
    </w:p>
    <w:p>
      <w:pPr>
        <w:pStyle w:val="BodyText"/>
      </w:pPr>
      <w:r>
        <w:t xml:space="preserve">39 For additional information please see the outcome of survey on current drug precursors formalities in preparation for digitalisation of Oct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the centralised user interface. COM will leverage the existing infrastructure, including</w:t>
      </w:r>
      <w:r>
        <w:t xml:space="preserve"> </w:t>
      </w:r>
      <w:r>
        <w:t xml:space="preserve">infrastructure related to EU SWE-C Digital Framework Policy, with the exception to build</w:t>
      </w:r>
      <w:r>
        <w:t xml:space="preserve"> </w:t>
      </w:r>
      <w:r>
        <w:t xml:space="preserve">an interface for connection with Member States using national IT solutions.</w:t>
      </w:r>
      <w:r>
        <w:t xml:space="preserve"> </w:t>
      </w:r>
      <w:r>
        <w:t xml:space="preserve">3.4.FEASIBILITY</w:t>
      </w:r>
      <w:r>
        <w:t xml:space="preserve"> </w:t>
      </w:r>
      <w:r>
        <w:t xml:space="preserve">This criterion assesses the complexity to implement the digitalisation option relative to the</w:t>
      </w:r>
      <w:r>
        <w:t xml:space="preserve"> </w:t>
      </w:r>
      <w:r>
        <w:t xml:space="preserve">relevance of the option to Member States and EOs.</w:t>
      </w:r>
      <w:r>
        <w:t xml:space="preserve"> </w:t>
      </w:r>
      <w:r>
        <w:t xml:space="preserve">a) Decentralised: The relevance of implementing this option is low for Member States who</w:t>
      </w:r>
      <w:r>
        <w:t xml:space="preserve"> </w:t>
      </w:r>
      <w:r>
        <w:t xml:space="preserve">have very low volumetrics40. For such Member States the resource allocation to develop a</w:t>
      </w:r>
      <w:r>
        <w:t xml:space="preserve"> </w:t>
      </w:r>
      <w:r>
        <w:t xml:space="preserve">national IT solution and streamline processes with other Member States renders the</w:t>
      </w:r>
      <w:r>
        <w:t xml:space="preserve"> </w:t>
      </w:r>
      <w:r>
        <w:t xml:space="preserve">feasibility of a decentralised option as very low.</w:t>
      </w:r>
      <w:r>
        <w:br/>
      </w:r>
      <w:r>
        <w:t xml:space="preserve">b) Centralised: The centralised option is highly relevant for both competent authorities and</w:t>
      </w:r>
      <w:r>
        <w:t xml:space="preserve"> </w:t>
      </w:r>
      <w:r>
        <w:t xml:space="preserve">EOs, providing a streamlined process through a single interface to support the management</w:t>
      </w:r>
      <w:r>
        <w:t xml:space="preserve"> </w:t>
      </w:r>
      <w:r>
        <w:t xml:space="preserve">and issuance of permissions required by EOs. The B2G41 initiatives foreseen in the Single</w:t>
      </w:r>
      <w:r>
        <w:t xml:space="preserve"> </w:t>
      </w:r>
      <w:r>
        <w:t xml:space="preserve">Window Regulation related to the single submission of data elements necessary for</w:t>
      </w:r>
      <w:r>
        <w:t xml:space="preserve"> </w:t>
      </w:r>
      <w:r>
        <w:t xml:space="preserve">permissions and customs declarations, the so-called principle of once only submission</w:t>
      </w:r>
      <w:r>
        <w:t xml:space="preserve"> </w:t>
      </w:r>
      <w:r>
        <w:t xml:space="preserve">through a single interface of National Single Window, make the centralised solution</w:t>
      </w:r>
      <w:r>
        <w:t xml:space="preserve"> </w:t>
      </w:r>
      <w:r>
        <w:t xml:space="preserve">optimal for EOs.</w:t>
      </w:r>
      <w:r>
        <w:br/>
      </w:r>
      <w:r>
        <w:t xml:space="preserve">c) Hybrid: Given that the fully centralised solution will be available to all Member States,</w:t>
      </w:r>
      <w:r>
        <w:t xml:space="preserve"> </w:t>
      </w:r>
      <w:r>
        <w:t xml:space="preserve">this option is more relevant and moderately feasible to those individual Member States who</w:t>
      </w:r>
      <w:r>
        <w:t xml:space="preserve"> </w:t>
      </w:r>
      <w:r>
        <w:t xml:space="preserve">wish to continue using their national IT solutions.</w:t>
      </w:r>
      <w:r>
        <w:t xml:space="preserve"> </w:t>
      </w:r>
      <w:r>
        <w:t xml:space="preserve">3.5.CONCLUSION</w:t>
      </w:r>
      <w:r>
        <w:t xml:space="preserve"> </w:t>
      </w:r>
      <w:r>
        <w:t xml:space="preserve">This analysis of the options for digitalisation of the EU Drug Precursors formalities focused on</w:t>
      </w:r>
      <w:r>
        <w:t xml:space="preserve"> </w:t>
      </w:r>
      <w:r>
        <w:t xml:space="preserve">three options, decentralised, fully centralised, and hybrid. Each option was considered in</w:t>
      </w:r>
      <w:r>
        <w:t xml:space="preserve"> </w:t>
      </w:r>
      <w:r>
        <w:t xml:space="preserve">collaboration with experts from the Project Group based on the identified policy options.</w:t>
      </w:r>
      <w:r>
        <w:t xml:space="preserve"> </w:t>
      </w:r>
      <w:r>
        <w:t xml:space="preserve">The decentralised option under Policy Option #1 offers for Member States flexibility, however,</w:t>
      </w:r>
      <w:r>
        <w:t xml:space="preserve"> </w:t>
      </w:r>
      <w:r>
        <w:t xml:space="preserve">it introduces disproportionate complexities in cross-border validation and does not align with</w:t>
      </w:r>
      <w:r>
        <w:t xml:space="preserve"> </w:t>
      </w:r>
      <w:r>
        <w:t xml:space="preserve">the EU digital policies or long-term customs policy related to the establishment of the EU</w:t>
      </w:r>
      <w:r>
        <w:t xml:space="preserve"> </w:t>
      </w:r>
      <w:r>
        <w:t xml:space="preserve">Customs Data Hub. For implementation of measures 8 of Policy Option #2 and #3 the</w:t>
      </w:r>
      <w:r>
        <w:t xml:space="preserve"> </w:t>
      </w:r>
      <w:r>
        <w:t xml:space="preserve">centralised option appears to be the most optimal solution, aligning with the EU policies and</w:t>
      </w:r>
      <w:r>
        <w:t xml:space="preserve"> </w:t>
      </w:r>
      <w:r>
        <w:t xml:space="preserve">reducing administrative burdens for EOs and competent authorities. Full centralisation would</w:t>
      </w:r>
      <w:r>
        <w:t xml:space="preserve"> </w:t>
      </w:r>
      <w:r>
        <w:t xml:space="preserve">allow the implementation of G2G and B2G schemes of the EU SWE-C Digital Framework</w:t>
      </w:r>
      <w:r>
        <w:t xml:space="preserve"> </w:t>
      </w:r>
      <w:r>
        <w:t xml:space="preserve">Policy. It would also accommodate the long-term strategy of customs policy and be consistent</w:t>
      </w:r>
      <w:r>
        <w:t xml:space="preserve"> </w:t>
      </w:r>
      <w:r>
        <w:t xml:space="preserve">with the EU digital policy. The hybrid option gives flexibility, but introduces an additional layer</w:t>
      </w:r>
      <w:r>
        <w:t xml:space="preserve"> </w:t>
      </w:r>
      <w:r>
        <w:t xml:space="preserve">of complexity by having to create a system-to-system interface for the replication of data from</w:t>
      </w:r>
      <w:r>
        <w:t xml:space="preserve"> </w:t>
      </w:r>
      <w:r>
        <w:t xml:space="preserve">national systems to the central database. In comparison with the preferred full centralisation</w:t>
      </w:r>
    </w:p>
    <w:p>
      <w:pPr>
        <w:pStyle w:val="BodyText"/>
      </w:pPr>
      <w:r>
        <w:t xml:space="preserve">40 For additional information please see the information provided by MSs to question 6 of the Survey on current drug precursors formalities in</w:t>
      </w:r>
      <w:r>
        <w:t xml:space="preserve"> </w:t>
      </w:r>
      <w:r>
        <w:t xml:space="preserve">preparation for digitalisation of Oct 2022.</w:t>
      </w:r>
      <w:r>
        <w:t xml:space="preserve"> </w:t>
      </w:r>
      <w:r>
        <w:t xml:space="preserve">41 Regulation (EU) 2022/2399 of the European Parliament and of the Council of 23 November 2022 establishing the European Union Single</w:t>
      </w:r>
      <w:r>
        <w:t xml:space="preserve"> </w:t>
      </w:r>
      <w:r>
        <w:t xml:space="preserve">Window Environment for Customs and amending Regulation (EU) 295/2013.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option, the hybrid option would have difficulties being consistent with the long-term strategy</w:t>
      </w:r>
      <w:r>
        <w:t xml:space="preserve"> </w:t>
      </w:r>
      <w:r>
        <w:t xml:space="preserve">on customs union establishing Customs Data Hub as a centralised solution.</w:t>
      </w:r>
      <w:r>
        <w:t xml:space="preserve"> </w:t>
      </w:r>
      <w:r>
        <w:t xml:space="preserve">From a cost-efficiency perspective, a decentralised option bears by design higher costs on</w:t>
      </w:r>
      <w:r>
        <w:t xml:space="preserve"> </w:t>
      </w:r>
      <w:r>
        <w:t xml:space="preserve">Member States overall. Due to a potential 27 duplications, the cost and effort to develop the</w:t>
      </w:r>
      <w:r>
        <w:t xml:space="preserve"> </w:t>
      </w:r>
      <w:r>
        <w:t xml:space="preserve">decentralised option will become disproportionate in comparison with other options. When</w:t>
      </w:r>
      <w:r>
        <w:t xml:space="preserve"> </w:t>
      </w:r>
      <w:r>
        <w:t xml:space="preserve">considering the financial implications, the centralised option appears to be the most cost-</w:t>
      </w:r>
      <w:r>
        <w:t xml:space="preserve"> </w:t>
      </w:r>
      <w:r>
        <w:t xml:space="preserve">efficient for the Union. The hybrid option would hold by design higher implementation costs</w:t>
      </w:r>
      <w:r>
        <w:t xml:space="preserve"> </w:t>
      </w:r>
      <w:r>
        <w:t xml:space="preserve">for both COM and Member States.</w:t>
      </w:r>
      <w:r>
        <w:t xml:space="preserve"> </w:t>
      </w:r>
      <w:r>
        <w:t xml:space="preserve">4. COSTING</w:t>
      </w:r>
      <w:r>
        <w:t xml:space="preserve"> </w:t>
      </w:r>
      <w:r>
        <w:t xml:space="preserve">In the remainder of the current MFF period (2026-2027), the Commission has estimated a total</w:t>
      </w:r>
      <w:r>
        <w:t xml:space="preserve"> </w:t>
      </w:r>
      <w:r>
        <w:t xml:space="preserve">cost of about EUR 0.9 million to be spent on this initiative to cover for its pre-inception</w:t>
      </w:r>
      <w:r>
        <w:t xml:space="preserve"> </w:t>
      </w:r>
      <w:r>
        <w:t xml:space="preserve">activities, business analysis, digitalisation policy and business architecture input during the</w:t>
      </w:r>
      <w:r>
        <w:t xml:space="preserve"> </w:t>
      </w:r>
      <w:r>
        <w:t xml:space="preserve">impact assessment, coordination and work with external stakeholders (notably the Project</w:t>
      </w:r>
      <w:r>
        <w:t xml:space="preserve"> </w:t>
      </w:r>
      <w:r>
        <w:t xml:space="preserve">Group with MS), digitalisation legal input during the preparation of internal COM legal</w:t>
      </w:r>
      <w:r>
        <w:t xml:space="preserve"> </w:t>
      </w:r>
      <w:r>
        <w:t xml:space="preserve">proposals, cooperation during the co-legislation phase and preparation for the next phases to</w:t>
      </w:r>
      <w:r>
        <w:t xml:space="preserve"> </w:t>
      </w:r>
      <w:r>
        <w:t xml:space="preserve">build the solutions (e.g. COM IT Governance). The core digitalisation work will occur under</w:t>
      </w:r>
      <w:r>
        <w:t xml:space="preserve"> </w:t>
      </w:r>
      <w:r>
        <w:t xml:space="preserve">the next MFF period (from 2028), as the updated Regulation(s) on Drug Precursors are expected</w:t>
      </w:r>
      <w:r>
        <w:t xml:space="preserve"> </w:t>
      </w:r>
      <w:r>
        <w:t xml:space="preserve">to come into force by mid to late 2027 (Impact Assessment presented at the Regulatory Scrutiny</w:t>
      </w:r>
      <w:r>
        <w:t xml:space="preserve"> </w:t>
      </w:r>
      <w:r>
        <w:t xml:space="preserve">Board in Jan. 2025, possible adoption by the College by Q2 2025, followed by at least 18</w:t>
      </w:r>
      <w:r>
        <w:t xml:space="preserve"> </w:t>
      </w:r>
      <w:r>
        <w:t xml:space="preserve">months of co-legislation). Based on experience from other e-licensing platforms and their</w:t>
      </w:r>
      <w:r>
        <w:t xml:space="preserve"> </w:t>
      </w:r>
      <w:r>
        <w:t xml:space="preserve">linkage to national customs via the EU Customs Single Window, the Commission assesses the</w:t>
      </w:r>
      <w:r>
        <w:t xml:space="preserve"> </w:t>
      </w:r>
      <w:r>
        <w:t xml:space="preserve">COM costs for such approach under the next MFF period (from 2028 until entry into operations</w:t>
      </w:r>
      <w:r>
        <w:t xml:space="preserve"> </w:t>
      </w:r>
      <w:r>
        <w:t xml:space="preserve">of the solution by early 2033) to be in range from EUR 17 to 25 million. The costs are based</w:t>
      </w:r>
      <w:r>
        <w:t xml:space="preserve"> </w:t>
      </w:r>
      <w:r>
        <w:t xml:space="preserve">on the range of costs for the future digital solution from lower cost based on re-use to full</w:t>
      </w:r>
      <w:r>
        <w:t xml:space="preserve"> </w:t>
      </w:r>
      <w:r>
        <w:t xml:space="preserve">scratch development. The recurring yearly maintenance and operational costs from 2033</w:t>
      </w:r>
      <w:r>
        <w:t xml:space="preserve"> </w:t>
      </w:r>
      <w:r>
        <w:t xml:space="preserve">onwards would total EUR 2.3 million. The maintenance covers corrective maintenance, whilst</w:t>
      </w:r>
      <w:r>
        <w:t xml:space="preserve"> </w:t>
      </w:r>
      <w:r>
        <w:t xml:space="preserve">evolutions should be costed in due time based on scope. This would include the link to the</w:t>
      </w:r>
      <w:r>
        <w:t xml:space="preserve"> </w:t>
      </w:r>
      <w:r>
        <w:t xml:space="preserve">international UN relevant system. This approach would build on the Government-to-</w:t>
      </w:r>
      <w:r>
        <w:t xml:space="preserve"> </w:t>
      </w:r>
      <w:r>
        <w:t xml:space="preserve">Government features of the EU Customs Single Window, meaning the Business-to-</w:t>
      </w:r>
      <w:r>
        <w:t xml:space="preserve"> </w:t>
      </w:r>
      <w:r>
        <w:t xml:space="preserve">Government facilitation if deemed feasible is not factored in these costs for the moment. 1 Form</w:t>
      </w:r>
      <w:r>
        <w:t xml:space="preserve"> </w:t>
      </w:r>
      <w:r>
        <w:t xml:space="preserve">D: report from EU and EU MS to UN on transactions on Drug Precursors 3 The costs will differ</w:t>
      </w:r>
      <w:r>
        <w:t xml:space="preserve"> </w:t>
      </w:r>
      <w:r>
        <w:t xml:space="preserve">depending on the alternative for building the electronic system for digitalisation of Drug</w:t>
      </w:r>
      <w:r>
        <w:t xml:space="preserve"> </w:t>
      </w:r>
      <w:r>
        <w:t xml:space="preserve">Precursors domain, delivery model and solution provider, which will be discussed and decided</w:t>
      </w:r>
      <w:r>
        <w:t xml:space="preserve"> </w:t>
      </w:r>
      <w:r>
        <w:t xml:space="preserve">by Commission services Digital Steering Committee (previously ITSC), based on Business</w:t>
      </w:r>
      <w:r>
        <w:t xml:space="preserve"> </w:t>
      </w:r>
      <w:r>
        <w:t xml:space="preserve">Case to be composed at the later stage. This decision will be supported by approval of Business</w:t>
      </w:r>
      <w:r>
        <w:t xml:space="preserve"> </w:t>
      </w:r>
      <w:r>
        <w:t xml:space="preserve">Case describing the developing alternative by IT Commission Board (ITCB). The exact cost</w:t>
      </w:r>
      <w:r>
        <w:t xml:space="preserve"> </w:t>
      </w:r>
      <w:r>
        <w:t xml:space="preserve">will depend on the reusability of the features and functionalities and the alternative approved</w:t>
      </w:r>
      <w:r>
        <w:t xml:space="preserve"> </w:t>
      </w:r>
      <w:r>
        <w:t xml:space="preserve">by ITCB, where the representatives of IT Units of Directorates are participating. At this stage</w:t>
      </w:r>
      <w:r>
        <w:t xml:space="preserve"> </w:t>
      </w:r>
      <w:r>
        <w:t xml:space="preserve">we cannot provide more costing elements. We cannot go lower than 70 % of most expensive</w:t>
      </w:r>
      <w:r>
        <w:t xml:space="preserve"> </w:t>
      </w:r>
      <w:r>
        <w:t xml:space="preserve">scenario as we have no assurance of the future delivery model. At the moment there is no</w:t>
      </w:r>
      <w:r>
        <w:t xml:space="preserve"> </w:t>
      </w:r>
      <w:r>
        <w:t xml:space="preserve">certainty that the Partner DGs having the component suitable for reuse will accept the</w:t>
      </w:r>
      <w:r>
        <w:t xml:space="preserve"> </w:t>
      </w:r>
      <w:r>
        <w:t xml:space="preserve">suggestion to be solution provider and there is a possibility that the above-mentioned DG can</w:t>
      </w:r>
      <w:r>
        <w:t xml:space="preserve"> </w:t>
      </w:r>
      <w:r>
        <w:t xml:space="preserve">push back on use of their platforms for new e-licensing domains.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5. BREAKDOWN OF THE COST ESTIMATE FOR A CENTRALISED SOLUTION</w:t>
      </w:r>
      <w:r>
        <w:t xml:space="preserve"> </w:t>
      </w:r>
      <w:r>
        <w:t xml:space="preserve">A. Scenario when building a new central drug precursors database from scratch.</w:t>
      </w:r>
      <w:r>
        <w:t xml:space="preserve"> </w:t>
      </w:r>
      <w:r>
        <w:t xml:space="preserve">TCO from scratch EUR 25 million</w:t>
      </w:r>
    </w:p>
    <w:p>
      <w:pPr>
        <w:pStyle w:val="BodyText"/>
      </w:pPr>
      <w:r>
        <w:t xml:space="preserve">Period/EUR</w:t>
      </w:r>
      <w:r>
        <w:t xml:space="preserve"> </w:t>
      </w:r>
      <w:r>
        <w:t xml:space="preserve">Current</w:t>
      </w:r>
      <w:r>
        <w:t xml:space="preserve"> </w:t>
      </w:r>
      <w:r>
        <w:t xml:space="preserve">MFF</w:t>
      </w:r>
      <w:r>
        <w:t xml:space="preserve"> </w:t>
      </w:r>
      <w:r>
        <w:t xml:space="preserve">(2024-</w:t>
      </w:r>
      <w:r>
        <w:t xml:space="preserve"> </w:t>
      </w:r>
      <w:r>
        <w:t xml:space="preserve">2027)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Total</w:t>
      </w:r>
      <w:r>
        <w:t xml:space="preserve"> </w:t>
      </w:r>
      <w:r>
        <w:t xml:space="preserve">pre-inception, impact assessment, legislation</w:t>
      </w:r>
      <w:r>
        <w:t xml:space="preserve"> </w:t>
      </w:r>
      <w:r>
        <w:t xml:space="preserve">1 100 000</w:t>
      </w:r>
    </w:p>
    <w:p>
      <w:pPr>
        <w:pStyle w:val="BodyText"/>
      </w:pPr>
      <w:r>
        <w:t xml:space="preserve">Inception, business analysis</w:t>
      </w:r>
    </w:p>
    <w:p>
      <w:pPr>
        <w:pStyle w:val="BodyText"/>
      </w:pPr>
      <w:r>
        <w:t xml:space="preserve">1 500 000</w:t>
      </w:r>
      <w:r>
        <w:t xml:space="preserve"> </w:t>
      </w:r>
      <w:r>
        <w:t xml:space="preserve">1 500 000</w:t>
      </w:r>
      <w:r>
        <w:t xml:space="preserve"> </w:t>
      </w:r>
      <w:r>
        <w:t xml:space="preserve">500 000</w:t>
      </w:r>
      <w:r>
        <w:t xml:space="preserve"> </w:t>
      </w:r>
      <w:r>
        <w:t xml:space="preserve">500 000</w:t>
      </w:r>
    </w:p>
    <w:p>
      <w:pPr>
        <w:pStyle w:val="BodyText"/>
      </w:pPr>
      <w:r>
        <w:t xml:space="preserve">Technical specifications, IT construction</w:t>
      </w:r>
    </w:p>
    <w:p>
      <w:pPr>
        <w:pStyle w:val="BodyText"/>
      </w:pPr>
      <w:r>
        <w:t xml:space="preserve">6 000 000</w:t>
      </w:r>
      <w:r>
        <w:t xml:space="preserve"> </w:t>
      </w:r>
      <w:r>
        <w:t xml:space="preserve">6 000 000</w:t>
      </w:r>
      <w:r>
        <w:t xml:space="preserve"> </w:t>
      </w:r>
      <w:r>
        <w:t xml:space="preserve">1 900 000</w:t>
      </w:r>
    </w:p>
    <w:p>
      <w:pPr>
        <w:pStyle w:val="BodyText"/>
      </w:pPr>
      <w:r>
        <w:t xml:space="preserve">Infrastructure, deployment, testing and</w:t>
      </w:r>
      <w:r>
        <w:t xml:space="preserve"> </w:t>
      </w:r>
      <w:r>
        <w:t xml:space="preserve">operations</w:t>
      </w:r>
    </w:p>
    <w:p>
      <w:pPr>
        <w:pStyle w:val="BodyText"/>
      </w:pPr>
      <w:r>
        <w:t xml:space="preserve">3 000 000</w:t>
      </w:r>
      <w:r>
        <w:t xml:space="preserve"> </w:t>
      </w:r>
      <w:r>
        <w:t xml:space="preserve">2 000 000</w:t>
      </w:r>
      <w:r>
        <w:t xml:space="preserve"> </w:t>
      </w:r>
      <w:r>
        <w:t xml:space="preserve">1 000 000</w:t>
      </w:r>
    </w:p>
    <w:p>
      <w:pPr>
        <w:pStyle w:val="BodyText"/>
      </w:pPr>
      <w:r>
        <w:t xml:space="preserve">1 100 000</w:t>
      </w:r>
      <w:r>
        <w:t xml:space="preserve"> </w:t>
      </w:r>
      <w:r>
        <w:t xml:space="preserve">1 500 000</w:t>
      </w:r>
      <w:r>
        <w:t xml:space="preserve"> </w:t>
      </w:r>
      <w:r>
        <w:t xml:space="preserve">10 500 000</w:t>
      </w:r>
      <w:r>
        <w:t xml:space="preserve"> </w:t>
      </w:r>
      <w:r>
        <w:t xml:space="preserve">8 500 000</w:t>
      </w:r>
      <w:r>
        <w:t xml:space="preserve"> </w:t>
      </w:r>
      <w:r>
        <w:t xml:space="preserve">3 400 000</w:t>
      </w:r>
      <w:r>
        <w:t xml:space="preserve"> </w:t>
      </w:r>
      <w:r>
        <w:t xml:space="preserve">25 000 000</w:t>
      </w:r>
    </w:p>
    <w:p>
      <w:pPr>
        <w:pStyle w:val="BodyText"/>
      </w:pPr>
      <w:r>
        <w:t xml:space="preserve">B. Scenario when upgrading the current European drug precursors database or extending</w:t>
      </w:r>
      <w:r>
        <w:t xml:space="preserve"> </w:t>
      </w:r>
      <w:r>
        <w:t xml:space="preserve">an existing e-Licensing system.</w:t>
      </w:r>
      <w:r>
        <w:t xml:space="preserve"> </w:t>
      </w:r>
      <w:r>
        <w:t xml:space="preserve">TCO with re-use EUR 17 million</w:t>
      </w:r>
      <w:r>
        <w:t xml:space="preserve"> </w:t>
      </w:r>
      <w:r>
        <w:t xml:space="preserve">Period/EUR</w:t>
      </w:r>
      <w:r>
        <w:t xml:space="preserve"> </w:t>
      </w:r>
      <w:r>
        <w:t xml:space="preserve">Current</w:t>
      </w:r>
      <w:r>
        <w:t xml:space="preserve"> </w:t>
      </w:r>
      <w:r>
        <w:t xml:space="preserve">MFF</w:t>
      </w:r>
      <w:r>
        <w:t xml:space="preserve"> </w:t>
      </w:r>
      <w:r>
        <w:t xml:space="preserve">(2024-</w:t>
      </w:r>
      <w:r>
        <w:t xml:space="preserve"> </w:t>
      </w:r>
      <w:r>
        <w:t xml:space="preserve">2027)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Total</w:t>
      </w:r>
      <w:r>
        <w:t xml:space="preserve"> </w:t>
      </w:r>
      <w:r>
        <w:t xml:space="preserve">pre-inception, impact assessment, legislation</w:t>
      </w:r>
      <w:r>
        <w:t xml:space="preserve"> </w:t>
      </w:r>
      <w:r>
        <w:t xml:space="preserve">1 100 000</w:t>
      </w:r>
    </w:p>
    <w:p>
      <w:pPr>
        <w:pStyle w:val="BodyText"/>
      </w:pPr>
      <w:r>
        <w:t xml:space="preserve">Inception, business analysis</w:t>
      </w:r>
    </w:p>
    <w:p>
      <w:pPr>
        <w:pStyle w:val="BodyText"/>
      </w:pPr>
      <w:r>
        <w:t xml:space="preserve">1 050 000</w:t>
      </w:r>
      <w:r>
        <w:t xml:space="preserve"> </w:t>
      </w:r>
      <w:r>
        <w:t xml:space="preserve">1 050 000</w:t>
      </w:r>
      <w:r>
        <w:t xml:space="preserve"> </w:t>
      </w:r>
      <w:r>
        <w:t xml:space="preserve">350 000</w:t>
      </w:r>
      <w:r>
        <w:t xml:space="preserve"> </w:t>
      </w:r>
      <w:r>
        <w:t xml:space="preserve">350 000</w:t>
      </w:r>
    </w:p>
    <w:p>
      <w:pPr>
        <w:pStyle w:val="BodyText"/>
      </w:pPr>
      <w:r>
        <w:t xml:space="preserve">Technical specifications, IT construction</w:t>
      </w:r>
    </w:p>
    <w:p>
      <w:pPr>
        <w:pStyle w:val="BodyText"/>
      </w:pPr>
      <w:r>
        <w:t xml:space="preserve">4 200 000</w:t>
      </w:r>
      <w:r>
        <w:t xml:space="preserve"> </w:t>
      </w:r>
      <w:r>
        <w:t xml:space="preserve">4 200 000</w:t>
      </w:r>
      <w:r>
        <w:t xml:space="preserve"> </w:t>
      </w:r>
      <w:r>
        <w:t xml:space="preserve">1 330 000</w:t>
      </w:r>
    </w:p>
    <w:p>
      <w:pPr>
        <w:pStyle w:val="BodyText"/>
      </w:pPr>
      <w:r>
        <w:t xml:space="preserve">Infrastructure, deployment, testing and</w:t>
      </w:r>
      <w:r>
        <w:t xml:space="preserve"> </w:t>
      </w:r>
      <w:r>
        <w:t xml:space="preserve">operations</w:t>
      </w:r>
    </w:p>
    <w:p>
      <w:pPr>
        <w:pStyle w:val="BodyText"/>
      </w:pPr>
      <w:r>
        <w:t xml:space="preserve">2 100 000</w:t>
      </w:r>
      <w:r>
        <w:t xml:space="preserve"> </w:t>
      </w:r>
      <w:r>
        <w:t xml:space="preserve">1 400 000</w:t>
      </w:r>
      <w:r>
        <w:t xml:space="preserve"> </w:t>
      </w:r>
      <w:r>
        <w:t xml:space="preserve">700 000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1 100 000</w:t>
      </w:r>
      <w:r>
        <w:t xml:space="preserve"> </w:t>
      </w:r>
      <w:r>
        <w:t xml:space="preserve">1 050 000</w:t>
      </w:r>
      <w:r>
        <w:t xml:space="preserve"> </w:t>
      </w:r>
      <w:r>
        <w:t xml:space="preserve">7 350 000</w:t>
      </w:r>
      <w:r>
        <w:t xml:space="preserve"> </w:t>
      </w:r>
      <w:r>
        <w:t xml:space="preserve">5 950 000</w:t>
      </w:r>
      <w:r>
        <w:t xml:space="preserve"> </w:t>
      </w:r>
      <w:r>
        <w:t xml:space="preserve">2 380 000</w:t>
      </w:r>
      <w:r>
        <w:t xml:space="preserve"> </w:t>
      </w:r>
      <w:r>
        <w:t xml:space="preserve">17 830 000</w:t>
      </w:r>
    </w:p>
    <w:p>
      <w:pPr>
        <w:pStyle w:val="Compact"/>
        <w:numPr>
          <w:ilvl w:val="0"/>
          <w:numId w:val="1017"/>
        </w:numPr>
      </w:pPr>
      <w:r>
        <w:t xml:space="preserve">FALL-BACK SOLUTION – INTEGRATION OF THE DRUG PRECURSORS FORMALITIES IN</w:t>
      </w:r>
      <w:r>
        <w:t xml:space="preserve"> </w:t>
      </w:r>
      <w:r>
        <w:t xml:space="preserve">THE EU CUSTOMS DATA HUB</w:t>
      </w:r>
      <w:r>
        <w:t xml:space="preserve"> </w:t>
      </w:r>
      <w:r>
        <w:t xml:space="preserve">Taking into account the budgetary constraints and the interplay with the EU Customs Reform</w:t>
      </w:r>
      <w:r>
        <w:t xml:space="preserve"> </w:t>
      </w:r>
      <w:r>
        <w:t xml:space="preserve">establishing a new EU Customs Authority (EUCA) that will run an EU Customs Data Hub,</w:t>
      </w:r>
      <w:r>
        <w:t xml:space="preserve"> </w:t>
      </w:r>
      <w:r>
        <w:t xml:space="preserve">following fall-back scenario may be envisaged subject to the adoption of the EU Customs</w:t>
      </w:r>
      <w:r>
        <w:t xml:space="preserve"> </w:t>
      </w:r>
      <w:r>
        <w:t xml:space="preserve">Reform.</w:t>
      </w:r>
      <w:r>
        <w:t xml:space="preserve"> </w:t>
      </w:r>
      <w:r>
        <w:t xml:space="preserve">The proposed EU Customs Data Hub has three main legal milestones (applicable EU-wide):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2028: eCommerce operational with partial Hub capabilities – all business-to-consumer</w:t>
      </w:r>
      <w:r>
        <w:t xml:space="preserve"> </w:t>
      </w:r>
      <w:r>
        <w:t xml:space="preserve">flows for IOSS-registered platforms will be reported to the Hub,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2032: Full Hub capabilities – mandatory use of the Hub for Trust and Check traders,</w:t>
      </w:r>
      <w:r>
        <w:t xml:space="preserve"> </w:t>
      </w:r>
      <w:r>
        <w:t xml:space="preserve">voluntary use of the Hub for other traders.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2038: Mandatory Hub fully operational for all traders</w:t>
      </w:r>
    </w:p>
    <w:p>
      <w:pPr>
        <w:pStyle w:val="FirstParagraph"/>
      </w:pPr>
      <w:r>
        <w:t xml:space="preserve">The digitalisation may be postponed until the EUCA and the EU Customs Data Hub are</w:t>
      </w:r>
      <w:r>
        <w:t xml:space="preserve"> </w:t>
      </w:r>
      <w:r>
        <w:t xml:space="preserve">sufficiently operational. The EUCA would develop drug precursors digitalisation features as</w:t>
      </w:r>
      <w:r>
        <w:t xml:space="preserve"> </w:t>
      </w:r>
      <w:r>
        <w:t xml:space="preserve">part of the EU Customs Data Hub for 2032 deployment.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 advantage of the Hub deployment is that the drugs precursors data can be integrated in</w:t>
      </w:r>
      <w:r>
        <w:t xml:space="preserve"> </w:t>
      </w:r>
      <w:r>
        <w:t xml:space="preserve">Union-wide risk analysis. Information on legitimate supplies, and on detections of illicit</w:t>
      </w:r>
      <w:r>
        <w:t xml:space="preserve"> </w:t>
      </w:r>
      <w:r>
        <w:t xml:space="preserve">supplies, can be used in supporting co-operative targeting at EU level. This should improve the</w:t>
      </w:r>
      <w:r>
        <w:t xml:space="preserve"> </w:t>
      </w:r>
      <w:r>
        <w:t xml:space="preserve">capacity of the Union to detect complex drugs precursors supply chains which are difficult to</w:t>
      </w:r>
      <w:r>
        <w:t xml:space="preserve"> </w:t>
      </w:r>
      <w:r>
        <w:t xml:space="preserve">detect in purely national-level data analysis.</w:t>
      </w:r>
      <w:r>
        <w:br/>
      </w:r>
      <w:r>
        <w:t xml:space="preserve">As regards connection of Union systems to UN systems (PEN and PICS), in the case of both</w:t>
      </w:r>
      <w:r>
        <w:t xml:space="preserve"> </w:t>
      </w:r>
      <w:r>
        <w:t xml:space="preserve">options, this would be subject to the approach which UN services would take to interoperability</w:t>
      </w:r>
      <w:r>
        <w:t xml:space="preserve"> </w:t>
      </w:r>
      <w:r>
        <w:t xml:space="preserve">with a Union system. It is not possible to foresee at this time their appetite for this or their cost-</w:t>
      </w:r>
      <w:r>
        <w:t xml:space="preserve"> </w:t>
      </w:r>
      <w:r>
        <w:t xml:space="preserve">benefit perspective. Therefore, while the Hub could in principle be used for exchange of</w:t>
      </w:r>
      <w:r>
        <w:t xml:space="preserve"> </w:t>
      </w:r>
      <w:r>
        <w:t xml:space="preserve">information with the UN systems, the potential additional cost in this Option is not assessed.</w:t>
      </w:r>
      <w:r>
        <w:t xml:space="preserve"> </w:t>
      </w:r>
      <w:r>
        <w:t xml:space="preserve">The systematic exchange of information may also be subject to a prior international agreement.</w:t>
      </w:r>
      <w:r>
        <w:t xml:space="preserve"> </w:t>
      </w:r>
      <w:r>
        <w:t xml:space="preserve">It is not yet possible to assess the overall costs for this option, but it is assumed that it will be</w:t>
      </w:r>
      <w:r>
        <w:t xml:space="preserve"> </w:t>
      </w:r>
      <w:r>
        <w:t xml:space="preserve">lower than for option 1 as there would be no costs to connect from the national customs</w:t>
      </w:r>
      <w:r>
        <w:t xml:space="preserve"> </w:t>
      </w:r>
      <w:r>
        <w:t xml:space="preserve">declaration systems to the central services (in this case, the Hub).</w:t>
      </w:r>
      <w:r>
        <w:t xml:space="preserve"> </w:t>
      </w:r>
      <w:r>
        <w:t xml:space="preserve">This option is however subject to some political choices, including by the Member States:</w:t>
      </w:r>
      <w:r>
        <w:t xml:space="preserve"> </w:t>
      </w:r>
      <w:r>
        <w:t xml:space="preserve">• It would arguably create a precedent by widening the scope of the EU Customs Data</w:t>
      </w:r>
      <w:r>
        <w:t xml:space="preserve"> </w:t>
      </w:r>
      <w:r>
        <w:t xml:space="preserve">Hub to internal market requirements. Although the Commission proposal for the</w:t>
      </w:r>
      <w:r>
        <w:t xml:space="preserve"> </w:t>
      </w:r>
      <w:r>
        <w:t xml:space="preserve">customs reform provides the possibility of assigning EUCA any tasks related to free</w:t>
      </w:r>
      <w:r>
        <w:t xml:space="preserve"> </w:t>
      </w:r>
      <w:r>
        <w:t xml:space="preserve">movement, import or export of goods, the MS have reduced this scope to tasks related</w:t>
      </w:r>
      <w:r>
        <w:t xml:space="preserve"> </w:t>
      </w:r>
      <w:r>
        <w:t xml:space="preserve">to the customs authorities’ mission, thereby refusing the idea of expanding the tasks of</w:t>
      </w:r>
      <w:r>
        <w:t xml:space="preserve"> </w:t>
      </w:r>
      <w:r>
        <w:t xml:space="preserve">EUCA beyond international trade. The final regulation and potential tasks of EUCA are</w:t>
      </w:r>
      <w:r>
        <w:t xml:space="preserve"> </w:t>
      </w:r>
      <w:r>
        <w:t xml:space="preserve">therefore uncertain in this moment.</w:t>
      </w:r>
      <w:r>
        <w:br/>
      </w:r>
      <w:r>
        <w:t xml:space="preserve">• Given that the Data Hub has not yet been built, assessing the human and financial costs</w:t>
      </w:r>
      <w:r>
        <w:t xml:space="preserve"> </w:t>
      </w:r>
      <w:r>
        <w:t xml:space="preserve">of incorporating in it the licencing system for drug precursors becomes more</w:t>
      </w:r>
      <w:r>
        <w:t xml:space="preserve"> </w:t>
      </w:r>
      <w:r>
        <w:t xml:space="preserve">challenging. It would be premature in practice to do so now as it would involve an</w:t>
      </w:r>
      <w:r>
        <w:t xml:space="preserve"> </w:t>
      </w:r>
      <w:r>
        <w:t xml:space="preserve">isolated analysis which could prejudge the broader development work that would be</w:t>
      </w:r>
      <w:r>
        <w:t xml:space="preserve"> </w:t>
      </w:r>
      <w:r>
        <w:t xml:space="preserve">done on building the Hub as such.</w:t>
      </w:r>
      <w:r>
        <w:t xml:space="preserve"> </w:t>
      </w:r>
      <w:r>
        <w:t xml:space="preserve">• It must be accepted as a priority use case and legally or otherwise effectively obliging</w:t>
      </w:r>
      <w:r>
        <w:t xml:space="preserve"> </w:t>
      </w:r>
      <w:r>
        <w:t xml:space="preserve">all drug precursors operators to use the EU Customs Data Hub as of 2032 instead of</w:t>
      </w:r>
      <w:r>
        <w:t xml:space="preserve"> </w:t>
      </w:r>
      <w:r>
        <w:t xml:space="preserve">2037, to avoid a requirement to connect national systems transitionally.</w:t>
      </w:r>
      <w:r>
        <w:t xml:space="preserve"> </w:t>
      </w:r>
      <w:r>
        <w:t xml:space="preserve">• Non-customs authorities dealing with drug precursors and with seizures of drugs, and</w:t>
      </w:r>
      <w:r>
        <w:t xml:space="preserve"> </w:t>
      </w:r>
      <w:r>
        <w:t xml:space="preserve">even EUDA, must be willing to use the EU Customs Data Hub.</w:t>
      </w:r>
      <w:r>
        <w:t xml:space="preserve"> </w:t>
      </w:r>
      <w:r>
        <w:t xml:space="preserve">Assuming there would be a political agreement on the Hub taking the drug precursors</w:t>
      </w:r>
      <w:r>
        <w:t xml:space="preserve"> </w:t>
      </w:r>
      <w:r>
        <w:t xml:space="preserve">requirements as a priority use case, the Member States could take the view that the customs</w:t>
      </w:r>
      <w:r>
        <w:t xml:space="preserve"> </w:t>
      </w:r>
      <w:r>
        <w:t xml:space="preserve">aspects should be considered as already covered in the EU Customs Data Hub budget – in</w:t>
      </w:r>
      <w:r>
        <w:t xml:space="preserve"> </w:t>
      </w:r>
      <w:r>
        <w:t xml:space="preserve">particular, the aspects of EU risk management, and the development of co-operation and</w:t>
      </w:r>
      <w:r>
        <w:t xml:space="preserve"> </w:t>
      </w:r>
      <w:r>
        <w:t xml:space="preserve">interoperability with competent authorities on external trade. To the extent that the Member</w:t>
      </w:r>
      <w:r>
        <w:t xml:space="preserve"> </w:t>
      </w:r>
      <w:r>
        <w:t xml:space="preserve">States take this view and treat drugs precursors functionality as one of the priority use cases for</w:t>
      </w:r>
      <w:r>
        <w:t xml:space="preserve"> </w:t>
      </w:r>
      <w:r>
        <w:t xml:space="preserve">the Hub, the digitalisation of the drug precursors formalities would not entail additional</w:t>
      </w:r>
      <w:r>
        <w:t xml:space="preserve"> </w:t>
      </w:r>
      <w:r>
        <w:t xml:space="preserve">budgetary costs. The purely internal market aspects might need a (smaller) funding allocation</w:t>
      </w:r>
      <w:r>
        <w:t xml:space="preserve"> </w:t>
      </w:r>
      <w:r>
        <w:t xml:space="preserve">both from the technical and human resource side (EUCA staff); this resourcing may need to</w:t>
      </w:r>
      <w:r>
        <w:t xml:space="preserve"> </w:t>
      </w:r>
      <w:r>
        <w:t xml:space="preserve">come from outside the customs budget lines.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ANNEX 9: CURRENT REGULATORY FRAMEWORK AND COMPARISON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THE CURRENT REGULATORY REQUIREMENT</w:t>
      </w:r>
    </w:p>
    <w:p>
      <w:pPr>
        <w:pStyle w:val="BodyText"/>
      </w:pPr>
      <w:r>
        <w:t xml:space="preserve">Category 1</w:t>
      </w:r>
      <w:r>
        <w:t xml:space="preserve"> </w:t>
      </w:r>
      <w:r>
        <w:t xml:space="preserve">Category 2</w:t>
      </w:r>
      <w:r>
        <w:t xml:space="preserve"> </w:t>
      </w:r>
      <w:r>
        <w:t xml:space="preserve">Category 3</w:t>
      </w:r>
      <w:r>
        <w:t xml:space="preserve"> </w:t>
      </w:r>
      <w:r>
        <w:t xml:space="preserve">Category 4</w:t>
      </w:r>
      <w:r>
        <w:t xml:space="preserve"> </w:t>
      </w:r>
      <w:r>
        <w:t xml:space="preserve">General</w:t>
      </w:r>
      <w:r>
        <w:t xml:space="preserve"> </w:t>
      </w:r>
      <w:r>
        <w:t xml:space="preserve">obligatio</w:t>
      </w:r>
      <w:r>
        <w:t xml:space="preserve"> </w:t>
      </w:r>
      <w:r>
        <w:t xml:space="preserve">ns</w:t>
      </w:r>
      <w:r>
        <w:t xml:space="preserve"> </w:t>
      </w:r>
      <w:r>
        <w:t xml:space="preserve">Operators (and users) hold</w:t>
      </w:r>
      <w:r>
        <w:t xml:space="preserve"> </w:t>
      </w:r>
      <w:r>
        <w:t xml:space="preserve">a license</w:t>
      </w:r>
    </w:p>
    <w:p>
      <w:pPr>
        <w:pStyle w:val="BodyText"/>
      </w:pPr>
      <w:r>
        <w:t xml:space="preserve">Operators and</w:t>
      </w:r>
      <w:r>
        <w:t xml:space="preserve"> </w:t>
      </w:r>
      <w:r>
        <w:t xml:space="preserve">(Category 2A</w:t>
      </w:r>
      <w:r>
        <w:t xml:space="preserve"> </w:t>
      </w:r>
      <w:r>
        <w:t xml:space="preserve">users) are</w:t>
      </w:r>
      <w:r>
        <w:t xml:space="preserve"> </w:t>
      </w:r>
      <w:r>
        <w:t xml:space="preserve">registered</w:t>
      </w:r>
      <w:r>
        <w:t xml:space="preserve"> </w:t>
      </w:r>
      <w:r>
        <w:t xml:space="preserve">Operators are</w:t>
      </w:r>
      <w:r>
        <w:t xml:space="preserve"> </w:t>
      </w:r>
      <w:r>
        <w:t xml:space="preserve">registered (for export</w:t>
      </w:r>
      <w:r>
        <w:t xml:space="preserve"> </w:t>
      </w:r>
      <w:r>
        <w:t xml:space="preserve">only)</w:t>
      </w:r>
    </w:p>
    <w:p>
      <w:pPr>
        <w:pStyle w:val="BodyText"/>
      </w:pPr>
      <w:r>
        <w:t xml:space="preserve">Operators secure premises</w:t>
      </w:r>
      <w:r>
        <w:t xml:space="preserve"> </w:t>
      </w:r>
      <w:r>
        <w:t xml:space="preserve">against unauthorised</w:t>
      </w:r>
      <w:r>
        <w:t xml:space="preserve"> </w:t>
      </w:r>
      <w:r>
        <w:t xml:space="preserve">removal</w:t>
      </w:r>
    </w:p>
    <w:p>
      <w:pPr>
        <w:pStyle w:val="BodyText"/>
      </w:pPr>
      <w:r>
        <w:t xml:space="preserve">Report suspicious transactions.</w:t>
      </w:r>
      <w:r>
        <w:t xml:space="preserve"> </w:t>
      </w:r>
      <w:r>
        <w:t xml:space="preserve">Ensure that the labels and commercial documents contain the name of the scheduled substances, as</w:t>
      </w:r>
      <w:r>
        <w:t xml:space="preserve"> </w:t>
      </w:r>
      <w:r>
        <w:t xml:space="preserve">included in the Regulations.</w:t>
      </w:r>
      <w:r>
        <w:t xml:space="preserve"> </w:t>
      </w:r>
      <w:r>
        <w:t xml:space="preserve">Keep documentation of each transaction for 3 years, readily available for inspection</w:t>
      </w:r>
      <w:r>
        <w:t xml:space="preserve"> </w:t>
      </w:r>
      <w:r>
        <w:t xml:space="preserve">Designate a responsible officer</w:t>
      </w:r>
    </w:p>
    <w:p>
      <w:pPr>
        <w:pStyle w:val="BodyText"/>
      </w:pP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Obtain an export</w:t>
      </w:r>
      <w:r>
        <w:t xml:space="preserve"> </w:t>
      </w:r>
      <w:r>
        <w:t xml:space="preserve">authorisation (including</w:t>
      </w:r>
      <w:r>
        <w:t xml:space="preserve"> </w:t>
      </w:r>
      <w:r>
        <w:t xml:space="preserve">pre-export notification)</w:t>
      </w:r>
      <w:r>
        <w:t xml:space="preserve"> </w:t>
      </w:r>
      <w:r>
        <w:t xml:space="preserve">Obtain an 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(including pre-</w:t>
      </w:r>
      <w:r>
        <w:t xml:space="preserve"> </w:t>
      </w:r>
      <w:r>
        <w:t xml:space="preserve">export notification</w:t>
      </w:r>
      <w:r>
        <w:t xml:space="preserve"> </w:t>
      </w:r>
      <w:r>
        <w:t xml:space="preserve">towards certain</w:t>
      </w:r>
      <w:r>
        <w:t xml:space="preserve"> </w:t>
      </w:r>
      <w:r>
        <w:t xml:space="preserve">countries)</w:t>
      </w:r>
      <w:r>
        <w:t xml:space="preserve"> </w:t>
      </w:r>
      <w:r>
        <w:t xml:space="preserve">Obtain an 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(including pre-export</w:t>
      </w:r>
      <w:r>
        <w:t xml:space="preserve"> </w:t>
      </w:r>
      <w:r>
        <w:t xml:space="preserve">notification) towards</w:t>
      </w:r>
      <w:r>
        <w:t xml:space="preserve"> </w:t>
      </w:r>
      <w:r>
        <w:t xml:space="preserve">certain countries</w:t>
      </w:r>
      <w:r>
        <w:t xml:space="preserve"> </w:t>
      </w:r>
      <w:r>
        <w:t xml:space="preserve">Obtain an export</w:t>
      </w:r>
      <w:r>
        <w:t xml:space="preserve"> </w:t>
      </w:r>
      <w:r>
        <w:t xml:space="preserve">authorisation (including</w:t>
      </w:r>
      <w:r>
        <w:t xml:space="preserve"> </w:t>
      </w:r>
      <w:r>
        <w:t xml:space="preserve">pre-export notification)</w:t>
      </w:r>
      <w:r>
        <w:t xml:space="preserve"> </w:t>
      </w:r>
      <w:r>
        <w:t xml:space="preserve">Obtain an import</w:t>
      </w:r>
      <w:r>
        <w:t xml:space="preserve"> </w:t>
      </w:r>
      <w:r>
        <w:t xml:space="preserve">authorisation</w:t>
      </w:r>
    </w:p>
    <w:p>
      <w:pPr>
        <w:pStyle w:val="BodyText"/>
      </w:pPr>
      <w:r>
        <w:t xml:space="preserve">Demonstrate licit purpose for special customs procedure and temporary</w:t>
      </w:r>
      <w:r>
        <w:t xml:space="preserve"> </w:t>
      </w:r>
      <w:r>
        <w:t xml:space="preserve">storage.</w:t>
      </w:r>
    </w:p>
    <w:p>
      <w:pPr>
        <w:pStyle w:val="BodyText"/>
      </w:pPr>
      <w:r>
        <w:t xml:space="preserve">Internal</w:t>
      </w:r>
      <w:r>
        <w:t xml:space="preserve"> </w:t>
      </w:r>
      <w:r>
        <w:t xml:space="preserve">trade</w:t>
      </w:r>
      <w:r>
        <w:t xml:space="preserve"> </w:t>
      </w:r>
      <w:r>
        <w:t xml:space="preserve">Trade only with operators</w:t>
      </w:r>
      <w:r>
        <w:t xml:space="preserve"> </w:t>
      </w:r>
      <w:r>
        <w:t xml:space="preserve">or users holding a license</w:t>
      </w:r>
      <w:r>
        <w:t xml:space="preserve"> </w:t>
      </w:r>
      <w:r>
        <w:t xml:space="preserve">Trade only with</w:t>
      </w:r>
      <w:r>
        <w:t xml:space="preserve"> </w:t>
      </w:r>
      <w:r>
        <w:t xml:space="preserve">registered users</w:t>
      </w:r>
      <w:r>
        <w:t xml:space="preserve"> </w:t>
      </w:r>
      <w:r>
        <w:t xml:space="preserve">for Category 2A</w:t>
      </w:r>
    </w:p>
    <w:p>
      <w:pPr>
        <w:pStyle w:val="BodyText"/>
      </w:pPr>
      <w:r>
        <w:t xml:space="preserve">Special licenses may be</w:t>
      </w:r>
      <w:r>
        <w:t xml:space="preserve"> </w:t>
      </w:r>
      <w:r>
        <w:t xml:space="preserve">granted</w:t>
      </w:r>
      <w:r>
        <w:t xml:space="preserve"> </w:t>
      </w:r>
      <w:r>
        <w:t xml:space="preserve">Special</w:t>
      </w:r>
      <w:r>
        <w:t xml:space="preserve"> </w:t>
      </w:r>
      <w:r>
        <w:t xml:space="preserve">registration may</w:t>
      </w:r>
      <w:r>
        <w:t xml:space="preserve"> </w:t>
      </w:r>
      <w:r>
        <w:t xml:space="preserve">be done</w:t>
      </w:r>
    </w:p>
    <w:p>
      <w:pPr>
        <w:pStyle w:val="BodyText"/>
      </w:pPr>
      <w:r>
        <w:t xml:space="preserve">Obtain a customer declaration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2.</w:t>
      </w:r>
      <w:r>
        <w:t xml:space="preserve"> </w:t>
      </w:r>
      <w:r>
        <w:t xml:space="preserve">COMPARISON BETWEEN INTERNAL MARKET AND EXTERNAL TRADE REGULATION</w:t>
      </w:r>
      <w:r>
        <w:t xml:space="preserve"> </w:t>
      </w:r>
      <w:r>
        <w:t xml:space="preserve">This Annex sets out the correlation between the internal market Regulation and the external trade Regulation. In the ‘comments’ column it is</w:t>
      </w:r>
      <w:r>
        <w:t xml:space="preserve"> </w:t>
      </w:r>
      <w:r>
        <w:t xml:space="preserve">marked in green whenever common provisions are drafted in slightly different ways. This shows how merging the two Regulations could lead to</w:t>
      </w:r>
      <w:r>
        <w:t xml:space="preserve"> </w:t>
      </w:r>
      <w:r>
        <w:t xml:space="preserve">more coherent rules, where such situations would no longer exist.</w:t>
      </w:r>
      <w:r>
        <w:br/>
      </w:r>
      <w:r>
        <w:t xml:space="preserve">Ref.</w:t>
      </w:r>
      <w:r>
        <w:t xml:space="preserve"> </w:t>
      </w:r>
      <w:r>
        <w:t xml:space="preserve">Internal Market Regulation</w:t>
      </w:r>
      <w:r>
        <w:t xml:space="preserve"> </w:t>
      </w:r>
      <w:r>
        <w:t xml:space="preserve">External trade Regulation</w:t>
      </w:r>
      <w:r>
        <w:t xml:space="preserve"> </w:t>
      </w:r>
      <w:r>
        <w:t xml:space="preserve">Comments</w:t>
      </w:r>
      <w:r>
        <w:t xml:space="preserve"> </w:t>
      </w:r>
      <w:r>
        <w:t xml:space="preserve">1. Material scope</w:t>
      </w:r>
      <w:r>
        <w:t xml:space="preserve"> </w:t>
      </w:r>
      <w:r>
        <w:t xml:space="preserve">1</w:t>
      </w:r>
      <w:r>
        <w:t xml:space="preserve"> </w:t>
      </w:r>
      <w:r>
        <w:t xml:space="preserve">Article 1 – rules on monitoring and control of possession</w:t>
      </w:r>
      <w:r>
        <w:t xml:space="preserve"> </w:t>
      </w:r>
      <w:r>
        <w:t xml:space="preserve">and placing on the market of substances most frequently</w:t>
      </w:r>
      <w:r>
        <w:t xml:space="preserve"> </w:t>
      </w:r>
      <w:r>
        <w:t xml:space="preserve">used in the illicit production of drugs</w:t>
      </w:r>
      <w:r>
        <w:t xml:space="preserve"> </w:t>
      </w:r>
      <w:r>
        <w:t xml:space="preserve">Article 1 – import, export and intermediary activities of the same</w:t>
      </w:r>
      <w:r>
        <w:t xml:space="preserve"> </w:t>
      </w:r>
      <w:r>
        <w:t xml:space="preserve">substances</w:t>
      </w:r>
      <w:r>
        <w:t xml:space="preserve"> </w:t>
      </w:r>
      <w:r>
        <w:t xml:space="preserve">Complementary provisions</w:t>
      </w:r>
      <w:r>
        <w:t xml:space="preserve"> </w:t>
      </w:r>
      <w:r>
        <w:t xml:space="preserve">2. Definitions</w:t>
      </w:r>
      <w:r>
        <w:t xml:space="preserve"> </w:t>
      </w:r>
      <w:r>
        <w:t xml:space="preserve">2</w:t>
      </w:r>
      <w:r>
        <w:t xml:space="preserve"> </w:t>
      </w:r>
      <w:r>
        <w:t xml:space="preserve">Article 2 defines scheduled substances, non-scheduled</w:t>
      </w:r>
      <w:r>
        <w:t xml:space="preserve"> </w:t>
      </w:r>
      <w:r>
        <w:t xml:space="preserve">substances, natural product, INCB</w:t>
      </w:r>
      <w:r>
        <w:t xml:space="preserve"> </w:t>
      </w:r>
      <w:r>
        <w:t xml:space="preserve">Article 2 sets out the same definitions</w:t>
      </w:r>
      <w:r>
        <w:t xml:space="preserve"> </w:t>
      </w:r>
      <w:r>
        <w:t xml:space="preserve">Common provisions with similar drafting</w:t>
      </w:r>
      <w:r>
        <w:t xml:space="preserve"> </w:t>
      </w:r>
      <w:r>
        <w:t xml:space="preserve">3</w:t>
      </w:r>
      <w:r>
        <w:t xml:space="preserve"> </w:t>
      </w:r>
      <w:r>
        <w:t xml:space="preserve">Article 2 also defines placing on the market, operator,</w:t>
      </w:r>
      <w:r>
        <w:t xml:space="preserve"> </w:t>
      </w:r>
      <w:r>
        <w:t xml:space="preserve">user, special license etc.</w:t>
      </w:r>
      <w:r>
        <w:br/>
      </w:r>
      <w:r>
        <w:t xml:space="preserve">Article 2 defines import, export, intermediary activities,</w:t>
      </w:r>
      <w:r>
        <w:t xml:space="preserve"> </w:t>
      </w:r>
      <w:r>
        <w:t xml:space="preserve">importer, exporter, etc.</w:t>
      </w:r>
      <w:r>
        <w:t xml:space="preserve"> </w:t>
      </w:r>
      <w:r>
        <w:t xml:space="preserve">Complementary provisions</w:t>
      </w:r>
      <w:r>
        <w:br/>
      </w:r>
      <w:r>
        <w:t xml:space="preserve">3. Licences and registrations</w:t>
      </w:r>
      <w:r>
        <w:t xml:space="preserve"> </w:t>
      </w:r>
      <w:r>
        <w:t xml:space="preserve">4</w:t>
      </w:r>
      <w:r>
        <w:t xml:space="preserve"> </w:t>
      </w:r>
      <w:r>
        <w:t xml:space="preserve">Article 3(2)-(5) – operators and users involved in</w:t>
      </w:r>
      <w:r>
        <w:t xml:space="preserve"> </w:t>
      </w:r>
      <w:r>
        <w:t xml:space="preserve">transactions with Category 1 substances or possessing</w:t>
      </w:r>
      <w:r>
        <w:t xml:space="preserve"> </w:t>
      </w:r>
      <w:r>
        <w:t xml:space="preserve">such substances have to hold a license. Rules are set out</w:t>
      </w:r>
      <w:r>
        <w:t xml:space="preserve"> </w:t>
      </w:r>
      <w:r>
        <w:t xml:space="preserve">on the conditions for granting, suspending or revoking it,</w:t>
      </w:r>
      <w:r>
        <w:t xml:space="preserve"> </w:t>
      </w:r>
      <w:r>
        <w:t xml:space="preserve">as well as on the possibility to grant special licences.</w:t>
      </w:r>
      <w:r>
        <w:t xml:space="preserve"> </w:t>
      </w:r>
      <w:r>
        <w:t xml:space="preserve">Operators holding a licence can trade only with operators</w:t>
      </w:r>
      <w:r>
        <w:t xml:space="preserve"> </w:t>
      </w:r>
      <w:r>
        <w:t xml:space="preserve">also holding a licence.</w:t>
      </w:r>
      <w:r>
        <w:br/>
      </w:r>
      <w:r>
        <w:t xml:space="preserve">Article 6 – operators involved in transactions with Category 1</w:t>
      </w:r>
      <w:r>
        <w:t xml:space="preserve"> </w:t>
      </w:r>
      <w:r>
        <w:t xml:space="preserve">substances have to hold a license. Rules are set out on the</w:t>
      </w:r>
      <w:r>
        <w:t xml:space="preserve"> </w:t>
      </w:r>
      <w:r>
        <w:t xml:space="preserve">conditions for granting, suspending or revoking it.</w:t>
      </w:r>
    </w:p>
    <w:p>
      <w:pPr>
        <w:pStyle w:val="BodyText"/>
      </w:pPr>
      <w:r>
        <w:t xml:space="preserve">Common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slightly</w:t>
      </w:r>
      <w:r>
        <w:t xml:space="preserve"> </w:t>
      </w:r>
      <w:r>
        <w:t xml:space="preserve">different drafting. There are no rules on</w:t>
      </w:r>
      <w:r>
        <w:t xml:space="preserve"> </w:t>
      </w:r>
      <w:r>
        <w:t xml:space="preserve">special licenses in the external trade</w:t>
      </w:r>
      <w:r>
        <w:t xml:space="preserve"> </w:t>
      </w:r>
      <w:r>
        <w:t xml:space="preserve">Regulation.</w:t>
      </w:r>
      <w:r>
        <w:br/>
      </w:r>
      <w:r>
        <w:t xml:space="preserve">5</w:t>
      </w:r>
      <w:r>
        <w:t xml:space="preserve"> </w:t>
      </w:r>
      <w:r>
        <w:t xml:space="preserve">Article 3(6)-(6c) – operators and users involved in</w:t>
      </w:r>
      <w:r>
        <w:t xml:space="preserve"> </w:t>
      </w:r>
      <w:r>
        <w:t xml:space="preserve">transactions with Category 2 and, respectively 2A</w:t>
      </w:r>
      <w:r>
        <w:t xml:space="preserve"> </w:t>
      </w:r>
      <w:r>
        <w:t xml:space="preserve">substances or possessing such substances have to hold a</w:t>
      </w:r>
      <w:r>
        <w:t xml:space="preserve"> </w:t>
      </w:r>
      <w:r>
        <w:t xml:space="preserve">registration. Rules are set out on the conditions for</w:t>
      </w:r>
      <w:r>
        <w:t xml:space="preserve"> </w:t>
      </w:r>
      <w:r>
        <w:t xml:space="preserve">granting, suspending or revoking it, as well as on the</w:t>
      </w:r>
      <w:r>
        <w:t xml:space="preserve"> </w:t>
      </w:r>
      <w:r>
        <w:t xml:space="preserve">possibility to grant special registrations. Operators</w:t>
      </w:r>
      <w:r>
        <w:t xml:space="preserve"> </w:t>
      </w:r>
      <w:r>
        <w:t xml:space="preserve">holding a registration for Category 2A can trade only with</w:t>
      </w:r>
      <w:r>
        <w:t xml:space="preserve"> </w:t>
      </w:r>
      <w:r>
        <w:t xml:space="preserve">operators also holding a registration.</w:t>
      </w:r>
      <w:r>
        <w:br/>
      </w:r>
      <w:r>
        <w:t xml:space="preserve">Article 7 – operators involved in transactions with Category 2</w:t>
      </w:r>
      <w:r>
        <w:t xml:space="preserve"> </w:t>
      </w:r>
      <w:r>
        <w:t xml:space="preserve">substances or exporting Category 3 substances have to hold a</w:t>
      </w:r>
      <w:r>
        <w:t xml:space="preserve"> </w:t>
      </w:r>
      <w:r>
        <w:t xml:space="preserve">registration. Rules are set out on the conditions for granting,</w:t>
      </w:r>
      <w:r>
        <w:t xml:space="preserve"> </w:t>
      </w:r>
      <w:r>
        <w:t xml:space="preserve">suspending or revoking it.</w:t>
      </w:r>
      <w:r>
        <w:br/>
      </w:r>
      <w:r>
        <w:t xml:space="preserve">Common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slightly</w:t>
      </w:r>
      <w:r>
        <w:t xml:space="preserve"> </w:t>
      </w:r>
      <w:r>
        <w:t xml:space="preserve">different drafting. There are no rules on</w:t>
      </w:r>
      <w:r>
        <w:t xml:space="preserve"> </w:t>
      </w:r>
      <w:r>
        <w:t xml:space="preserve">special registrations in the external trade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4. Documentation of transactions</w:t>
      </w:r>
      <w:r>
        <w:t xml:space="preserve"> </w:t>
      </w:r>
      <w:r>
        <w:t xml:space="preserve">7</w:t>
      </w:r>
      <w:r>
        <w:t xml:space="preserve"> </w:t>
      </w:r>
      <w:r>
        <w:t xml:space="preserve">Articles 4 and 5 – documentation including customer</w:t>
      </w:r>
      <w:r>
        <w:t xml:space="preserve"> </w:t>
      </w:r>
      <w:r>
        <w:t xml:space="preserve">declaration for all transactions with Category 1 and</w:t>
      </w:r>
      <w:r>
        <w:t xml:space="preserve"> </w:t>
      </w:r>
      <w:r>
        <w:t xml:space="preserve">Category 2 substances, except in case of special licenses</w:t>
      </w:r>
      <w:r>
        <w:t xml:space="preserve"> </w:t>
      </w:r>
      <w:r>
        <w:t xml:space="preserve">and special registrations, are to be kept for 3 years and</w:t>
      </w:r>
      <w:r>
        <w:t xml:space="preserve"> </w:t>
      </w:r>
      <w:r>
        <w:t xml:space="preserve">kept available for inspection. There are also rules on the</w:t>
      </w:r>
      <w:r>
        <w:t xml:space="preserve"> </w:t>
      </w:r>
      <w:r>
        <w:t xml:space="preserve">content of the information to be provided. The customer</w:t>
      </w:r>
      <w:r>
        <w:t xml:space="preserve"> </w:t>
      </w:r>
      <w:r>
        <w:t xml:space="preserve">declarations is to be filled in per transaction. In specific</w:t>
      </w:r>
      <w:r>
        <w:t xml:space="preserve"> </w:t>
      </w:r>
      <w:r>
        <w:t xml:space="preserve">conditions, one customer declaration can cover several</w:t>
      </w:r>
      <w:r>
        <w:t xml:space="preserve"> </w:t>
      </w:r>
      <w:r>
        <w:t xml:space="preserve">transactions. A certified copy of the declaration has to</w:t>
      </w:r>
      <w:r>
        <w:t xml:space="preserve"> </w:t>
      </w:r>
      <w:r>
        <w:t xml:space="preserve">accompany all transactions of Category 1 substances</w:t>
      </w:r>
      <w:r>
        <w:t xml:space="preserve"> </w:t>
      </w:r>
      <w:r>
        <w:t xml:space="preserve">Articles 3 and 4 Documentation of all imports, exports or</w:t>
      </w:r>
      <w:r>
        <w:t xml:space="preserve"> </w:t>
      </w:r>
      <w:r>
        <w:t xml:space="preserve">intermediary activities of Category 1, Category 2 and Category</w:t>
      </w:r>
      <w:r>
        <w:t xml:space="preserve"> </w:t>
      </w:r>
      <w:r>
        <w:t xml:space="preserve">3 substances are to be kept for 3 years, ready for inspections;</w:t>
      </w:r>
      <w:r>
        <w:t xml:space="preserve"> </w:t>
      </w:r>
      <w:r>
        <w:t xml:space="preserve">rules regarding the elements to be included in those documents</w:t>
      </w:r>
      <w:r>
        <w:t xml:space="preserve"> </w:t>
      </w:r>
      <w:r>
        <w:t xml:space="preserve">(including the mention ‘drug precursor’) and their availability for</w:t>
      </w:r>
      <w:r>
        <w:t xml:space="preserve"> </w:t>
      </w:r>
      <w:r>
        <w:t xml:space="preserve">inspection.</w:t>
      </w:r>
      <w:r>
        <w:br/>
      </w:r>
      <w:r>
        <w:t xml:space="preserve">Rules common in part, with similar</w:t>
      </w:r>
      <w:r>
        <w:t xml:space="preserve"> </w:t>
      </w:r>
      <w:r>
        <w:t xml:space="preserve">drafting.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substances</w:t>
      </w:r>
      <w:r>
        <w:t xml:space="preserve"> </w:t>
      </w:r>
      <w:r>
        <w:t xml:space="preserve">concerned are different, with the external</w:t>
      </w:r>
      <w:r>
        <w:t xml:space="preserve"> </w:t>
      </w:r>
      <w:r>
        <w:t xml:space="preserve">trade Regulation having a broader scope.</w:t>
      </w:r>
      <w:r>
        <w:br/>
      </w:r>
      <w:r>
        <w:t xml:space="preserve">5. Labelling</w:t>
      </w:r>
      <w:r>
        <w:br/>
      </w:r>
      <w:r>
        <w:t xml:space="preserve">8</w:t>
      </w:r>
      <w:r>
        <w:t xml:space="preserve"> </w:t>
      </w:r>
      <w:r>
        <w:t xml:space="preserve">Article 7 – obligation to include the name of the substance</w:t>
      </w:r>
      <w:r>
        <w:t xml:space="preserve"> </w:t>
      </w:r>
      <w:r>
        <w:t xml:space="preserve">as in Annex I on the label of substances of Category 1 and</w:t>
      </w:r>
      <w:r>
        <w:t xml:space="preserve"> </w:t>
      </w:r>
      <w:r>
        <w:t xml:space="preserve">Category 2.</w:t>
      </w:r>
      <w:r>
        <w:t xml:space="preserve"> </w:t>
      </w:r>
      <w:r>
        <w:t xml:space="preserve">Article 5 – obligation to include the name of the substance as</w:t>
      </w:r>
      <w:r>
        <w:t xml:space="preserve"> </w:t>
      </w:r>
      <w:r>
        <w:t xml:space="preserve">included in the Annex on the label of substances of Category 1,</w:t>
      </w:r>
      <w:r>
        <w:t xml:space="preserve"> </w:t>
      </w:r>
      <w:r>
        <w:t xml:space="preserve">Category 2 and Category 3</w:t>
      </w:r>
      <w:r>
        <w:t xml:space="preserve"> </w:t>
      </w:r>
      <w:r>
        <w:t xml:space="preserve">Common provision, different drafting –</w:t>
      </w:r>
      <w:r>
        <w:t xml:space="preserve"> </w:t>
      </w:r>
      <w:r>
        <w:t xml:space="preserve">for internal market trade it does not</w:t>
      </w:r>
      <w:r>
        <w:t xml:space="preserve"> </w:t>
      </w:r>
      <w:r>
        <w:t xml:space="preserve">concern Category 3 substances.</w:t>
      </w:r>
      <w:r>
        <w:t xml:space="preserve"> </w:t>
      </w:r>
      <w:r>
        <w:t xml:space="preserve">6. Import and export requirements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Article 11 – pre-export notifications are needed for transactions</w:t>
      </w:r>
      <w:r>
        <w:t xml:space="preserve"> </w:t>
      </w:r>
      <w:r>
        <w:t xml:space="preserve">with Category 1 and Category 4 substances, as well as with</w:t>
      </w:r>
      <w:r>
        <w:t xml:space="preserve"> </w:t>
      </w:r>
      <w:r>
        <w:t xml:space="preserve">Category 2 and Category 3 substances if the export is toward</w:t>
      </w:r>
      <w:r>
        <w:t xml:space="preserve"> </w:t>
      </w:r>
      <w:r>
        <w:t xml:space="preserve">certain third countries.</w:t>
      </w:r>
      <w:r>
        <w:br/>
      </w:r>
      <w:r>
        <w:t xml:space="preserve">Specific to external trade.</w:t>
      </w:r>
      <w:r>
        <w:br/>
      </w:r>
      <w:r>
        <w:t xml:space="preserve">10</w:t>
      </w:r>
    </w:p>
    <w:p>
      <w:pPr>
        <w:pStyle w:val="BodyText"/>
      </w:pPr>
      <w:r>
        <w:t xml:space="preserve">Articles 12 to 19 export authorisations – rules on the obligation</w:t>
      </w:r>
      <w:r>
        <w:t xml:space="preserve"> </w:t>
      </w:r>
      <w:r>
        <w:t xml:space="preserve">to obtain an export authorisation for all scheduled substances</w:t>
      </w:r>
      <w:r>
        <w:t xml:space="preserve"> </w:t>
      </w:r>
      <w:r>
        <w:t xml:space="preserve">(Category 3 substances only when subject to a pre-export</w:t>
      </w:r>
      <w:r>
        <w:t xml:space="preserve"> </w:t>
      </w:r>
      <w:r>
        <w:t xml:space="preserve">notification), the content of the request, the deadline for granting</w:t>
      </w:r>
      <w:r>
        <w:t xml:space="preserve"> </w:t>
      </w:r>
      <w:r>
        <w:t xml:space="preserve">the authorisation, the conditions for refusing, suspending or</w:t>
      </w:r>
      <w:r>
        <w:t xml:space="preserve"> </w:t>
      </w:r>
      <w:r>
        <w:t xml:space="preserve">revoking it, as well as the maximum period of validity, as well</w:t>
      </w:r>
      <w:r>
        <w:t xml:space="preserve"> </w:t>
      </w:r>
      <w:r>
        <w:t xml:space="preserve">as simplified procedures.</w:t>
      </w:r>
      <w:r>
        <w:br/>
      </w:r>
      <w:r>
        <w:t xml:space="preserve">Specific to external trade.</w:t>
      </w:r>
      <w:r>
        <w:br/>
      </w:r>
      <w:r>
        <w:t xml:space="preserve">11</w:t>
      </w:r>
    </w:p>
    <w:p>
      <w:pPr>
        <w:pStyle w:val="BodyText"/>
      </w:pPr>
      <w:r>
        <w:t xml:space="preserve">Articles 20 to 25 Import authorisations – rules on the obligation</w:t>
      </w:r>
      <w:r>
        <w:t xml:space="preserve"> </w:t>
      </w:r>
      <w:r>
        <w:t xml:space="preserve">to obtain an import authorisation for Category 1 substances, the</w:t>
      </w:r>
      <w:r>
        <w:t xml:space="preserve"> </w:t>
      </w:r>
      <w:r>
        <w:t xml:space="preserve">content of the request, the deadline for granting the authorisation,</w:t>
      </w:r>
      <w:r>
        <w:t xml:space="preserve"> </w:t>
      </w:r>
      <w:r>
        <w:t xml:space="preserve">the conditions for refusing, suspending or revoking it, as well as</w:t>
      </w:r>
      <w:r>
        <w:t xml:space="preserve"> </w:t>
      </w:r>
      <w:r>
        <w:t xml:space="preserve">the maximum period of validity.</w:t>
      </w:r>
      <w:r>
        <w:br/>
      </w:r>
      <w:r>
        <w:t xml:space="preserve">Specific to external trade.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7. Other provisions concerning economic operators</w:t>
      </w:r>
      <w:r>
        <w:t xml:space="preserve"> </w:t>
      </w:r>
      <w:r>
        <w:t xml:space="preserve">12</w:t>
      </w:r>
      <w:r>
        <w:t xml:space="preserve"> </w:t>
      </w:r>
      <w:r>
        <w:t xml:space="preserve">Article 3(1) obligation to designate a responsible officer</w:t>
      </w:r>
      <w:r>
        <w:t xml:space="preserve"> </w:t>
      </w:r>
      <w:r>
        <w:t xml:space="preserve">for operators involved in transactions with Category 1 and</w:t>
      </w:r>
      <w:r>
        <w:t xml:space="preserve"> </w:t>
      </w:r>
      <w:r>
        <w:t xml:space="preserve">Category 2 substances.</w:t>
      </w:r>
    </w:p>
    <w:p>
      <w:pPr>
        <w:pStyle w:val="BodyText"/>
      </w:pPr>
      <w:r>
        <w:t xml:space="preserve">Not included in the external trade Regula</w:t>
      </w:r>
      <w:r>
        <w:t xml:space="preserve"> </w:t>
      </w:r>
      <w:r>
        <w:t xml:space="preserve">tion.</w:t>
      </w:r>
      <w:r>
        <w:br/>
      </w:r>
      <w:r>
        <w:t xml:space="preserve">13</w:t>
      </w:r>
      <w:r>
        <w:t xml:space="preserve"> </w:t>
      </w:r>
      <w:r>
        <w:t xml:space="preserve">Article 6 sets out the possibility to exempt operators from</w:t>
      </w:r>
      <w:r>
        <w:t xml:space="preserve"> </w:t>
      </w:r>
      <w:r>
        <w:t xml:space="preserve">the obligations to hold a license or a registration, to keep</w:t>
      </w:r>
      <w:r>
        <w:t xml:space="preserve"> </w:t>
      </w:r>
      <w:r>
        <w:t xml:space="preserve">the documentation for Category 2 substances if the</w:t>
      </w:r>
      <w:r>
        <w:t xml:space="preserve"> </w:t>
      </w:r>
      <w:r>
        <w:t xml:space="preserve">transactions performed in one year to not meet the</w:t>
      </w:r>
      <w:r>
        <w:t xml:space="preserve"> </w:t>
      </w:r>
      <w:r>
        <w:t xml:space="preserve">maximum quantities set out in an Annex.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provisions</w:t>
      </w:r>
      <w:r>
        <w:t xml:space="preserve"> </w:t>
      </w:r>
      <w:r>
        <w:t xml:space="preserve">for</w:t>
      </w:r>
      <w:r>
        <w:t xml:space="preserve"> </w:t>
      </w:r>
      <w:r>
        <w:t xml:space="preserve">external trade are set out in secondary</w:t>
      </w:r>
      <w:r>
        <w:t xml:space="preserve"> </w:t>
      </w:r>
      <w:r>
        <w:t xml:space="preserve">Regulation, not in the basic one.</w:t>
      </w:r>
      <w:r>
        <w:br/>
      </w:r>
      <w:r>
        <w:t xml:space="preserve">14</w:t>
      </w:r>
    </w:p>
    <w:p>
      <w:pPr>
        <w:pStyle w:val="BodyText"/>
      </w:pPr>
      <w:r>
        <w:t xml:space="preserve">Article 8 – obligation to demonstrate licit purpose for all</w:t>
      </w:r>
      <w:r>
        <w:t xml:space="preserve"> </w:t>
      </w:r>
      <w:r>
        <w:t xml:space="preserve">transactions with scheduled substances</w:t>
      </w:r>
      <w:r>
        <w:t xml:space="preserve"> </w:t>
      </w:r>
      <w:r>
        <w:t xml:space="preserve">Specific to external trade</w:t>
      </w:r>
      <w:r>
        <w:t xml:space="preserve"> </w:t>
      </w:r>
      <w:r>
        <w:t xml:space="preserve">8. Notification of suspicious transactions</w:t>
      </w:r>
      <w:r>
        <w:t xml:space="preserve"> </w:t>
      </w:r>
      <w:r>
        <w:t xml:space="preserve">15</w:t>
      </w:r>
      <w:r>
        <w:t xml:space="preserve"> </w:t>
      </w:r>
      <w:r>
        <w:t xml:space="preserve">Article 8(1) obligation of operators for transaction with</w:t>
      </w:r>
      <w:r>
        <w:t xml:space="preserve"> </w:t>
      </w:r>
      <w:r>
        <w:t xml:space="preserve">any scheduled substance.</w:t>
      </w:r>
      <w:r>
        <w:br/>
      </w:r>
      <w:r>
        <w:t xml:space="preserve">Article 9(1) obligation of operators for transaction with any</w:t>
      </w:r>
      <w:r>
        <w:t xml:space="preserve"> </w:t>
      </w:r>
      <w:r>
        <w:t xml:space="preserve">scheduled substance; a list of details to be provided is set out.</w:t>
      </w:r>
      <w:r>
        <w:br/>
      </w:r>
      <w:r>
        <w:t xml:space="preserve">Common provision with slightly different</w:t>
      </w:r>
      <w:r>
        <w:t xml:space="preserve"> </w:t>
      </w:r>
      <w:r>
        <w:t xml:space="preserve">drafting.</w:t>
      </w:r>
      <w:r>
        <w:br/>
      </w:r>
      <w:r>
        <w:t xml:space="preserve">9. Notification of the annual summary of transactions</w:t>
      </w:r>
      <w:r>
        <w:t xml:space="preserve"> </w:t>
      </w:r>
      <w:r>
        <w:t xml:space="preserve">16</w:t>
      </w:r>
      <w:r>
        <w:t xml:space="preserve"> </w:t>
      </w:r>
      <w:r>
        <w:t xml:space="preserve">Article 8(2) obligations of operators concerning</w:t>
      </w:r>
      <w:r>
        <w:t xml:space="preserve"> </w:t>
      </w:r>
      <w:r>
        <w:t xml:space="preserve">transactions and use of all scheduled substances</w:t>
      </w:r>
      <w:r>
        <w:t xml:space="preserve"> </w:t>
      </w:r>
      <w:r>
        <w:t xml:space="preserve">Article 9(2) obligation of operators concerning their imports,</w:t>
      </w:r>
      <w:r>
        <w:t xml:space="preserve"> </w:t>
      </w:r>
      <w:r>
        <w:t xml:space="preserve">exports and intermediary activities, without any reference to</w:t>
      </w:r>
      <w:r>
        <w:t xml:space="preserve"> </w:t>
      </w:r>
      <w:r>
        <w:t xml:space="preserve">scheduled substances</w:t>
      </w:r>
      <w:r>
        <w:t xml:space="preserve"> </w:t>
      </w:r>
      <w:r>
        <w:t xml:space="preserve">Common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different</w:t>
      </w:r>
      <w:r>
        <w:t xml:space="preserve"> </w:t>
      </w:r>
      <w:r>
        <w:t xml:space="preserve">drafting.</w:t>
      </w:r>
      <w:r>
        <w:br/>
      </w:r>
      <w:r>
        <w:t xml:space="preserve">10. Guidelines and the EU Voluntary Monitoring List</w:t>
      </w:r>
      <w:r>
        <w:t xml:space="preserve"> </w:t>
      </w:r>
      <w:r>
        <w:t xml:space="preserve">17</w:t>
      </w:r>
      <w:r>
        <w:t xml:space="preserve"> </w:t>
      </w:r>
      <w:r>
        <w:t xml:space="preserve">Article 9 – obligation of the Commission to develop</w:t>
      </w:r>
      <w:r>
        <w:t xml:space="preserve"> </w:t>
      </w:r>
      <w:r>
        <w:t xml:space="preserve">Guidelines to support operators to identify suspicious</w:t>
      </w:r>
      <w:r>
        <w:t xml:space="preserve"> </w:t>
      </w:r>
      <w:r>
        <w:t xml:space="preserve">transactions, in particular with non-scheduled substances;</w:t>
      </w:r>
      <w:r>
        <w:t xml:space="preserve"> </w:t>
      </w:r>
      <w:r>
        <w:t xml:space="preserve">the Guidelines include the EU Voluntary Monitoring List</w:t>
      </w:r>
      <w:r>
        <w:t xml:space="preserve"> </w:t>
      </w:r>
      <w:r>
        <w:t xml:space="preserve">Article 10 – in addition to the similar rules in internal market</w:t>
      </w:r>
      <w:r>
        <w:t xml:space="preserve"> </w:t>
      </w:r>
      <w:r>
        <w:t xml:space="preserve">Regulation, details are laid out as regards amendments to the EU</w:t>
      </w:r>
      <w:r>
        <w:t xml:space="preserve"> </w:t>
      </w:r>
      <w:r>
        <w:t xml:space="preserve">VML</w:t>
      </w:r>
      <w:r>
        <w:t xml:space="preserve"> </w:t>
      </w:r>
      <w:r>
        <w:t xml:space="preserve">Common issue with slightly different</w:t>
      </w:r>
      <w:r>
        <w:t xml:space="preserve"> </w:t>
      </w:r>
      <w:r>
        <w:t xml:space="preserve">drafting.</w:t>
      </w:r>
      <w:r>
        <w:br/>
      </w:r>
      <w:r>
        <w:t xml:space="preserve">11. Powers of the competent authorities – catch-all clauses</w:t>
      </w:r>
      <w:r>
        <w:t xml:space="preserve"> </w:t>
      </w:r>
      <w:r>
        <w:t xml:space="preserve">18</w:t>
      </w:r>
      <w:r>
        <w:t xml:space="preserve"> </w:t>
      </w:r>
      <w:r>
        <w:t xml:space="preserve">Article 10 obligation of Member States to adopt national</w:t>
      </w:r>
      <w:r>
        <w:t xml:space="preserve"> </w:t>
      </w:r>
      <w:r>
        <w:t xml:space="preserve">rules to empower their competent authorities to fight</w:t>
      </w:r>
      <w:r>
        <w:t xml:space="preserve"> </w:t>
      </w:r>
      <w:r>
        <w:t xml:space="preserve">against the diversion of scheduled substances, and</w:t>
      </w:r>
      <w:r>
        <w:t xml:space="preserve"> </w:t>
      </w:r>
      <w:r>
        <w:t xml:space="preserve">possibility to do so for non-scheduled substances</w:t>
      </w:r>
      <w:r>
        <w:t xml:space="preserve"> </w:t>
      </w:r>
      <w:r>
        <w:t xml:space="preserve">Article 26 similar provisions as for internal trade and specific</w:t>
      </w:r>
      <w:r>
        <w:t xml:space="preserve"> </w:t>
      </w:r>
      <w:r>
        <w:t xml:space="preserve">powers for external trade authorities, such as stopping shipments</w:t>
      </w:r>
      <w:r>
        <w:t xml:space="preserve"> </w:t>
      </w:r>
      <w:r>
        <w:t xml:space="preserve">Common provisions with similar drafting</w:t>
      </w:r>
      <w:r>
        <w:t xml:space="preserve"> </w:t>
      </w:r>
      <w:r>
        <w:t xml:space="preserve">and complementary provisions specific to</w:t>
      </w:r>
      <w:r>
        <w:t xml:space="preserve"> </w:t>
      </w:r>
      <w:r>
        <w:t xml:space="preserve">external trade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12. Administrative cooperation</w:t>
      </w:r>
      <w:r>
        <w:t xml:space="preserve"> </w:t>
      </w:r>
      <w:r>
        <w:t xml:space="preserve">19</w:t>
      </w:r>
      <w:r>
        <w:t xml:space="preserve"> </w:t>
      </w:r>
      <w:r>
        <w:t xml:space="preserve">Article 11 sets out obligations for Member States to</w:t>
      </w:r>
      <w:r>
        <w:t xml:space="preserve"> </w:t>
      </w:r>
      <w:r>
        <w:t xml:space="preserve">ensure a good cooperation between them, as well as with</w:t>
      </w:r>
      <w:r>
        <w:t xml:space="preserve"> </w:t>
      </w:r>
      <w:r>
        <w:t xml:space="preserve">the Commission</w:t>
      </w:r>
      <w:r>
        <w:t xml:space="preserve"> </w:t>
      </w:r>
      <w:r>
        <w:t xml:space="preserve">Article 27 – communication of competent authorities to the</w:t>
      </w:r>
      <w:r>
        <w:t xml:space="preserve"> </w:t>
      </w:r>
      <w:r>
        <w:t xml:space="preserve">Commission and the other Member States</w:t>
      </w:r>
      <w:r>
        <w:t xml:space="preserve"> </w:t>
      </w:r>
      <w:r>
        <w:t xml:space="preserve">Common provision with slightly different</w:t>
      </w:r>
      <w:r>
        <w:t xml:space="preserve"> </w:t>
      </w:r>
      <w:r>
        <w:t xml:space="preserve">drafting</w:t>
      </w:r>
      <w:r>
        <w:br/>
      </w:r>
      <w:r>
        <w:t xml:space="preserve">20</w:t>
      </w:r>
      <w:r>
        <w:t xml:space="preserve"> </w:t>
      </w:r>
      <w:r>
        <w:t xml:space="preserve">Article 16(1) and (2): Member States have the obligation</w:t>
      </w:r>
      <w:r>
        <w:t xml:space="preserve"> </w:t>
      </w:r>
      <w:r>
        <w:t xml:space="preserve">to communicate to the Commission measures adopted in</w:t>
      </w:r>
      <w:r>
        <w:t xml:space="preserve"> </w:t>
      </w:r>
      <w:r>
        <w:t xml:space="preserve">the implementation of the Regulation</w:t>
      </w:r>
    </w:p>
    <w:p>
      <w:pPr>
        <w:pStyle w:val="BodyText"/>
      </w:pPr>
      <w:r>
        <w:t xml:space="preserve">Specific to internal market.</w:t>
      </w:r>
      <w:r>
        <w:br/>
      </w:r>
      <w:r>
        <w:t xml:space="preserve">13. European Database on Drug Precursors</w:t>
      </w:r>
      <w:r>
        <w:t xml:space="preserve"> </w:t>
      </w:r>
      <w:r>
        <w:t xml:space="preserve">21</w:t>
      </w:r>
      <w:r>
        <w:t xml:space="preserve"> </w:t>
      </w:r>
      <w:r>
        <w:t xml:space="preserve">Article 13(1) sets out the data to be communicated via the</w:t>
      </w:r>
      <w:r>
        <w:t xml:space="preserve"> </w:t>
      </w:r>
      <w:r>
        <w:t xml:space="preserve">database, both illegal uses and legitimate trade</w:t>
      </w:r>
      <w:r>
        <w:t xml:space="preserve"> </w:t>
      </w:r>
      <w:r>
        <w:t xml:space="preserve">Article 13a sets pit the three functions of the database: to</w:t>
      </w:r>
      <w:r>
        <w:t xml:space="preserve"> </w:t>
      </w:r>
      <w:r>
        <w:t xml:space="preserve">support the statistical analysis and communication of data</w:t>
      </w:r>
      <w:r>
        <w:t xml:space="preserve"> </w:t>
      </w:r>
      <w:r>
        <w:t xml:space="preserve">to the UN, to set out a registry of operators holding</w:t>
      </w:r>
      <w:r>
        <w:t xml:space="preserve"> </w:t>
      </w:r>
      <w:r>
        <w:t xml:space="preserve">licences and registrations and to implement the annual</w:t>
      </w:r>
      <w:r>
        <w:t xml:space="preserve"> </w:t>
      </w:r>
      <w:r>
        <w:t xml:space="preserve">reporting obligations of operators. Obligation of public</w:t>
      </w:r>
      <w:r>
        <w:t xml:space="preserve"> </w:t>
      </w:r>
      <w:r>
        <w:t xml:space="preserve">authorities to ensure the security of the data collected.</w:t>
      </w:r>
      <w:r>
        <w:br/>
      </w:r>
      <w:r>
        <w:t xml:space="preserve">Article 32(1) – data to be communicated by Member States via</w:t>
      </w:r>
      <w:r>
        <w:t xml:space="preserve"> </w:t>
      </w:r>
      <w:r>
        <w:t xml:space="preserve">the database cover both illegal use and legitimate trade</w:t>
      </w:r>
      <w:r>
        <w:br/>
      </w:r>
      <w:r>
        <w:t xml:space="preserve">Article 32a – similar three functions</w:t>
      </w:r>
      <w:r>
        <w:t xml:space="preserve"> </w:t>
      </w:r>
      <w:r>
        <w:t xml:space="preserve">Common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slightly</w:t>
      </w:r>
      <w:r>
        <w:t xml:space="preserve"> </w:t>
      </w:r>
      <w:r>
        <w:t xml:space="preserve">different drafting</w:t>
      </w:r>
      <w:r>
        <w:br/>
      </w:r>
      <w:r>
        <w:t xml:space="preserve">14. Implementing powers</w:t>
      </w:r>
      <w:r>
        <w:t xml:space="preserve"> </w:t>
      </w:r>
      <w:r>
        <w:t xml:space="preserve">22</w:t>
      </w:r>
      <w:r>
        <w:t xml:space="preserve"> </w:t>
      </w:r>
      <w:r>
        <w:t xml:space="preserve">Article 14: implementing acts on:</w:t>
      </w:r>
      <w:r>
        <w:t xml:space="preserve"> </w:t>
      </w:r>
      <w:r>
        <w:t xml:space="preserve">rules on how to provide customer declarations in</w:t>
      </w:r>
      <w:r>
        <w:t xml:space="preserve"> </w:t>
      </w:r>
      <w:r>
        <w:t xml:space="preserve">electronic form</w:t>
      </w:r>
      <w:r>
        <w:t xml:space="preserve"> </w:t>
      </w:r>
      <w:r>
        <w:t xml:space="preserve">rules on how to provide the annual summary of</w:t>
      </w:r>
      <w:r>
        <w:t xml:space="preserve"> </w:t>
      </w:r>
      <w:r>
        <w:t xml:space="preserve">transactions, including, where appropriate, in electronic</w:t>
      </w:r>
      <w:r>
        <w:t xml:space="preserve"> </w:t>
      </w:r>
      <w:r>
        <w:t xml:space="preserve">form to a European database and</w:t>
      </w:r>
      <w:r>
        <w:br/>
      </w:r>
      <w:r>
        <w:t xml:space="preserve">for listing operators and users in the European database</w:t>
      </w:r>
    </w:p>
    <w:p>
      <w:pPr>
        <w:pStyle w:val="BodyText"/>
      </w:pPr>
      <w:r>
        <w:t xml:space="preserve">Article 28 implementing acts on ‘measures to ensure the</w:t>
      </w:r>
      <w:r>
        <w:t xml:space="preserve"> </w:t>
      </w:r>
      <w:r>
        <w:t xml:space="preserve">effective monitoring of trade between the Union and third</w:t>
      </w:r>
      <w:r>
        <w:t xml:space="preserve"> </w:t>
      </w:r>
      <w:r>
        <w:t xml:space="preserve">countries in drug precursors, in particular with regard to the</w:t>
      </w:r>
      <w:r>
        <w:t xml:space="preserve"> </w:t>
      </w:r>
      <w:r>
        <w:t xml:space="preserve">design and use of export and import authorisation form’</w:t>
      </w:r>
      <w:r>
        <w:t xml:space="preserve"> </w:t>
      </w:r>
      <w:r>
        <w:t xml:space="preserve">Complementary provisions – specific to</w:t>
      </w:r>
      <w:r>
        <w:t xml:space="preserve"> </w:t>
      </w:r>
      <w:r>
        <w:t xml:space="preserve">each Regulation</w:t>
      </w:r>
      <w:r>
        <w:t xml:space="preserve"> </w:t>
      </w:r>
      <w:r>
        <w:t xml:space="preserve">23</w:t>
      </w:r>
      <w:r>
        <w:t xml:space="preserve"> </w:t>
      </w:r>
      <w:r>
        <w:t xml:space="preserve">Article 14: procedural rules for granting licences and</w:t>
      </w:r>
      <w:r>
        <w:t xml:space="preserve"> </w:t>
      </w:r>
      <w:r>
        <w:t xml:space="preserve">registrations and</w:t>
      </w:r>
      <w:r>
        <w:br/>
      </w:r>
      <w:r>
        <w:t xml:space="preserve">Article 6(3) – model of license</w:t>
      </w:r>
    </w:p>
    <w:p>
      <w:pPr>
        <w:pStyle w:val="BodyText"/>
      </w:pPr>
      <w:r>
        <w:t xml:space="preserve">Common issues, with slightly different</w:t>
      </w:r>
      <w:r>
        <w:t xml:space="preserve"> </w:t>
      </w:r>
      <w:r>
        <w:t xml:space="preserve">drafting</w:t>
      </w:r>
      <w:r>
        <w:t xml:space="preserve"> </w:t>
      </w:r>
      <w:r>
        <w:t xml:space="preserve">24</w:t>
      </w:r>
      <w:r>
        <w:t xml:space="preserve"> </w:t>
      </w:r>
      <w:r>
        <w:t xml:space="preserve">Article 8(2) communication of annual summary,</w:t>
      </w:r>
      <w:r>
        <w:t xml:space="preserve"> </w:t>
      </w:r>
      <w:r>
        <w:t xml:space="preserve">including via the database</w:t>
      </w:r>
      <w:r>
        <w:t xml:space="preserve"> </w:t>
      </w:r>
      <w:r>
        <w:t xml:space="preserve">Article 9(2) communication of annual summary, including via</w:t>
      </w:r>
      <w:r>
        <w:t xml:space="preserve"> </w:t>
      </w:r>
      <w:r>
        <w:t xml:space="preserve">the database</w:t>
      </w:r>
      <w:r>
        <w:t xml:space="preserve"> </w:t>
      </w:r>
      <w:r>
        <w:t xml:space="preserve">Common issues with similar drafting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Article 11 – list of third countries for which a pre-export</w:t>
      </w:r>
      <w:r>
        <w:t xml:space="preserve"> </w:t>
      </w:r>
      <w:r>
        <w:t xml:space="preserve">notification is needed for Category 2 and Category 3 substances.</w:t>
      </w:r>
      <w:r>
        <w:t xml:space="preserve"> </w:t>
      </w:r>
      <w:r>
        <w:t xml:space="preserve">Specific to external trade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26</w:t>
      </w:r>
      <w:r>
        <w:t xml:space="preserve"> </w:t>
      </w:r>
      <w:r>
        <w:t xml:space="preserve">Article 14a</w:t>
      </w:r>
      <w:r>
        <w:t xml:space="preserve"> </w:t>
      </w:r>
      <w:r>
        <w:t xml:space="preserve">Article 30</w:t>
      </w:r>
      <w:r>
        <w:t xml:space="preserve"> </w:t>
      </w:r>
      <w:r>
        <w:t xml:space="preserve">Common provisions with similar drafting</w:t>
      </w:r>
      <w:r>
        <w:t xml:space="preserve"> </w:t>
      </w:r>
      <w:r>
        <w:t xml:space="preserve">– same committee and same comitology</w:t>
      </w:r>
      <w:r>
        <w:t xml:space="preserve"> </w:t>
      </w:r>
      <w:r>
        <w:t xml:space="preserve">procedure</w:t>
      </w:r>
      <w:r>
        <w:br/>
      </w:r>
      <w:r>
        <w:t xml:space="preserve">15. Delegation of powers</w:t>
      </w:r>
      <w:r>
        <w:t xml:space="preserve"> </w:t>
      </w:r>
      <w:r>
        <w:t xml:space="preserve">27</w:t>
      </w:r>
      <w:r>
        <w:t xml:space="preserve"> </w:t>
      </w:r>
      <w:r>
        <w:t xml:space="preserve">Article 15 ‘in order to adapt Annexes I, II and III to new</w:t>
      </w:r>
      <w:r>
        <w:t xml:space="preserve"> </w:t>
      </w:r>
      <w:r>
        <w:t xml:space="preserve">trends in diversion of drug precursors and to follow any</w:t>
      </w:r>
      <w:r>
        <w:t xml:space="preserve"> </w:t>
      </w:r>
      <w:r>
        <w:t xml:space="preserve">amendment to the tables in the Annex to the United</w:t>
      </w:r>
      <w:r>
        <w:t xml:space="preserve"> </w:t>
      </w:r>
      <w:r>
        <w:t xml:space="preserve">Nations Convention.’</w:t>
      </w:r>
      <w:r>
        <w:t xml:space="preserve"> </w:t>
      </w:r>
      <w:r>
        <w:t xml:space="preserve">Article 30a ‘n order to adapt the Annex hereto to new trends in</w:t>
      </w:r>
      <w:r>
        <w:t xml:space="preserve"> </w:t>
      </w:r>
      <w:r>
        <w:t xml:space="preserve">diversion of drug precursors, in particular substances which can</w:t>
      </w:r>
      <w:r>
        <w:t xml:space="preserve"> </w:t>
      </w:r>
      <w:r>
        <w:t xml:space="preserve">be easily transformed into scheduled substances, and to follow</w:t>
      </w:r>
      <w:r>
        <w:t xml:space="preserve"> </w:t>
      </w:r>
      <w:r>
        <w:t xml:space="preserve">any amendment to the tables in the Annex to the United Nations</w:t>
      </w:r>
      <w:r>
        <w:t xml:space="preserve"> </w:t>
      </w:r>
      <w:r>
        <w:t xml:space="preserve">Convention.’</w:t>
      </w:r>
      <w:r>
        <w:t xml:space="preserve"> </w:t>
      </w:r>
      <w:r>
        <w:t xml:space="preserve">Common</w:t>
      </w:r>
      <w:r>
        <w:t xml:space="preserve"> </w:t>
      </w:r>
      <w:r>
        <w:t xml:space="preserve">provisions</w:t>
      </w:r>
      <w:r>
        <w:t xml:space="preserve"> </w:t>
      </w:r>
      <w:r>
        <w:t xml:space="preserve">with</w:t>
      </w:r>
      <w:r>
        <w:t xml:space="preserve"> </w:t>
      </w:r>
      <w:r>
        <w:t xml:space="preserve">slightly</w:t>
      </w:r>
      <w:r>
        <w:t xml:space="preserve"> </w:t>
      </w:r>
      <w:r>
        <w:t xml:space="preserve">different drafting.</w:t>
      </w:r>
      <w:r>
        <w:br/>
      </w:r>
      <w:r>
        <w:t xml:space="preserve">28</w:t>
      </w:r>
      <w:r>
        <w:t xml:space="preserve"> </w:t>
      </w:r>
      <w:r>
        <w:t xml:space="preserve">Article 13(2)</w:t>
      </w:r>
      <w:r>
        <w:t xml:space="preserve"> </w:t>
      </w:r>
      <w:r>
        <w:t xml:space="preserve">Article 32(2) – conditions for communication of data via the</w:t>
      </w:r>
      <w:r>
        <w:t xml:space="preserve"> </w:t>
      </w:r>
      <w:r>
        <w:t xml:space="preserve">European database</w:t>
      </w:r>
      <w:r>
        <w:t xml:space="preserve"> </w:t>
      </w:r>
      <w:r>
        <w:t xml:space="preserve">Common issue with similar drafting</w:t>
      </w:r>
      <w:r>
        <w:t xml:space="preserve"> </w:t>
      </w:r>
      <w:r>
        <w:t xml:space="preserve">29</w:t>
      </w:r>
      <w:r>
        <w:t xml:space="preserve"> </w:t>
      </w:r>
      <w:r>
        <w:t xml:space="preserve">Article 4(4) – rules on customer declarations</w:t>
      </w:r>
    </w:p>
    <w:p>
      <w:pPr>
        <w:pStyle w:val="BodyText"/>
      </w:pPr>
      <w:r>
        <w:t xml:space="preserve">Specific to internal trade</w:t>
      </w:r>
      <w:r>
        <w:t xml:space="preserve"> </w:t>
      </w:r>
      <w:r>
        <w:t xml:space="preserve">30</w:t>
      </w:r>
      <w:r>
        <w:t xml:space="preserve"> </w:t>
      </w:r>
      <w:r>
        <w:t xml:space="preserve">Article 5 – rules on documentation for mixtures</w:t>
      </w:r>
    </w:p>
    <w:p>
      <w:pPr>
        <w:pStyle w:val="BodyText"/>
      </w:pPr>
      <w:r>
        <w:t xml:space="preserve">Common issue not included in the</w:t>
      </w:r>
      <w:r>
        <w:t xml:space="preserve"> </w:t>
      </w:r>
      <w:r>
        <w:t xml:space="preserve">external trade Regulation</w:t>
      </w:r>
      <w:r>
        <w:t xml:space="preserve"> </w:t>
      </w:r>
      <w:r>
        <w:t xml:space="preserve">31</w:t>
      </w:r>
      <w:r>
        <w:t xml:space="preserve"> </w:t>
      </w:r>
      <w:r>
        <w:t xml:space="preserve">Article 7 – rules on labelling of mixtures</w:t>
      </w:r>
    </w:p>
    <w:p>
      <w:pPr>
        <w:pStyle w:val="BodyText"/>
      </w:pPr>
      <w:r>
        <w:t xml:space="preserve">Common issue not included in the</w:t>
      </w:r>
      <w:r>
        <w:t xml:space="preserve"> </w:t>
      </w:r>
      <w:r>
        <w:t xml:space="preserve">external trade Regulation</w:t>
      </w:r>
      <w:r>
        <w:t xml:space="preserve"> </w:t>
      </w:r>
      <w:r>
        <w:t xml:space="preserve">32</w:t>
      </w:r>
      <w:r>
        <w:t xml:space="preserve"> </w:t>
      </w:r>
      <w:r>
        <w:t xml:space="preserve">Article 3(8) conditions for granting a licence or a</w:t>
      </w:r>
      <w:r>
        <w:t xml:space="preserve"> </w:t>
      </w:r>
      <w:r>
        <w:t xml:space="preserve">registration, including data in the European database on</w:t>
      </w:r>
      <w:r>
        <w:t xml:space="preserve"> </w:t>
      </w:r>
      <w:r>
        <w:t xml:space="preserve">the licences or registrations issued</w:t>
      </w:r>
      <w:r>
        <w:t xml:space="preserve"> </w:t>
      </w:r>
      <w:r>
        <w:t xml:space="preserve">Article 6(1) conditions for granting a license</w:t>
      </w:r>
      <w:r>
        <w:br/>
      </w:r>
      <w:r>
        <w:t xml:space="preserve">Article 7(1) conditions for granting a registration</w:t>
      </w:r>
    </w:p>
    <w:p>
      <w:pPr>
        <w:pStyle w:val="BodyText"/>
      </w:pPr>
      <w:r>
        <w:t xml:space="preserve">Common issue with slightly different</w:t>
      </w:r>
      <w:r>
        <w:t xml:space="preserve"> </w:t>
      </w:r>
      <w:r>
        <w:t xml:space="preserve">drafting</w:t>
      </w:r>
      <w:r>
        <w:t xml:space="preserve"> </w:t>
      </w:r>
      <w:r>
        <w:t xml:space="preserve">33</w:t>
      </w:r>
      <w:r>
        <w:t xml:space="preserve"> </w:t>
      </w:r>
      <w:r>
        <w:t xml:space="preserve">Article 8(2) information to be provided by operators in the</w:t>
      </w:r>
      <w:r>
        <w:t xml:space="preserve"> </w:t>
      </w:r>
      <w:r>
        <w:t xml:space="preserve">annual summary of transactions</w:t>
      </w:r>
      <w:r>
        <w:t xml:space="preserve"> </w:t>
      </w:r>
      <w:r>
        <w:t xml:space="preserve">Article 9(2) information to be provided by operators in the</w:t>
      </w:r>
      <w:r>
        <w:t xml:space="preserve"> </w:t>
      </w:r>
      <w:r>
        <w:t xml:space="preserve">annual summary of transactions</w:t>
      </w:r>
      <w:r>
        <w:t xml:space="preserve"> </w:t>
      </w:r>
      <w:r>
        <w:t xml:space="preserve">Common issue with similar drafting</w:t>
      </w:r>
      <w:r>
        <w:br/>
      </w:r>
      <w:r>
        <w:t xml:space="preserve">34</w:t>
      </w:r>
    </w:p>
    <w:p>
      <w:pPr>
        <w:pStyle w:val="BodyText"/>
      </w:pPr>
      <w:r>
        <w:t xml:space="preserve">Article 8(2) conditions for demonstrating the licit purpose</w:t>
      </w:r>
    </w:p>
    <w:p>
      <w:pPr>
        <w:pStyle w:val="BodyText"/>
      </w:pPr>
      <w:r>
        <w:t xml:space="preserve">Specific to external trade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Article 11 – simplified pre-export notifications</w:t>
      </w:r>
      <w:r>
        <w:t xml:space="preserve"> </w:t>
      </w:r>
      <w:r>
        <w:t xml:space="preserve">Specific to external trade</w:t>
      </w:r>
      <w:r>
        <w:t xml:space="preserve"> </w:t>
      </w:r>
      <w:r>
        <w:t xml:space="preserve">36</w:t>
      </w:r>
    </w:p>
    <w:p>
      <w:pPr>
        <w:pStyle w:val="BodyText"/>
      </w:pPr>
      <w:r>
        <w:t xml:space="preserve">Article 19 – rules on simplified procedures for export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Specific to external trade</w:t>
      </w:r>
      <w:r>
        <w:t xml:space="preserve"> </w:t>
      </w:r>
      <w:r>
        <w:t xml:space="preserve">37</w:t>
      </w:r>
      <w:r>
        <w:t xml:space="preserve"> </w:t>
      </w:r>
      <w:r>
        <w:t xml:space="preserve">Article 15a</w:t>
      </w:r>
      <w:r>
        <w:t xml:space="preserve"> </w:t>
      </w:r>
      <w:r>
        <w:t xml:space="preserve">Article 30b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exercising</w:t>
      </w:r>
      <w:r>
        <w:t xml:space="preserve"> </w:t>
      </w:r>
      <w:r>
        <w:t xml:space="preserve">the</w:t>
      </w:r>
      <w:r>
        <w:t xml:space="preserve"> </w:t>
      </w:r>
      <w:r>
        <w:t xml:space="preserve">empowerment – common provisions with</w:t>
      </w:r>
      <w:r>
        <w:t xml:space="preserve"> </w:t>
      </w:r>
      <w:r>
        <w:t xml:space="preserve">similar drafting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16. Protection of personal data</w:t>
      </w:r>
      <w:r>
        <w:t xml:space="preserve"> </w:t>
      </w:r>
      <w:r>
        <w:t xml:space="preserve">38</w:t>
      </w:r>
      <w:r>
        <w:t xml:space="preserve"> </w:t>
      </w:r>
      <w:r>
        <w:t xml:space="preserve">Article 13a(3) – with reference to the European database</w:t>
      </w:r>
      <w:r>
        <w:t xml:space="preserve"> </w:t>
      </w:r>
      <w:r>
        <w:t xml:space="preserve">on drug precursors</w:t>
      </w:r>
      <w:r>
        <w:br/>
      </w:r>
      <w:r>
        <w:t xml:space="preserve">Article 13b</w:t>
      </w:r>
      <w:r>
        <w:t xml:space="preserve"> </w:t>
      </w:r>
      <w:r>
        <w:t xml:space="preserve">Article 33</w:t>
      </w:r>
      <w:r>
        <w:t xml:space="preserve"> </w:t>
      </w:r>
      <w:r>
        <w:t xml:space="preserve">Common provision with similar drafting.</w:t>
      </w:r>
      <w:r>
        <w:br/>
      </w:r>
      <w:r>
        <w:t xml:space="preserve">17. Penalties</w:t>
      </w:r>
      <w:r>
        <w:t xml:space="preserve"> </w:t>
      </w:r>
      <w:r>
        <w:t xml:space="preserve">39</w:t>
      </w:r>
      <w:r>
        <w:t xml:space="preserve"> </w:t>
      </w:r>
      <w:r>
        <w:t xml:space="preserve">Article 12</w:t>
      </w:r>
      <w:r>
        <w:t xml:space="preserve"> </w:t>
      </w:r>
      <w:r>
        <w:t xml:space="preserve">Article 31</w:t>
      </w:r>
      <w:r>
        <w:t xml:space="preserve"> </w:t>
      </w:r>
      <w:r>
        <w:t xml:space="preserve">Common issue with similar drafting</w:t>
      </w:r>
      <w:r>
        <w:br/>
      </w:r>
      <w:r>
        <w:t xml:space="preserve">18. Evaluation – Commission reports</w:t>
      </w:r>
      <w:r>
        <w:t xml:space="preserve"> </w:t>
      </w:r>
      <w:r>
        <w:t xml:space="preserve">40</w:t>
      </w:r>
      <w:r>
        <w:t xml:space="preserve"> </w:t>
      </w:r>
      <w:r>
        <w:t xml:space="preserve">Article 13(3) summary of the information received in the</w:t>
      </w:r>
      <w:r>
        <w:t xml:space="preserve"> </w:t>
      </w:r>
      <w:r>
        <w:t xml:space="preserve">database is communicated by the Commission to UN each</w:t>
      </w:r>
      <w:r>
        <w:t xml:space="preserve"> </w:t>
      </w:r>
      <w:r>
        <w:t xml:space="preserve">year</w:t>
      </w:r>
      <w:r>
        <w:t xml:space="preserve"> </w:t>
      </w:r>
      <w:r>
        <w:t xml:space="preserve">Article 32(3): Annual report to the UN based on the information</w:t>
      </w:r>
      <w:r>
        <w:t xml:space="preserve"> </w:t>
      </w:r>
      <w:r>
        <w:t xml:space="preserve">provided in the European database</w:t>
      </w:r>
      <w:r>
        <w:br/>
      </w:r>
      <w:r>
        <w:t xml:space="preserve">Common issue with slightly different</w:t>
      </w:r>
      <w:r>
        <w:t xml:space="preserve"> </w:t>
      </w:r>
      <w:r>
        <w:t xml:space="preserve">drafting</w:t>
      </w:r>
      <w:r>
        <w:t xml:space="preserve"> </w:t>
      </w:r>
      <w:r>
        <w:t xml:space="preserve">41</w:t>
      </w:r>
      <w:r>
        <w:t xml:space="preserve"> </w:t>
      </w:r>
      <w:r>
        <w:t xml:space="preserve">Article 16(3)evaluation report 6 years after the 2013</w:t>
      </w:r>
      <w:r>
        <w:t xml:space="preserve"> </w:t>
      </w:r>
      <w:r>
        <w:t xml:space="preserve">revision, with focus on non-scheduled substances</w:t>
      </w:r>
      <w:r>
        <w:t xml:space="preserve"> </w:t>
      </w:r>
      <w:r>
        <w:t xml:space="preserve">Article 32(4):</w:t>
      </w:r>
      <w:r>
        <w:br/>
      </w:r>
      <w:r>
        <w:t xml:space="preserve">Common provision with similar drafting</w:t>
      </w:r>
      <w:r>
        <w:br/>
      </w:r>
      <w:r>
        <w:t xml:space="preserve">19. Repeal and transition</w:t>
      </w:r>
      <w:r>
        <w:t xml:space="preserve"> </w:t>
      </w:r>
      <w:r>
        <w:t xml:space="preserve">42</w:t>
      </w:r>
      <w:r>
        <w:t xml:space="preserve"> </w:t>
      </w:r>
      <w:r>
        <w:t xml:space="preserve">Article 17</w:t>
      </w:r>
      <w:r>
        <w:t xml:space="preserve"> </w:t>
      </w:r>
      <w:r>
        <w:t xml:space="preserve">Article 34</w:t>
      </w:r>
      <w:r>
        <w:t xml:space="preserve"> </w:t>
      </w:r>
      <w:r>
        <w:t xml:space="preserve">The validity of documents issues under</w:t>
      </w:r>
      <w:r>
        <w:t xml:space="preserve"> </w:t>
      </w:r>
      <w:r>
        <w:t xml:space="preserve">the repealed acts relevant for internal</w:t>
      </w:r>
      <w:r>
        <w:t xml:space="preserve"> </w:t>
      </w:r>
      <w:r>
        <w:t xml:space="preserve">market is maintained.</w:t>
      </w:r>
      <w:r>
        <w:br/>
      </w:r>
      <w:r>
        <w:t xml:space="preserve">20. Entry into force</w:t>
      </w:r>
      <w:r>
        <w:t xml:space="preserve"> </w:t>
      </w:r>
      <w:r>
        <w:t xml:space="preserve">43</w:t>
      </w:r>
      <w:r>
        <w:t xml:space="preserve"> </w:t>
      </w:r>
      <w:r>
        <w:t xml:space="preserve">Article 18</w:t>
      </w:r>
      <w:r>
        <w:t xml:space="preserve"> </w:t>
      </w:r>
      <w:r>
        <w:t xml:space="preserve">Article 35</w:t>
      </w:r>
      <w:r>
        <w:t xml:space="preserve"> </w:t>
      </w:r>
      <w:r>
        <w:t xml:space="preserve">Application of the basic Regulations was</w:t>
      </w:r>
      <w:r>
        <w:t xml:space="preserve"> </w:t>
      </w:r>
      <w:r>
        <w:t xml:space="preserve">aligned and postponed with 18 months</w:t>
      </w:r>
      <w:r>
        <w:t xml:space="preserve"> </w:t>
      </w:r>
      <w:r>
        <w:t xml:space="preserve">from the entry into force of the internal</w:t>
      </w:r>
      <w:r>
        <w:t xml:space="preserve"> </w:t>
      </w:r>
      <w:r>
        <w:t xml:space="preserve">market Regulation and 12 more months</w:t>
      </w:r>
      <w:r>
        <w:t xml:space="preserve"> </w:t>
      </w:r>
      <w:r>
        <w:t xml:space="preserve">were set out for the application of the</w:t>
      </w:r>
      <w:r>
        <w:t xml:space="preserve"> </w:t>
      </w:r>
      <w:r>
        <w:t xml:space="preserve">implementing measures.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3.</w:t>
      </w:r>
      <w:r>
        <w:t xml:space="preserve"> </w:t>
      </w:r>
      <w:r>
        <w:t xml:space="preserve">CORRELATION BETWEEN ARTICLE 12 OF THE UN CONVENTION AND THE TWO REGULATIONS</w:t>
      </w:r>
      <w:r>
        <w:t xml:space="preserve"> </w:t>
      </w:r>
      <w:r>
        <w:t xml:space="preserve">This Annex shows how the UN Convention has been implemented by the Regulations, by indicating the corresponding provisions. In the</w:t>
      </w:r>
      <w:r>
        <w:t xml:space="preserve"> </w:t>
      </w:r>
      <w:r>
        <w:t xml:space="preserve">‘Comments column’, it is mentioned, among others, whenever the Regulations go beyond the requirements in the UN Convention.</w:t>
      </w:r>
      <w:r>
        <w:br/>
      </w:r>
      <w:r>
        <w:t xml:space="preserve">Ref.</w:t>
      </w:r>
      <w:r>
        <w:t xml:space="preserve"> </w:t>
      </w:r>
      <w:r>
        <w:t xml:space="preserve">Article 12</w:t>
      </w:r>
      <w:r>
        <w:t xml:space="preserve"> </w:t>
      </w:r>
      <w:r>
        <w:t xml:space="preserve">SUBSTANCES FREQUENTLY USED IN THE ILLICIT</w:t>
      </w:r>
      <w:r>
        <w:t xml:space="preserve"> </w:t>
      </w:r>
      <w:r>
        <w:t xml:space="preserve">MANUFACTURE OF NARCOTIC DRUGS OR PSYCHOTROPIC SUBSTANCES</w:t>
      </w:r>
      <w:r>
        <w:t xml:space="preserve"> </w:t>
      </w:r>
      <w:r>
        <w:t xml:space="preserve">The Regulations</w:t>
      </w:r>
      <w:r>
        <w:t xml:space="preserve"> </w:t>
      </w:r>
      <w:r>
        <w:t xml:space="preserve">Comments</w:t>
      </w:r>
    </w:p>
    <w:p>
      <w:pPr>
        <w:numPr>
          <w:ilvl w:val="0"/>
          <w:numId w:val="1018"/>
        </w:numPr>
      </w:pPr>
      <w:r>
        <w:t xml:space="preserve">The Parties shall take the measures they deem appropriate to prevent diversion of</w:t>
      </w:r>
      <w:r>
        <w:t xml:space="preserve"> </w:t>
      </w:r>
      <w:r>
        <w:t xml:space="preserve">substances in Table I and Table II used for the purpose of illicit manufacture of narcotic drugs</w:t>
      </w:r>
      <w:r>
        <w:t xml:space="preserve"> </w:t>
      </w:r>
      <w:r>
        <w:t xml:space="preserve">or psychotropic substances, and shall co-operate with one another to this end.</w:t>
      </w:r>
      <w:r>
        <w:t xml:space="preserve"> </w:t>
      </w:r>
      <w:r>
        <w:t xml:space="preserve">By</w:t>
      </w:r>
      <w:r>
        <w:t xml:space="preserve"> </w:t>
      </w:r>
      <w:r>
        <w:t xml:space="preserve">adopting</w:t>
      </w:r>
      <w:r>
        <w:t xml:space="preserve"> </w:t>
      </w:r>
      <w:r>
        <w:t xml:space="preserve">Regulations (EC)</w:t>
      </w:r>
      <w:r>
        <w:t xml:space="preserve"> </w:t>
      </w:r>
      <w:r>
        <w:t xml:space="preserve">Nos 273/2004 and</w:t>
      </w:r>
      <w:r>
        <w:t xml:space="preserve"> </w:t>
      </w:r>
      <w:r>
        <w:t xml:space="preserve">111/2005</w:t>
      </w:r>
    </w:p>
    <w:p>
      <w:pPr>
        <w:numPr>
          <w:ilvl w:val="0"/>
          <w:numId w:val="1018"/>
        </w:numPr>
      </w:pPr>
      <w:r>
        <w:t xml:space="preserve">If a Party or the Board has information which in its opinion may require the inclusion of a</w:t>
      </w:r>
      <w:r>
        <w:t xml:space="preserve"> </w:t>
      </w:r>
      <w:r>
        <w:t xml:space="preserve">substance in Table I or Table II, it shall notify the Secretary-General and furnish him with the</w:t>
      </w:r>
      <w:r>
        <w:t xml:space="preserve"> </w:t>
      </w:r>
      <w:r>
        <w:t xml:space="preserve">information in support of that notification. The procedure described in paragraphs 2 to 7 of</w:t>
      </w:r>
      <w:r>
        <w:t xml:space="preserve"> </w:t>
      </w:r>
      <w:r>
        <w:t xml:space="preserve">this article shall also apply when a Party or the Board has information justifying the deletion</w:t>
      </w:r>
      <w:r>
        <w:t xml:space="preserve"> </w:t>
      </w:r>
      <w:r>
        <w:t xml:space="preserve">of a substance from Table I or Table II, or the transfer of a substance from one Table to the</w:t>
      </w:r>
      <w:r>
        <w:t xml:space="preserve"> </w:t>
      </w:r>
      <w:r>
        <w:t xml:space="preserve">other.</w:t>
      </w:r>
    </w:p>
    <w:p>
      <w:pPr>
        <w:pStyle w:val="Compact"/>
        <w:numPr>
          <w:ilvl w:val="0"/>
          <w:numId w:val="1019"/>
        </w:numPr>
      </w:pPr>
      <w:r>
        <w:t xml:space="preserve">Paragraphs 2 to 8 include procedural</w:t>
      </w:r>
      <w:r>
        <w:t xml:space="preserve"> </w:t>
      </w:r>
      <w:r>
        <w:t xml:space="preserve">provision, specific to the legal order</w:t>
      </w:r>
      <w:r>
        <w:t xml:space="preserve"> </w:t>
      </w:r>
      <w:r>
        <w:t xml:space="preserve">of each entity.</w:t>
      </w:r>
      <w:r>
        <w:br/>
      </w:r>
      <w:r>
        <w:t xml:space="preserve">At UN level, the position of the EU</w:t>
      </w:r>
      <w:r>
        <w:t xml:space="preserve"> </w:t>
      </w:r>
      <w:r>
        <w:t xml:space="preserve">is set out in Decisions of the</w:t>
      </w:r>
      <w:r>
        <w:t xml:space="preserve"> </w:t>
      </w:r>
      <w:r>
        <w:t xml:space="preserve">Council,</w:t>
      </w:r>
      <w:r>
        <w:t xml:space="preserve"> </w:t>
      </w:r>
      <w:r>
        <w:t xml:space="preserve">typically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proposals from the Commission in</w:t>
      </w:r>
      <w:r>
        <w:t xml:space="preserve"> </w:t>
      </w:r>
      <w:r>
        <w:t xml:space="preserve">accordance with Article 218(9) of</w:t>
      </w:r>
      <w:r>
        <w:t xml:space="preserve"> </w:t>
      </w:r>
      <w:r>
        <w:t xml:space="preserve">the Treaty on the functioning of the</w:t>
      </w:r>
      <w:r>
        <w:t xml:space="preserve"> </w:t>
      </w:r>
      <w:r>
        <w:t xml:space="preserve">European Union.</w:t>
      </w:r>
      <w:r>
        <w:br/>
      </w:r>
      <w:r>
        <w:t xml:space="preserve">At EU level, updates to the Annexes</w:t>
      </w:r>
      <w:r>
        <w:t xml:space="preserve"> </w:t>
      </w:r>
      <w:r>
        <w:t xml:space="preserve">to the Regulations are introduced by</w:t>
      </w:r>
      <w:r>
        <w:t xml:space="preserve"> </w:t>
      </w:r>
      <w:r>
        <w:t xml:space="preserve">Commission delegated regulations.</w:t>
      </w:r>
    </w:p>
    <w:p>
      <w:pPr>
        <w:pStyle w:val="Compact"/>
        <w:numPr>
          <w:ilvl w:val="0"/>
          <w:numId w:val="1020"/>
        </w:numPr>
      </w:pPr>
      <w:r>
        <w:t xml:space="preserve">The Secretary-General shall transmit such notification, and any information which he</w:t>
      </w:r>
      <w:r>
        <w:t xml:space="preserve"> </w:t>
      </w:r>
      <w:r>
        <w:t xml:space="preserve">considers relevant, to the Parties, to the Commission, and, where notification is made by a</w:t>
      </w:r>
      <w:r>
        <w:t xml:space="preserve"> </w:t>
      </w:r>
      <w:r>
        <w:t xml:space="preserve">Party, to the Board. The Parties shall communicate their comments concerning the notification</w:t>
      </w:r>
      <w:r>
        <w:t xml:space="preserve"> </w:t>
      </w:r>
      <w:r>
        <w:t xml:space="preserve">to the Secretary-General, together with all supplementary information which may assist the</w:t>
      </w:r>
      <w:r>
        <w:t xml:space="preserve"> </w:t>
      </w:r>
      <w:r>
        <w:t xml:space="preserve">Board in establishing an assessment and the Commission in reaching a decision.</w:t>
      </w:r>
    </w:p>
    <w:p>
      <w:pPr>
        <w:pStyle w:val="Compact"/>
        <w:numPr>
          <w:ilvl w:val="0"/>
          <w:numId w:val="1022"/>
        </w:numPr>
      </w:pPr>
      <w:r>
        <w:t xml:space="preserve">If the Board, taking into account the extent, importance and diversity of the licit use of the</w:t>
      </w:r>
      <w:r>
        <w:t xml:space="preserve"> </w:t>
      </w:r>
      <w:r>
        <w:t xml:space="preserve">substance, and the possibility and ease of using alternate substances both for licit purposes</w:t>
      </w:r>
      <w:r>
        <w:t xml:space="preserve"> </w:t>
      </w:r>
      <w:r>
        <w:t xml:space="preserve">and for the illicit manufacture of narcotic drugs or psychotropic substances, finds:</w:t>
      </w:r>
    </w:p>
    <w:p>
      <w:pPr>
        <w:pStyle w:val="Compact"/>
        <w:numPr>
          <w:ilvl w:val="0"/>
          <w:numId w:val="1023"/>
        </w:numPr>
      </w:pPr>
      <w:r>
        <w:t xml:space="preserve">that the substance is frequently used in the illicit manufacture of a narcotic drug or</w:t>
      </w:r>
      <w:r>
        <w:t xml:space="preserve"> </w:t>
      </w:r>
      <w:r>
        <w:t xml:space="preserve">psychotropic substance;</w:t>
      </w:r>
    </w:p>
    <w:p>
      <w:pPr>
        <w:pStyle w:val="Compact"/>
        <w:numPr>
          <w:ilvl w:val="0"/>
          <w:numId w:val="1023"/>
        </w:numPr>
      </w:pPr>
      <w:r>
        <w:t xml:space="preserve">that the volume and extent of the illicit manufacture of a narcotic drug or psychotropic</w:t>
      </w:r>
      <w:r>
        <w:t xml:space="preserve"> </w:t>
      </w:r>
      <w:r>
        <w:t xml:space="preserve">substance creates serious public health or social problems, so as to warrant international</w:t>
      </w:r>
      <w:r>
        <w:t xml:space="preserve"> </w:t>
      </w:r>
      <w:r>
        <w:t xml:space="preserve">action, it shall communicate to the Commission an assessment of the substance, including the</w:t>
      </w:r>
      <w:r>
        <w:t xml:space="preserve"> </w:t>
      </w:r>
      <w:r>
        <w:t xml:space="preserve">likely effect of adding the substance to either Table I or Table II on both licit use and illicit</w:t>
      </w:r>
      <w:r>
        <w:t xml:space="preserve"> </w:t>
      </w:r>
      <w:r>
        <w:t xml:space="preserve">manufacture, together with recommendations of monitoring measures, if any, that would be</w:t>
      </w:r>
      <w:r>
        <w:t xml:space="preserve"> </w:t>
      </w:r>
      <w:r>
        <w:t xml:space="preserve">appropriate in the light of its assessment.</w:t>
      </w:r>
    </w:p>
    <w:p>
      <w:pPr>
        <w:pStyle w:val="FirstParagraph"/>
      </w:pPr>
      <w:r>
        <w:t xml:space="preserve">81</w:t>
      </w:r>
    </w:p>
    <w:p>
      <w:pPr>
        <w:numPr>
          <w:ilvl w:val="0"/>
          <w:numId w:val="1025"/>
        </w:numPr>
      </w:pPr>
      <w:r>
        <w:t xml:space="preserve">The Commission, taking into account the comments submitted by the Parties and the</w:t>
      </w:r>
      <w:r>
        <w:t xml:space="preserve"> </w:t>
      </w:r>
      <w:r>
        <w:t xml:space="preserve">comments and recommendations of the Board, whose assessment shall be determinative as to</w:t>
      </w:r>
      <w:r>
        <w:t xml:space="preserve"> </w:t>
      </w:r>
      <w:r>
        <w:t xml:space="preserve">scientific matters, and also taking into due consideration any other relevant factors, may</w:t>
      </w:r>
      <w:r>
        <w:t xml:space="preserve"> </w:t>
      </w:r>
      <w:r>
        <w:t xml:space="preserve">decide by a two-thirds majority of its members to place a substance in Table I or Table II.</w:t>
      </w:r>
      <w:r>
        <w:t xml:space="preserve"> </w:t>
      </w:r>
      <w:r>
        <w:t xml:space="preserve">–</w:t>
      </w:r>
    </w:p>
    <w:p>
      <w:pPr>
        <w:numPr>
          <w:ilvl w:val="0"/>
          <w:numId w:val="1025"/>
        </w:numPr>
      </w:pPr>
      <w:r>
        <w:t xml:space="preserve">Any decision of the Commission taken pursuant to this article shall be communicated by</w:t>
      </w:r>
      <w:r>
        <w:t xml:space="preserve"> </w:t>
      </w:r>
      <w:r>
        <w:t xml:space="preserve">the Secretary-General to all States and other entities which are, or which are entitled to</w:t>
      </w:r>
      <w:r>
        <w:t xml:space="preserve"> </w:t>
      </w:r>
      <w:r>
        <w:t xml:space="preserve">become, Parties to this Convention, and to the Board. Such decision shall become fully</w:t>
      </w:r>
      <w:r>
        <w:t xml:space="preserve"> </w:t>
      </w:r>
      <w:r>
        <w:t xml:space="preserve">effective with respect to each Party one hundred and eighty days after the date of such</w:t>
      </w:r>
      <w:r>
        <w:t xml:space="preserve"> </w:t>
      </w:r>
      <w:r>
        <w:t xml:space="preserve">communication.</w:t>
      </w:r>
    </w:p>
    <w:p>
      <w:pPr>
        <w:pStyle w:val="Compact"/>
        <w:numPr>
          <w:ilvl w:val="0"/>
          <w:numId w:val="1027"/>
        </w:numPr>
      </w:pPr>
    </w:p>
    <w:p>
      <w:pPr>
        <w:pStyle w:val="Compact"/>
        <w:numPr>
          <w:ilvl w:val="1"/>
          <w:numId w:val="1028"/>
        </w:numPr>
      </w:pPr>
      <w:r>
        <w:t xml:space="preserve">The decisions of the Commission taken under this article shall be subject to review by</w:t>
      </w:r>
      <w:r>
        <w:t xml:space="preserve"> </w:t>
      </w:r>
      <w:r>
        <w:t xml:space="preserve">the Council upon the request of any Party filed within one hundred and eighty days after the</w:t>
      </w:r>
      <w:r>
        <w:t xml:space="preserve"> </w:t>
      </w:r>
      <w:r>
        <w:t xml:space="preserve">date of notification of the decision. The request for review shall be sent to the Secretary-</w:t>
      </w:r>
      <w:r>
        <w:t xml:space="preserve"> </w:t>
      </w:r>
      <w:r>
        <w:t xml:space="preserve">General, together with all relevant information upon which the request for review is based.</w:t>
      </w:r>
    </w:p>
    <w:p>
      <w:pPr>
        <w:pStyle w:val="Compact"/>
        <w:numPr>
          <w:ilvl w:val="0"/>
          <w:numId w:val="1029"/>
        </w:numPr>
      </w:pPr>
      <w:r>
        <w:t xml:space="preserve">The Secretary-General shall transmit copies of the request for review and the relevant</w:t>
      </w:r>
      <w:r>
        <w:t xml:space="preserve"> </w:t>
      </w:r>
      <w:r>
        <w:t xml:space="preserve">information to the Commission, to the Board and to all the Parties, inviting them to submit</w:t>
      </w:r>
      <w:r>
        <w:t xml:space="preserve"> </w:t>
      </w:r>
      <w:r>
        <w:t xml:space="preserve">their comments within ninety days. All comments received shall be submitted to the Council</w:t>
      </w:r>
      <w:r>
        <w:t xml:space="preserve"> </w:t>
      </w:r>
      <w:r>
        <w:t xml:space="preserve">for consideration.</w:t>
      </w:r>
    </w:p>
    <w:p>
      <w:pPr>
        <w:pStyle w:val="Compact"/>
        <w:numPr>
          <w:ilvl w:val="0"/>
          <w:numId w:val="1029"/>
        </w:numPr>
      </w:pPr>
      <w:r>
        <w:t xml:space="preserve">The Council may confirm or reverse the decision of the Commission. Notification of the</w:t>
      </w:r>
      <w:r>
        <w:t xml:space="preserve"> </w:t>
      </w:r>
      <w:r>
        <w:t xml:space="preserve">Council’s decision shall be transmitted to all States and other entities which are, or which are</w:t>
      </w:r>
      <w:r>
        <w:t xml:space="preserve"> </w:t>
      </w:r>
      <w:r>
        <w:t xml:space="preserve">entitled to become, Parties to this Convention, to the Commission and to the Board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</w:pPr>
      <w:r>
        <w:t xml:space="preserve">Without prejudice to the generality of the provisions contained in paragraph 1 of this</w:t>
      </w:r>
      <w:r>
        <w:t xml:space="preserve"> </w:t>
      </w:r>
      <w:r>
        <w:t xml:space="preserve">article and the provisions of the 1961 Convention, the 1961 Convention as amended and the</w:t>
      </w:r>
      <w:r>
        <w:t xml:space="preserve"> </w:t>
      </w:r>
      <w:r>
        <w:t xml:space="preserve">1971 Convention, the Parties shall take the measures they deem appropriate to monitor the</w:t>
      </w:r>
      <w:r>
        <w:t xml:space="preserve"> </w:t>
      </w:r>
      <w:r>
        <w:t xml:space="preserve">manufacture and distribution of substances in Table I and Table II which are carried out</w:t>
      </w:r>
      <w:r>
        <w:t xml:space="preserve"> </w:t>
      </w:r>
      <w:r>
        <w:t xml:space="preserve">within their territory.</w:t>
      </w:r>
    </w:p>
    <w:p>
      <w:pPr>
        <w:pStyle w:val="Compact"/>
        <w:numPr>
          <w:ilvl w:val="0"/>
          <w:numId w:val="1033"/>
        </w:numPr>
      </w:pPr>
      <w:r>
        <w:t xml:space="preserve">To this end, the Parties may:</w:t>
      </w:r>
    </w:p>
    <w:p>
      <w:pPr>
        <w:pStyle w:val="Compact"/>
        <w:numPr>
          <w:ilvl w:val="0"/>
          <w:numId w:val="1033"/>
        </w:numPr>
      </w:pPr>
      <w:r>
        <w:t xml:space="preserve">control all persons and enterprises engaged in the manufacture and distribution of such</w:t>
      </w:r>
      <w:r>
        <w:t xml:space="preserve"> </w:t>
      </w:r>
      <w:r>
        <w:t xml:space="preserve">substances;</w:t>
      </w:r>
    </w:p>
    <w:p>
      <w:pPr>
        <w:pStyle w:val="Compact"/>
        <w:numPr>
          <w:ilvl w:val="0"/>
          <w:numId w:val="1034"/>
        </w:numPr>
      </w:pPr>
      <w:r>
        <w:t xml:space="preserve">control under licence the establishment and premises in which such manufacture or</w:t>
      </w:r>
      <w:r>
        <w:t xml:space="preserve"> </w:t>
      </w:r>
      <w:r>
        <w:t xml:space="preserve">distribution may take place;</w:t>
      </w:r>
    </w:p>
    <w:p>
      <w:pPr>
        <w:pStyle w:val="Compact"/>
        <w:numPr>
          <w:ilvl w:val="0"/>
          <w:numId w:val="1034"/>
        </w:numPr>
      </w:pPr>
      <w:r>
        <w:t xml:space="preserve">require that licensees obtain a permit for conducting the aforesaid operations</w:t>
      </w:r>
    </w:p>
    <w:p>
      <w:pPr>
        <w:pStyle w:val="Compact"/>
        <w:numPr>
          <w:ilvl w:val="0"/>
          <w:numId w:val="1034"/>
        </w:numPr>
      </w:pPr>
      <w:r>
        <w:t xml:space="preserve">prevent the accumulation of such substances in the possession of manufacturers and</w:t>
      </w:r>
      <w:r>
        <w:t xml:space="preserve"> </w:t>
      </w:r>
      <w:r>
        <w:t xml:space="preserve">distributors, in excess of the quantities required for the normal conduct of business and the</w:t>
      </w:r>
      <w:r>
        <w:t xml:space="preserve"> </w:t>
      </w:r>
      <w:r>
        <w:t xml:space="preserve">prevailing market conditions.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Regulation</w:t>
      </w:r>
      <w:r>
        <w:t xml:space="preserve"> </w:t>
      </w:r>
      <w:r>
        <w:t xml:space="preserve">–</w:t>
      </w:r>
      <w:r>
        <w:t xml:space="preserve"> </w:t>
      </w:r>
      <w:r>
        <w:t xml:space="preserve">Articles 3, 4, 5 and</w:t>
      </w:r>
      <w:r>
        <w:t xml:space="preserve"> </w:t>
      </w:r>
      <w:r>
        <w:t xml:space="preserve">8(1) in particular</w:t>
      </w:r>
      <w:r>
        <w:t xml:space="preserve"> </w:t>
      </w:r>
      <w:r>
        <w:t xml:space="preserve">The Regulation sets out rules for</w:t>
      </w:r>
      <w:r>
        <w:t xml:space="preserve"> </w:t>
      </w:r>
      <w:r>
        <w:t xml:space="preserve">licences and registrations. Contrary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</w:t>
      </w:r>
      <w:r>
        <w:t xml:space="preserve"> </w:t>
      </w:r>
      <w:r>
        <w:t xml:space="preserve">Convention,</w:t>
      </w:r>
      <w:r>
        <w:t xml:space="preserve"> </w:t>
      </w:r>
      <w:r>
        <w:t xml:space="preserve">the</w:t>
      </w:r>
      <w:r>
        <w:t xml:space="preserve"> </w:t>
      </w:r>
      <w:r>
        <w:t xml:space="preserve">substances are divided into 3</w:t>
      </w:r>
      <w:r>
        <w:t xml:space="preserve"> </w:t>
      </w:r>
      <w:r>
        <w:t xml:space="preserve">categories,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35"/>
        </w:numPr>
      </w:pPr>
      <w:r>
        <w:t xml:space="preserve">The</w:t>
      </w:r>
      <w:r>
        <w:t xml:space="preserve"> </w:t>
      </w:r>
      <w:r>
        <w:t xml:space="preserve">obligations of Category 3 substances</w:t>
      </w:r>
      <w:r>
        <w:t xml:space="preserve"> </w:t>
      </w:r>
      <w:r>
        <w:t xml:space="preserve">(which includes some Table II</w:t>
      </w:r>
      <w:r>
        <w:t xml:space="preserve"> </w:t>
      </w:r>
      <w:r>
        <w:t xml:space="preserve">substances are lighter than the</w:t>
      </w:r>
      <w:r>
        <w:t xml:space="preserve"> </w:t>
      </w:r>
      <w:r>
        <w:t xml:space="preserve">possibilities in the UN Convention).</w:t>
      </w:r>
      <w:r>
        <w:t xml:space="preserve"> </w:t>
      </w:r>
      <w:r>
        <w:t xml:space="preserve">There are no rules to prevent the</w:t>
      </w:r>
      <w:r>
        <w:t xml:space="preserve"> </w:t>
      </w:r>
      <w:r>
        <w:t xml:space="preserve">accumulation</w:t>
      </w:r>
      <w:r>
        <w:t xml:space="preserve"> </w:t>
      </w:r>
      <w:r>
        <w:t xml:space="preserve">of</w:t>
      </w:r>
      <w:r>
        <w:t xml:space="preserve"> </w:t>
      </w:r>
      <w:r>
        <w:t xml:space="preserve">substances.</w:t>
      </w:r>
      <w:r>
        <w:t xml:space="preserve"> </w:t>
      </w:r>
      <w:r>
        <w:t xml:space="preserve">However, additional obligations are</w:t>
      </w:r>
      <w:r>
        <w:t xml:space="preserve"> </w:t>
      </w:r>
      <w:r>
        <w:t xml:space="preserve">set out, such as keeping documents</w:t>
      </w:r>
      <w:r>
        <w:t xml:space="preserve"> </w:t>
      </w:r>
      <w:r>
        <w:t xml:space="preserve">and labelling, informing</w:t>
      </w:r>
      <w:r>
        <w:t xml:space="preserve"> </w:t>
      </w:r>
      <w:r>
        <w:t xml:space="preserve">about</w:t>
      </w:r>
      <w:r>
        <w:t xml:space="preserve"> </w:t>
      </w:r>
      <w:r>
        <w:t xml:space="preserve">suspicious transactions.</w:t>
      </w:r>
    </w:p>
    <w:p>
      <w:pPr>
        <w:pStyle w:val="FirstParagraph"/>
      </w:pPr>
      <w:r>
        <w:t xml:space="preserve">82</w:t>
      </w:r>
    </w:p>
    <w:p>
      <w:pPr>
        <w:pStyle w:val="Compact"/>
        <w:numPr>
          <w:ilvl w:val="0"/>
          <w:numId w:val="1036"/>
        </w:numPr>
      </w:pPr>
      <w:r>
        <w:t xml:space="preserve">Each Party shall, with respect to substances in Table I and Table II, take the following</w:t>
      </w:r>
      <w:r>
        <w:t xml:space="preserve"> </w:t>
      </w:r>
      <w:r>
        <w:t xml:space="preserve">measures:</w:t>
      </w:r>
    </w:p>
    <w:p>
      <w:pPr>
        <w:numPr>
          <w:ilvl w:val="0"/>
          <w:numId w:val="1037"/>
        </w:numPr>
      </w:pPr>
      <w:r>
        <w:t xml:space="preserve">Establish and maintain a system to monitor international trade in substances in Table I and</w:t>
      </w:r>
      <w:r>
        <w:t xml:space="preserve"> </w:t>
      </w:r>
      <w:r>
        <w:t xml:space="preserve">Table II in order to facilitate the identification of suspicious transactions. Such monitoring</w:t>
      </w:r>
      <w:r>
        <w:t xml:space="preserve"> </w:t>
      </w:r>
      <w:r>
        <w:t xml:space="preserve">systems shall be applied in close co-operation with manufacturers, importers, exporters,</w:t>
      </w:r>
      <w:r>
        <w:t xml:space="preserve"> </w:t>
      </w:r>
      <w:r>
        <w:t xml:space="preserve">wholesalers and retailers, who shall inform the competent authorities of suspicious orders and</w:t>
      </w:r>
      <w:r>
        <w:t xml:space="preserve"> </w:t>
      </w:r>
      <w:r>
        <w:t xml:space="preserve">transactions.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9(1)</w:t>
      </w:r>
    </w:p>
    <w:p>
      <w:pPr>
        <w:numPr>
          <w:ilvl w:val="0"/>
          <w:numId w:val="1037"/>
        </w:numPr>
      </w:pPr>
      <w:r>
        <w:t xml:space="preserve">Provide for the seizure of any substance in Table I or Table II if there is sufficient</w:t>
      </w:r>
      <w:r>
        <w:t xml:space="preserve"> </w:t>
      </w:r>
      <w:r>
        <w:t xml:space="preserve">evidence that it is for use in the illicit manufacture of a narcotic drug or psychotropic</w:t>
      </w:r>
      <w:r>
        <w:t xml:space="preserve"> </w:t>
      </w:r>
      <w:r>
        <w:t xml:space="preserve">substance.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10(1)</w:t>
      </w:r>
      <w:r>
        <w:t xml:space="preserve"> </w:t>
      </w:r>
      <w:r>
        <w:t xml:space="preserve">Rules are also set out for non-</w:t>
      </w:r>
      <w:r>
        <w:t xml:space="preserve"> </w:t>
      </w:r>
      <w:r>
        <w:t xml:space="preserve">scheduled substances in the external</w:t>
      </w:r>
      <w:r>
        <w:t xml:space="preserve"> </w:t>
      </w:r>
      <w:r>
        <w:t xml:space="preserve">trade Regulation.</w:t>
      </w:r>
    </w:p>
    <w:p>
      <w:pPr>
        <w:numPr>
          <w:ilvl w:val="0"/>
          <w:numId w:val="1037"/>
        </w:numPr>
      </w:pPr>
      <w:r>
        <w:t xml:space="preserve">Notify, as soon as possible, the competent authorities and services of the Parties concerned</w:t>
      </w:r>
      <w:r>
        <w:t xml:space="preserve"> </w:t>
      </w:r>
      <w:r>
        <w:t xml:space="preserve">if there is reason to believe that the import, export or transit of a substance in Table I or Table</w:t>
      </w:r>
      <w:r>
        <w:t xml:space="preserve"> </w:t>
      </w:r>
      <w:r>
        <w:t xml:space="preserve">II is destined for the illicit manufacture of narcotic drugs or psychotropic substances,</w:t>
      </w:r>
      <w:r>
        <w:t xml:space="preserve"> </w:t>
      </w:r>
      <w:r>
        <w:t xml:space="preserve">including in particular information about the means of payment and any other essential</w:t>
      </w:r>
      <w:r>
        <w:t xml:space="preserve"> </w:t>
      </w:r>
      <w:r>
        <w:t xml:space="preserve">elements which led to that belief.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9(1)</w:t>
      </w:r>
    </w:p>
    <w:p>
      <w:pPr>
        <w:numPr>
          <w:ilvl w:val="0"/>
          <w:numId w:val="1037"/>
        </w:numPr>
      </w:pPr>
      <w:r>
        <w:t xml:space="preserve">Require that imports and exports be properly labelled and documented. Commercial</w:t>
      </w:r>
      <w:r>
        <w:t xml:space="preserve"> </w:t>
      </w:r>
      <w:r>
        <w:t xml:space="preserve">documents such as invoices, cargo manifests, customs, transport and other shipping</w:t>
      </w:r>
      <w:r>
        <w:t xml:space="preserve"> </w:t>
      </w:r>
      <w:r>
        <w:t xml:space="preserve">documents shall include the names, as stated in Table I or Table II, of the substances being</w:t>
      </w:r>
      <w:r>
        <w:t xml:space="preserve"> </w:t>
      </w:r>
      <w:r>
        <w:t xml:space="preserve">imported or exported, the quantity being imported or exported, and the name and address of</w:t>
      </w:r>
      <w:r>
        <w:t xml:space="preserve"> </w:t>
      </w:r>
      <w:r>
        <w:t xml:space="preserve">the exporter, the importer and, when available, the consignee.</w:t>
      </w:r>
    </w:p>
    <w:p>
      <w:pPr>
        <w:numPr>
          <w:ilvl w:val="0"/>
          <w:numId w:val="1037"/>
        </w:numPr>
      </w:pPr>
      <w:r>
        <w:t xml:space="preserve">Ensure that documents referred to in subparagraph (d) of this paragraph are maintained for</w:t>
      </w:r>
      <w:r>
        <w:t xml:space="preserve"> </w:t>
      </w:r>
      <w:r>
        <w:t xml:space="preserve">a period of not less than two years and may be made available for inspection by the competent</w:t>
      </w:r>
      <w:r>
        <w:t xml:space="preserve"> </w:t>
      </w:r>
      <w:r>
        <w:t xml:space="preserve">authorities.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Articles 3 and 4</w:t>
      </w:r>
      <w:r>
        <w:t xml:space="preserve"> </w:t>
      </w:r>
      <w:r>
        <w:t xml:space="preserve">Documents are to be kept for a</w:t>
      </w:r>
      <w:r>
        <w:t xml:space="preserve"> </w:t>
      </w:r>
      <w:r>
        <w:t xml:space="preserve">longer period than the one set out in</w:t>
      </w:r>
      <w:r>
        <w:t xml:space="preserve"> </w:t>
      </w:r>
      <w:r>
        <w:t xml:space="preserve">the UN Convention.</w:t>
      </w:r>
    </w:p>
    <w:p>
      <w:pPr>
        <w:pStyle w:val="Compact"/>
        <w:numPr>
          <w:ilvl w:val="0"/>
          <w:numId w:val="1038"/>
        </w:numPr>
      </w:pPr>
    </w:p>
    <w:p>
      <w:pPr>
        <w:pStyle w:val="Compact"/>
        <w:numPr>
          <w:ilvl w:val="1"/>
          <w:numId w:val="1039"/>
        </w:numPr>
      </w:pPr>
      <w:r>
        <w:t xml:space="preserve">In addition to the provisions of paragraph 9, and upon request to the Secretary-</w:t>
      </w:r>
      <w:r>
        <w:t xml:space="preserve"> </w:t>
      </w:r>
      <w:r>
        <w:t xml:space="preserve">General by the interested Party, each Party from whose territory a substance in Table I is to be</w:t>
      </w:r>
      <w:r>
        <w:t xml:space="preserve"> </w:t>
      </w:r>
      <w:r>
        <w:t xml:space="preserve">exported shall ensure that, prior to such export, the following information is supplied by its</w:t>
      </w:r>
      <w:r>
        <w:t xml:space="preserve"> </w:t>
      </w:r>
      <w:r>
        <w:t xml:space="preserve">competent authorities of the competent authorities of the importing country:</w:t>
      </w:r>
    </w:p>
    <w:p>
      <w:pPr>
        <w:pStyle w:val="Compact"/>
        <w:numPr>
          <w:ilvl w:val="0"/>
          <w:numId w:val="1040"/>
        </w:numPr>
      </w:pPr>
      <w:r>
        <w:t xml:space="preserve">Name and address of the exporter and importer and, when available, the consignee;</w:t>
      </w:r>
    </w:p>
    <w:p>
      <w:pPr>
        <w:pStyle w:val="Compact"/>
        <w:numPr>
          <w:ilvl w:val="0"/>
          <w:numId w:val="1040"/>
        </w:numPr>
      </w:pPr>
      <w:r>
        <w:t xml:space="preserve">name of the substance in Table I;</w:t>
      </w:r>
    </w:p>
    <w:p>
      <w:pPr>
        <w:pStyle w:val="Compact"/>
        <w:numPr>
          <w:ilvl w:val="0"/>
          <w:numId w:val="1040"/>
        </w:numPr>
      </w:pPr>
      <w:r>
        <w:t xml:space="preserve">quantity of the substance to be exported;</w:t>
      </w:r>
    </w:p>
    <w:p>
      <w:pPr>
        <w:pStyle w:val="Compact"/>
        <w:numPr>
          <w:ilvl w:val="0"/>
          <w:numId w:val="1040"/>
        </w:numPr>
      </w:pPr>
      <w:r>
        <w:t xml:space="preserve">expected point of entry and expected date of dispatch;</w:t>
      </w:r>
    </w:p>
    <w:p>
      <w:pPr>
        <w:pStyle w:val="Compact"/>
        <w:numPr>
          <w:ilvl w:val="0"/>
          <w:numId w:val="1040"/>
        </w:numPr>
      </w:pPr>
      <w:r>
        <w:t xml:space="preserve">any other information which is mutually agreed upon by the Parties.</w:t>
      </w:r>
    </w:p>
    <w:p>
      <w:pPr>
        <w:pStyle w:val="Compact"/>
        <w:numPr>
          <w:ilvl w:val="0"/>
          <w:numId w:val="1041"/>
        </w:numPr>
      </w:pPr>
      <w:r>
        <w:t xml:space="preserve">A Party may adopt more strict or severe measures of control than those provided by this</w:t>
      </w:r>
      <w:r>
        <w:t xml:space="preserve"> </w:t>
      </w:r>
      <w:r>
        <w:t xml:space="preserve">paragraph if, in its opinion, such measures are desirable or necessary.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11</w:t>
      </w:r>
    </w:p>
    <w:p>
      <w:pPr>
        <w:pStyle w:val="FirstParagraph"/>
      </w:pPr>
      <w:r>
        <w:t xml:space="preserve">83</w:t>
      </w:r>
    </w:p>
    <w:p>
      <w:pPr>
        <w:numPr>
          <w:ilvl w:val="0"/>
          <w:numId w:val="1042"/>
        </w:numPr>
      </w:pPr>
      <w:r>
        <w:t xml:space="preserve">Where a Party furnishes information to another Party in accordance with paragraphs 9 and</w:t>
      </w:r>
      <w:r>
        <w:t xml:space="preserve"> </w:t>
      </w:r>
      <w:r>
        <w:t xml:space="preserve">10 of this Article, the Party furnishing such information may require that the Party receiving it</w:t>
      </w:r>
      <w:r>
        <w:t xml:space="preserve"> </w:t>
      </w:r>
      <w:r>
        <w:t xml:space="preserve">keep confidential any trade, business, commercial or professional secret or trade process.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11</w:t>
      </w:r>
    </w:p>
    <w:p>
      <w:pPr>
        <w:numPr>
          <w:ilvl w:val="0"/>
          <w:numId w:val="1042"/>
        </w:numPr>
      </w:pPr>
      <w:r>
        <w:t xml:space="preserve">Each Party shall furnish annually to the Board, in the form and manner provided for by it</w:t>
      </w:r>
      <w:r>
        <w:t xml:space="preserve"> </w:t>
      </w:r>
      <w:r>
        <w:t xml:space="preserve">and on forms made available by it, information on:</w:t>
      </w:r>
    </w:p>
    <w:p>
      <w:pPr>
        <w:pStyle w:val="Compact"/>
        <w:numPr>
          <w:ilvl w:val="0"/>
          <w:numId w:val="1043"/>
        </w:numPr>
      </w:pPr>
      <w:r>
        <w:t xml:space="preserve">The amounts seized of substances in Table I and Table II and, when known, their origin;</w:t>
      </w:r>
    </w:p>
    <w:p>
      <w:pPr>
        <w:pStyle w:val="Compact"/>
        <w:numPr>
          <w:ilvl w:val="0"/>
          <w:numId w:val="1043"/>
        </w:numPr>
      </w:pPr>
      <w:r>
        <w:t xml:space="preserve">Any substance not included in Table I or Table II which is identified as having been used</w:t>
      </w:r>
      <w:r>
        <w:t xml:space="preserve"> </w:t>
      </w:r>
      <w:r>
        <w:t xml:space="preserve">in illicit manufacture of narcotic drugs or psychotropic substances, and which is deemed by</w:t>
      </w:r>
      <w:r>
        <w:t xml:space="preserve"> </w:t>
      </w:r>
      <w:r>
        <w:t xml:space="preserve">the Party to be sufficiently significant to be brought to the attention of the Board;</w:t>
      </w:r>
    </w:p>
    <w:p>
      <w:pPr>
        <w:pStyle w:val="Compact"/>
        <w:numPr>
          <w:ilvl w:val="0"/>
          <w:numId w:val="1043"/>
        </w:numPr>
      </w:pPr>
      <w:r>
        <w:t xml:space="preserve">Methods of diversion and illicit manufacture.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13</w:t>
      </w:r>
      <w:r>
        <w:t xml:space="preserve"> </w:t>
      </w:r>
      <w:r>
        <w:t xml:space="preserve">External</w:t>
      </w:r>
      <w:r>
        <w:t xml:space="preserve"> </w:t>
      </w:r>
      <w:r>
        <w:t xml:space="preserve">trade</w:t>
      </w:r>
      <w:r>
        <w:t xml:space="preserve"> </w:t>
      </w:r>
      <w:r>
        <w:t xml:space="preserve">Regulation,</w:t>
      </w:r>
      <w:r>
        <w:t xml:space="preserve"> </w:t>
      </w:r>
      <w:r>
        <w:t xml:space="preserve">Article 32</w:t>
      </w:r>
      <w:r>
        <w:t xml:space="preserve"> </w:t>
      </w:r>
      <w:r>
        <w:t xml:space="preserve">In addition to the UN requirements,</w:t>
      </w:r>
      <w:r>
        <w:t xml:space="preserve"> </w:t>
      </w:r>
      <w:r>
        <w:t xml:space="preserve">information on legitimate trade is to</w:t>
      </w:r>
      <w:r>
        <w:t xml:space="preserve"> </w:t>
      </w:r>
      <w:r>
        <w:t xml:space="preserve">be collected from operators and</w:t>
      </w:r>
      <w:r>
        <w:t xml:space="preserve"> </w:t>
      </w:r>
      <w:r>
        <w:t xml:space="preserve">transferred by Member States to the</w:t>
      </w:r>
      <w:r>
        <w:t xml:space="preserve"> </w:t>
      </w:r>
      <w:r>
        <w:t xml:space="preserve">Commission.</w:t>
      </w:r>
    </w:p>
    <w:p>
      <w:pPr>
        <w:numPr>
          <w:ilvl w:val="0"/>
          <w:numId w:val="1044"/>
        </w:numPr>
      </w:pPr>
      <w:r>
        <w:t xml:space="preserve">The Board shall report annually to the Commission on the implementation of this article</w:t>
      </w:r>
      <w:r>
        <w:t xml:space="preserve"> </w:t>
      </w:r>
      <w:r>
        <w:t xml:space="preserve">and the Commission shall periodically review the adequacy and propriety of Table I and</w:t>
      </w:r>
      <w:r>
        <w:t xml:space="preserve"> </w:t>
      </w:r>
      <w:r>
        <w:t xml:space="preserve">Table II.</w:t>
      </w:r>
    </w:p>
    <w:p>
      <w:pPr>
        <w:numPr>
          <w:ilvl w:val="0"/>
          <w:numId w:val="1044"/>
        </w:numPr>
      </w:pPr>
      <w:r>
        <w:t xml:space="preserve">The provisions of this article shall not apply to pharmaceutical preparations, nor to other</w:t>
      </w:r>
      <w:r>
        <w:t xml:space="preserve"> </w:t>
      </w:r>
      <w:r>
        <w:t xml:space="preserve">preparations containing substances in Table I or Table II that are compounded in such a way</w:t>
      </w:r>
      <w:r>
        <w:t xml:space="preserve"> </w:t>
      </w:r>
      <w:r>
        <w:t xml:space="preserve">that such substances cannot be easily used or recovered by</w:t>
      </w:r>
      <w:r>
        <w:t xml:space="preserve"> </w:t>
      </w:r>
      <w:r>
        <w:t xml:space="preserve">Both Regulations,</w:t>
      </w:r>
      <w:r>
        <w:t xml:space="preserve"> </w:t>
      </w:r>
      <w:r>
        <w:t xml:space="preserve">Article 2</w:t>
      </w:r>
    </w:p>
    <w:p>
      <w:pPr>
        <w:pStyle w:val="FirstParagraph"/>
      </w:pPr>
      <w:r>
        <w:t xml:space="preserve">84</w:t>
      </w:r>
      <w:r>
        <w:t xml:space="preserve"> </w:t>
      </w:r>
      <w:r>
        <w:t xml:space="preserve">ANNEX 10: SCHEDULED SUBSTANCES, AND THEIR CONTEXT</w:t>
      </w:r>
      <w:r>
        <w:br/>
      </w:r>
      <w:r>
        <w:t xml:space="preserve">1.</w:t>
      </w:r>
      <w:r>
        <w:t xml:space="preserve"> </w:t>
      </w:r>
      <w:r>
        <w:t xml:space="preserve">LIST OF SCHEDULED SUBSTANCES, THEIR LICIT AND ILLICIT USE</w:t>
      </w:r>
      <w:r>
        <w:t xml:space="preserve"> </w:t>
      </w:r>
      <w:r>
        <w:t xml:space="preserve">The following table provides the list of substances that are under control in the EU (the EU</w:t>
      </w:r>
      <w:r>
        <w:t xml:space="preserve"> </w:t>
      </w:r>
      <w:r>
        <w:t xml:space="preserve">schedule) and at the international level (UN Tables), with summary indications on their licit</w:t>
      </w:r>
      <w:r>
        <w:t xml:space="preserve"> </w:t>
      </w:r>
      <w:r>
        <w:t xml:space="preserve">and illicit uses. The table allows to identify the correspondences and the differences between</w:t>
      </w:r>
      <w:r>
        <w:t xml:space="preserve"> </w:t>
      </w:r>
      <w:r>
        <w:t xml:space="preserve">the EU and the UN list.</w:t>
      </w:r>
      <w:r>
        <w:br/>
      </w:r>
      <w:r>
        <w:t xml:space="preserve">A relevant aspect that emerged from the comparison is the different nomenclature used in the</w:t>
      </w:r>
      <w:r>
        <w:t xml:space="preserve"> </w:t>
      </w:r>
      <w:r>
        <w:t xml:space="preserve">identification of substances. To facilitate correspondences internationally accepted coding</w:t>
      </w:r>
      <w:r>
        <w:t xml:space="preserve"> </w:t>
      </w:r>
      <w:r>
        <w:t xml:space="preserve">system are used in both list (e.g. the CAS number, the HS/CN code). However, for new</w:t>
      </w:r>
      <w:r>
        <w:t xml:space="preserve"> </w:t>
      </w:r>
      <w:r>
        <w:t xml:space="preserve">substances – and especially designer precursors – identification and classification are a non-</w:t>
      </w:r>
      <w:r>
        <w:t xml:space="preserve"> </w:t>
      </w:r>
      <w:r>
        <w:t xml:space="preserve">trivial issue as these substances lack a unique identifier and can be trade with non-standardised</w:t>
      </w:r>
      <w:r>
        <w:t xml:space="preserve"> </w:t>
      </w:r>
      <w:r>
        <w:t xml:space="preserve">names and under customs codes that designates large families of chemicals. For background,</w:t>
      </w:r>
      <w:r>
        <w:t xml:space="preserve"> </w:t>
      </w:r>
      <w:r>
        <w:t xml:space="preserve">the following text box provides an overview of the relevant nomenclatures and code systems</w:t>
      </w:r>
      <w:r>
        <w:t xml:space="preserve"> </w:t>
      </w:r>
      <w:r>
        <w:t xml:space="preserve">of chemicals used in the existing control system.</w:t>
      </w:r>
    </w:p>
    <w:p>
      <w:pPr>
        <w:pStyle w:val="BodyText"/>
      </w:pPr>
      <w:r>
        <w:t xml:space="preserve">Summary of relevant nomenclatures and code systems of chemicals</w:t>
      </w:r>
      <w:r>
        <w:t xml:space="preserve"> </w:t>
      </w:r>
      <w:r>
        <w:t xml:space="preserve">The name and reference codes of chemical substances may vary depending on the context in which they are used.</w:t>
      </w:r>
      <w:r>
        <w:t xml:space="preserve"> </w:t>
      </w:r>
      <w:r>
        <w:t xml:space="preserve">For what concerns drug precursors, there are several nomenclatures and codes used for substances.</w:t>
      </w:r>
      <w:r>
        <w:t xml:space="preserve"> </w:t>
      </w:r>
      <w:r>
        <w:t xml:space="preserve">The chemical name of one substance, based on its molecular structure, is established at the international level by</w:t>
      </w:r>
      <w:r>
        <w:t xml:space="preserve"> </w:t>
      </w:r>
      <w:r>
        <w:t xml:space="preserve">the International Union of Pure and Applied Chemistry (IUPAC). However, at the international level the</w:t>
      </w:r>
      <w:r>
        <w:t xml:space="preserve"> </w:t>
      </w:r>
      <w:r>
        <w:t xml:space="preserve">scheduling process of precursors follows a reference dictionary, i.e., the UNODC Multilingual Dictionary of</w:t>
      </w:r>
      <w:r>
        <w:t xml:space="preserve"> </w:t>
      </w:r>
      <w:r>
        <w:t xml:space="preserve">Narcotic Drugs and Psychotropic Substances under International Control. It contains also information on</w:t>
      </w:r>
      <w:r>
        <w:t xml:space="preserve"> </w:t>
      </w:r>
      <w:r>
        <w:t xml:space="preserve">name variants, including synonyms, common, generic and trade names. UNODC assigns most “principal names”</w:t>
      </w:r>
      <w:r>
        <w:t xml:space="preserve"> </w:t>
      </w:r>
      <w:r>
        <w:t xml:space="preserve">to scheduled precursors, following the International Non-proprietary Names (INN) System for</w:t>
      </w:r>
      <w:r>
        <w:t xml:space="preserve"> </w:t>
      </w:r>
      <w:r>
        <w:t xml:space="preserve">Pharmaceutical Substances developed by WHO. In cases where INN are not available, other non-proprietary,</w:t>
      </w:r>
      <w:r>
        <w:t xml:space="preserve"> </w:t>
      </w:r>
      <w:r>
        <w:t xml:space="preserve">generic or trivial names may be used. In the UN scheduling, each name is then linked to a HS code and a CAS</w:t>
      </w:r>
      <w:r>
        <w:t xml:space="preserve"> </w:t>
      </w:r>
      <w:r>
        <w:t xml:space="preserve">code, which are the two main coding systems used for identifying substances in trade and statistics, globally:</w:t>
      </w:r>
      <w:r>
        <w:br/>
      </w:r>
      <w:r>
        <w:t xml:space="preserve">•</w:t>
      </w:r>
      <w:r>
        <w:t xml:space="preserve"> </w:t>
      </w:r>
      <w:r>
        <w:t xml:space="preserve">HS (Harmonised Commodity Description and Coding System). It is the international system to classify</w:t>
      </w:r>
      <w:r>
        <w:br/>
      </w:r>
      <w:r>
        <w:t xml:space="preserve">goods developed by the World Customs Organisation (WCO). It is a classification system of around 5.000</w:t>
      </w:r>
      <w:r>
        <w:t xml:space="preserve"> </w:t>
      </w:r>
      <w:r>
        <w:t xml:space="preserve">six-digit product categories. More than 200 countries use the HS system as a basis for customs tariffs and the</w:t>
      </w:r>
      <w:r>
        <w:t xml:space="preserve"> </w:t>
      </w:r>
      <w:r>
        <w:t xml:space="preserve">collection of statistical data. It is updated every 5 years (latest update in 2022).</w:t>
      </w:r>
      <w:r>
        <w:t xml:space="preserve"> </w:t>
      </w:r>
      <w:r>
        <w:t xml:space="preserve">•</w:t>
      </w:r>
      <w:r>
        <w:t xml:space="preserve"> </w:t>
      </w:r>
      <w:r>
        <w:t xml:space="preserve">CAS RN (Chemical Abstracts Service Registry Number). It is a unique and unambiguous identifier</w:t>
      </w:r>
      <w:r>
        <w:t xml:space="preserve"> </w:t>
      </w:r>
      <w:r>
        <w:t xml:space="preserve">assigned by the American Chemical Society to every chemical substance described in the scientific literature.</w:t>
      </w:r>
      <w:r>
        <w:t xml:space="preserve"> </w:t>
      </w:r>
      <w:r>
        <w:t xml:space="preserve">The Register is updated daily, and the registration of substances are not dependent upon any system of</w:t>
      </w:r>
      <w:r>
        <w:t xml:space="preserve"> </w:t>
      </w:r>
      <w:r>
        <w:t xml:space="preserve">chemical nomenclature. No specific information other than the identifier are linked to the substances,</w:t>
      </w:r>
      <w:r>
        <w:t xml:space="preserve"> </w:t>
      </w:r>
      <w:r>
        <w:t xml:space="preserve">however, the CAS number is the one referenced at the UN level for identifying scheduled substances. On top</w:t>
      </w:r>
      <w:r>
        <w:t xml:space="preserve"> </w:t>
      </w:r>
      <w:r>
        <w:t xml:space="preserve">of the CAS number, the INCB assigns to scheduled substances another specific code, the IDS code, which</w:t>
      </w:r>
      <w:r>
        <w:t xml:space="preserve"> </w:t>
      </w:r>
      <w:r>
        <w:t xml:space="preserve">has mostly an internal use.</w:t>
      </w:r>
    </w:p>
    <w:p>
      <w:pPr>
        <w:pStyle w:val="BodyText"/>
      </w:pPr>
      <w:r>
        <w:t xml:space="preserve">At the European level, names of scheduled substances follow the “principal names” assigned in the UN</w:t>
      </w:r>
      <w:r>
        <w:t xml:space="preserve"> </w:t>
      </w:r>
      <w:r>
        <w:t xml:space="preserve">scheduling lists. When a substance is scheduled at the EU level, but not at the international level, it is given a</w:t>
      </w:r>
      <w:r>
        <w:t xml:space="preserve"> </w:t>
      </w:r>
      <w:r>
        <w:t xml:space="preserve">name following the IUPAC nomenclature (e.g., diethyl (phenylacetyl) propanedioate, or the Methyl 2-methyl-</w:t>
      </w:r>
      <w:r>
        <w:t xml:space="preserve"> </w:t>
      </w:r>
      <w:r>
        <w:t xml:space="preserve">3-phenyloxirane-2-carboxylate).</w:t>
      </w:r>
      <w:r>
        <w:br/>
      </w:r>
      <w:r>
        <w:t xml:space="preserve">The HS code is used in the European context in an extended version, the CN (Combined Nomenclature)</w:t>
      </w:r>
      <w:r>
        <w:t xml:space="preserve"> </w:t>
      </w:r>
      <w:r>
        <w:t xml:space="preserve">Code, which extends the former to an eight-digit code. This EU coding system, managed by DG TAXUD and</w:t>
      </w:r>
      <w:r>
        <w:t xml:space="preserve"> </w:t>
      </w:r>
      <w:r>
        <w:t xml:space="preserve">Eurostat serves the common customs tariff and provides statistics for trade within the EU and between the EU and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rest of the world. The list of CN codes is updated once a year through a specific legal act, taking into account</w:t>
      </w:r>
      <w:r>
        <w:t xml:space="preserve"> </w:t>
      </w:r>
      <w:r>
        <w:t xml:space="preserve">both changes at WCO level (in the HS system) and specific changes needed at EU level. Changes to CN codes</w:t>
      </w:r>
      <w:r>
        <w:t xml:space="preserve"> </w:t>
      </w:r>
      <w:r>
        <w:t xml:space="preserve">should be approved by DG TAXUD and Eurostat together with all the interested parties: (i) the Customs Code</w:t>
      </w:r>
      <w:r>
        <w:t xml:space="preserve"> </w:t>
      </w:r>
      <w:r>
        <w:t xml:space="preserve">Committee, Tariff and Statistical Nomenclature Section, and the (ii) European Federations acting in their capacity</w:t>
      </w:r>
      <w:r>
        <w:t xml:space="preserve"> </w:t>
      </w:r>
      <w:r>
        <w:t xml:space="preserve">as representatives of economic operators using the CN and as representatives for providers and users of trade</w:t>
      </w:r>
      <w:r>
        <w:t xml:space="preserve"> </w:t>
      </w:r>
      <w:r>
        <w:t xml:space="preserve">statistics based on the CN.</w:t>
      </w:r>
      <w:r>
        <w:t xml:space="preserve"> </w:t>
      </w:r>
      <w:r>
        <w:t xml:space="preserve">Moreover, DG TAXUD manages a comprehensive inventory called ECICS (European Customs Inventory of</w:t>
      </w:r>
      <w:r>
        <w:t xml:space="preserve"> </w:t>
      </w:r>
      <w:r>
        <w:t xml:space="preserve">Chemical Substances) which allows anyone to (i) identify chemicals according to their IUPAC name (ii) classify</w:t>
      </w:r>
      <w:r>
        <w:t xml:space="preserve"> </w:t>
      </w:r>
      <w:r>
        <w:t xml:space="preserve">them according to the CN code, and (iii) translate them in all EU languages. For each chemical the inventory</w:t>
      </w:r>
      <w:r>
        <w:t xml:space="preserve"> </w:t>
      </w:r>
      <w:r>
        <w:t xml:space="preserve">provides also:</w:t>
      </w:r>
      <w:r>
        <w:br/>
      </w:r>
      <w:r>
        <w:t xml:space="preserve">•</w:t>
      </w:r>
      <w:r>
        <w:t xml:space="preserve"> </w:t>
      </w:r>
      <w:r>
        <w:t xml:space="preserve">the CAS RN,</w:t>
      </w:r>
      <w:r>
        <w:br/>
      </w:r>
      <w:r>
        <w:t xml:space="preserve">•</w:t>
      </w:r>
      <w:r>
        <w:t xml:space="preserve"> </w:t>
      </w:r>
      <w:r>
        <w:t xml:space="preserve">INN names as well as known other common names and synonyms,</w:t>
      </w:r>
      <w:r>
        <w:t xml:space="preserve"> </w:t>
      </w:r>
      <w:r>
        <w:t xml:space="preserve">•</w:t>
      </w:r>
      <w:r>
        <w:t xml:space="preserve"> </w:t>
      </w:r>
      <w:r>
        <w:t xml:space="preserve">if available, the EC number used by ECHA in the EINECS (European Inventory of Existing Commercial</w:t>
      </w:r>
      <w:r>
        <w:t xml:space="preserve"> </w:t>
      </w:r>
      <w:r>
        <w:t xml:space="preserve">chemical Substances),</w:t>
      </w:r>
      <w:r>
        <w:br/>
      </w:r>
      <w:r>
        <w:t xml:space="preserve">•</w:t>
      </w:r>
      <w:r>
        <w:t xml:space="preserve"> </w:t>
      </w:r>
      <w:r>
        <w:t xml:space="preserve">if available, the UN code given to hazardous chemicals by the United Nations Committee of Experts on the</w:t>
      </w:r>
      <w:r>
        <w:t xml:space="preserve"> </w:t>
      </w:r>
      <w:r>
        <w:t xml:space="preserve">Transport of Dangerous Goods.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I</w:t>
      </w:r>
      <w:r>
        <w:t xml:space="preserve"> </w:t>
      </w:r>
      <w:r>
        <w:t xml:space="preserve">1-phenyl-2-</w:t>
      </w:r>
      <w:r>
        <w:t xml:space="preserve"> </w:t>
      </w:r>
      <w:r>
        <w:t xml:space="preserve">propanone (BMK)</w:t>
      </w:r>
      <w:r>
        <w:t xml:space="preserve"> </w:t>
      </w:r>
      <w:r>
        <w:t xml:space="preserve">2914 31 00</w:t>
      </w:r>
      <w:r>
        <w:t xml:space="preserve"> </w:t>
      </w:r>
      <w:r>
        <w:t xml:space="preserve">00</w:t>
      </w:r>
      <w:r>
        <w:t xml:space="preserve"> </w:t>
      </w:r>
      <w:r>
        <w:t xml:space="preserve">103-79-7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Used in the chemical and</w:t>
      </w:r>
      <w:r>
        <w:t xml:space="preserve"> </w:t>
      </w:r>
      <w:r>
        <w:t xml:space="preserve">pharmaceutical industries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2.0</w:t>
      </w:r>
      <w:r>
        <w:t xml:space="preserve"> </w:t>
      </w:r>
      <w:r>
        <w:t xml:space="preserve">8.5</w:t>
      </w:r>
      <w:r>
        <w:t xml:space="preserve"> </w:t>
      </w:r>
      <w:r>
        <w:t xml:space="preserve">I</w:t>
      </w:r>
      <w:r>
        <w:t xml:space="preserve"> </w:t>
      </w:r>
      <w:r>
        <w:t xml:space="preserve">2-methyl-3-</w:t>
      </w:r>
      <w:r>
        <w:t xml:space="preserve"> </w:t>
      </w:r>
      <w:r>
        <w:t xml:space="preserve">phenyloxirane-2-</w:t>
      </w:r>
      <w:r>
        <w:t xml:space="preserve"> </w:t>
      </w:r>
      <w:r>
        <w:t xml:space="preserve">carboxylic acid</w:t>
      </w:r>
      <w:r>
        <w:t xml:space="preserve"> </w:t>
      </w:r>
      <w:r>
        <w:t xml:space="preserve">(BMK glycidic</w:t>
      </w:r>
      <w:r>
        <w:t xml:space="preserve"> </w:t>
      </w:r>
      <w:r>
        <w:t xml:space="preserve">acid)</w:t>
      </w:r>
      <w:r>
        <w:t xml:space="preserve"> </w:t>
      </w:r>
      <w:r>
        <w:t xml:space="preserve">2918 99 90</w:t>
      </w:r>
      <w:r>
        <w:t xml:space="preserve"> </w:t>
      </w:r>
      <w:r>
        <w:t xml:space="preserve">63</w:t>
      </w:r>
      <w:r>
        <w:t xml:space="preserve"> </w:t>
      </w:r>
      <w:r>
        <w:t xml:space="preserve">25547-</w:t>
      </w:r>
      <w:r>
        <w:t xml:space="preserve"> </w:t>
      </w:r>
      <w:r>
        <w:t xml:space="preserve">51-7</w:t>
      </w:r>
      <w:r>
        <w:t xml:space="preserve"> </w:t>
      </w:r>
      <w:r>
        <w:t xml:space="preserve">2020-07</w:t>
      </w:r>
      <w:r>
        <w:t xml:space="preserve"> </w:t>
      </w:r>
      <w:r>
        <w:t xml:space="preserve">Expanded by</w:t>
      </w:r>
      <w:r>
        <w:t xml:space="preserve"> </w:t>
      </w:r>
      <w:r>
        <w:t xml:space="preserve">DelReg 2024/1331:</w:t>
      </w:r>
      <w:r>
        <w:t xml:space="preserve"> </w:t>
      </w:r>
      <w:r>
        <w:t xml:space="preserve">its ethyl, methyl</w:t>
      </w:r>
      <w:r>
        <w:t xml:space="preserve"> </w:t>
      </w:r>
      <w:r>
        <w:t xml:space="preserve">(CAS No 80532-</w:t>
      </w:r>
      <w:r>
        <w:t xml:space="preserve"> </w:t>
      </w:r>
      <w:r>
        <w:t xml:space="preserve">66-7), propyl,</w:t>
      </w:r>
      <w:r>
        <w:t xml:space="preserve"> </w:t>
      </w:r>
      <w:r>
        <w:t xml:space="preserve">isopropyl, butyl,</w:t>
      </w:r>
      <w:r>
        <w:t xml:space="preserve"> </w:t>
      </w:r>
      <w:r>
        <w:t xml:space="preserve">isobutyl, sec-butyl</w:t>
      </w:r>
      <w:r>
        <w:t xml:space="preserve"> </w:t>
      </w:r>
      <w:r>
        <w:t xml:space="preserve">and tert-butyl</w:t>
      </w:r>
      <w:r>
        <w:t xml:space="preserve"> </w:t>
      </w:r>
      <w:r>
        <w:t xml:space="preserve">esters, with the</w:t>
      </w:r>
      <w:r>
        <w:t xml:space="preserve"> </w:t>
      </w:r>
      <w:r>
        <w:t xml:space="preserve">same CN code as</w:t>
      </w:r>
      <w:r>
        <w:t xml:space="preserve"> </w:t>
      </w:r>
      <w:r>
        <w:t xml:space="preserve">BMK glycidic acid.</w:t>
      </w:r>
      <w:r>
        <w:t xml:space="preserve"> </w:t>
      </w:r>
      <w:r>
        <w:t xml:space="preserve">I</w:t>
      </w:r>
      <w:r>
        <w:t xml:space="preserve"> </w:t>
      </w:r>
      <w:r>
        <w:t xml:space="preserve">2024-03</w:t>
      </w:r>
      <w:r>
        <w:t xml:space="preserve"> </w:t>
      </w:r>
      <w:r>
        <w:t xml:space="preserve">Including of</w:t>
      </w:r>
      <w:r>
        <w:t xml:space="preserve"> </w:t>
      </w:r>
      <w:r>
        <w:t xml:space="preserve">methyl,</w:t>
      </w:r>
      <w:r>
        <w:t xml:space="preserve"> </w:t>
      </w:r>
      <w:r>
        <w:t xml:space="preserve">butyl, ethyl,</w:t>
      </w:r>
      <w:r>
        <w:t xml:space="preserve"> </w:t>
      </w:r>
      <w:r>
        <w:t xml:space="preserve">propyl,</w:t>
      </w:r>
      <w:r>
        <w:t xml:space="preserve"> </w:t>
      </w:r>
      <w:r>
        <w:t xml:space="preserve">isopropyl,</w:t>
      </w:r>
      <w:r>
        <w:t xml:space="preserve"> </w:t>
      </w:r>
      <w:r>
        <w:t xml:space="preserve">isobutyl, sec-</w:t>
      </w:r>
      <w:r>
        <w:t xml:space="preserve"> </w:t>
      </w:r>
      <w:r>
        <w:t xml:space="preserve">butyl, tert-</w:t>
      </w:r>
      <w:r>
        <w:t xml:space="preserve"> </w:t>
      </w:r>
      <w:r>
        <w:t xml:space="preserve">butyl ester</w:t>
      </w:r>
      <w:r>
        <w:br/>
      </w: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</w:t>
      </w:r>
      <w:r>
        <w:t xml:space="preserve"> </w:t>
      </w:r>
      <w:r>
        <w:t xml:space="preserve">Methyl 2-methyl-3-</w:t>
      </w:r>
      <w:r>
        <w:t xml:space="preserve"> </w:t>
      </w:r>
      <w:r>
        <w:t xml:space="preserve">phenyloxirane-2-</w:t>
      </w:r>
      <w:r>
        <w:t xml:space="preserve"> </w:t>
      </w:r>
      <w:r>
        <w:t xml:space="preserve">carboxylate (BMK</w:t>
      </w:r>
      <w:r>
        <w:t xml:space="preserve"> </w:t>
      </w:r>
      <w:r>
        <w:t xml:space="preserve">methyl glycidate)</w:t>
      </w:r>
      <w:r>
        <w:t xml:space="preserve"> </w:t>
      </w:r>
      <w:r>
        <w:t xml:space="preserve">2918 99 90</w:t>
      </w:r>
      <w:r>
        <w:t xml:space="preserve"> </w:t>
      </w:r>
      <w:r>
        <w:t xml:space="preserve">90</w:t>
      </w:r>
      <w:r>
        <w:t xml:space="preserve"> </w:t>
      </w:r>
      <w:r>
        <w:t xml:space="preserve">80532-</w:t>
      </w:r>
      <w:r>
        <w:t xml:space="preserve"> </w:t>
      </w:r>
      <w:r>
        <w:t xml:space="preserve">66-7</w:t>
      </w:r>
      <w:r>
        <w:t xml:space="preserve"> </w:t>
      </w:r>
      <w:r>
        <w:t xml:space="preserve">2020-07</w:t>
      </w:r>
      <w:r>
        <w:t xml:space="preserve"> </w:t>
      </w:r>
      <w:r>
        <w:t xml:space="preserve">Deleted under</w:t>
      </w:r>
      <w:r>
        <w:t xml:space="preserve"> </w:t>
      </w:r>
      <w:r>
        <w:t xml:space="preserve">DelReg 2024/1331</w:t>
      </w:r>
      <w:r>
        <w:t xml:space="preserve"> </w:t>
      </w:r>
      <w:r>
        <w:t xml:space="preserve">(moved under</w:t>
      </w:r>
      <w:r>
        <w:t xml:space="preserve"> </w:t>
      </w:r>
      <w:r>
        <w:t xml:space="preserve">BMK Glycidic</w:t>
      </w:r>
      <w:r>
        <w:t xml:space="preserve"> </w:t>
      </w:r>
      <w:r>
        <w:t xml:space="preserve">Acid)</w:t>
      </w:r>
    </w:p>
    <w:p>
      <w:pPr>
        <w:pStyle w:val="BodyText"/>
      </w:pP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</w:t>
      </w:r>
      <w:r>
        <w:t xml:space="preserve"> </w:t>
      </w:r>
      <w:r>
        <w:t xml:space="preserve">Alpha-</w:t>
      </w:r>
      <w:r>
        <w:t xml:space="preserve"> </w:t>
      </w:r>
      <w:r>
        <w:t xml:space="preserve">phenylacetoacetami</w:t>
      </w:r>
      <w:r>
        <w:t xml:space="preserve"> </w:t>
      </w:r>
      <w:r>
        <w:t xml:space="preserve">de (APAA)</w:t>
      </w:r>
      <w:r>
        <w:t xml:space="preserve"> </w:t>
      </w:r>
      <w:r>
        <w:t xml:space="preserve">2924 29 70</w:t>
      </w:r>
      <w:r>
        <w:t xml:space="preserve"> </w:t>
      </w:r>
      <w:r>
        <w:t xml:space="preserve">07</w:t>
      </w:r>
      <w:r>
        <w:t xml:space="preserve"> </w:t>
      </w:r>
      <w:r>
        <w:t xml:space="preserve">4433-77-</w:t>
      </w:r>
      <w:r>
        <w:t xml:space="preserve"> </w:t>
      </w:r>
      <w:r>
        <w:t xml:space="preserve">6</w:t>
      </w:r>
      <w:r>
        <w:t xml:space="preserve"> </w:t>
      </w:r>
      <w:r>
        <w:t xml:space="preserve">2020-07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2019-03</w:t>
      </w:r>
      <w:r>
        <w:br/>
      </w: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None, except R&amp;D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Alpha-</w:t>
      </w:r>
      <w:r>
        <w:t xml:space="preserve"> </w:t>
      </w:r>
      <w:r>
        <w:t xml:space="preserve">phenylacetoacetoni</w:t>
      </w:r>
      <w:r>
        <w:t xml:space="preserve"> </w:t>
      </w:r>
      <w:r>
        <w:t xml:space="preserve">trile (APAAN)</w:t>
      </w:r>
      <w:r>
        <w:t xml:space="preserve"> </w:t>
      </w:r>
      <w:r>
        <w:t xml:space="preserve">2926 40 00</w:t>
      </w:r>
      <w:r>
        <w:t xml:space="preserve"> </w:t>
      </w:r>
      <w:r>
        <w:t xml:space="preserve">00</w:t>
      </w:r>
      <w:r>
        <w:t xml:space="preserve"> </w:t>
      </w:r>
      <w:r>
        <w:t xml:space="preserve">4468-48-</w:t>
      </w:r>
      <w:r>
        <w:t xml:space="preserve"> </w:t>
      </w:r>
      <w:r>
        <w:t xml:space="preserve">8</w:t>
      </w:r>
      <w:r>
        <w:t xml:space="preserve"> </w:t>
      </w:r>
      <w:r>
        <w:t xml:space="preserve">2013-11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2014-03</w:t>
      </w:r>
      <w:r>
        <w:br/>
      </w: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None, except R&amp;D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Methyl alpha-</w:t>
      </w:r>
      <w:r>
        <w:t xml:space="preserve"> </w:t>
      </w:r>
      <w:r>
        <w:t xml:space="preserve">phenylacetoacetate</w:t>
      </w:r>
      <w:r>
        <w:t xml:space="preserve"> </w:t>
      </w:r>
      <w:r>
        <w:t xml:space="preserve">(MAPA)</w:t>
      </w:r>
      <w:r>
        <w:t xml:space="preserve"> </w:t>
      </w:r>
      <w:r>
        <w:t xml:space="preserve">2918 30 00</w:t>
      </w:r>
      <w:r>
        <w:t xml:space="preserve"> </w:t>
      </w:r>
      <w:r>
        <w:t xml:space="preserve">37</w:t>
      </w:r>
      <w:r>
        <w:t xml:space="preserve"> </w:t>
      </w:r>
      <w:r>
        <w:t xml:space="preserve">16648-</w:t>
      </w:r>
      <w:r>
        <w:t xml:space="preserve"> </w:t>
      </w:r>
      <w:r>
        <w:t xml:space="preserve">44-5</w:t>
      </w:r>
      <w:r>
        <w:t xml:space="preserve"> </w:t>
      </w:r>
      <w:r>
        <w:t xml:space="preserve">2020-07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2020-03</w:t>
      </w:r>
      <w:r>
        <w:br/>
      </w: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None, except R&amp;D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42 Source: EU Drug Precursors database, Form D reporting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I</w:t>
      </w:r>
      <w:r>
        <w:t xml:space="preserve"> </w:t>
      </w:r>
      <w:r>
        <w:t xml:space="preserve">Diethyl</w:t>
      </w:r>
      <w:r>
        <w:t xml:space="preserve"> </w:t>
      </w:r>
      <w:r>
        <w:t xml:space="preserve">(phenylacetyl)</w:t>
      </w:r>
      <w:r>
        <w:t xml:space="preserve"> </w:t>
      </w:r>
      <w:r>
        <w:t xml:space="preserve">propanedioate</w:t>
      </w:r>
      <w:r>
        <w:t xml:space="preserve"> </w:t>
      </w:r>
      <w:r>
        <w:t xml:space="preserve">(DEPAPD)</w:t>
      </w:r>
      <w:r>
        <w:t xml:space="preserve"> </w:t>
      </w:r>
      <w:r>
        <w:t xml:space="preserve">2918 30 00</w:t>
      </w:r>
      <w:r>
        <w:t xml:space="preserve"> </w:t>
      </w:r>
      <w:r>
        <w:t xml:space="preserve">27</w:t>
      </w:r>
      <w:r>
        <w:t xml:space="preserve"> </w:t>
      </w:r>
      <w:r>
        <w:t xml:space="preserve">20320-</w:t>
      </w:r>
      <w:r>
        <w:t xml:space="preserve"> </w:t>
      </w:r>
      <w:r>
        <w:t xml:space="preserve">59-6</w:t>
      </w:r>
      <w:r>
        <w:t xml:space="preserve"> </w:t>
      </w:r>
      <w:r>
        <w:t xml:space="preserve">2022-11</w:t>
      </w:r>
    </w:p>
    <w:p>
      <w:pPr>
        <w:pStyle w:val="BodyText"/>
      </w:pP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Ethyl alpha-</w:t>
      </w:r>
      <w:r>
        <w:t xml:space="preserve"> </w:t>
      </w:r>
      <w:r>
        <w:t xml:space="preserve">phenylacetoacetate</w:t>
      </w:r>
      <w:r>
        <w:t xml:space="preserve"> </w:t>
      </w:r>
      <w:r>
        <w:t xml:space="preserve">(EAPA)</w:t>
      </w:r>
      <w:r>
        <w:t xml:space="preserve"> </w:t>
      </w:r>
      <w:r>
        <w:t xml:space="preserve">2918 30 00</w:t>
      </w:r>
      <w:r>
        <w:t xml:space="preserve"> </w:t>
      </w:r>
      <w:r>
        <w:t xml:space="preserve">17</w:t>
      </w:r>
      <w:r>
        <w:t xml:space="preserve"> </w:t>
      </w:r>
      <w:r>
        <w:t xml:space="preserve">5413 05 8 2022-03</w:t>
      </w:r>
    </w:p>
    <w:p>
      <w:pPr>
        <w:pStyle w:val="BodyText"/>
      </w:pP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</w:t>
      </w:r>
      <w:r>
        <w:t xml:space="preserve"> </w:t>
      </w:r>
      <w:r>
        <w:t xml:space="preserve">Norephedrine</w:t>
      </w:r>
      <w:r>
        <w:t xml:space="preserve"> </w:t>
      </w:r>
      <w:r>
        <w:t xml:space="preserve">2939 44 00</w:t>
      </w:r>
      <w:r>
        <w:t xml:space="preserve"> </w:t>
      </w:r>
      <w:r>
        <w:t xml:space="preserve">00</w:t>
      </w:r>
      <w:r>
        <w:t xml:space="preserve"> </w:t>
      </w:r>
      <w:r>
        <w:t xml:space="preserve">14838-</w:t>
      </w:r>
      <w:r>
        <w:t xml:space="preserve"> </w:t>
      </w:r>
      <w:r>
        <w:t xml:space="preserve">15-4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Amph</w:t>
      </w:r>
      <w:r>
        <w:br/>
      </w:r>
      <w:r>
        <w:t xml:space="preserve">Used in the manufacture</w:t>
      </w:r>
      <w:r>
        <w:t xml:space="preserve"> </w:t>
      </w:r>
      <w:r>
        <w:t xml:space="preserve">of nasal decongestants</w:t>
      </w:r>
      <w:r>
        <w:t xml:space="preserve"> </w:t>
      </w:r>
      <w:r>
        <w:t xml:space="preserve">and appetite suppressants</w:t>
      </w:r>
    </w:p>
    <w:p>
      <w:pPr>
        <w:pStyle w:val="BodyText"/>
      </w:pPr>
      <w:r>
        <w:t xml:space="preserve">3.8</w:t>
      </w:r>
      <w:r>
        <w:t xml:space="preserve"> </w:t>
      </w:r>
      <w:r>
        <w:t xml:space="preserve">0 01</w:t>
      </w:r>
      <w:r>
        <w:t xml:space="preserve"> </w:t>
      </w:r>
      <w:r>
        <w:t xml:space="preserve">3.4</w:t>
      </w:r>
      <w:r>
        <w:t xml:space="preserve"> </w:t>
      </w:r>
      <w:r>
        <w:t xml:space="preserve">I</w:t>
      </w:r>
      <w:r>
        <w:t xml:space="preserve"> </w:t>
      </w:r>
      <w:r>
        <w:t xml:space="preserve">Ephedrine</w:t>
      </w:r>
      <w:r>
        <w:t xml:space="preserve"> </w:t>
      </w:r>
      <w:r>
        <w:t xml:space="preserve">2939 41 00</w:t>
      </w:r>
      <w:r>
        <w:t xml:space="preserve"> </w:t>
      </w:r>
      <w:r>
        <w:t xml:space="preserve">00</w:t>
      </w:r>
      <w:r>
        <w:t xml:space="preserve"> </w:t>
      </w:r>
      <w:r>
        <w:t xml:space="preserve">299-42-3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Used in the manufacture</w:t>
      </w:r>
      <w:r>
        <w:t xml:space="preserve"> </w:t>
      </w:r>
      <w:r>
        <w:t xml:space="preserve">of bronchodilators (cough</w:t>
      </w:r>
      <w:r>
        <w:t xml:space="preserve"> </w:t>
      </w:r>
      <w:r>
        <w:t xml:space="preserve">medicines)</w:t>
      </w:r>
    </w:p>
    <w:p>
      <w:pPr>
        <w:pStyle w:val="BodyText"/>
      </w:pPr>
      <w:r>
        <w:t xml:space="preserve">4.9</w:t>
      </w:r>
      <w:r>
        <w:t xml:space="preserve"> </w:t>
      </w:r>
      <w:r>
        <w:t xml:space="preserve">24.7</w:t>
      </w:r>
      <w:r>
        <w:t xml:space="preserve"> </w:t>
      </w:r>
      <w:r>
        <w:t xml:space="preserve">13.2</w:t>
      </w:r>
      <w:r>
        <w:t xml:space="preserve"> </w:t>
      </w:r>
      <w:r>
        <w:t xml:space="preserve">I</w:t>
      </w:r>
      <w:r>
        <w:t xml:space="preserve"> </w:t>
      </w:r>
      <w:r>
        <w:t xml:space="preserve">Pseudoephedrine</w:t>
      </w:r>
      <w:r>
        <w:t xml:space="preserve"> </w:t>
      </w:r>
      <w:r>
        <w:t xml:space="preserve">2939 42 00</w:t>
      </w:r>
      <w:r>
        <w:t xml:space="preserve"> </w:t>
      </w:r>
      <w:r>
        <w:t xml:space="preserve">00</w:t>
      </w:r>
      <w:r>
        <w:t xml:space="preserve"> </w:t>
      </w:r>
      <w:r>
        <w:t xml:space="preserve">90-82-4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Used in the manufacture</w:t>
      </w:r>
      <w:r>
        <w:t xml:space="preserve"> </w:t>
      </w:r>
      <w:r>
        <w:t xml:space="preserve">of bronchodilators and</w:t>
      </w:r>
      <w:r>
        <w:t xml:space="preserve"> </w:t>
      </w:r>
      <w:r>
        <w:t xml:space="preserve">nasal decongestants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175</w:t>
      </w:r>
      <w:r>
        <w:t xml:space="preserve"> </w:t>
      </w:r>
      <w:r>
        <w:t xml:space="preserve">46 6</w:t>
      </w:r>
      <w:r>
        <w:t xml:space="preserve"> </w:t>
      </w:r>
      <w:r>
        <w:t xml:space="preserve">I</w:t>
      </w:r>
      <w:r>
        <w:t xml:space="preserve"> </w:t>
      </w:r>
      <w:r>
        <w:t xml:space="preserve">(1R,2R)-(-)-</w:t>
      </w:r>
      <w:r>
        <w:t xml:space="preserve"> </w:t>
      </w:r>
      <w:r>
        <w:t xml:space="preserve">chloropseudoephed</w:t>
      </w:r>
      <w:r>
        <w:t xml:space="preserve"> </w:t>
      </w:r>
      <w:r>
        <w:t xml:space="preserve">rine</w:t>
      </w:r>
      <w:r>
        <w:t xml:space="preserve"> </w:t>
      </w:r>
      <w:r>
        <w:t xml:space="preserve">2939 79 90</w:t>
      </w:r>
      <w:r>
        <w:t xml:space="preserve"> </w:t>
      </w:r>
      <w:r>
        <w:t xml:space="preserve">40</w:t>
      </w:r>
      <w:r>
        <w:t xml:space="preserve"> </w:t>
      </w:r>
      <w:r>
        <w:t xml:space="preserve">771434-</w:t>
      </w:r>
      <w:r>
        <w:t xml:space="preserve"> </w:t>
      </w:r>
      <w:r>
        <w:t xml:space="preserve">80-1</w:t>
      </w:r>
      <w:r>
        <w:t xml:space="preserve"> </w:t>
      </w:r>
      <w:r>
        <w:t xml:space="preserve">2016-06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(1R,2S)-(-)-</w:t>
      </w:r>
      <w:r>
        <w:t xml:space="preserve"> </w:t>
      </w:r>
      <w:r>
        <w:t xml:space="preserve">chloroephedrine</w:t>
      </w:r>
      <w:r>
        <w:t xml:space="preserve"> </w:t>
      </w:r>
      <w:r>
        <w:t xml:space="preserve">2939 79 90</w:t>
      </w:r>
      <w:r>
        <w:t xml:space="preserve"> </w:t>
      </w:r>
      <w:r>
        <w:t xml:space="preserve">10</w:t>
      </w:r>
      <w:r>
        <w:t xml:space="preserve"> </w:t>
      </w:r>
      <w:r>
        <w:t xml:space="preserve">110925-</w:t>
      </w:r>
      <w:r>
        <w:t xml:space="preserve"> </w:t>
      </w:r>
      <w:r>
        <w:t xml:space="preserve">64-9</w:t>
      </w:r>
      <w:r>
        <w:t xml:space="preserve"> </w:t>
      </w:r>
      <w:r>
        <w:t xml:space="preserve">2016-06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(1S,2R)-(+)-</w:t>
      </w:r>
      <w:r>
        <w:t xml:space="preserve"> </w:t>
      </w:r>
      <w:r>
        <w:t xml:space="preserve">chloroephedrine</w:t>
      </w:r>
      <w:r>
        <w:t xml:space="preserve"> </w:t>
      </w:r>
      <w:r>
        <w:t xml:space="preserve">2939 79 90</w:t>
      </w:r>
      <w:r>
        <w:t xml:space="preserve"> </w:t>
      </w:r>
      <w:r>
        <w:t xml:space="preserve">20</w:t>
      </w:r>
      <w:r>
        <w:t xml:space="preserve"> </w:t>
      </w:r>
      <w:r>
        <w:t xml:space="preserve">1384199-</w:t>
      </w:r>
      <w:r>
        <w:t xml:space="preserve"> </w:t>
      </w:r>
      <w:r>
        <w:t xml:space="preserve">95-4</w:t>
      </w:r>
      <w:r>
        <w:t xml:space="preserve"> </w:t>
      </w:r>
      <w:r>
        <w:t xml:space="preserve">2016-06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(1S,2S)-(+)-</w:t>
      </w:r>
      <w:r>
        <w:t xml:space="preserve"> </w:t>
      </w:r>
      <w:r>
        <w:t xml:space="preserve">chloropseudoephed</w:t>
      </w:r>
      <w:r>
        <w:t xml:space="preserve"> </w:t>
      </w:r>
      <w:r>
        <w:t xml:space="preserve">rine</w:t>
      </w:r>
      <w:r>
        <w:t xml:space="preserve"> </w:t>
      </w:r>
      <w:r>
        <w:t xml:space="preserve">2939 79 90</w:t>
      </w:r>
      <w:r>
        <w:t xml:space="preserve"> </w:t>
      </w:r>
      <w:r>
        <w:t xml:space="preserve">30</w:t>
      </w:r>
      <w:r>
        <w:t xml:space="preserve"> </w:t>
      </w:r>
      <w:r>
        <w:t xml:space="preserve">73393-</w:t>
      </w:r>
      <w:r>
        <w:t xml:space="preserve"> </w:t>
      </w:r>
      <w:r>
        <w:t xml:space="preserve">61-0</w:t>
      </w:r>
      <w:r>
        <w:t xml:space="preserve"> </w:t>
      </w:r>
      <w:r>
        <w:t xml:space="preserve">2016-06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I</w:t>
      </w:r>
      <w:r>
        <w:t xml:space="preserve"> </w:t>
      </w:r>
      <w:r>
        <w:t xml:space="preserve">3,4-</w:t>
      </w:r>
      <w:r>
        <w:t xml:space="preserve"> </w:t>
      </w:r>
      <w:r>
        <w:t xml:space="preserve">methylenedioxyphe</w:t>
      </w:r>
      <w:r>
        <w:t xml:space="preserve"> </w:t>
      </w:r>
      <w:r>
        <w:t xml:space="preserve">nylpropan-2-one</w:t>
      </w:r>
      <w:r>
        <w:t xml:space="preserve"> </w:t>
      </w:r>
      <w:r>
        <w:t xml:space="preserve">(PMK)</w:t>
      </w:r>
      <w:r>
        <w:t xml:space="preserve"> </w:t>
      </w:r>
      <w:r>
        <w:t xml:space="preserve">2932 92 00</w:t>
      </w:r>
      <w:r>
        <w:t xml:space="preserve"> </w:t>
      </w:r>
      <w:r>
        <w:t xml:space="preserve">00</w:t>
      </w:r>
      <w:r>
        <w:t xml:space="preserve"> </w:t>
      </w:r>
      <w:r>
        <w:t xml:space="preserve">4676-39-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It has a known use in the</w:t>
      </w:r>
      <w:r>
        <w:t xml:space="preserve"> </w:t>
      </w:r>
      <w:r>
        <w:t xml:space="preserve">production of Talampanel</w:t>
      </w:r>
      <w:r>
        <w:t xml:space="preserve"> </w:t>
      </w:r>
      <w:r>
        <w:t xml:space="preserve">(prescription drug)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3-(1,3-</w:t>
      </w:r>
      <w:r>
        <w:t xml:space="preserve"> </w:t>
      </w:r>
      <w:r>
        <w:t xml:space="preserve">benzodioxol-5-yl)-</w:t>
      </w:r>
      <w:r>
        <w:t xml:space="preserve"> </w:t>
      </w:r>
      <w:r>
        <w:t xml:space="preserve">2-methyloxirane-2-</w:t>
      </w:r>
      <w:r>
        <w:t xml:space="preserve"> </w:t>
      </w:r>
      <w:r>
        <w:t xml:space="preserve">carboxylic acid</w:t>
      </w:r>
      <w:r>
        <w:t xml:space="preserve"> </w:t>
      </w:r>
      <w:r>
        <w:t xml:space="preserve">(PMK glycidic</w:t>
      </w:r>
      <w:r>
        <w:t xml:space="preserve"> </w:t>
      </w:r>
      <w:r>
        <w:t xml:space="preserve">acid)</w:t>
      </w:r>
      <w:r>
        <w:t xml:space="preserve"> </w:t>
      </w:r>
      <w:r>
        <w:t xml:space="preserve">2932 99 00</w:t>
      </w:r>
      <w:r>
        <w:t xml:space="preserve"> </w:t>
      </w:r>
      <w:r>
        <w:t xml:space="preserve">07</w:t>
      </w:r>
      <w:r>
        <w:t xml:space="preserve"> </w:t>
      </w:r>
      <w:r>
        <w:t xml:space="preserve">2167189-</w:t>
      </w:r>
      <w:r>
        <w:t xml:space="preserve"> </w:t>
      </w:r>
      <w:r>
        <w:t xml:space="preserve">50-4</w:t>
      </w:r>
      <w:r>
        <w:t xml:space="preserve"> </w:t>
      </w:r>
      <w:r>
        <w:t xml:space="preserve">2020-07</w:t>
      </w:r>
      <w:r>
        <w:t xml:space="preserve"> </w:t>
      </w:r>
      <w:r>
        <w:t xml:space="preserve">Expanded by</w:t>
      </w:r>
      <w:r>
        <w:t xml:space="preserve"> </w:t>
      </w:r>
      <w:r>
        <w:t xml:space="preserve">DelReg 2024/1331:</w:t>
      </w:r>
      <w:r>
        <w:t xml:space="preserve"> </w:t>
      </w:r>
      <w:r>
        <w:t xml:space="preserve">its ethyl (CAS No</w:t>
      </w:r>
      <w:r>
        <w:t xml:space="preserve"> </w:t>
      </w:r>
      <w:r>
        <w:t xml:space="preserve">28578-16-7),</w:t>
      </w:r>
      <w:r>
        <w:t xml:space="preserve"> </w:t>
      </w:r>
      <w:r>
        <w:t xml:space="preserve">methyl (CAS No</w:t>
      </w:r>
      <w:r>
        <w:t xml:space="preserve"> </w:t>
      </w:r>
      <w:r>
        <w:t xml:space="preserve">13605-48-6),</w:t>
      </w:r>
      <w:r>
        <w:t xml:space="preserve"> </w:t>
      </w:r>
      <w:r>
        <w:t xml:space="preserve">propyl, isopropyl,</w:t>
      </w:r>
      <w:r>
        <w:t xml:space="preserve"> </w:t>
      </w:r>
      <w:r>
        <w:t xml:space="preserve">butyl, isobutyl, sec-</w:t>
      </w:r>
      <w:r>
        <w:t xml:space="preserve"> </w:t>
      </w:r>
      <w:r>
        <w:t xml:space="preserve">butyl and tert-butyl</w:t>
      </w:r>
      <w:r>
        <w:t xml:space="preserve"> </w:t>
      </w:r>
      <w:r>
        <w:t xml:space="preserve">esters, with the</w:t>
      </w:r>
      <w:r>
        <w:t xml:space="preserve"> </w:t>
      </w:r>
      <w:r>
        <w:t xml:space="preserve">same CN code as</w:t>
      </w:r>
      <w:r>
        <w:t xml:space="preserve"> </w:t>
      </w:r>
      <w:r>
        <w:t xml:space="preserve">PMK glycidic</w:t>
      </w:r>
      <w:r>
        <w:t xml:space="preserve"> </w:t>
      </w:r>
      <w:r>
        <w:t xml:space="preserve">acid.’</w:t>
      </w:r>
      <w:r>
        <w:t xml:space="preserve"> </w:t>
      </w:r>
      <w:r>
        <w:t xml:space="preserve">I</w:t>
      </w:r>
      <w:r>
        <w:t xml:space="preserve"> </w:t>
      </w:r>
      <w:r>
        <w:t xml:space="preserve">2019-03</w:t>
      </w:r>
      <w:r>
        <w:t xml:space="preserve"> </w:t>
      </w:r>
      <w:r>
        <w:t xml:space="preserve">Expanded:</w:t>
      </w:r>
      <w:r>
        <w:t xml:space="preserve"> </w:t>
      </w:r>
      <w:r>
        <w:t xml:space="preserve">CND 2024.</w:t>
      </w:r>
      <w:r>
        <w:t xml:space="preserve"> </w:t>
      </w:r>
      <w:r>
        <w:t xml:space="preserve">Inclusion of</w:t>
      </w:r>
      <w:r>
        <w:t xml:space="preserve"> </w:t>
      </w:r>
      <w:r>
        <w:t xml:space="preserve">ethyl, propyl,</w:t>
      </w:r>
      <w:r>
        <w:t xml:space="preserve"> </w:t>
      </w:r>
      <w:r>
        <w:t xml:space="preserve">sec-butyl,</w:t>
      </w:r>
      <w:r>
        <w:t xml:space="preserve"> </w:t>
      </w:r>
      <w:r>
        <w:t xml:space="preserve">isopropyl,</w:t>
      </w:r>
      <w:r>
        <w:t xml:space="preserve"> </w:t>
      </w:r>
      <w:r>
        <w:t xml:space="preserve">isobutyl,</w:t>
      </w:r>
      <w:r>
        <w:t xml:space="preserve"> </w:t>
      </w:r>
      <w:r>
        <w:t xml:space="preserve">butyl, tert-</w:t>
      </w:r>
      <w:r>
        <w:t xml:space="preserve"> </w:t>
      </w:r>
      <w:r>
        <w:t xml:space="preserve">butyl ester</w:t>
      </w:r>
      <w:r>
        <w:t xml:space="preserve"> </w:t>
      </w:r>
      <w:r>
        <w:t xml:space="preserve">MDMA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Ethyl 3-(2H-1,3-</w:t>
      </w:r>
      <w:r>
        <w:t xml:space="preserve"> </w:t>
      </w:r>
      <w:r>
        <w:t xml:space="preserve">benzodioxol-5-yl)-</w:t>
      </w:r>
      <w:r>
        <w:t xml:space="preserve"> </w:t>
      </w:r>
      <w:r>
        <w:t xml:space="preserve">2-methyloxirane-2-</w:t>
      </w:r>
      <w:r>
        <w:t xml:space="preserve"> </w:t>
      </w:r>
      <w:r>
        <w:t xml:space="preserve">carboxylate (PMK</w:t>
      </w:r>
      <w:r>
        <w:t xml:space="preserve"> </w:t>
      </w:r>
      <w:r>
        <w:t xml:space="preserve">ethyl glycidate)</w:t>
      </w:r>
      <w:r>
        <w:t xml:space="preserve"> </w:t>
      </w:r>
      <w:r>
        <w:t xml:space="preserve">2932 99 00</w:t>
      </w:r>
      <w:r>
        <w:t xml:space="preserve"> </w:t>
      </w:r>
      <w:r>
        <w:t xml:space="preserve">90</w:t>
      </w:r>
      <w:r>
        <w:t xml:space="preserve"> </w:t>
      </w:r>
      <w:r>
        <w:t xml:space="preserve">28578-</w:t>
      </w:r>
      <w:r>
        <w:t xml:space="preserve"> </w:t>
      </w:r>
      <w:r>
        <w:t xml:space="preserve">16-7</w:t>
      </w:r>
      <w:r>
        <w:t xml:space="preserve"> </w:t>
      </w:r>
      <w:r>
        <w:t xml:space="preserve">2022-11</w:t>
      </w:r>
      <w:r>
        <w:t xml:space="preserve"> </w:t>
      </w:r>
      <w:r>
        <w:t xml:space="preserve">Deleted under</w:t>
      </w:r>
      <w:r>
        <w:t xml:space="preserve"> </w:t>
      </w:r>
      <w:r>
        <w:t xml:space="preserve">DelReg 2024/1331</w:t>
      </w:r>
      <w:r>
        <w:t xml:space="preserve"> </w:t>
      </w:r>
      <w:r>
        <w:t xml:space="preserve">(moved under PMK</w:t>
      </w:r>
      <w:r>
        <w:t xml:space="preserve"> </w:t>
      </w:r>
      <w:r>
        <w:t xml:space="preserve">Glycidic Acid)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Methyl 3-(1,3-</w:t>
      </w:r>
      <w:r>
        <w:t xml:space="preserve"> </w:t>
      </w:r>
      <w:r>
        <w:t xml:space="preserve">benzodioxol-5-yl)-</w:t>
      </w:r>
      <w:r>
        <w:t xml:space="preserve"> </w:t>
      </w:r>
      <w:r>
        <w:t xml:space="preserve">2-methyloxirane-2-</w:t>
      </w:r>
      <w:r>
        <w:t xml:space="preserve"> </w:t>
      </w:r>
      <w:r>
        <w:t xml:space="preserve">carboxylate (PMK</w:t>
      </w:r>
      <w:r>
        <w:t xml:space="preserve"> </w:t>
      </w:r>
      <w:r>
        <w:t xml:space="preserve">methyl glycidate)</w:t>
      </w:r>
      <w:r>
        <w:t xml:space="preserve"> </w:t>
      </w:r>
      <w:r>
        <w:t xml:space="preserve">2932 99 00</w:t>
      </w:r>
      <w:r>
        <w:t xml:space="preserve"> </w:t>
      </w:r>
      <w:r>
        <w:t xml:space="preserve">90</w:t>
      </w:r>
      <w:r>
        <w:t xml:space="preserve"> </w:t>
      </w:r>
      <w:r>
        <w:t xml:space="preserve">13605-</w:t>
      </w:r>
      <w:r>
        <w:t xml:space="preserve"> </w:t>
      </w:r>
      <w:r>
        <w:t xml:space="preserve">48-6</w:t>
      </w:r>
      <w:r>
        <w:t xml:space="preserve"> </w:t>
      </w:r>
      <w:r>
        <w:t xml:space="preserve">2020-07</w:t>
      </w:r>
      <w:r>
        <w:t xml:space="preserve"> </w:t>
      </w:r>
      <w:r>
        <w:t xml:space="preserve">Deleted under</w:t>
      </w:r>
      <w:r>
        <w:t xml:space="preserve"> </w:t>
      </w:r>
      <w:r>
        <w:t xml:space="preserve">DelReg 2024/1331</w:t>
      </w:r>
      <w:r>
        <w:t xml:space="preserve"> </w:t>
      </w:r>
      <w:r>
        <w:t xml:space="preserve">(moved under PMK</w:t>
      </w:r>
      <w:r>
        <w:t xml:space="preserve"> </w:t>
      </w:r>
      <w:r>
        <w:t xml:space="preserve">Glycidic Acid)</w:t>
      </w:r>
      <w:r>
        <w:t xml:space="preserve"> </w:t>
      </w:r>
      <w:r>
        <w:t xml:space="preserve">I</w:t>
      </w:r>
      <w:r>
        <w:t xml:space="preserve"> </w:t>
      </w:r>
      <w:r>
        <w:t xml:space="preserve">2019-03</w:t>
      </w:r>
      <w:r>
        <w:br/>
      </w:r>
      <w:r>
        <w:t xml:space="preserve">MDMA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Piperonal</w:t>
      </w:r>
      <w:r>
        <w:t xml:space="preserve"> </w:t>
      </w:r>
      <w:r>
        <w:t xml:space="preserve">2932 93 00</w:t>
      </w:r>
      <w:r>
        <w:t xml:space="preserve"> </w:t>
      </w:r>
      <w:r>
        <w:t xml:space="preserve">00</w:t>
      </w:r>
      <w:r>
        <w:t xml:space="preserve"> </w:t>
      </w:r>
      <w:r>
        <w:t xml:space="preserve">120-57-0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Used in perfumery, in</w:t>
      </w:r>
      <w:r>
        <w:t xml:space="preserve"> </w:t>
      </w:r>
      <w:r>
        <w:t xml:space="preserve">cherry and vanilla</w:t>
      </w:r>
      <w:r>
        <w:t xml:space="preserve"> </w:t>
      </w:r>
      <w:r>
        <w:t xml:space="preserve">flavours, in organic</w:t>
      </w:r>
      <w:r>
        <w:t xml:space="preserve"> </w:t>
      </w:r>
      <w:r>
        <w:t xml:space="preserve">synthesis and as a</w:t>
      </w:r>
    </w:p>
    <w:p>
      <w:pPr>
        <w:pStyle w:val="BodyText"/>
      </w:pPr>
      <w:r>
        <w:t xml:space="preserve">441.5</w:t>
      </w:r>
      <w:r>
        <w:t xml:space="preserve"> </w:t>
      </w:r>
      <w:r>
        <w:t xml:space="preserve">100</w:t>
      </w:r>
      <w:r>
        <w:t xml:space="preserve"> </w:t>
      </w:r>
      <w:r>
        <w:t xml:space="preserve">288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component for mosquito</w:t>
      </w:r>
      <w:r>
        <w:t xml:space="preserve"> </w:t>
      </w:r>
      <w:r>
        <w:t xml:space="preserve">repellent</w:t>
      </w:r>
      <w:r>
        <w:t xml:space="preserve"> </w:t>
      </w:r>
      <w:r>
        <w:t xml:space="preserve">I</w:t>
      </w:r>
      <w:r>
        <w:t xml:space="preserve"> </w:t>
      </w:r>
      <w:r>
        <w:t xml:space="preserve">Methyl 3-oxo-2-</w:t>
      </w:r>
      <w:r>
        <w:t xml:space="preserve"> </w:t>
      </w:r>
      <w:r>
        <w:t xml:space="preserve">(3,4-</w:t>
      </w:r>
      <w:r>
        <w:t xml:space="preserve"> </w:t>
      </w:r>
      <w:r>
        <w:t xml:space="preserve">methylenedioxyphe</w:t>
      </w:r>
      <w:r>
        <w:t xml:space="preserve"> </w:t>
      </w:r>
      <w:r>
        <w:t xml:space="preserve">nyl)butanoate</w:t>
      </w:r>
      <w:r>
        <w:t xml:space="preserve"> </w:t>
      </w:r>
      <w:r>
        <w:t xml:space="preserve">(MAMDPA)</w:t>
      </w:r>
      <w:r>
        <w:t xml:space="preserve"> </w:t>
      </w:r>
      <w:r>
        <w:t xml:space="preserve">2932 99 00</w:t>
      </w:r>
      <w:r>
        <w:t xml:space="preserve"> </w:t>
      </w:r>
      <w:r>
        <w:t xml:space="preserve">87</w:t>
      </w:r>
      <w:r>
        <w:t xml:space="preserve"> </w:t>
      </w:r>
      <w:r>
        <w:t xml:space="preserve">1369021-</w:t>
      </w:r>
      <w:r>
        <w:t xml:space="preserve"> </w:t>
      </w:r>
      <w:r>
        <w:t xml:space="preserve">80-6</w:t>
      </w:r>
      <w:r>
        <w:t xml:space="preserve"> </w:t>
      </w:r>
      <w:r>
        <w:t xml:space="preserve">2022-03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</w:t>
      </w:r>
      <w:r>
        <w:t xml:space="preserve"> </w:t>
      </w:r>
      <w:r>
        <w:t xml:space="preserve">Isopropylidene (2-</w:t>
      </w:r>
      <w:r>
        <w:t xml:space="preserve"> </w:t>
      </w:r>
      <w:r>
        <w:t xml:space="preserve">(3,4-</w:t>
      </w:r>
      <w:r>
        <w:t xml:space="preserve"> </w:t>
      </w:r>
      <w:r>
        <w:t xml:space="preserve">methylenedioxyphe</w:t>
      </w:r>
      <w:r>
        <w:t xml:space="preserve"> </w:t>
      </w:r>
      <w:r>
        <w:t xml:space="preserve">nyl)acetyl)malonat</w:t>
      </w:r>
      <w:r>
        <w:t xml:space="preserve"> </w:t>
      </w:r>
      <w:r>
        <w:t xml:space="preserve">e (IMDPAM)</w:t>
      </w:r>
      <w:r>
        <w:t xml:space="preserve"> </w:t>
      </w:r>
      <w:r>
        <w:t xml:space="preserve">2932 99 00</w:t>
      </w:r>
      <w:r>
        <w:t xml:space="preserve"> </w:t>
      </w:r>
      <w:r>
        <w:t xml:space="preserve">61</w:t>
      </w:r>
    </w:p>
    <w:p>
      <w:pPr>
        <w:pStyle w:val="BodyText"/>
      </w:pPr>
      <w:r>
        <w:t xml:space="preserve">2024-02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known licit production,</w:t>
      </w:r>
      <w:r>
        <w:t xml:space="preserve"> </w:t>
      </w:r>
      <w:r>
        <w:t xml:space="preserve">trade or use</w:t>
      </w:r>
      <w:r>
        <w:t xml:space="preserve"> </w:t>
      </w:r>
      <w:r>
        <w:t xml:space="preserve">x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</w:t>
      </w:r>
      <w:r>
        <w:t xml:space="preserve"> </w:t>
      </w:r>
      <w:r>
        <w:t xml:space="preserve">Safrole</w:t>
      </w:r>
      <w:r>
        <w:t xml:space="preserve"> </w:t>
      </w:r>
      <w:r>
        <w:t xml:space="preserve">2932 94 00</w:t>
      </w:r>
      <w:r>
        <w:t xml:space="preserve"> </w:t>
      </w:r>
      <w:r>
        <w:t xml:space="preserve">00</w:t>
      </w:r>
      <w:r>
        <w:t xml:space="preserve"> </w:t>
      </w:r>
      <w:r>
        <w:t xml:space="preserve">94-59-7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Used in perfumery, and</w:t>
      </w:r>
      <w:r>
        <w:t xml:space="preserve"> </w:t>
      </w:r>
      <w:r>
        <w:t xml:space="preserve">for denaturing fats in soap</w:t>
      </w:r>
      <w:r>
        <w:t xml:space="preserve"> </w:t>
      </w:r>
      <w:r>
        <w:t xml:space="preserve">manufacture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Isosafrol (cis +</w:t>
      </w:r>
      <w:r>
        <w:t xml:space="preserve"> </w:t>
      </w:r>
      <w:r>
        <w:t xml:space="preserve">trans)</w:t>
      </w:r>
      <w:r>
        <w:t xml:space="preserve"> </w:t>
      </w:r>
      <w:r>
        <w:t xml:space="preserve">2932 91 00</w:t>
      </w:r>
      <w:r>
        <w:t xml:space="preserve"> </w:t>
      </w:r>
      <w:r>
        <w:t xml:space="preserve">00</w:t>
      </w:r>
      <w:r>
        <w:t xml:space="preserve"> </w:t>
      </w:r>
      <w:r>
        <w:t xml:space="preserve">120-58-1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Used in the manufacture</w:t>
      </w:r>
      <w:r>
        <w:t xml:space="preserve"> </w:t>
      </w:r>
      <w:r>
        <w:t xml:space="preserve">of piperonal; to modify</w:t>
      </w:r>
      <w:r>
        <w:t xml:space="preserve"> </w:t>
      </w:r>
      <w:r>
        <w:t xml:space="preserve">“oriental perfumes”; to</w:t>
      </w:r>
      <w:r>
        <w:t xml:space="preserve"> </w:t>
      </w:r>
      <w:r>
        <w:t xml:space="preserve">strengthen soap perfumes;</w:t>
      </w:r>
      <w:r>
        <w:t xml:space="preserve"> </w:t>
      </w:r>
      <w:r>
        <w:t xml:space="preserve">and as a pesticide</w:t>
      </w:r>
    </w:p>
    <w:p>
      <w:pPr>
        <w:pStyle w:val="Compact"/>
        <w:numPr>
          <w:ilvl w:val="0"/>
          <w:numId w:val="1045"/>
        </w:numPr>
      </w:pPr>
      <w:r>
        <w:t xml:space="preserve">I</w:t>
      </w:r>
      <w:r>
        <w:t xml:space="preserve"> </w:t>
      </w:r>
      <w:r>
        <w:t xml:space="preserve">Lysergic acid</w:t>
      </w:r>
      <w:r>
        <w:t xml:space="preserve"> </w:t>
      </w:r>
      <w:r>
        <w:t xml:space="preserve">2939 63 00</w:t>
      </w:r>
      <w:r>
        <w:t xml:space="preserve"> </w:t>
      </w:r>
      <w:r>
        <w:t xml:space="preserve">00</w:t>
      </w:r>
      <w:r>
        <w:t xml:space="preserve"> </w:t>
      </w:r>
      <w:r>
        <w:t xml:space="preserve">82-58-6</w:t>
      </w:r>
    </w:p>
    <w:p>
      <w:pPr>
        <w:pStyle w:val="FirstParagraph"/>
      </w:pPr>
      <w:r>
        <w:t xml:space="preserve">I</w:t>
      </w:r>
    </w:p>
    <w:p>
      <w:pPr>
        <w:pStyle w:val="BodyText"/>
      </w:pPr>
      <w:r>
        <w:t xml:space="preserve">LSD</w:t>
      </w:r>
      <w:r>
        <w:t xml:space="preserve"> </w:t>
      </w:r>
      <w:r>
        <w:t xml:space="preserve">Used in organic synthesis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3.9</w:t>
      </w:r>
      <w:r>
        <w:t xml:space="preserve"> </w:t>
      </w:r>
      <w:r>
        <w:t xml:space="preserve">I</w:t>
      </w:r>
      <w:r>
        <w:t xml:space="preserve"> </w:t>
      </w:r>
      <w:r>
        <w:t xml:space="preserve">Ergometrine</w:t>
      </w:r>
      <w:r>
        <w:t xml:space="preserve"> </w:t>
      </w:r>
      <w:r>
        <w:t xml:space="preserve">2939 61 00</w:t>
      </w:r>
      <w:r>
        <w:t xml:space="preserve"> </w:t>
      </w:r>
      <w:r>
        <w:t xml:space="preserve">00</w:t>
      </w:r>
      <w:r>
        <w:t xml:space="preserve"> </w:t>
      </w:r>
      <w:r>
        <w:t xml:space="preserve">60-79-7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LSD</w:t>
      </w:r>
      <w:r>
        <w:t xml:space="preserve"> </w:t>
      </w:r>
      <w:r>
        <w:t xml:space="preserve">Used in the treatment of</w:t>
      </w:r>
      <w:r>
        <w:t xml:space="preserve"> </w:t>
      </w:r>
      <w:r>
        <w:t xml:space="preserve">migraine and as an</w:t>
      </w:r>
      <w:r>
        <w:t xml:space="preserve"> </w:t>
      </w:r>
      <w:r>
        <w:t xml:space="preserve">oxytocic in obstetrics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Ergotamine</w:t>
      </w:r>
      <w:r>
        <w:t xml:space="preserve"> </w:t>
      </w:r>
      <w:r>
        <w:t xml:space="preserve">2939 62 00</w:t>
      </w:r>
      <w:r>
        <w:t xml:space="preserve"> </w:t>
      </w:r>
      <w:r>
        <w:t xml:space="preserve">00</w:t>
      </w:r>
      <w:r>
        <w:t xml:space="preserve"> </w:t>
      </w:r>
      <w:r>
        <w:t xml:space="preserve">113-15-5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LSD</w:t>
      </w:r>
      <w:r>
        <w:t xml:space="preserve"> </w:t>
      </w:r>
      <w:r>
        <w:t xml:space="preserve">Used in the treatment of</w:t>
      </w:r>
      <w:r>
        <w:t xml:space="preserve"> </w:t>
      </w:r>
      <w:r>
        <w:t xml:space="preserve">migraine and as an</w:t>
      </w:r>
      <w:r>
        <w:t xml:space="preserve"> </w:t>
      </w:r>
      <w:r>
        <w:t xml:space="preserve">oxytocic in obstetrics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I</w:t>
      </w:r>
      <w:r>
        <w:t xml:space="preserve"> </w:t>
      </w:r>
      <w:r>
        <w:t xml:space="preserve">N-acetylanthranilic</w:t>
      </w:r>
      <w:r>
        <w:t xml:space="preserve"> </w:t>
      </w:r>
      <w:r>
        <w:t xml:space="preserve">acid</w:t>
      </w:r>
      <w:r>
        <w:t xml:space="preserve"> </w:t>
      </w:r>
      <w:r>
        <w:t xml:space="preserve">2924 23 00</w:t>
      </w:r>
      <w:r>
        <w:t xml:space="preserve"> </w:t>
      </w:r>
      <w:r>
        <w:t xml:space="preserve">00</w:t>
      </w:r>
      <w:r>
        <w:t xml:space="preserve"> </w:t>
      </w:r>
      <w:r>
        <w:t xml:space="preserve">89-52-1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Methaqu</w:t>
      </w:r>
      <w:r>
        <w:t xml:space="preserve"> </w:t>
      </w:r>
      <w:r>
        <w:t xml:space="preserve">alone</w:t>
      </w:r>
      <w:r>
        <w:t xml:space="preserve"> </w:t>
      </w:r>
      <w:r>
        <w:t xml:space="preserve">Used in the manufacture</w:t>
      </w:r>
      <w:r>
        <w:t xml:space="preserve"> </w:t>
      </w:r>
      <w:r>
        <w:t xml:space="preserve">of pharmaceuticals,</w:t>
      </w:r>
      <w:r>
        <w:t xml:space="preserve"> </w:t>
      </w:r>
      <w:r>
        <w:t xml:space="preserve">plastics and fine</w:t>
      </w:r>
      <w:r>
        <w:t xml:space="preserve"> </w:t>
      </w:r>
      <w:r>
        <w:t xml:space="preserve">chemicals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N-phenyl-1-(2-</w:t>
      </w:r>
      <w:r>
        <w:t xml:space="preserve"> </w:t>
      </w:r>
      <w:r>
        <w:t xml:space="preserve">phenylethyl)piperid</w:t>
      </w:r>
      <w:r>
        <w:t xml:space="preserve"> </w:t>
      </w:r>
      <w:r>
        <w:t xml:space="preserve">in-4-amine (ANPP)</w:t>
      </w:r>
      <w:r>
        <w:t xml:space="preserve"> </w:t>
      </w:r>
      <w:r>
        <w:t xml:space="preserve">2933 36 00</w:t>
      </w:r>
      <w:r>
        <w:t xml:space="preserve"> </w:t>
      </w:r>
      <w:r>
        <w:t xml:space="preserve">00</w:t>
      </w:r>
      <w:r>
        <w:t xml:space="preserve"> </w:t>
      </w:r>
      <w:r>
        <w:t xml:space="preserve">21409-</w:t>
      </w:r>
      <w:r>
        <w:t xml:space="preserve"> </w:t>
      </w:r>
      <w:r>
        <w:t xml:space="preserve">26-7</w:t>
      </w:r>
      <w:r>
        <w:t xml:space="preserve"> </w:t>
      </w:r>
      <w:r>
        <w:t xml:space="preserve">2018-02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2017-03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Used in the</w:t>
      </w:r>
      <w:r>
        <w:t xml:space="preserve"> </w:t>
      </w:r>
      <w:r>
        <w:t xml:space="preserve">pharmaceutical industry</w:t>
      </w:r>
      <w:r>
        <w:t xml:space="preserve"> </w:t>
      </w:r>
      <w:r>
        <w:t xml:space="preserve">for the manufacture of</w:t>
      </w:r>
      <w:r>
        <w:t xml:space="preserve"> </w:t>
      </w:r>
      <w:r>
        <w:t xml:space="preserve">fentanyl</w:t>
      </w:r>
    </w:p>
    <w:p>
      <w:pPr>
        <w:pStyle w:val="Compact"/>
        <w:numPr>
          <w:ilvl w:val="0"/>
          <w:numId w:val="1046"/>
        </w:numPr>
      </w:pPr>
      <w:r>
        <w:t xml:space="preserve">I</w:t>
      </w:r>
      <w:r>
        <w:t xml:space="preserve"> </w:t>
      </w:r>
      <w:r>
        <w:t xml:space="preserve">1-(2-</w:t>
      </w:r>
      <w:r>
        <w:t xml:space="preserve"> </w:t>
      </w:r>
      <w:r>
        <w:t xml:space="preserve">phenylethyl)piperid</w:t>
      </w:r>
      <w:r>
        <w:t xml:space="preserve"> </w:t>
      </w:r>
      <w:r>
        <w:t xml:space="preserve">in-4-one (NPP)</w:t>
      </w:r>
      <w:r>
        <w:t xml:space="preserve"> </w:t>
      </w:r>
      <w:r>
        <w:t xml:space="preserve">2933 37 00</w:t>
      </w:r>
      <w:r>
        <w:t xml:space="preserve"> </w:t>
      </w:r>
      <w:r>
        <w:t xml:space="preserve">00</w:t>
      </w:r>
      <w:r>
        <w:t xml:space="preserve"> </w:t>
      </w:r>
      <w:r>
        <w:t xml:space="preserve">39742-</w:t>
      </w:r>
      <w:r>
        <w:t xml:space="preserve"> </w:t>
      </w:r>
      <w:r>
        <w:t xml:space="preserve">60-4</w:t>
      </w:r>
      <w:r>
        <w:t xml:space="preserve"> </w:t>
      </w:r>
      <w:r>
        <w:t xml:space="preserve">2018-02</w:t>
      </w:r>
    </w:p>
    <w:p>
      <w:pPr>
        <w:pStyle w:val="FirstParagraph"/>
      </w:pPr>
      <w:r>
        <w:t xml:space="preserve">I</w:t>
      </w:r>
      <w:r>
        <w:t xml:space="preserve"> </w:t>
      </w:r>
      <w:r>
        <w:t xml:space="preserve">2017-03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Used in the</w:t>
      </w:r>
      <w:r>
        <w:t xml:space="preserve"> </w:t>
      </w:r>
      <w:r>
        <w:t xml:space="preserve">pharmaceutical industry</w:t>
      </w:r>
      <w:r>
        <w:t xml:space="preserve"> </w:t>
      </w:r>
      <w:r>
        <w:t xml:space="preserve">for the manufacture of</w:t>
      </w:r>
      <w:r>
        <w:t xml:space="preserve"> </w:t>
      </w:r>
      <w:r>
        <w:t xml:space="preserve">fentanyl and carfentanil</w:t>
      </w:r>
    </w:p>
    <w:p>
      <w:pPr>
        <w:pStyle w:val="Compact"/>
        <w:numPr>
          <w:ilvl w:val="0"/>
          <w:numId w:val="1047"/>
        </w:numPr>
      </w:pPr>
      <w:r>
        <w:t xml:space="preserve">I</w:t>
      </w:r>
      <w:r>
        <w:t xml:space="preserve"> </w:t>
      </w:r>
      <w:r>
        <w:t xml:space="preserve">N-phenylpiperidin-</w:t>
      </w:r>
      <w:r>
        <w:t xml:space="preserve"> </w:t>
      </w:r>
      <w:r>
        <w:t xml:space="preserve">4-amine (4-AP)</w:t>
      </w:r>
      <w:r>
        <w:t xml:space="preserve"> </w:t>
      </w:r>
      <w:r>
        <w:t xml:space="preserve">2933 39 99</w:t>
      </w:r>
      <w:r>
        <w:t xml:space="preserve"> </w:t>
      </w:r>
      <w:r>
        <w:t xml:space="preserve">01</w:t>
      </w:r>
      <w:r>
        <w:t xml:space="preserve"> </w:t>
      </w:r>
      <w:r>
        <w:t xml:space="preserve">23056-</w:t>
      </w:r>
      <w:r>
        <w:t xml:space="preserve"> </w:t>
      </w:r>
      <w:r>
        <w:t xml:space="preserve">29-3</w:t>
      </w:r>
      <w:r>
        <w:t xml:space="preserve"> </w:t>
      </w:r>
      <w:r>
        <w:t xml:space="preserve">2022-11</w:t>
      </w:r>
    </w:p>
    <w:p>
      <w:pPr>
        <w:pStyle w:val="FirstParagraph"/>
      </w:pPr>
      <w:r>
        <w:t xml:space="preserve">I</w:t>
      </w:r>
      <w:r>
        <w:t xml:space="preserve"> </w:t>
      </w:r>
      <w:r>
        <w:t xml:space="preserve">2022-03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May be used as pharma</w:t>
      </w:r>
      <w:r>
        <w:t xml:space="preserve"> </w:t>
      </w:r>
      <w:r>
        <w:t xml:space="preserve">building block (including</w:t>
      </w:r>
      <w:r>
        <w:t xml:space="preserve"> </w:t>
      </w:r>
      <w:r>
        <w:t xml:space="preserve">fentanyl) but extent of</w:t>
      </w:r>
      <w:r>
        <w:t xml:space="preserve"> </w:t>
      </w:r>
      <w:r>
        <w:t xml:space="preserve">legal use is unknown</w:t>
      </w:r>
      <w:r>
        <w:br/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N-phenyl-N-</w:t>
      </w:r>
      <w:r>
        <w:t xml:space="preserve"> </w:t>
      </w:r>
      <w:r>
        <w:t xml:space="preserve">(piperidin-4-</w:t>
      </w:r>
      <w:r>
        <w:t xml:space="preserve"> </w:t>
      </w:r>
      <w:r>
        <w:t xml:space="preserve">yl)propanamide</w:t>
      </w:r>
      <w:r>
        <w:t xml:space="preserve"> </w:t>
      </w:r>
      <w:r>
        <w:t xml:space="preserve">(norfentanyl)</w:t>
      </w:r>
      <w:r>
        <w:t xml:space="preserve"> </w:t>
      </w:r>
      <w:r>
        <w:t xml:space="preserve">2933 39 99</w:t>
      </w:r>
      <w:r>
        <w:t xml:space="preserve"> </w:t>
      </w:r>
      <w:r>
        <w:t xml:space="preserve">03</w:t>
      </w:r>
      <w:r>
        <w:t xml:space="preserve"> </w:t>
      </w:r>
      <w:r>
        <w:t xml:space="preserve">1609-66-</w:t>
      </w:r>
      <w:r>
        <w:t xml:space="preserve"> </w:t>
      </w:r>
      <w:r>
        <w:t xml:space="preserve">1</w:t>
      </w:r>
      <w:r>
        <w:t xml:space="preserve"> </w:t>
      </w:r>
      <w:r>
        <w:t xml:space="preserve">2022-11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2022-03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None, except research and</w:t>
      </w:r>
      <w:r>
        <w:t xml:space="preserve"> </w:t>
      </w:r>
      <w:r>
        <w:t xml:space="preserve">lab analysis (intermediate</w:t>
      </w:r>
      <w:r>
        <w:t xml:space="preserve"> </w:t>
      </w:r>
      <w:r>
        <w:t xml:space="preserve">in the production of</w:t>
      </w:r>
      <w:r>
        <w:t xml:space="preserve"> </w:t>
      </w:r>
      <w:r>
        <w:t xml:space="preserve">fentanyl)</w:t>
      </w:r>
      <w:r>
        <w:br/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t xml:space="preserve">Tert-butyl 4-</w:t>
      </w:r>
      <w:r>
        <w:t xml:space="preserve"> </w:t>
      </w:r>
      <w:r>
        <w:t xml:space="preserve">anilinopiperidine-</w:t>
      </w:r>
      <w:r>
        <w:t xml:space="preserve"> </w:t>
      </w:r>
      <w:r>
        <w:t xml:space="preserve">1-carboxylate (1-</w:t>
      </w:r>
      <w:r>
        <w:t xml:space="preserve"> </w:t>
      </w:r>
      <w:r>
        <w:t xml:space="preserve">boc-4-AP)</w:t>
      </w:r>
      <w:r>
        <w:t xml:space="preserve"> </w:t>
      </w:r>
      <w:r>
        <w:t xml:space="preserve">2933 39 99</w:t>
      </w:r>
      <w:r>
        <w:t xml:space="preserve"> </w:t>
      </w:r>
      <w:r>
        <w:t xml:space="preserve">02</w:t>
      </w:r>
      <w:r>
        <w:t xml:space="preserve"> </w:t>
      </w:r>
      <w:r>
        <w:t xml:space="preserve">125541-</w:t>
      </w:r>
      <w:r>
        <w:t xml:space="preserve"> </w:t>
      </w:r>
      <w:r>
        <w:t xml:space="preserve">22-2</w:t>
      </w:r>
      <w:r>
        <w:t xml:space="preserve"> </w:t>
      </w:r>
      <w:r>
        <w:t xml:space="preserve">2022-11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2022-03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None, except R&amp;D</w:t>
      </w:r>
      <w:r>
        <w:t xml:space="preserve"> </w:t>
      </w:r>
      <w:r>
        <w:t xml:space="preserve">x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II a Acetic anhydride</w:t>
      </w:r>
      <w:r>
        <w:t xml:space="preserve"> </w:t>
      </w:r>
      <w:r>
        <w:t xml:space="preserve">2915 24 00</w:t>
      </w:r>
      <w:r>
        <w:t xml:space="preserve"> </w:t>
      </w:r>
      <w:r>
        <w:t xml:space="preserve">10</w:t>
      </w:r>
      <w:r>
        <w:t xml:space="preserve"> </w:t>
      </w:r>
      <w:r>
        <w:t xml:space="preserve">108-24-7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Heroine</w:t>
      </w:r>
      <w:r>
        <w:t xml:space="preserve"> </w:t>
      </w:r>
      <w:r>
        <w:t xml:space="preserve">Acetylating and</w:t>
      </w:r>
      <w:r>
        <w:t xml:space="preserve"> </w:t>
      </w:r>
      <w:r>
        <w:t xml:space="preserve">dehydrating agent used in</w:t>
      </w:r>
      <w:r>
        <w:t xml:space="preserve"> </w:t>
      </w:r>
      <w:r>
        <w:t xml:space="preserve">the chemical and</w:t>
      </w:r>
      <w:r>
        <w:t xml:space="preserve"> </w:t>
      </w:r>
      <w:r>
        <w:t xml:space="preserve">pharmaceutical industries</w:t>
      </w:r>
      <w:r>
        <w:t xml:space="preserve"> </w:t>
      </w:r>
      <w:r>
        <w:t xml:space="preserve">for the manufacture of</w:t>
      </w:r>
      <w:r>
        <w:t xml:space="preserve"> </w:t>
      </w:r>
      <w:r>
        <w:t xml:space="preserve">cellulose acetate, for</w:t>
      </w:r>
    </w:p>
    <w:p>
      <w:pPr>
        <w:pStyle w:val="BodyText"/>
      </w:pPr>
      <w:r>
        <w:t xml:space="preserve">126.5 m 175.2 m 31.7 m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textile sizing agents and</w:t>
      </w:r>
      <w:r>
        <w:t xml:space="preserve"> </w:t>
      </w:r>
      <w:r>
        <w:t xml:space="preserve">cold bleaching activators,</w:t>
      </w:r>
      <w:r>
        <w:t xml:space="preserve"> </w:t>
      </w:r>
      <w:r>
        <w:t xml:space="preserve">for polishing metals and</w:t>
      </w:r>
      <w:r>
        <w:t xml:space="preserve"> </w:t>
      </w:r>
      <w:r>
        <w:t xml:space="preserve">for the production of</w:t>
      </w:r>
      <w:r>
        <w:t xml:space="preserve"> </w:t>
      </w:r>
      <w:r>
        <w:t xml:space="preserve">brake fluids, dyes and</w:t>
      </w:r>
      <w:r>
        <w:t xml:space="preserve"> </w:t>
      </w:r>
      <w:r>
        <w:t xml:space="preserve">explosives</w:t>
      </w:r>
      <w:r>
        <w:t xml:space="preserve"> </w:t>
      </w:r>
      <w:r>
        <w:t xml:space="preserve">II a Red phosphorus</w:t>
      </w:r>
      <w:r>
        <w:t xml:space="preserve"> </w:t>
      </w:r>
      <w:r>
        <w:t xml:space="preserve">2804 70 10</w:t>
      </w:r>
      <w:r>
        <w:t xml:space="preserve"> </w:t>
      </w:r>
      <w:r>
        <w:t xml:space="preserve">00</w:t>
      </w:r>
      <w:r>
        <w:t xml:space="preserve"> </w:t>
      </w:r>
      <w:r>
        <w:t xml:space="preserve">7723-14-</w:t>
      </w:r>
      <w:r>
        <w:t xml:space="preserve"> </w:t>
      </w:r>
      <w:r>
        <w:t xml:space="preserve">0</w:t>
      </w:r>
      <w:r>
        <w:t xml:space="preserve"> </w:t>
      </w:r>
      <w:r>
        <w:t xml:space="preserve">2020-07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Production of</w:t>
      </w:r>
      <w:r>
        <w:t xml:space="preserve"> </w:t>
      </w:r>
      <w:r>
        <w:t xml:space="preserve">semiconductors,</w:t>
      </w:r>
      <w:r>
        <w:t xml:space="preserve"> </w:t>
      </w:r>
      <w:r>
        <w:t xml:space="preserve">pyrotechnics, fertilizers,</w:t>
      </w:r>
      <w:r>
        <w:t xml:space="preserve"> </w:t>
      </w:r>
      <w:r>
        <w:t xml:space="preserve">safety matches, pesticides,</w:t>
      </w:r>
      <w:r>
        <w:t xml:space="preserve"> </w:t>
      </w:r>
      <w:r>
        <w:t xml:space="preserve">smoke bombs, incendiary</w:t>
      </w:r>
      <w:r>
        <w:t xml:space="preserve"> </w:t>
      </w:r>
      <w:r>
        <w:t xml:space="preserve">shells in organic synthesis</w:t>
      </w:r>
      <w:r>
        <w:t xml:space="preserve"> </w:t>
      </w:r>
      <w:r>
        <w:t xml:space="preserve">reactions and certain</w:t>
      </w:r>
      <w:r>
        <w:t xml:space="preserve"> </w:t>
      </w:r>
      <w:r>
        <w:t xml:space="preserve">flame retardants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b</w:t>
      </w:r>
      <w:r>
        <w:t xml:space="preserve"> </w:t>
      </w:r>
      <w:r>
        <w:t xml:space="preserve">Phenylacetic acid</w:t>
      </w:r>
      <w:r>
        <w:t xml:space="preserve"> </w:t>
      </w:r>
      <w:r>
        <w:t xml:space="preserve">2916 34 00</w:t>
      </w:r>
      <w:r>
        <w:t xml:space="preserve"> </w:t>
      </w:r>
      <w:r>
        <w:t xml:space="preserve">00</w:t>
      </w:r>
      <w:r>
        <w:t xml:space="preserve"> </w:t>
      </w:r>
      <w:r>
        <w:t xml:space="preserve">103-82-2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From table II</w:t>
      </w:r>
      <w:r>
        <w:t xml:space="preserve"> </w:t>
      </w:r>
      <w:r>
        <w:t xml:space="preserve">to table I in</w:t>
      </w:r>
      <w:r>
        <w:t xml:space="preserve"> </w:t>
      </w:r>
      <w:r>
        <w:t xml:space="preserve">2010</w:t>
      </w:r>
      <w:r>
        <w:t xml:space="preserve"> </w:t>
      </w:r>
      <w:r>
        <w:t xml:space="preserve">Amph /</w:t>
      </w:r>
      <w:r>
        <w:t xml:space="preserve"> </w:t>
      </w:r>
      <w:r>
        <w:t xml:space="preserve">meth</w:t>
      </w:r>
      <w:r>
        <w:t xml:space="preserve"> </w:t>
      </w:r>
      <w:r>
        <w:t xml:space="preserve">Used in the chemical and</w:t>
      </w:r>
      <w:r>
        <w:t xml:space="preserve"> </w:t>
      </w:r>
      <w:r>
        <w:t xml:space="preserve">pharmaceutical industries</w:t>
      </w:r>
      <w:r>
        <w:t xml:space="preserve"> </w:t>
      </w:r>
      <w:r>
        <w:t xml:space="preserve">for the manufacture of</w:t>
      </w:r>
      <w:r>
        <w:t xml:space="preserve"> </w:t>
      </w:r>
      <w:r>
        <w:t xml:space="preserve">phenylacetate esters,</w:t>
      </w:r>
      <w:r>
        <w:t xml:space="preserve"> </w:t>
      </w:r>
      <w:r>
        <w:t xml:space="preserve">amphetamine and some</w:t>
      </w:r>
      <w:r>
        <w:t xml:space="preserve"> </w:t>
      </w:r>
      <w:r>
        <w:t xml:space="preserve">derivatives; also used for</w:t>
      </w:r>
      <w:r>
        <w:t xml:space="preserve"> </w:t>
      </w:r>
      <w:r>
        <w:t xml:space="preserve">the synthesis of penicillins</w:t>
      </w:r>
      <w:r>
        <w:t xml:space="preserve"> </w:t>
      </w:r>
      <w:r>
        <w:t xml:space="preserve">and in fragrance</w:t>
      </w:r>
      <w:r>
        <w:t xml:space="preserve"> </w:t>
      </w:r>
      <w:r>
        <w:t xml:space="preserve">applications and cleaning</w:t>
      </w:r>
      <w:r>
        <w:t xml:space="preserve"> </w:t>
      </w:r>
      <w:r>
        <w:t xml:space="preserve">solutions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b</w:t>
      </w:r>
      <w:r>
        <w:t xml:space="preserve"> </w:t>
      </w:r>
      <w:r>
        <w:t xml:space="preserve">Anthranilic acid</w:t>
      </w:r>
      <w:r>
        <w:t xml:space="preserve"> </w:t>
      </w:r>
      <w:r>
        <w:t xml:space="preserve">2922 43 00</w:t>
      </w:r>
      <w:r>
        <w:t xml:space="preserve"> </w:t>
      </w:r>
      <w:r>
        <w:t xml:space="preserve">10</w:t>
      </w:r>
      <w:r>
        <w:t xml:space="preserve"> </w:t>
      </w:r>
      <w:r>
        <w:t xml:space="preserve">118-92-3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Methaqu</w:t>
      </w:r>
      <w:r>
        <w:t xml:space="preserve"> </w:t>
      </w:r>
      <w:r>
        <w:t xml:space="preserve">alone</w:t>
      </w:r>
      <w:r>
        <w:t xml:space="preserve"> </w:t>
      </w:r>
      <w:r>
        <w:t xml:space="preserve">Chemical intermediate</w:t>
      </w:r>
      <w:r>
        <w:t xml:space="preserve"> </w:t>
      </w:r>
      <w:r>
        <w:t xml:space="preserve">used in the manufacture</w:t>
      </w:r>
      <w:r>
        <w:t xml:space="preserve"> </w:t>
      </w:r>
      <w:r>
        <w:t xml:space="preserve">of dyes, pharmaceuticals</w:t>
      </w:r>
      <w:r>
        <w:t xml:space="preserve"> </w:t>
      </w:r>
      <w:r>
        <w:t xml:space="preserve">and perfumes; also used</w:t>
      </w:r>
      <w:r>
        <w:t xml:space="preserve"> </w:t>
      </w:r>
      <w:r>
        <w:t xml:space="preserve">in the preparation of bird</w:t>
      </w:r>
      <w:r>
        <w:t xml:space="preserve"> </w:t>
      </w:r>
      <w:r>
        <w:t xml:space="preserve">and insect repellents</w:t>
      </w:r>
    </w:p>
    <w:p>
      <w:pPr>
        <w:pStyle w:val="BodyText"/>
      </w:pPr>
      <w:r>
        <w:t xml:space="preserve">760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II</w:t>
      </w:r>
      <w:r>
        <w:t xml:space="preserve"> </w:t>
      </w:r>
      <w:r>
        <w:t xml:space="preserve">b</w:t>
      </w:r>
      <w:r>
        <w:t xml:space="preserve"> </w:t>
      </w:r>
      <w:r>
        <w:t xml:space="preserve">Piperidine</w:t>
      </w:r>
      <w:r>
        <w:t xml:space="preserve"> </w:t>
      </w:r>
      <w:r>
        <w:t xml:space="preserve">2933 32 00</w:t>
      </w:r>
      <w:r>
        <w:t xml:space="preserve"> </w:t>
      </w:r>
      <w:r>
        <w:t xml:space="preserve">00</w:t>
      </w:r>
      <w:r>
        <w:t xml:space="preserve"> </w:t>
      </w:r>
      <w:r>
        <w:t xml:space="preserve">110-89-4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Phencycl</w:t>
      </w:r>
      <w:r>
        <w:t xml:space="preserve"> </w:t>
      </w:r>
      <w:r>
        <w:t xml:space="preserve">idine</w:t>
      </w:r>
      <w:r>
        <w:t xml:space="preserve"> </w:t>
      </w:r>
      <w:r>
        <w:t xml:space="preserve">Commonly used solvent</w:t>
      </w:r>
      <w:r>
        <w:t xml:space="preserve"> </w:t>
      </w:r>
      <w:r>
        <w:t xml:space="preserve">and reagent in chemical</w:t>
      </w:r>
      <w:r>
        <w:t xml:space="preserve"> </w:t>
      </w:r>
      <w:r>
        <w:t xml:space="preserve">laboratories and in the</w:t>
      </w:r>
      <w:r>
        <w:t xml:space="preserve"> </w:t>
      </w:r>
      <w:r>
        <w:t xml:space="preserve">chemical and</w:t>
      </w:r>
      <w:r>
        <w:t xml:space="preserve"> </w:t>
      </w:r>
      <w:r>
        <w:t xml:space="preserve">pharmaceutical industries;</w:t>
      </w:r>
      <w:r>
        <w:t xml:space="preserve"> </w:t>
      </w:r>
      <w:r>
        <w:t xml:space="preserve">also used in the</w:t>
      </w:r>
      <w:r>
        <w:t xml:space="preserve"> </w:t>
      </w:r>
      <w:r>
        <w:t xml:space="preserve">manufacture of rubber</w:t>
      </w:r>
      <w:r>
        <w:t xml:space="preserve"> </w:t>
      </w:r>
      <w:r>
        <w:t xml:space="preserve">products and plastics</w:t>
      </w:r>
    </w:p>
    <w:p>
      <w:pPr>
        <w:pStyle w:val="BodyText"/>
      </w:pPr>
      <w:r>
        <w:t xml:space="preserve">452</w:t>
      </w:r>
      <w:r>
        <w:t xml:space="preserve"> </w:t>
      </w:r>
      <w:r>
        <w:t xml:space="preserve">81</w:t>
      </w:r>
      <w:r>
        <w:t xml:space="preserve"> </w:t>
      </w:r>
      <w:r>
        <w:t xml:space="preserve">43</w:t>
      </w:r>
      <w:r>
        <w:t xml:space="preserve"> </w:t>
      </w:r>
      <w:r>
        <w:t xml:space="preserve">II</w:t>
      </w:r>
      <w:r>
        <w:t xml:space="preserve"> </w:t>
      </w:r>
      <w:r>
        <w:t xml:space="preserve">b</w:t>
      </w:r>
      <w:r>
        <w:t xml:space="preserve"> </w:t>
      </w:r>
      <w:r>
        <w:t xml:space="preserve">Potassium</w:t>
      </w:r>
      <w:r>
        <w:t xml:space="preserve"> </w:t>
      </w:r>
      <w:r>
        <w:t xml:space="preserve">permanganate</w:t>
      </w:r>
      <w:r>
        <w:t xml:space="preserve"> </w:t>
      </w:r>
      <w:r>
        <w:t xml:space="preserve">2841 61 00</w:t>
      </w:r>
      <w:r>
        <w:t xml:space="preserve"> </w:t>
      </w:r>
      <w:r>
        <w:t xml:space="preserve">00</w:t>
      </w:r>
      <w:r>
        <w:t xml:space="preserve"> </w:t>
      </w:r>
      <w:r>
        <w:t xml:space="preserve">7722-64-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Important reagent in</w:t>
      </w:r>
      <w:r>
        <w:t xml:space="preserve"> </w:t>
      </w:r>
      <w:r>
        <w:t xml:space="preserve">analytical and synthetic</w:t>
      </w:r>
      <w:r>
        <w:t xml:space="preserve"> </w:t>
      </w:r>
      <w:r>
        <w:t xml:space="preserve">organic chemistry; used in</w:t>
      </w:r>
      <w:r>
        <w:t xml:space="preserve"> </w:t>
      </w:r>
      <w:r>
        <w:t xml:space="preserve">bleaching applications,</w:t>
      </w:r>
      <w:r>
        <w:t xml:space="preserve"> </w:t>
      </w:r>
      <w:r>
        <w:t xml:space="preserve">disinfectants, anti-</w:t>
      </w:r>
      <w:r>
        <w:t xml:space="preserve"> </w:t>
      </w:r>
      <w:r>
        <w:t xml:space="preserve">bacterials and anti-fungal</w:t>
      </w:r>
      <w:r>
        <w:t xml:space="preserve"> </w:t>
      </w:r>
      <w:r>
        <w:t xml:space="preserve">agents and in water</w:t>
      </w:r>
      <w:r>
        <w:t xml:space="preserve"> </w:t>
      </w:r>
      <w:r>
        <w:t xml:space="preserve">purification</w:t>
      </w:r>
    </w:p>
    <w:p>
      <w:pPr>
        <w:pStyle w:val="BodyText"/>
      </w:pPr>
      <w:r>
        <w:t xml:space="preserve">1.3 m</w:t>
      </w:r>
      <w:r>
        <w:t xml:space="preserve"> </w:t>
      </w:r>
      <w:r>
        <w:t xml:space="preserve">515</w:t>
      </w:r>
      <w:r>
        <w:t xml:space="preserve"> </w:t>
      </w:r>
      <w:r>
        <w:t xml:space="preserve">1 m</w:t>
      </w:r>
      <w:r>
        <w:t xml:space="preserve"> </w:t>
      </w:r>
      <w:r>
        <w:t xml:space="preserve">III Acetone</w:t>
      </w:r>
      <w:r>
        <w:t xml:space="preserve"> </w:t>
      </w:r>
      <w:r>
        <w:t xml:space="preserve">2914 11 00</w:t>
      </w:r>
      <w:r>
        <w:t xml:space="preserve"> </w:t>
      </w:r>
      <w:r>
        <w:t xml:space="preserve">00</w:t>
      </w:r>
      <w:r>
        <w:t xml:space="preserve"> </w:t>
      </w:r>
      <w:r>
        <w:t xml:space="preserve">67-64-1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Variety of substances in</w:t>
      </w:r>
      <w:r>
        <w:t xml:space="preserve"> </w:t>
      </w:r>
      <w:r>
        <w:t xml:space="preserve">the chemical and</w:t>
      </w:r>
      <w:r>
        <w:t xml:space="preserve"> </w:t>
      </w:r>
      <w:r>
        <w:t xml:space="preserve">pharmaceutical industries,</w:t>
      </w:r>
      <w:r>
        <w:t xml:space="preserve"> </w:t>
      </w:r>
      <w:r>
        <w:t xml:space="preserve">including plastics, paints,</w:t>
      </w:r>
      <w:r>
        <w:t xml:space="preserve"> </w:t>
      </w:r>
      <w:r>
        <w:t xml:space="preserve">lubricants, varnishes and</w:t>
      </w:r>
      <w:r>
        <w:t xml:space="preserve"> </w:t>
      </w:r>
      <w:r>
        <w:t xml:space="preserve">cosmetics; explosives</w:t>
      </w:r>
    </w:p>
    <w:p>
      <w:pPr>
        <w:pStyle w:val="BodyText"/>
      </w:pPr>
      <w:r>
        <w:t xml:space="preserve">8.9 m</w:t>
      </w:r>
      <w:r>
        <w:t xml:space="preserve"> </w:t>
      </w:r>
      <w:r>
        <w:t xml:space="preserve">118.3 m</w:t>
      </w:r>
      <w:r>
        <w:t xml:space="preserve"> </w:t>
      </w:r>
      <w:r>
        <w:t xml:space="preserve">41 m</w:t>
      </w:r>
      <w:r>
        <w:t xml:space="preserve"> </w:t>
      </w:r>
      <w:r>
        <w:t xml:space="preserve">III Ethyl ether</w:t>
      </w:r>
      <w:r>
        <w:t xml:space="preserve"> </w:t>
      </w:r>
      <w:r>
        <w:t xml:space="preserve">2909 11 00</w:t>
      </w:r>
      <w:r>
        <w:t xml:space="preserve"> </w:t>
      </w:r>
      <w:r>
        <w:t xml:space="preserve">00</w:t>
      </w:r>
      <w:r>
        <w:t xml:space="preserve"> </w:t>
      </w:r>
      <w:r>
        <w:t xml:space="preserve">60-29-7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chemical and</w:t>
      </w:r>
      <w:r>
        <w:t xml:space="preserve"> </w:t>
      </w:r>
      <w:r>
        <w:t xml:space="preserve">pharmaceutical industries;</w:t>
      </w:r>
      <w:r>
        <w:t xml:space="preserve"> </w:t>
      </w:r>
      <w:r>
        <w:t xml:space="preserve">mainly used as an</w:t>
      </w:r>
      <w:r>
        <w:t xml:space="preserve"> </w:t>
      </w:r>
      <w:r>
        <w:t xml:space="preserve">extractant for fats, oils,</w:t>
      </w:r>
      <w:r>
        <w:t xml:space="preserve"> </w:t>
      </w:r>
      <w:r>
        <w:t xml:space="preserve">waxes and resins; also</w:t>
      </w:r>
      <w:r>
        <w:t xml:space="preserve"> </w:t>
      </w:r>
      <w:r>
        <w:t xml:space="preserve">used for the manufacture</w:t>
      </w:r>
      <w:r>
        <w:t xml:space="preserve"> </w:t>
      </w:r>
      <w:r>
        <w:t xml:space="preserve">of munitions, plastics and</w:t>
      </w:r>
      <w:r>
        <w:t xml:space="preserve"> </w:t>
      </w:r>
      <w:r>
        <w:t xml:space="preserve">perfumes and, in</w:t>
      </w:r>
    </w:p>
    <w:p>
      <w:pPr>
        <w:pStyle w:val="BodyText"/>
      </w:pPr>
      <w:r>
        <w:t xml:space="preserve">241.7</w:t>
      </w:r>
      <w:r>
        <w:t xml:space="preserve"> </w:t>
      </w:r>
      <w:r>
        <w:t xml:space="preserve">618.8</w:t>
      </w:r>
      <w:r>
        <w:t xml:space="preserve"> </w:t>
      </w:r>
      <w:r>
        <w:t xml:space="preserve">256.7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medicine, as a general</w:t>
      </w:r>
      <w:r>
        <w:t xml:space="preserve"> </w:t>
      </w:r>
      <w:r>
        <w:t xml:space="preserve">anaesthetic</w:t>
      </w:r>
      <w:r>
        <w:t xml:space="preserve"> </w:t>
      </w:r>
      <w:r>
        <w:t xml:space="preserve">III Hydrochloric acid</w:t>
      </w:r>
      <w:r>
        <w:t xml:space="preserve"> </w:t>
      </w:r>
      <w:r>
        <w:t xml:space="preserve">2806 10 00</w:t>
      </w:r>
      <w:r>
        <w:t xml:space="preserve"> </w:t>
      </w:r>
      <w:r>
        <w:t xml:space="preserve">00</w:t>
      </w:r>
      <w:r>
        <w:t xml:space="preserve"> </w:t>
      </w:r>
      <w:r>
        <w:t xml:space="preserve">7647-01-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Used in the production of</w:t>
      </w:r>
      <w:r>
        <w:t xml:space="preserve"> </w:t>
      </w:r>
      <w:r>
        <w:t xml:space="preserve">chlorides and</w:t>
      </w:r>
      <w:r>
        <w:t xml:space="preserve"> </w:t>
      </w:r>
      <w:r>
        <w:t xml:space="preserve">hydrochlorides, for the</w:t>
      </w:r>
      <w:r>
        <w:t xml:space="preserve"> </w:t>
      </w:r>
      <w:r>
        <w:t xml:space="preserve">neutralization of basic</w:t>
      </w:r>
      <w:r>
        <w:t xml:space="preserve"> </w:t>
      </w:r>
      <w:r>
        <w:t xml:space="preserve">systems and as a catalyst</w:t>
      </w:r>
      <w:r>
        <w:t xml:space="preserve"> </w:t>
      </w:r>
      <w:r>
        <w:t xml:space="preserve">and solvent in organic</w:t>
      </w:r>
      <w:r>
        <w:t xml:space="preserve"> </w:t>
      </w:r>
      <w:r>
        <w:t xml:space="preserve">synthesis</w:t>
      </w:r>
    </w:p>
    <w:p>
      <w:pPr>
        <w:pStyle w:val="BodyText"/>
      </w:pPr>
      <w:r>
        <w:t xml:space="preserve">35.5 m 148.0 m 436.3 m</w:t>
      </w:r>
      <w:r>
        <w:t xml:space="preserve"> </w:t>
      </w:r>
      <w:r>
        <w:t xml:space="preserve">III Methylethylketone</w:t>
      </w:r>
      <w:r>
        <w:t xml:space="preserve"> </w:t>
      </w:r>
      <w:r>
        <w:t xml:space="preserve">(MEK)</w:t>
      </w:r>
      <w:r>
        <w:t xml:space="preserve"> </w:t>
      </w:r>
      <w:r>
        <w:t xml:space="preserve">2914 12 00</w:t>
      </w:r>
      <w:r>
        <w:t xml:space="preserve"> </w:t>
      </w:r>
      <w:r>
        <w:t xml:space="preserve">00</w:t>
      </w:r>
      <w:r>
        <w:t xml:space="preserve"> </w:t>
      </w:r>
      <w:r>
        <w:t xml:space="preserve">78-93-3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Common solvent; used in</w:t>
      </w:r>
      <w:r>
        <w:t xml:space="preserve"> </w:t>
      </w:r>
      <w:r>
        <w:t xml:space="preserve">the manufacture of</w:t>
      </w:r>
      <w:r>
        <w:t xml:space="preserve"> </w:t>
      </w:r>
      <w:r>
        <w:t xml:space="preserve">coatings, solvents,</w:t>
      </w:r>
      <w:r>
        <w:t xml:space="preserve"> </w:t>
      </w:r>
      <w:r>
        <w:t xml:space="preserve">degreasing agents,</w:t>
      </w:r>
      <w:r>
        <w:t xml:space="preserve"> </w:t>
      </w:r>
      <w:r>
        <w:t xml:space="preserve">lacquers, resins and</w:t>
      </w:r>
      <w:r>
        <w:t xml:space="preserve"> </w:t>
      </w:r>
      <w:r>
        <w:t xml:space="preserve">smokeless powders</w:t>
      </w:r>
    </w:p>
    <w:p>
      <w:pPr>
        <w:pStyle w:val="BodyText"/>
      </w:pPr>
      <w:r>
        <w:t xml:space="preserve">36 026</w:t>
      </w:r>
      <w:r>
        <w:t xml:space="preserve"> </w:t>
      </w:r>
      <w:r>
        <w:t xml:space="preserve">5 311</w:t>
      </w:r>
      <w:r>
        <w:t xml:space="preserve"> </w:t>
      </w:r>
      <w:r>
        <w:t xml:space="preserve">4 680</w:t>
      </w:r>
      <w:r>
        <w:t xml:space="preserve"> </w:t>
      </w:r>
      <w:r>
        <w:t xml:space="preserve">III Sulphuric acid</w:t>
      </w:r>
      <w:r>
        <w:t xml:space="preserve"> </w:t>
      </w:r>
      <w:r>
        <w:t xml:space="preserve">2807 00 00</w:t>
      </w:r>
      <w:r>
        <w:t xml:space="preserve"> </w:t>
      </w:r>
      <w:r>
        <w:t xml:space="preserve">00</w:t>
      </w:r>
      <w:r>
        <w:t xml:space="preserve"> </w:t>
      </w:r>
      <w:r>
        <w:t xml:space="preserve">7664-93-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Used in the production of</w:t>
      </w:r>
      <w:r>
        <w:t xml:space="preserve"> </w:t>
      </w:r>
      <w:r>
        <w:t xml:space="preserve">sulphates; as an acidic</w:t>
      </w:r>
      <w:r>
        <w:t xml:space="preserve"> </w:t>
      </w:r>
      <w:r>
        <w:t xml:space="preserve">oxidizer; as a dehydrating</w:t>
      </w:r>
      <w:r>
        <w:t xml:space="preserve"> </w:t>
      </w:r>
      <w:r>
        <w:t xml:space="preserve">and purifying agent; for</w:t>
      </w:r>
      <w:r>
        <w:t xml:space="preserve"> </w:t>
      </w:r>
      <w:r>
        <w:t xml:space="preserve">the neutralization of</w:t>
      </w:r>
      <w:r>
        <w:t xml:space="preserve"> </w:t>
      </w:r>
      <w:r>
        <w:t xml:space="preserve">alkaline solutions; as a</w:t>
      </w:r>
      <w:r>
        <w:t xml:space="preserve"> </w:t>
      </w:r>
      <w:r>
        <w:t xml:space="preserve">catalyst in organic</w:t>
      </w:r>
      <w:r>
        <w:t xml:space="preserve"> </w:t>
      </w:r>
      <w:r>
        <w:t xml:space="preserve">synthesis; in the</w:t>
      </w:r>
      <w:r>
        <w:t xml:space="preserve"> </w:t>
      </w:r>
      <w:r>
        <w:t xml:space="preserve">manufacture of fertilizers,</w:t>
      </w:r>
      <w:r>
        <w:t xml:space="preserve"> </w:t>
      </w:r>
      <w:r>
        <w:t xml:space="preserve">explosives, dyestuffs and</w:t>
      </w:r>
      <w:r>
        <w:t xml:space="preserve"> </w:t>
      </w:r>
      <w:r>
        <w:t xml:space="preserve">paper; and as a</w:t>
      </w:r>
      <w:r>
        <w:t xml:space="preserve"> </w:t>
      </w:r>
      <w:r>
        <w:t xml:space="preserve">component of drain and</w:t>
      </w:r>
      <w:r>
        <w:t xml:space="preserve"> </w:t>
      </w:r>
      <w:r>
        <w:t xml:space="preserve">metal cleaners, anti-rust</w:t>
      </w:r>
      <w:r>
        <w:t xml:space="preserve"> </w:t>
      </w:r>
      <w:r>
        <w:t xml:space="preserve">compounds and</w:t>
      </w:r>
      <w:r>
        <w:t xml:space="preserve"> </w:t>
      </w:r>
      <w:r>
        <w:t xml:space="preserve">automobile battery fluids</w:t>
      </w:r>
    </w:p>
    <w:p>
      <w:pPr>
        <w:pStyle w:val="BodyText"/>
      </w:pPr>
      <w:r>
        <w:t xml:space="preserve">77 269</w:t>
      </w:r>
      <w:r>
        <w:t xml:space="preserve"> </w:t>
      </w:r>
      <w:r>
        <w:t xml:space="preserve">3 m</w:t>
      </w:r>
      <w:r>
        <w:t xml:space="preserve"> </w:t>
      </w:r>
      <w:r>
        <w:t xml:space="preserve">7.6 m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EU Schedules</w:t>
      </w:r>
      <w:r>
        <w:t xml:space="preserve"> </w:t>
      </w:r>
      <w:r>
        <w:t xml:space="preserve">UN Tables</w:t>
      </w:r>
      <w:r>
        <w:t xml:space="preserve"> </w:t>
      </w:r>
      <w:r>
        <w:t xml:space="preserve">Uses</w:t>
      </w:r>
      <w:r>
        <w:t xml:space="preserve"> </w:t>
      </w:r>
      <w:r>
        <w:t xml:space="preserve">202242</w:t>
      </w:r>
      <w:r>
        <w:t xml:space="preserve"> </w:t>
      </w:r>
      <w:r>
        <w:t xml:space="preserve">(tons)</w:t>
      </w:r>
      <w:r>
        <w:t xml:space="preserve"> </w:t>
      </w:r>
      <w:r>
        <w:t xml:space="preserve">Ca</w:t>
      </w:r>
      <w:r>
        <w:t xml:space="preserve"> </w:t>
      </w:r>
      <w:r>
        <w:t xml:space="preserve">t</w:t>
      </w:r>
      <w:r>
        <w:t xml:space="preserve"> </w:t>
      </w:r>
      <w:r>
        <w:t xml:space="preserve">Substance</w:t>
      </w:r>
      <w:r>
        <w:t xml:space="preserve"> </w:t>
      </w:r>
      <w:r>
        <w:t xml:space="preserve">TARIC</w:t>
      </w:r>
      <w:r>
        <w:t xml:space="preserve"> </w:t>
      </w:r>
      <w:r>
        <w:t xml:space="preserve">CAS No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br/>
      </w:r>
      <w:r>
        <w:t xml:space="preserve">Notes</w:t>
      </w:r>
      <w:r>
        <w:t xml:space="preserve"> </w:t>
      </w:r>
      <w:r>
        <w:t xml:space="preserve">Tab</w:t>
      </w:r>
      <w:r>
        <w:t xml:space="preserve"> </w:t>
      </w:r>
      <w:r>
        <w:t xml:space="preserve">Added</w:t>
      </w:r>
      <w:r>
        <w:t xml:space="preserve"> </w:t>
      </w:r>
      <w:r>
        <w:t xml:space="preserve">on</w:t>
      </w:r>
      <w:r>
        <w:t xml:space="preserve"> </w:t>
      </w:r>
      <w:r>
        <w:t xml:space="preserve">Notes</w:t>
      </w:r>
      <w:r>
        <w:br/>
      </w:r>
      <w:r>
        <w:t xml:space="preserve">Illicit</w:t>
      </w:r>
      <w:r>
        <w:t xml:space="preserve"> </w:t>
      </w:r>
      <w:r>
        <w:t xml:space="preserve">Licit</w:t>
      </w:r>
      <w:r>
        <w:t xml:space="preserve"> </w:t>
      </w:r>
      <w:r>
        <w:t xml:space="preserve">DDP Import Export</w:t>
      </w:r>
      <w:r>
        <w:t xml:space="preserve"> </w:t>
      </w:r>
      <w:r>
        <w:t xml:space="preserve">Usage</w:t>
      </w:r>
      <w:r>
        <w:t xml:space="preserve"> </w:t>
      </w:r>
      <w:r>
        <w:t xml:space="preserve">III Toluene</w:t>
      </w:r>
      <w:r>
        <w:t xml:space="preserve"> </w:t>
      </w:r>
      <w:r>
        <w:t xml:space="preserve">2902 30 00</w:t>
      </w:r>
      <w:r>
        <w:t xml:space="preserve"> </w:t>
      </w:r>
      <w:r>
        <w:t xml:space="preserve">00</w:t>
      </w:r>
      <w:r>
        <w:t xml:space="preserve"> </w:t>
      </w:r>
      <w:r>
        <w:t xml:space="preserve">108-88-3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Industrial solvent; used in</w:t>
      </w:r>
      <w:r>
        <w:t xml:space="preserve"> </w:t>
      </w:r>
      <w:r>
        <w:t xml:space="preserve">the manufacture of</w:t>
      </w:r>
      <w:r>
        <w:t xml:space="preserve"> </w:t>
      </w:r>
      <w:r>
        <w:t xml:space="preserve">explosives, dyes, coatings</w:t>
      </w:r>
      <w:r>
        <w:t xml:space="preserve"> </w:t>
      </w:r>
      <w:r>
        <w:t xml:space="preserve">and other organic</w:t>
      </w:r>
      <w:r>
        <w:t xml:space="preserve"> </w:t>
      </w:r>
      <w:r>
        <w:t xml:space="preserve">substances and as a</w:t>
      </w:r>
      <w:r>
        <w:t xml:space="preserve"> </w:t>
      </w:r>
      <w:r>
        <w:t xml:space="preserve">gasoline additive</w:t>
      </w:r>
    </w:p>
    <w:p>
      <w:pPr>
        <w:pStyle w:val="BodyText"/>
      </w:pPr>
      <w:r>
        <w:t xml:space="preserve">12 960 137 497 39 628</w:t>
      </w:r>
      <w:r>
        <w:t xml:space="preserve"> </w:t>
      </w:r>
      <w:r>
        <w:t xml:space="preserve">IV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and veterinary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containing</w:t>
      </w:r>
      <w:r>
        <w:t xml:space="preserve"> </w:t>
      </w:r>
      <w:r>
        <w:t xml:space="preserve">ephedrine or its</w:t>
      </w:r>
      <w:r>
        <w:t xml:space="preserve"> </w:t>
      </w:r>
      <w:r>
        <w:t xml:space="preserve">salts</w:t>
      </w:r>
      <w:r>
        <w:t xml:space="preserve"> </w:t>
      </w:r>
      <w:r>
        <w:t xml:space="preserve">3003 41 00</w:t>
      </w:r>
      <w:r>
        <w:t xml:space="preserve"> </w:t>
      </w:r>
      <w:r>
        <w:t xml:space="preserve">00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Medicinal products and</w:t>
      </w:r>
      <w:r>
        <w:t xml:space="preserve"> </w:t>
      </w:r>
      <w:r>
        <w:t xml:space="preserve">veterinary medicinal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2.1</w:t>
      </w:r>
      <w:r>
        <w:t xml:space="preserve"> </w:t>
      </w:r>
      <w:r>
        <w:t xml:space="preserve">IV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and veterinary</w:t>
      </w:r>
      <w:r>
        <w:t xml:space="preserve"> </w:t>
      </w:r>
      <w:r>
        <w:t xml:space="preserve">medicinal products</w:t>
      </w:r>
      <w:r>
        <w:t xml:space="preserve"> </w:t>
      </w:r>
      <w:r>
        <w:t xml:space="preserve">containing</w:t>
      </w:r>
      <w:r>
        <w:t xml:space="preserve"> </w:t>
      </w:r>
      <w:r>
        <w:t xml:space="preserve">pseudoephedrine or</w:t>
      </w:r>
      <w:r>
        <w:t xml:space="preserve"> </w:t>
      </w:r>
      <w:r>
        <w:t xml:space="preserve">its salts</w:t>
      </w:r>
      <w:r>
        <w:t xml:space="preserve"> </w:t>
      </w:r>
      <w:r>
        <w:t xml:space="preserve">3003 42 00</w:t>
      </w:r>
      <w:r>
        <w:t xml:space="preserve"> </w:t>
      </w:r>
      <w:r>
        <w:t xml:space="preserve">00</w:t>
      </w:r>
    </w:p>
    <w:p>
      <w:pPr>
        <w:pStyle w:val="BodyText"/>
      </w:pPr>
      <w:r>
        <w:t xml:space="preserve">Meth</w:t>
      </w:r>
      <w:r>
        <w:t xml:space="preserve"> </w:t>
      </w:r>
      <w:r>
        <w:t xml:space="preserve">Medicinal products and</w:t>
      </w:r>
      <w:r>
        <w:t xml:space="preserve"> </w:t>
      </w:r>
      <w:r>
        <w:t xml:space="preserve">veterinary medicinal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24.8</w:t>
      </w:r>
      <w:r>
        <w:t xml:space="preserve"> </w:t>
      </w:r>
      <w:r>
        <w:t xml:space="preserve">21.7</w:t>
      </w:r>
      <w:r>
        <w:t xml:space="preserve"> </w:t>
      </w: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1-boc-4-piperidone 2932 39 99</w:t>
      </w:r>
      <w:r>
        <w:t xml:space="preserve"> </w:t>
      </w:r>
      <w:r>
        <w:t xml:space="preserve">90</w:t>
      </w:r>
      <w:r>
        <w:t xml:space="preserve"> </w:t>
      </w:r>
      <w:r>
        <w:t xml:space="preserve">79099-</w:t>
      </w:r>
      <w:r>
        <w:t xml:space="preserve"> </w:t>
      </w:r>
      <w:r>
        <w:t xml:space="preserve">07-3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2024-03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Limited known legitimate</w:t>
      </w:r>
      <w:r>
        <w:t xml:space="preserve"> </w:t>
      </w:r>
      <w:r>
        <w:t xml:space="preserve">manufacture of and trade</w:t>
      </w:r>
      <w:r>
        <w:t xml:space="preserve"> </w:t>
      </w:r>
      <w:r>
        <w:t xml:space="preserve">(only R&amp;D)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O</w:t>
      </w:r>
      <w:r>
        <w:t xml:space="preserve"> </w:t>
      </w:r>
      <w:r>
        <w:t xml:space="preserve">4-piperidone</w:t>
      </w:r>
      <w:r>
        <w:t xml:space="preserve"> </w:t>
      </w:r>
      <w:r>
        <w:t xml:space="preserve">2933 39 99</w:t>
      </w:r>
      <w:r>
        <w:t xml:space="preserve"> </w:t>
      </w:r>
      <w:r>
        <w:t xml:space="preserve">90</w:t>
      </w:r>
      <w:r>
        <w:t xml:space="preserve"> </w:t>
      </w:r>
      <w:r>
        <w:t xml:space="preserve">41661-</w:t>
      </w:r>
      <w:r>
        <w:t xml:space="preserve"> </w:t>
      </w:r>
      <w:r>
        <w:t xml:space="preserve">47-6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2024-03</w:t>
      </w:r>
      <w:r>
        <w:br/>
      </w:r>
      <w:r>
        <w:t xml:space="preserve">Fentanyl</w:t>
      </w:r>
      <w:r>
        <w:t xml:space="preserve"> </w:t>
      </w:r>
      <w:r>
        <w:t xml:space="preserve">etc</w:t>
      </w:r>
      <w:r>
        <w:t xml:space="preserve"> </w:t>
      </w:r>
      <w:r>
        <w:t xml:space="preserve">Limited known legitimate</w:t>
      </w:r>
      <w:r>
        <w:t xml:space="preserve"> </w:t>
      </w:r>
      <w:r>
        <w:t xml:space="preserve">manufacture of and trade</w:t>
      </w:r>
      <w:r>
        <w:t xml:space="preserve"> </w:t>
      </w:r>
      <w:r>
        <w:t xml:space="preserve">(only R&amp;D)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2.</w:t>
      </w:r>
      <w:r>
        <w:t xml:space="preserve"> </w:t>
      </w:r>
      <w:r>
        <w:t xml:space="preserve">COMPETITIVE POSITION OF THE MOST AFFECTED SECTORS</w:t>
      </w:r>
      <w:r>
        <w:t xml:space="preserve"> </w:t>
      </w:r>
      <w:r>
        <w:t xml:space="preserve">Drug precursors are critical components of various industrial supply chains, serving essential</w:t>
      </w:r>
      <w:r>
        <w:t xml:space="preserve"> </w:t>
      </w:r>
      <w:r>
        <w:t xml:space="preserve">roles in industries such as pharmaceuticals, flavouring and fragrance, batteries, cosmetics,</w:t>
      </w:r>
      <w:r>
        <w:t xml:space="preserve"> </w:t>
      </w:r>
      <w:r>
        <w:t xml:space="preserve">textiles, oil refinery, water treatment, food additives, explosives, rubber production, fertilisers,</w:t>
      </w:r>
      <w:r>
        <w:t xml:space="preserve"> </w:t>
      </w:r>
      <w:r>
        <w:t xml:space="preserve">plastics or dyes. To define the sector for the purpose of competitiveness analysis, the table</w:t>
      </w:r>
      <w:r>
        <w:t xml:space="preserve"> </w:t>
      </w:r>
      <w:r>
        <w:t xml:space="preserve">below aims to place scheduled substances into larger, yet relevant, product categories for which</w:t>
      </w:r>
      <w:r>
        <w:t xml:space="preserve"> </w:t>
      </w:r>
      <w:r>
        <w:t xml:space="preserve">more economic information exists. 43</w:t>
      </w:r>
    </w:p>
    <w:p>
      <w:pPr>
        <w:pStyle w:val="BodyText"/>
      </w:pPr>
      <w:r>
        <w:t xml:space="preserve">This table highlights that some of the substances scheduled have only a weak link with the</w:t>
      </w:r>
      <w:r>
        <w:t xml:space="preserve"> </w:t>
      </w:r>
      <w:r>
        <w:t xml:space="preserve">chemical industry. This is the case of the last 6 lines, for which the original precursor is to be</w:t>
      </w:r>
      <w:r>
        <w:t xml:space="preserve"> </w:t>
      </w:r>
      <w:r>
        <w:t xml:space="preserve">found in the mining industry, in oil and gas, or in bioprocesses.</w:t>
      </w:r>
    </w:p>
    <w:p>
      <w:pPr>
        <w:pStyle w:val="BodyText"/>
      </w:pPr>
      <w:r>
        <w:t xml:space="preserve">Finally, two indications are needed for an understanding of the content of the table:</w:t>
      </w:r>
      <w:r>
        <w:t xml:space="preserve"> </w:t>
      </w:r>
      <w:r>
        <w:t xml:space="preserve">a) the scheduled substances are presented according to a colour code that indicates to which of</w:t>
      </w:r>
      <w:r>
        <w:t xml:space="preserve"> </w:t>
      </w:r>
      <w:r>
        <w:t xml:space="preserve">the 3 categories devised by the Regulation they belong, i.e.: Category 1, Category 2 and</w:t>
      </w:r>
      <w:r>
        <w:t xml:space="preserve"> </w:t>
      </w:r>
      <w:r>
        <w:t xml:space="preserve">Category 3.</w:t>
      </w:r>
      <w:r>
        <w:br/>
      </w:r>
      <w:r>
        <w:t xml:space="preserve">b) because several possible production routes exist for some of the drug precursors listed, the</w:t>
      </w:r>
      <w:r>
        <w:t xml:space="preserve"> </w:t>
      </w:r>
      <w:r>
        <w:t xml:space="preserve">chosen links of the respective value chain belong to the production process that is the most</w:t>
      </w:r>
      <w:r>
        <w:t xml:space="preserve"> </w:t>
      </w:r>
      <w:r>
        <w:t xml:space="preserve">extensively employed.</w:t>
      </w:r>
    </w:p>
    <w:p>
      <w:pPr>
        <w:pStyle w:val="BodyText"/>
      </w:pPr>
      <w:r>
        <w:t xml:space="preserve">The vast majority (well over 90 %) of chemical production in general rests on so-called</w:t>
      </w:r>
      <w:r>
        <w:t xml:space="preserve"> </w:t>
      </w:r>
      <w:r>
        <w:t xml:space="preserve">“building blocks”. There are some discrepancies in specialised literature as to which these are,</w:t>
      </w:r>
      <w:r>
        <w:t xml:space="preserve"> </w:t>
      </w:r>
      <w:r>
        <w:t xml:space="preserve">but the largest body of evidence points to 9 of them, as listed below:</w:t>
      </w:r>
      <w:r>
        <w:t xml:space="preserve"> </w:t>
      </w:r>
      <w:r>
        <w:t xml:space="preserve">● petrochemicals, i.e., methanol; olefins (ethylene, propylene, butadiene); and aromatics</w:t>
      </w:r>
      <w:r>
        <w:t xml:space="preserve"> </w:t>
      </w:r>
      <w:r>
        <w:t xml:space="preserve">(benzene, toluene, xylenes);</w:t>
      </w:r>
      <w:r>
        <w:t xml:space="preserve"> </w:t>
      </w:r>
      <w:r>
        <w:t xml:space="preserve">● inorganics, i.e., ammonia and chlorine.</w:t>
      </w:r>
    </w:p>
    <w:p>
      <w:pPr>
        <w:pStyle w:val="BodyText"/>
      </w:pPr>
      <w:r>
        <w:t xml:space="preserve">Schedules substances and their link to a chemical ‘building block’ (for certain</w:t>
      </w:r>
      <w:r>
        <w:t xml:space="preserve"> </w:t>
      </w:r>
      <w:r>
        <w:t xml:space="preserve">substances, more than one critical intermediate or “building block” is used, for reasons</w:t>
      </w:r>
      <w:r>
        <w:t xml:space="preserve"> </w:t>
      </w:r>
      <w:r>
        <w:t xml:space="preserve">of simplicity only one is mentioned in the list)</w:t>
      </w:r>
    </w:p>
    <w:p>
      <w:pPr>
        <w:pStyle w:val="BodyText"/>
      </w:pPr>
      <w:r>
        <w:t xml:space="preserve">Scheduled substance</w:t>
      </w:r>
      <w:r>
        <w:t xml:space="preserve"> </w:t>
      </w:r>
      <w:r>
        <w:t xml:space="preserve">CN code</w:t>
      </w:r>
      <w:r>
        <w:t xml:space="preserve"> </w:t>
      </w:r>
      <w:r>
        <w:t xml:space="preserve">Closest precursor</w:t>
      </w:r>
      <w:r>
        <w:t xml:space="preserve"> </w:t>
      </w:r>
      <w:r>
        <w:t xml:space="preserve">Critical intermediate</w:t>
      </w:r>
    </w:p>
    <w:p>
      <w:pPr>
        <w:pStyle w:val="BodyText"/>
      </w:pPr>
      <w:r>
        <w:t xml:space="preserve">Originating chemical</w:t>
      </w:r>
      <w:r>
        <w:t xml:space="preserve"> </w:t>
      </w:r>
      <w:r>
        <w:t xml:space="preserve">“building block”</w:t>
      </w:r>
      <w:r>
        <w:t xml:space="preserve"> </w:t>
      </w:r>
      <w:r>
        <w:t xml:space="preserve">1-phenyl-2-propanone (Phenylacetone)</w:t>
      </w:r>
      <w:r>
        <w:t xml:space="preserve"> </w:t>
      </w:r>
      <w:r>
        <w:t xml:space="preserve">2914 31 00</w:t>
      </w:r>
      <w:r>
        <w:t xml:space="preserve"> </w:t>
      </w:r>
      <w:r>
        <w:t xml:space="preserve">Phenylacetic acid</w:t>
      </w:r>
      <w:r>
        <w:t xml:space="preserve"> </w:t>
      </w:r>
      <w:r>
        <w:t xml:space="preserve">Acetic acid</w:t>
      </w:r>
    </w:p>
    <w:p>
      <w:pPr>
        <w:pStyle w:val="BodyText"/>
      </w:pPr>
      <w:r>
        <w:t xml:space="preserve">Methanol</w:t>
      </w:r>
    </w:p>
    <w:p>
      <w:pPr>
        <w:pStyle w:val="BodyText"/>
      </w:pPr>
      <w:r>
        <w:t xml:space="preserve">Alpha-phenylacetoacetamide (APAA)</w:t>
      </w:r>
      <w:r>
        <w:br/>
      </w:r>
      <w:r>
        <w:t xml:space="preserve">2924 29 70</w:t>
      </w:r>
      <w:r>
        <w:t xml:space="preserve"> </w:t>
      </w:r>
      <w:r>
        <w:t xml:space="preserve">Acetoacetamide</w:t>
      </w:r>
      <w:r>
        <w:t xml:space="preserve"> </w:t>
      </w:r>
      <w:r>
        <w:t xml:space="preserve">Acetic anhydride</w:t>
      </w:r>
      <w:r>
        <w:br/>
      </w:r>
      <w:r>
        <w:t xml:space="preserve">2915 24 00</w:t>
      </w:r>
      <w:r>
        <w:t xml:space="preserve"> </w:t>
      </w:r>
      <w:r>
        <w:t xml:space="preserve">Acetic acid</w:t>
      </w:r>
      <w:r>
        <w:t xml:space="preserve"> </w:t>
      </w:r>
      <w:r>
        <w:t xml:space="preserve">Piperidine</w:t>
      </w:r>
      <w:r>
        <w:t xml:space="preserve"> </w:t>
      </w:r>
      <w:r>
        <w:t xml:space="preserve">2933 32 00</w:t>
      </w:r>
      <w:r>
        <w:t xml:space="preserve"> </w:t>
      </w:r>
      <w:r>
        <w:t xml:space="preserve">Pyridine</w:t>
      </w:r>
      <w:r>
        <w:t xml:space="preserve"> </w:t>
      </w:r>
      <w:r>
        <w:t xml:space="preserve">Formaldehyde</w:t>
      </w:r>
      <w:r>
        <w:t xml:space="preserve"> </w:t>
      </w:r>
      <w:r>
        <w:t xml:space="preserve">Ethyl ether, Diethyl ether</w:t>
      </w:r>
      <w:r>
        <w:t xml:space="preserve"> </w:t>
      </w:r>
      <w:r>
        <w:t xml:space="preserve">2909 11 00</w:t>
      </w:r>
      <w:r>
        <w:t xml:space="preserve"> </w:t>
      </w:r>
      <w:r>
        <w:t xml:space="preserve">Ethanol</w:t>
      </w:r>
      <w:r>
        <w:t xml:space="preserve"> </w:t>
      </w:r>
      <w:r>
        <w:t xml:space="preserve">Ethanol</w:t>
      </w:r>
      <w:r>
        <w:t xml:space="preserve"> </w:t>
      </w:r>
      <w:r>
        <w:t xml:space="preserve">Ethylene</w:t>
      </w:r>
      <w:r>
        <w:t xml:space="preserve"> </w:t>
      </w:r>
      <w:r>
        <w:t xml:space="preserve">Alpha-phenylacetoacetonitrile</w:t>
      </w:r>
      <w:r>
        <w:t xml:space="preserve"> </w:t>
      </w:r>
      <w:r>
        <w:t xml:space="preserve">(APAAN)</w:t>
      </w:r>
      <w:r>
        <w:br/>
      </w:r>
      <w:r>
        <w:t xml:space="preserve">2926 40 00</w:t>
      </w:r>
      <w:r>
        <w:t xml:space="preserve"> </w:t>
      </w:r>
      <w:r>
        <w:t xml:space="preserve">Acetonitrile</w:t>
      </w:r>
      <w:r>
        <w:t xml:space="preserve"> </w:t>
      </w:r>
      <w:r>
        <w:t xml:space="preserve">Acrylonitrile</w:t>
      </w:r>
    </w:p>
    <w:p>
      <w:pPr>
        <w:pStyle w:val="BodyText"/>
      </w:pPr>
      <w:r>
        <w:t xml:space="preserve">Propylene</w:t>
      </w:r>
    </w:p>
    <w:p>
      <w:pPr>
        <w:pStyle w:val="BodyText"/>
      </w:pPr>
      <w:r>
        <w:t xml:space="preserve">MAPA &amp; EAPA</w:t>
      </w:r>
      <w:r>
        <w:t xml:space="preserve"> </w:t>
      </w:r>
      <w:r>
        <w:t xml:space="preserve">2918 30 00</w:t>
      </w:r>
      <w:r>
        <w:t xml:space="preserve"> </w:t>
      </w:r>
      <w:r>
        <w:t xml:space="preserve">Acetonitrile</w:t>
      </w:r>
      <w:r>
        <w:t xml:space="preserve"> </w:t>
      </w:r>
      <w:r>
        <w:t xml:space="preserve">BMK glycidic acid</w:t>
      </w:r>
      <w:r>
        <w:t xml:space="preserve"> </w:t>
      </w:r>
      <w:r>
        <w:t xml:space="preserve">2918 99 90</w:t>
      </w:r>
      <w:r>
        <w:t xml:space="preserve"> </w:t>
      </w:r>
      <w:r>
        <w:t xml:space="preserve">APAAN</w:t>
      </w:r>
      <w:r>
        <w:t xml:space="preserve"> </w:t>
      </w:r>
      <w:r>
        <w:t xml:space="preserve">PMK glycidic acid</w:t>
      </w:r>
      <w:r>
        <w:t xml:space="preserve"> </w:t>
      </w:r>
      <w:r>
        <w:t xml:space="preserve">2932 99 00</w:t>
      </w:r>
    </w:p>
    <w:p>
      <w:pPr>
        <w:pStyle w:val="BodyText"/>
      </w:pPr>
      <w:r>
        <w:t xml:space="preserve">Acrylic acid</w:t>
      </w:r>
      <w:r>
        <w:t xml:space="preserve"> </w:t>
      </w:r>
      <w:r>
        <w:t xml:space="preserve">IMDPAM</w:t>
      </w:r>
      <w:r>
        <w:t xml:space="preserve"> </w:t>
      </w:r>
      <w:r>
        <w:t xml:space="preserve">2932 99 00</w:t>
      </w:r>
      <w:r>
        <w:t xml:space="preserve"> </w:t>
      </w:r>
      <w:r>
        <w:t xml:space="preserve">Acetone</w:t>
      </w:r>
      <w:r>
        <w:t xml:space="preserve"> </w:t>
      </w:r>
      <w:r>
        <w:t xml:space="preserve">Isopropyl alcohol</w:t>
      </w:r>
      <w:r>
        <w:t xml:space="preserve"> </w:t>
      </w:r>
      <w:r>
        <w:t xml:space="preserve">MAMDPA</w:t>
      </w:r>
      <w:r>
        <w:t xml:space="preserve"> </w:t>
      </w:r>
      <w:r>
        <w:t xml:space="preserve">2932 99 00</w:t>
      </w:r>
    </w:p>
    <w:p>
      <w:pPr>
        <w:pStyle w:val="BodyText"/>
      </w:pPr>
      <w:r>
        <w:t xml:space="preserve">Butyric acid</w:t>
      </w:r>
      <w:r>
        <w:t xml:space="preserve"> </w:t>
      </w:r>
      <w:r>
        <w:t xml:space="preserve">Methylethylketone, Butanone</w:t>
      </w:r>
      <w:r>
        <w:br/>
      </w:r>
      <w:r>
        <w:t xml:space="preserve">2914 12 00</w:t>
      </w:r>
      <w:r>
        <w:t xml:space="preserve"> </w:t>
      </w:r>
      <w:r>
        <w:t xml:space="preserve">2-butanol</w:t>
      </w:r>
      <w:r>
        <w:t xml:space="preserve"> </w:t>
      </w:r>
      <w:r>
        <w:t xml:space="preserve">2-butanol</w:t>
      </w:r>
    </w:p>
    <w:p>
      <w:pPr>
        <w:pStyle w:val="BodyText"/>
      </w:pPr>
      <w:r>
        <w:t xml:space="preserve">43 This exercise did not include 5 fentanyl precursors scheduled in 2022. Apart from not having any legal uses,</w:t>
      </w:r>
      <w:r>
        <w:t xml:space="preserve"> </w:t>
      </w:r>
      <w:r>
        <w:t xml:space="preserve">they originate from production processes that are neither widely known, nor are they in need of being advertised.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Acetone</w:t>
      </w:r>
      <w:r>
        <w:t xml:space="preserve"> </w:t>
      </w:r>
      <w:r>
        <w:t xml:space="preserve">2914 11 00</w:t>
      </w:r>
      <w:r>
        <w:t xml:space="preserve"> </w:t>
      </w:r>
      <w:r>
        <w:t xml:space="preserve">Cumene</w:t>
      </w:r>
      <w:r>
        <w:t xml:space="preserve"> </w:t>
      </w:r>
      <w:r>
        <w:t xml:space="preserve">Cumene****</w:t>
      </w:r>
      <w:r>
        <w:t xml:space="preserve"> </w:t>
      </w:r>
      <w:r>
        <w:t xml:space="preserve">Isosafrol</w:t>
      </w:r>
      <w:r>
        <w:br/>
      </w:r>
      <w:r>
        <w:t xml:space="preserve">2932 91 00</w:t>
      </w:r>
      <w:r>
        <w:t xml:space="preserve"> </w:t>
      </w:r>
      <w:r>
        <w:t xml:space="preserve">Allylbenzene</w:t>
      </w:r>
      <w:r>
        <w:t xml:space="preserve"> </w:t>
      </w:r>
      <w:r>
        <w:t xml:space="preserve">Allylbenzene</w:t>
      </w:r>
    </w:p>
    <w:p>
      <w:pPr>
        <w:pStyle w:val="BodyText"/>
      </w:pPr>
      <w:r>
        <w:t xml:space="preserve">Benzene</w:t>
      </w:r>
    </w:p>
    <w:p>
      <w:pPr>
        <w:pStyle w:val="BodyText"/>
      </w:pPr>
      <w:r>
        <w:t xml:space="preserve">Piperonal</w:t>
      </w:r>
      <w:r>
        <w:br/>
      </w:r>
      <w:r>
        <w:t xml:space="preserve">2932 93 00</w:t>
      </w:r>
      <w:r>
        <w:t xml:space="preserve"> </w:t>
      </w:r>
      <w:r>
        <w:t xml:space="preserve">Isosafrol</w:t>
      </w:r>
      <w:r>
        <w:t xml:space="preserve"> </w:t>
      </w:r>
      <w:r>
        <w:t xml:space="preserve">Safrole</w:t>
      </w:r>
      <w:r>
        <w:t xml:space="preserve"> </w:t>
      </w:r>
      <w:r>
        <w:t xml:space="preserve">2932 94 00</w:t>
      </w:r>
      <w:r>
        <w:t xml:space="preserve"> </w:t>
      </w:r>
      <w:r>
        <w:t xml:space="preserve">Catechol</w:t>
      </w:r>
      <w:r>
        <w:t xml:space="preserve"> </w:t>
      </w:r>
      <w:r>
        <w:t xml:space="preserve">Phenol</w:t>
      </w:r>
      <w:r>
        <w:t xml:space="preserve"> </w:t>
      </w:r>
      <w:r>
        <w:t xml:space="preserve">Benzene*</w:t>
      </w:r>
    </w:p>
    <w:p>
      <w:pPr>
        <w:pStyle w:val="BodyText"/>
      </w:pPr>
      <w:r>
        <w:t xml:space="preserve">3,4-Methylenedioxyphenylpropan-2-</w:t>
      </w:r>
      <w:r>
        <w:t xml:space="preserve"> </w:t>
      </w:r>
      <w:r>
        <w:t xml:space="preserve">one</w:t>
      </w:r>
      <w:r>
        <w:t xml:space="preserve"> </w:t>
      </w:r>
      <w:r>
        <w:t xml:space="preserve">2932 92 00</w:t>
      </w:r>
      <w:r>
        <w:t xml:space="preserve"> </w:t>
      </w:r>
      <w:r>
        <w:t xml:space="preserve">Safrole</w:t>
      </w:r>
      <w:r>
        <w:t xml:space="preserve"> </w:t>
      </w:r>
      <w:r>
        <w:t xml:space="preserve">N-acetylanthranilic acid 2-</w:t>
      </w:r>
      <w:r>
        <w:t xml:space="preserve"> </w:t>
      </w:r>
      <w:r>
        <w:t xml:space="preserve">acetamidobenzoic acid</w:t>
      </w:r>
      <w:r>
        <w:br/>
      </w:r>
      <w:r>
        <w:t xml:space="preserve">2924 23 00</w:t>
      </w:r>
      <w:r>
        <w:t xml:space="preserve"> </w:t>
      </w:r>
      <w:r>
        <w:t xml:space="preserve">Benzoic acid</w:t>
      </w:r>
      <w:r>
        <w:t xml:space="preserve"> </w:t>
      </w:r>
      <w:r>
        <w:t xml:space="preserve">Benzoic acid</w:t>
      </w:r>
      <w:r>
        <w:t xml:space="preserve"> </w:t>
      </w:r>
      <w:r>
        <w:t xml:space="preserve">Toluene</w:t>
      </w:r>
    </w:p>
    <w:p>
      <w:pPr>
        <w:pStyle w:val="BodyText"/>
      </w:pPr>
      <w:r>
        <w:t xml:space="preserve">Ephedrine</w:t>
      </w:r>
      <w:r>
        <w:t xml:space="preserve"> </w:t>
      </w:r>
      <w:r>
        <w:t xml:space="preserve">2939 41 00</w:t>
      </w:r>
      <w:r>
        <w:t xml:space="preserve"> </w:t>
      </w:r>
      <w:r>
        <w:t xml:space="preserve">Benzaldehyde</w:t>
      </w:r>
      <w:r>
        <w:t xml:space="preserve"> </w:t>
      </w:r>
      <w:r>
        <w:t xml:space="preserve">Benzaldehyde</w:t>
      </w:r>
    </w:p>
    <w:p>
      <w:pPr>
        <w:pStyle w:val="Compact"/>
        <w:numPr>
          <w:ilvl w:val="0"/>
          <w:numId w:val="1048"/>
        </w:numPr>
      </w:pPr>
      <w:r>
        <w:t xml:space="preserve">2 chloroephedrines</w:t>
      </w:r>
      <w:r>
        <w:t xml:space="preserve"> </w:t>
      </w:r>
      <w:r>
        <w:t xml:space="preserve">2939 79 90</w:t>
      </w:r>
      <w:r>
        <w:t xml:space="preserve"> </w:t>
      </w:r>
      <w:r>
        <w:t xml:space="preserve">Ephedrine</w:t>
      </w:r>
      <w:r>
        <w:t xml:space="preserve"> </w:t>
      </w:r>
      <w:r>
        <w:t xml:space="preserve">Pseudoephedrine</w:t>
      </w:r>
      <w:r>
        <w:t xml:space="preserve"> </w:t>
      </w:r>
      <w:r>
        <w:t xml:space="preserve">2939 42 00</w:t>
      </w:r>
      <w:r>
        <w:t xml:space="preserve"> </w:t>
      </w:r>
      <w:r>
        <w:t xml:space="preserve">Benzaldehyde</w:t>
      </w:r>
    </w:p>
    <w:p>
      <w:pPr>
        <w:pStyle w:val="Compact"/>
        <w:numPr>
          <w:ilvl w:val="0"/>
          <w:numId w:val="1048"/>
        </w:numPr>
      </w:pPr>
      <w:r>
        <w:t xml:space="preserve">2 chloropseudoephedrines</w:t>
      </w:r>
      <w:r>
        <w:t xml:space="preserve"> </w:t>
      </w:r>
      <w:r>
        <w:t xml:space="preserve">2939 79 90</w:t>
      </w:r>
      <w:r>
        <w:t xml:space="preserve"> </w:t>
      </w:r>
      <w:r>
        <w:t xml:space="preserve">Pseudoephedrine</w:t>
      </w:r>
      <w:r>
        <w:t xml:space="preserve"> </w:t>
      </w:r>
      <w:r>
        <w:t xml:space="preserve">Norephedrine</w:t>
      </w:r>
      <w:r>
        <w:t xml:space="preserve"> </w:t>
      </w:r>
      <w:r>
        <w:t xml:space="preserve">2939 44 00</w:t>
      </w:r>
      <w:r>
        <w:t xml:space="preserve"> </w:t>
      </w:r>
      <w:r>
        <w:t xml:space="preserve">Benzaldehyde</w:t>
      </w:r>
      <w:r>
        <w:t xml:space="preserve"> </w:t>
      </w:r>
      <w:r>
        <w:t xml:space="preserve">Phenylacetic acid</w:t>
      </w:r>
      <w:r>
        <w:t xml:space="preserve"> </w:t>
      </w:r>
      <w:r>
        <w:t xml:space="preserve">2916 34 00</w:t>
      </w:r>
      <w:r>
        <w:t xml:space="preserve"> </w:t>
      </w:r>
      <w:r>
        <w:t xml:space="preserve">Benzyl cyanide</w:t>
      </w:r>
      <w:r>
        <w:t xml:space="preserve"> </w:t>
      </w:r>
      <w:r>
        <w:t xml:space="preserve">Benzyl chloride</w:t>
      </w:r>
      <w:r>
        <w:t xml:space="preserve"> </w:t>
      </w:r>
      <w:r>
        <w:t xml:space="preserve">Toluene</w:t>
      </w:r>
      <w:r>
        <w:br/>
      </w:r>
      <w:r>
        <w:t xml:space="preserve">2902 30 00</w:t>
      </w:r>
      <w:r>
        <w:t xml:space="preserve"> </w:t>
      </w:r>
      <w:r>
        <w:t xml:space="preserve">Toluene</w:t>
      </w:r>
      <w:r>
        <w:t xml:space="preserve"> </w:t>
      </w:r>
      <w:r>
        <w:t xml:space="preserve">Toluene</w:t>
      </w:r>
      <w:r>
        <w:t xml:space="preserve"> </w:t>
      </w:r>
      <w:r>
        <w:t xml:space="preserve">Anthranilic acid</w:t>
      </w:r>
      <w:r>
        <w:t xml:space="preserve"> </w:t>
      </w:r>
      <w:r>
        <w:t xml:space="preserve">2922 43 00</w:t>
      </w:r>
      <w:r>
        <w:t xml:space="preserve"> </w:t>
      </w:r>
      <w:r>
        <w:t xml:space="preserve">Phtalic anhydride</w:t>
      </w:r>
      <w:r>
        <w:t xml:space="preserve"> </w:t>
      </w:r>
      <w:r>
        <w:t xml:space="preserve">Phtalic anhydride</w:t>
      </w:r>
      <w:r>
        <w:t xml:space="preserve"> </w:t>
      </w:r>
      <w:r>
        <w:t xml:space="preserve">Xylenes (orto-~)</w:t>
      </w:r>
      <w:r>
        <w:br/>
      </w:r>
      <w:r>
        <w:t xml:space="preserve">Hydrochloric acid</w:t>
      </w:r>
      <w:r>
        <w:br/>
      </w:r>
      <w:r>
        <w:t xml:space="preserve">2806 10 00</w:t>
      </w:r>
      <w:r>
        <w:t xml:space="preserve"> </w:t>
      </w:r>
      <w:r>
        <w:t xml:space="preserve">Chlorine</w:t>
      </w:r>
      <w:r>
        <w:t xml:space="preserve"> </w:t>
      </w:r>
      <w:r>
        <w:t xml:space="preserve">Chlorine</w:t>
      </w:r>
      <w:r>
        <w:t xml:space="preserve"> </w:t>
      </w:r>
      <w:r>
        <w:t xml:space="preserve">Chlorine</w:t>
      </w:r>
      <w:r>
        <w:t xml:space="preserve"> </w:t>
      </w:r>
      <w:r>
        <w:t xml:space="preserve">Sulphuric acid</w:t>
      </w:r>
      <w:r>
        <w:t xml:space="preserve"> </w:t>
      </w:r>
      <w:r>
        <w:t xml:space="preserve">2807 00 00</w:t>
      </w:r>
      <w:r>
        <w:t xml:space="preserve"> </w:t>
      </w:r>
      <w:r>
        <w:t xml:space="preserve">Sulphur dioxide</w:t>
      </w:r>
      <w:r>
        <w:t xml:space="preserve"> </w:t>
      </w:r>
      <w:r>
        <w:t xml:space="preserve">Elemental sulphur</w:t>
      </w:r>
      <w:r>
        <w:t xml:space="preserve"> </w:t>
      </w:r>
      <w:r>
        <w:t xml:space="preserve">Oil &amp; natural gas**</w:t>
      </w:r>
      <w:r>
        <w:br/>
      </w:r>
      <w:r>
        <w:t xml:space="preserve">Red phosphorus</w:t>
      </w:r>
      <w:r>
        <w:t xml:space="preserve"> </w:t>
      </w:r>
      <w:r>
        <w:t xml:space="preserve">2804 70 10</w:t>
      </w:r>
      <w:r>
        <w:t xml:space="preserve"> </w:t>
      </w:r>
      <w:r>
        <w:t xml:space="preserve">White phosphorus</w:t>
      </w:r>
      <w:r>
        <w:t xml:space="preserve"> </w:t>
      </w:r>
      <w:r>
        <w:t xml:space="preserve">White phosphorus</w:t>
      </w:r>
      <w:r>
        <w:t xml:space="preserve"> </w:t>
      </w:r>
      <w:r>
        <w:t xml:space="preserve">Phosphate rock***</w:t>
      </w:r>
      <w:r>
        <w:t xml:space="preserve"> </w:t>
      </w:r>
      <w:r>
        <w:t xml:space="preserve">Potassium permanganate</w:t>
      </w:r>
      <w:r>
        <w:t xml:space="preserve"> </w:t>
      </w:r>
      <w:r>
        <w:t xml:space="preserve">2841 61 00</w:t>
      </w:r>
      <w:r>
        <w:t xml:space="preserve"> </w:t>
      </w:r>
      <w:r>
        <w:t xml:space="preserve">Manganese dioxide</w:t>
      </w:r>
      <w:r>
        <w:t xml:space="preserve"> </w:t>
      </w:r>
      <w:r>
        <w:t xml:space="preserve">Manganese dioxide</w:t>
      </w:r>
      <w:r>
        <w:t xml:space="preserve"> </w:t>
      </w:r>
      <w:r>
        <w:t xml:space="preserve">Manganese ore***</w:t>
      </w:r>
      <w:r>
        <w:t xml:space="preserve"> </w:t>
      </w:r>
      <w:r>
        <w:t xml:space="preserve">Ergometrine</w:t>
      </w:r>
      <w:r>
        <w:t xml:space="preserve"> </w:t>
      </w:r>
      <w:r>
        <w:t xml:space="preserve">2939 61 00</w:t>
      </w:r>
      <w:r>
        <w:t xml:space="preserve"> </w:t>
      </w:r>
      <w:r>
        <w:t xml:space="preserve">Lysergic acid</w:t>
      </w:r>
      <w:r>
        <w:t xml:space="preserve"> </w:t>
      </w:r>
      <w:r>
        <w:t xml:space="preserve">Specific fungi</w:t>
      </w:r>
      <w:r>
        <w:t xml:space="preserve"> </w:t>
      </w:r>
      <w:r>
        <w:t xml:space="preserve">No exclusively</w:t>
      </w:r>
      <w:r>
        <w:t xml:space="preserve"> </w:t>
      </w:r>
      <w:r>
        <w:t xml:space="preserve">synthetic production</w:t>
      </w:r>
      <w:r>
        <w:t xml:space="preserve"> </w:t>
      </w:r>
      <w:r>
        <w:t xml:space="preserve">route exists</w:t>
      </w:r>
      <w:r>
        <w:t xml:space="preserve"> </w:t>
      </w:r>
      <w:r>
        <w:t xml:space="preserve">Ergotamine</w:t>
      </w:r>
      <w:r>
        <w:t xml:space="preserve"> </w:t>
      </w:r>
      <w:r>
        <w:t xml:space="preserve">2939 62 00</w:t>
      </w:r>
      <w:r>
        <w:t xml:space="preserve"> </w:t>
      </w:r>
      <w:r>
        <w:t xml:space="preserve">Lysergic acid</w:t>
      </w:r>
      <w:r>
        <w:t xml:space="preserve"> </w:t>
      </w:r>
      <w:r>
        <w:t xml:space="preserve">Specific fungi</w:t>
      </w:r>
      <w:r>
        <w:t xml:space="preserve"> </w:t>
      </w:r>
      <w:r>
        <w:t xml:space="preserve">Lysergic acid</w:t>
      </w:r>
      <w:r>
        <w:t xml:space="preserve"> </w:t>
      </w:r>
      <w:r>
        <w:t xml:space="preserve">2939 63 00</w:t>
      </w:r>
      <w:r>
        <w:t xml:space="preserve"> </w:t>
      </w:r>
      <w:r>
        <w:t xml:space="preserve">Tryptophan</w:t>
      </w:r>
      <w:r>
        <w:t xml:space="preserve"> </w:t>
      </w:r>
      <w:r>
        <w:t xml:space="preserve">Specific fungi</w:t>
      </w:r>
    </w:p>
    <w:p>
      <w:pPr>
        <w:pStyle w:val="Compact"/>
        <w:numPr>
          <w:ilvl w:val="0"/>
          <w:numId w:val="1048"/>
        </w:numPr>
      </w:pPr>
      <w:r>
        <w:t xml:space="preserve">Production process also involves propylene, but the molar ratio benzene-to-propylene is &gt;1</w:t>
      </w:r>
      <w:r>
        <w:t xml:space="preserve"> </w:t>
      </w:r>
      <w:r>
        <w:t xml:space="preserve">** By removing sulphur-containing contaminants</w:t>
      </w:r>
      <w:r>
        <w:t xml:space="preserve"> </w:t>
      </w:r>
      <w:r>
        <w:t xml:space="preserve">*** These are minerals, not chemicals</w:t>
      </w:r>
      <w:r>
        <w:t xml:space="preserve"> </w:t>
      </w:r>
      <w:r>
        <w:t xml:space="preserve">**** These synthesis process requires also benzene and yields acetone as well as phenol</w:t>
      </w:r>
    </w:p>
    <w:p>
      <w:pPr>
        <w:pStyle w:val="FirstParagraph"/>
      </w:pPr>
      <w:r>
        <w:t xml:space="preserve">The table shows that 7 of the above-mentioned 9 building blocks are at the origin of 28 of the</w:t>
      </w:r>
      <w:r>
        <w:t xml:space="preserve"> </w:t>
      </w:r>
      <w:r>
        <w:t xml:space="preserve">34 drug precursors listed in the table (out of the currently 60 scheduled substances). In addition,</w:t>
      </w:r>
      <w:r>
        <w:t xml:space="preserve"> </w:t>
      </w:r>
      <w:r>
        <w:t xml:space="preserve">another building block (ammonia) also intervenes in the production process of some of them.</w:t>
      </w:r>
      <w:r>
        <w:t xml:space="preserve"> </w:t>
      </w:r>
      <w:r>
        <w:t xml:space="preserve">On this basis we can conclude that drug precursors are chemical substances that, taking</w:t>
      </w:r>
      <w:r>
        <w:t xml:space="preserve"> </w:t>
      </w:r>
      <w:r>
        <w:t xml:space="preserve">into account their production process, have links with the quasi-entirety of the basic</w:t>
      </w:r>
      <w:r>
        <w:t xml:space="preserve"> </w:t>
      </w:r>
      <w:r>
        <w:t xml:space="preserve">chemical industry, albeit their presence is more frequent in some value chains than in others.</w:t>
      </w:r>
      <w:r>
        <w:t xml:space="preserve"> </w:t>
      </w:r>
      <w:r>
        <w:t xml:space="preserve">In particular, value chains that begin with toluene (from which 8 drug precursors ultimately</w:t>
      </w:r>
      <w:r>
        <w:t xml:space="preserve"> </w:t>
      </w:r>
      <w:r>
        <w:t xml:space="preserve">originate) are the most frequent occurrence, followed by propylene (7 drug precursors),</w:t>
      </w:r>
      <w:r>
        <w:t xml:space="preserve"> </w:t>
      </w:r>
      <w:r>
        <w:t xml:space="preserve">benzene (5) and methanol (4).</w:t>
      </w:r>
    </w:p>
    <w:p>
      <w:pPr>
        <w:pStyle w:val="BodyText"/>
      </w:pPr>
      <w:r>
        <w:t xml:space="preserve">Moreover, the table shows that the chemical intermediates used for producing drug precursors</w:t>
      </w:r>
      <w:r>
        <w:t xml:space="preserve"> </w:t>
      </w:r>
      <w:r>
        <w:t xml:space="preserve">are so diverse that:</w:t>
      </w:r>
      <w:r>
        <w:t xml:space="preserve"> </w:t>
      </w:r>
      <w:r>
        <w:t xml:space="preserve">• many of them are very marginal in the chemical industry, hence there is no way to find any</w:t>
      </w:r>
      <w:r>
        <w:t xml:space="preserve"> </w:t>
      </w:r>
      <w:r>
        <w:t xml:space="preserve">relevant economic information on them;</w:t>
      </w:r>
      <w:r>
        <w:t xml:space="preserve"> </w:t>
      </w:r>
      <w:r>
        <w:t xml:space="preserve">• for those where such information may be extracted, there is no possible underlying logic</w:t>
      </w:r>
      <w:r>
        <w:t xml:space="preserve"> </w:t>
      </w:r>
      <w:r>
        <w:t xml:space="preserve">that allows them to be grouped.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The following table shows the share of precursor chemicals within the chemical industry:</w:t>
      </w:r>
      <w:r>
        <w:t xml:space="preserve"> </w:t>
      </w:r>
      <w:r>
        <w:t xml:space="preserve">:</w:t>
      </w:r>
      <w:r>
        <w:t xml:space="preserve"> </w:t>
      </w:r>
      <w:r>
        <w:t xml:space="preserve">Import</w:t>
      </w:r>
      <w:r>
        <w:t xml:space="preserve"> </w:t>
      </w:r>
      <w:r>
        <w:t xml:space="preserve">(EUR billion)</w:t>
      </w:r>
      <w:r>
        <w:t xml:space="preserve"> </w:t>
      </w:r>
      <w:r>
        <w:t xml:space="preserve">Export</w:t>
      </w:r>
      <w:r>
        <w:t xml:space="preserve"> </w:t>
      </w:r>
      <w:r>
        <w:t xml:space="preserve">(EUR billion)</w:t>
      </w:r>
      <w:r>
        <w:t xml:space="preserve"> </w:t>
      </w:r>
      <w:r>
        <w:t xml:space="preserve">Total EU Sales</w:t>
      </w:r>
      <w:r>
        <w:t xml:space="preserve"> </w:t>
      </w:r>
      <w:r>
        <w:t xml:space="preserve">(EUR billion)</w:t>
      </w:r>
      <w:r>
        <w:t xml:space="preserve"> </w:t>
      </w:r>
      <w:r>
        <w:t xml:space="preserve">EU Chemical44 industry</w:t>
      </w:r>
      <w:r>
        <w:t xml:space="preserve"> </w:t>
      </w:r>
      <w:r>
        <w:t xml:space="preserve">189</w:t>
      </w:r>
      <w:r>
        <w:br/>
      </w:r>
      <w:r>
        <w:t xml:space="preserve">224</w:t>
      </w:r>
      <w:r>
        <w:br/>
      </w:r>
      <w:r>
        <w:t xml:space="preserve">655</w:t>
      </w:r>
      <w:r>
        <w:br/>
      </w:r>
      <w:r>
        <w:t xml:space="preserve">Drug Precursors45</w:t>
      </w:r>
      <w:r>
        <w:t xml:space="preserve"> </w:t>
      </w:r>
      <w:r>
        <w:t xml:space="preserve">0.462</w:t>
      </w:r>
      <w:r>
        <w:br/>
      </w:r>
      <w:r>
        <w:t xml:space="preserve">0.766</w:t>
      </w:r>
      <w:r>
        <w:br/>
      </w:r>
      <w:r>
        <w:t xml:space="preserve">-</w:t>
      </w:r>
      <w:r>
        <w:t xml:space="preserve"> </w:t>
      </w:r>
      <w:r>
        <w:t xml:space="preserve">Drug Precursors, category 146</w:t>
      </w:r>
      <w:r>
        <w:t xml:space="preserve"> </w:t>
      </w:r>
      <w:r>
        <w:t xml:space="preserve">0.015</w:t>
      </w:r>
      <w:r>
        <w:br/>
      </w:r>
      <w:r>
        <w:t xml:space="preserve">0.033</w:t>
      </w:r>
      <w:r>
        <w:br/>
      </w:r>
      <w:r>
        <w:t xml:space="preserve">-</w:t>
      </w:r>
      <w:r>
        <w:t xml:space="preserve"> </w:t>
      </w:r>
      <w:r>
        <w:t xml:space="preserve">Designer precursors47</w:t>
      </w:r>
      <w:r>
        <w:t xml:space="preserve"> </w:t>
      </w:r>
      <w:r>
        <w:t xml:space="preserve">0.0004</w:t>
      </w:r>
      <w:r>
        <w:br/>
      </w:r>
      <w:r>
        <w:t xml:space="preserve">None</w:t>
      </w:r>
      <w:r>
        <w:t xml:space="preserve"> </w:t>
      </w:r>
      <w:r>
        <w:t xml:space="preserve">-</w:t>
      </w:r>
      <w:r>
        <w:t xml:space="preserve"> </w:t>
      </w:r>
      <w:r>
        <w:t xml:space="preserve">Drug Precursors, category 248</w:t>
      </w:r>
      <w:r>
        <w:t xml:space="preserve"> </w:t>
      </w:r>
      <w:r>
        <w:t xml:space="preserve">0.204</w:t>
      </w:r>
      <w:r>
        <w:br/>
      </w:r>
      <w:r>
        <w:t xml:space="preserve">0.029</w:t>
      </w:r>
      <w:r>
        <w:t xml:space="preserve"> </w:t>
      </w:r>
      <w:r>
        <w:t xml:space="preserve">-</w:t>
      </w:r>
      <w:r>
        <w:t xml:space="preserve"> </w:t>
      </w:r>
      <w:r>
        <w:t xml:space="preserve">Drug Precursors, category 349</w:t>
      </w:r>
      <w:r>
        <w:t xml:space="preserve"> </w:t>
      </w:r>
      <w:r>
        <w:t xml:space="preserve">0.221</w:t>
      </w:r>
      <w:r>
        <w:t xml:space="preserve"> </w:t>
      </w:r>
      <w:r>
        <w:t xml:space="preserve">0.613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The only unifying approach that allows to (partially) overcome this problem is one</w:t>
      </w:r>
      <w:r>
        <w:t xml:space="preserve"> </w:t>
      </w:r>
      <w:r>
        <w:t xml:space="preserve">centred on the chemical building blocks, meaning that, indeed, the whole chemical sector</w:t>
      </w:r>
      <w:r>
        <w:t xml:space="preserve"> </w:t>
      </w:r>
      <w:r>
        <w:t xml:space="preserve">is the object of the analysis.</w:t>
      </w:r>
    </w:p>
    <w:p>
      <w:pPr>
        <w:pStyle w:val="BodyText"/>
      </w:pPr>
      <w:r>
        <w:t xml:space="preserve">EU chemical industry – importance and competitiveness challenges</w:t>
      </w:r>
      <w:r>
        <w:br/>
      </w:r>
      <w:r>
        <w:t xml:space="preserve">Within the EU, the chemical industry is one of the most important sectors of manufacturing, as</w:t>
      </w:r>
      <w:r>
        <w:t xml:space="preserve"> </w:t>
      </w:r>
      <w:r>
        <w:t xml:space="preserve">it:50</w:t>
      </w:r>
      <w:r>
        <w:t xml:space="preserve"> </w:t>
      </w:r>
      <w:r>
        <w:t xml:space="preserve">• represents about 7 % of total EU manufacturing by turnover (2018);</w:t>
      </w:r>
      <w:r>
        <w:t xml:space="preserve"> </w:t>
      </w:r>
      <w:r>
        <w:t xml:space="preserve">• provides 1.2 million direct jobs, displaying a labour productivity 77 % higher than EU’s</w:t>
      </w:r>
      <w:r>
        <w:t xml:space="preserve"> </w:t>
      </w:r>
      <w:r>
        <w:t xml:space="preserve">manufacturing average (2020) and paying wages 48 % higher than EU’s manufacturing</w:t>
      </w:r>
      <w:r>
        <w:t xml:space="preserve"> </w:t>
      </w:r>
      <w:r>
        <w:t xml:space="preserve">average (2022);</w:t>
      </w:r>
      <w:r>
        <w:t xml:space="preserve"> </w:t>
      </w:r>
      <w:r>
        <w:t xml:space="preserve">• displays the 2nd-largest capital spending in the global chemical industry, which has</w:t>
      </w:r>
      <w:r>
        <w:t xml:space="preserve"> </w:t>
      </w:r>
      <w:r>
        <w:t xml:space="preserve">constantly represented over 15 % of the EU chemical industry’s value added during the</w:t>
      </w:r>
      <w:r>
        <w:t xml:space="preserve"> </w:t>
      </w:r>
      <w:r>
        <w:t xml:space="preserve">last two decades (19.5 % in 2023);</w:t>
      </w:r>
      <w:r>
        <w:t xml:space="preserve"> </w:t>
      </w:r>
      <w:r>
        <w:t xml:space="preserve">• is currently (since 2021) spending about EUR 10 billion annually on R&amp;I, which</w:t>
      </w:r>
      <w:r>
        <w:t xml:space="preserve"> </w:t>
      </w:r>
      <w:r>
        <w:t xml:space="preserve">amounts to 6 % of the sector’s value added;</w:t>
      </w:r>
      <w:r>
        <w:t xml:space="preserve"> </w:t>
      </w:r>
      <w:r>
        <w:t xml:space="preserve">• generates trade surpluses of over EUR 40 billion annually (EUR 50 billion in 2024),</w:t>
      </w:r>
      <w:r>
        <w:t xml:space="preserve"> </w:t>
      </w:r>
      <w:r>
        <w:t xml:space="preserve">ranking 4th among all EU industrial sectors.</w:t>
      </w:r>
    </w:p>
    <w:p>
      <w:pPr>
        <w:pStyle w:val="BodyText"/>
      </w:pPr>
      <w:r>
        <w:t xml:space="preserve">While there are 29 000 companies operating in the EU chemical industry, meaning that the</w:t>
      </w:r>
      <w:r>
        <w:t xml:space="preserve"> </w:t>
      </w:r>
      <w:r>
        <w:t xml:space="preserve">number of SMEs runs in the tens of thousands, their relevance for this exercise is tenuous and</w:t>
      </w:r>
      <w:r>
        <w:t xml:space="preserve"> </w:t>
      </w:r>
      <w:r>
        <w:t xml:space="preserve">strictly theoretical. In fact, none of the building blocks and of the critical intermediates required</w:t>
      </w:r>
      <w:r>
        <w:t xml:space="preserve"> </w:t>
      </w:r>
      <w:r>
        <w:t xml:space="preserve">for manufacturing the scheduled drug precursors are produced in small companies.</w:t>
      </w:r>
    </w:p>
    <w:p>
      <w:pPr>
        <w:pStyle w:val="BodyText"/>
      </w:pPr>
      <w:r>
        <w:t xml:space="preserve">Besides, one of the most (if not squarely the most) important contribution the SMEs are</w:t>
      </w:r>
      <w:r>
        <w:t xml:space="preserve"> </w:t>
      </w:r>
      <w:r>
        <w:t xml:space="preserve">reputedly making to the economy overall is in terms of employment. Yet, over 2/3 of people</w:t>
      </w:r>
      <w:r>
        <w:t xml:space="preserve"> </w:t>
      </w:r>
      <w:r>
        <w:t xml:space="preserve">employed in the EU chemical industry work in large companies:</w:t>
      </w:r>
    </w:p>
    <w:p>
      <w:pPr>
        <w:pStyle w:val="BodyText"/>
      </w:pPr>
      <w:r>
        <w:t xml:space="preserve">44 Source : Cefic data (2023)</w:t>
      </w:r>
      <w:r>
        <w:t xml:space="preserve"> </w:t>
      </w:r>
      <w:r>
        <w:t xml:space="preserve">45 Source : EU Customs Surveillance (2023)</w:t>
      </w:r>
      <w:r>
        <w:t xml:space="preserve"> </w:t>
      </w:r>
      <w:r>
        <w:t xml:space="preserve">46 Ibid.</w:t>
      </w:r>
      <w:r>
        <w:t xml:space="preserve"> </w:t>
      </w:r>
      <w:r>
        <w:t xml:space="preserve">47 Ibid.</w:t>
      </w:r>
      <w:r>
        <w:t xml:space="preserve"> </w:t>
      </w:r>
      <w:r>
        <w:t xml:space="preserve">48 Ibid.</w:t>
      </w:r>
      <w:r>
        <w:t xml:space="preserve"> </w:t>
      </w:r>
      <w:r>
        <w:t xml:space="preserve">49 Ibid.</w:t>
      </w:r>
      <w:r>
        <w:t xml:space="preserve"> </w:t>
      </w:r>
      <w:r>
        <w:t xml:space="preserve">50 Based on Eurostat and Cefic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Source: Eurostat</w:t>
      </w:r>
    </w:p>
    <w:p>
      <w:pPr>
        <w:pStyle w:val="BodyText"/>
      </w:pPr>
      <w:r>
        <w:t xml:space="preserve">Finally, as already mentioned above, the burdens imposed by the regulation of drug precursors</w:t>
      </w:r>
      <w:r>
        <w:t xml:space="preserve"> </w:t>
      </w:r>
      <w:r>
        <w:t xml:space="preserve">are not dependent on the size of a company (in terms of turnover and/or production volume),</w:t>
      </w:r>
      <w:r>
        <w:t xml:space="preserve"> </w:t>
      </w:r>
      <w:r>
        <w:t xml:space="preserve">but on its product mix. There are therefore no conclusions to be sought and derived from the</w:t>
      </w:r>
      <w:r>
        <w:t xml:space="preserve"> </w:t>
      </w:r>
      <w:r>
        <w:t xml:space="preserve">size of the companies on which these regulations are imposed.</w:t>
      </w:r>
    </w:p>
    <w:p>
      <w:pPr>
        <w:pStyle w:val="BodyText"/>
      </w:pPr>
      <w:r>
        <w:t xml:space="preserve">A distinct characteristic of the chemical industry is that it requires energy, which can also be</w:t>
      </w:r>
      <w:r>
        <w:t xml:space="preserve"> </w:t>
      </w:r>
      <w:r>
        <w:t xml:space="preserve">in the form of fossil fuels, not just in order to power its production processes, but in fact mainly</w:t>
      </w:r>
      <w:r>
        <w:t xml:space="preserve"> </w:t>
      </w:r>
      <w:r>
        <w:t xml:space="preserve">as feedstock for obtaining all of its building blocks. This makes it:</w:t>
      </w:r>
    </w:p>
    <w:p>
      <w:pPr>
        <w:pStyle w:val="Compact"/>
        <w:numPr>
          <w:ilvl w:val="0"/>
          <w:numId w:val="1049"/>
        </w:numPr>
      </w:pPr>
      <w:r>
        <w:t xml:space="preserve">the highest industrial final energy consumer in the EU</w:t>
      </w:r>
    </w:p>
    <w:p>
      <w:pPr>
        <w:pStyle w:val="FirstParagraph"/>
      </w:pPr>
      <w:r>
        <w:t xml:space="preserve">Source: Eurostat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as well as</w:t>
      </w:r>
    </w:p>
    <w:p>
      <w:pPr>
        <w:pStyle w:val="Compact"/>
        <w:numPr>
          <w:ilvl w:val="0"/>
          <w:numId w:val="1050"/>
        </w:numPr>
      </w:pPr>
      <w:r>
        <w:t xml:space="preserve">the industrial sector displaying the highest energy intensity (in terms of % of revenues):</w:t>
      </w:r>
    </w:p>
    <w:p>
      <w:pPr>
        <w:pStyle w:val="FirstParagraph"/>
      </w:pPr>
      <w:r>
        <w:t xml:space="preserve">Source: Cefic and Advancy, January 2025</w:t>
      </w:r>
    </w:p>
    <w:p>
      <w:pPr>
        <w:pStyle w:val="BodyText"/>
      </w:pPr>
      <w:r>
        <w:t xml:space="preserve">This has become an invalidating feature for the EU chemical industry in the context of the</w:t>
      </w:r>
      <w:r>
        <w:t xml:space="preserve"> </w:t>
      </w:r>
      <w:r>
        <w:t xml:space="preserve">significantly higher energy prices triggered by the Russian unprovoked aggression of Ukraine</w:t>
      </w:r>
      <w:r>
        <w:t xml:space="preserve"> </w:t>
      </w:r>
      <w:r>
        <w:t xml:space="preserve">launched in February 2022.</w:t>
      </w:r>
      <w:r>
        <w:t xml:space="preserve"> </w:t>
      </w:r>
      <w:r>
        <w:t xml:space="preserve">Source: Cefic and Advancy, January 2025</w:t>
      </w:r>
    </w:p>
    <w:p>
      <w:pPr>
        <w:pStyle w:val="BodyText"/>
      </w:pPr>
      <w:r>
        <w:t xml:space="preserve">Indeed, the competitive position of the EU on the global cost curves for the chemical industry’s</w:t>
      </w:r>
      <w:r>
        <w:t xml:space="preserve"> </w:t>
      </w:r>
      <w:r>
        <w:t xml:space="preserve">main building blocks has massively deteriorated.</w:t>
      </w:r>
      <w:r>
        <w:br/>
      </w:r>
      <w:r>
        <w:t xml:space="preserve">As chemical products are intensively traded internationally, the EU chemical industry’s</w:t>
      </w:r>
      <w:r>
        <w:t xml:space="preserve"> </w:t>
      </w:r>
      <w:r>
        <w:t xml:space="preserve">important erosion of international competitiveness translated itself in a corresponding</w:t>
      </w:r>
      <w:r>
        <w:t xml:space="preserve"> </w:t>
      </w:r>
      <w:r>
        <w:t xml:space="preserve">deterioration of all its main indicators.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a) Production</w:t>
      </w:r>
      <w:r>
        <w:t xml:space="preserve"> </w:t>
      </w:r>
      <w:r>
        <w:t xml:space="preserve">Evolution of production in real terms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br/>
      </w:r>
      <w:r>
        <w:t xml:space="preserve">EU, of which:</w:t>
      </w:r>
      <w:r>
        <w:t xml:space="preserve"> </w:t>
      </w:r>
      <w:r>
        <w:t xml:space="preserve">-6.1 %</w:t>
      </w:r>
      <w:r>
        <w:t xml:space="preserve"> </w:t>
      </w:r>
      <w:r>
        <w:t xml:space="preserve">-8.2 %</w:t>
      </w:r>
      <w:r>
        <w:t xml:space="preserve"> </w:t>
      </w:r>
      <w:r>
        <w:t xml:space="preserve">+1.6 %</w:t>
      </w:r>
      <w:r>
        <w:t xml:space="preserve"> </w:t>
      </w:r>
      <w:r>
        <w:t xml:space="preserve">- Germany*</w:t>
      </w:r>
      <w:r>
        <w:t xml:space="preserve"> </w:t>
      </w:r>
      <w:r>
        <w:t xml:space="preserve">-10.3 %</w:t>
      </w:r>
      <w:r>
        <w:t xml:space="preserve"> </w:t>
      </w:r>
      <w:r>
        <w:t xml:space="preserve">-12.1 %</w:t>
      </w:r>
      <w:r>
        <w:t xml:space="preserve"> </w:t>
      </w:r>
      <w:r>
        <w:t xml:space="preserve">+3.1 %</w:t>
      </w:r>
      <w:r>
        <w:t xml:space="preserve"> </w:t>
      </w:r>
      <w:r>
        <w:t xml:space="preserve">* Germany is the EU’s most important chemical producer. It accounts for one third of the EU chemical industry’s</w:t>
      </w:r>
      <w:r>
        <w:t xml:space="preserve"> </w:t>
      </w:r>
      <w:r>
        <w:t xml:space="preserve">sales, equivalent to the combined share of the next three EU producers (France, Italy and the Netherlands)</w:t>
      </w:r>
      <w:r>
        <w:t xml:space="preserve"> </w:t>
      </w:r>
      <w:r>
        <w:t xml:space="preserve">Sources: Cefic; VCI; BASF</w:t>
      </w:r>
    </w:p>
    <w:p>
      <w:pPr>
        <w:pStyle w:val="Compact"/>
        <w:numPr>
          <w:ilvl w:val="0"/>
          <w:numId w:val="1051"/>
        </w:numPr>
      </w:pPr>
      <w:r>
        <w:t xml:space="preserve">Production capacity and capacity utilisation</w:t>
      </w:r>
    </w:p>
    <w:p>
      <w:pPr>
        <w:pStyle w:val="FirstParagraph"/>
      </w:pPr>
      <w:r>
        <w:t xml:space="preserve">Source: Cefic</w:t>
      </w:r>
    </w:p>
    <w:p>
      <w:pPr>
        <w:pStyle w:val="BodyText"/>
      </w:pPr>
      <w:r>
        <w:t xml:space="preserve">Over the last two years, the EU chemical industry’s capacity utilisation rate was 6 percentage</w:t>
      </w:r>
      <w:r>
        <w:t xml:space="preserve"> </w:t>
      </w:r>
      <w:r>
        <w:t xml:space="preserve">points lower than its long-term (20 years) average. In some chemical subsectors the situation</w:t>
      </w:r>
      <w:r>
        <w:t xml:space="preserve"> </w:t>
      </w:r>
      <w:r>
        <w:t xml:space="preserve">is even worse. Such is in particular the case of the chlor-alkali subsector (where chlorine is</w:t>
      </w:r>
      <w:r>
        <w:t xml:space="preserve"> </w:t>
      </w:r>
      <w:r>
        <w:t xml:space="preserve">being produced), whose 12-month rolling average utilisation rate stood at 67.2 % in January</w:t>
      </w:r>
      <w:r>
        <w:t xml:space="preserve"> </w:t>
      </w:r>
      <w:r>
        <w:t xml:space="preserve">2025, far below the 82 % average recorded over 2019-21 and of the ammonia subsector, where</w:t>
      </w:r>
      <w:r>
        <w:t xml:space="preserve"> </w:t>
      </w:r>
      <w:r>
        <w:t xml:space="preserve">a pickup of gas prices since the last quarter of 2024 led to capacity curtailments that have</w:t>
      </w:r>
      <w:r>
        <w:t xml:space="preserve"> </w:t>
      </w:r>
      <w:r>
        <w:t xml:space="preserve">pushed down the EU ammonia plants average utilisation rate below 70 % currently.</w:t>
      </w:r>
    </w:p>
    <w:p>
      <w:pPr>
        <w:pStyle w:val="BodyText"/>
      </w:pPr>
      <w:r>
        <w:t xml:space="preserve">In fact, the state of capacity utilisation in the EU chemical industry is so morose that the most</w:t>
      </w:r>
      <w:r>
        <w:t xml:space="preserve"> </w:t>
      </w:r>
      <w:r>
        <w:t xml:space="preserve">realistic prospect of seeing it improving consists of closures of existing capacities. And these</w:t>
      </w:r>
      <w:r>
        <w:t xml:space="preserve"> </w:t>
      </w:r>
      <w:r>
        <w:t xml:space="preserve">are unfortunately occurring, as illustrated below for the most important chemical building</w:t>
      </w:r>
      <w:r>
        <w:t xml:space="preserve"> </w:t>
      </w:r>
      <w:r>
        <w:t xml:space="preserve">blocks.</w:t>
      </w:r>
    </w:p>
    <w:p>
      <w:pPr>
        <w:pStyle w:val="BodyText"/>
      </w:pPr>
      <w:r>
        <w:t xml:space="preserve">OLEFINS</w:t>
      </w:r>
      <w:r>
        <w:t xml:space="preserve"> </w:t>
      </w:r>
      <w:r>
        <w:t xml:space="preserve">Company</w:t>
      </w:r>
      <w:r>
        <w:t xml:space="preserve"> </w:t>
      </w:r>
      <w:r>
        <w:t xml:space="preserve">Location</w:t>
      </w:r>
      <w:r>
        <w:t xml:space="preserve"> </w:t>
      </w:r>
      <w:r>
        <w:t xml:space="preserve">Capacity (‘000 t/year)</w:t>
      </w:r>
      <w:r>
        <w:t xml:space="preserve"> </w:t>
      </w:r>
      <w:r>
        <w:t xml:space="preserve">Timing</w:t>
      </w:r>
      <w:r>
        <w:t xml:space="preserve"> </w:t>
      </w:r>
      <w:r>
        <w:t xml:space="preserve">Ethylene</w:t>
      </w:r>
      <w:r>
        <w:t xml:space="preserve"> </w:t>
      </w:r>
      <w:r>
        <w:t xml:space="preserve">Propylene</w:t>
      </w:r>
      <w:r>
        <w:t xml:space="preserve"> </w:t>
      </w:r>
      <w:r>
        <w:t xml:space="preserve">ENI/Versalis</w:t>
      </w:r>
      <w:r>
        <w:t xml:space="preserve"> </w:t>
      </w:r>
      <w:r>
        <w:t xml:space="preserve">Porto Marghera, IT</w:t>
      </w:r>
      <w:r>
        <w:t xml:space="preserve"> </w:t>
      </w:r>
      <w:r>
        <w:t xml:space="preserve">490</w:t>
      </w:r>
      <w:r>
        <w:t xml:space="preserve"> </w:t>
      </w:r>
      <w:r>
        <w:t xml:space="preserve">245</w:t>
      </w:r>
      <w:r>
        <w:t xml:space="preserve"> </w:t>
      </w:r>
      <w:r>
        <w:t xml:space="preserve">May 2022</w:t>
      </w:r>
      <w:r>
        <w:t xml:space="preserve"> </w:t>
      </w:r>
      <w:r>
        <w:t xml:space="preserve">Exxon Mobil</w:t>
      </w:r>
      <w:r>
        <w:t xml:space="preserve"> </w:t>
      </w:r>
      <w:r>
        <w:t xml:space="preserve">Gravenchon, FR</w:t>
      </w:r>
      <w:r>
        <w:t xml:space="preserve"> </w:t>
      </w:r>
      <w:r>
        <w:t xml:space="preserve">425</w:t>
      </w:r>
      <w:r>
        <w:t xml:space="preserve"> </w:t>
      </w:r>
      <w:r>
        <w:t xml:space="preserve">290</w:t>
      </w:r>
      <w:r>
        <w:t xml:space="preserve"> </w:t>
      </w:r>
      <w:r>
        <w:t xml:space="preserve">May 2024</w:t>
      </w:r>
      <w:r>
        <w:t xml:space="preserve"> </w:t>
      </w:r>
      <w:r>
        <w:t xml:space="preserve">Sabic</w:t>
      </w:r>
      <w:r>
        <w:t xml:space="preserve"> </w:t>
      </w:r>
      <w:r>
        <w:t xml:space="preserve">Geleen, NL</w:t>
      </w:r>
      <w:r>
        <w:t xml:space="preserve"> </w:t>
      </w:r>
      <w:r>
        <w:t xml:space="preserve">530</w:t>
      </w:r>
      <w:r>
        <w:t xml:space="preserve"> </w:t>
      </w:r>
      <w:r>
        <w:t xml:space="preserve">260</w:t>
      </w:r>
      <w:r>
        <w:t xml:space="preserve"> </w:t>
      </w:r>
      <w:r>
        <w:t xml:space="preserve">May 2024</w:t>
      </w:r>
      <w:r>
        <w:t xml:space="preserve"> </w:t>
      </w:r>
      <w:r>
        <w:t xml:space="preserve">ENI/Versalis</w:t>
      </w:r>
      <w:r>
        <w:t xml:space="preserve"> </w:t>
      </w:r>
      <w:r>
        <w:t xml:space="preserve">Brindisi, IT</w:t>
      </w:r>
      <w:r>
        <w:t xml:space="preserve"> </w:t>
      </w:r>
      <w:r>
        <w:t xml:space="preserve">410</w:t>
      </w:r>
      <w:r>
        <w:t xml:space="preserve"> </w:t>
      </w:r>
      <w:r>
        <w:t xml:space="preserve">220</w:t>
      </w:r>
      <w:r>
        <w:t xml:space="preserve"> </w:t>
      </w:r>
      <w:r>
        <w:t xml:space="preserve">April 2025</w:t>
      </w:r>
      <w:r>
        <w:t xml:space="preserve"> </w:t>
      </w:r>
      <w:r>
        <w:t xml:space="preserve">Dow Chemical</w:t>
      </w:r>
      <w:r>
        <w:t xml:space="preserve"> </w:t>
      </w:r>
      <w:r>
        <w:t xml:space="preserve">Terneuzen, NL</w:t>
      </w:r>
      <w:r>
        <w:t xml:space="preserve"> </w:t>
      </w:r>
      <w:r>
        <w:t xml:space="preserve">600</w:t>
      </w:r>
      <w:r>
        <w:t xml:space="preserve"> </w:t>
      </w:r>
      <w:r>
        <w:t xml:space="preserve">300</w:t>
      </w:r>
      <w:r>
        <w:t xml:space="preserve"> </w:t>
      </w:r>
      <w:r>
        <w:t xml:space="preserve">April-May 2025</w:t>
      </w:r>
      <w:r>
        <w:t xml:space="preserve"> </w:t>
      </w:r>
      <w:r>
        <w:t xml:space="preserve">Cumulated capacity closed down = 2.5 million tonnes of ethylene (11.7 % of initial EU capacity)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METHANOL</w:t>
      </w:r>
      <w:r>
        <w:t xml:space="preserve"> </w:t>
      </w:r>
      <w:r>
        <w:t xml:space="preserve">Company</w:t>
      </w:r>
      <w:r>
        <w:t xml:space="preserve"> </w:t>
      </w:r>
      <w:r>
        <w:t xml:space="preserve">Location</w:t>
      </w:r>
      <w:r>
        <w:t xml:space="preserve"> </w:t>
      </w:r>
      <w:r>
        <w:t xml:space="preserve">Capacity (‘000 t/year)</w:t>
      </w:r>
      <w:r>
        <w:t xml:space="preserve"> </w:t>
      </w:r>
      <w:r>
        <w:t xml:space="preserve">Timing</w:t>
      </w:r>
      <w:r>
        <w:t xml:space="preserve"> </w:t>
      </w:r>
      <w:r>
        <w:t xml:space="preserve">OCI NV</w:t>
      </w:r>
      <w:r>
        <w:t xml:space="preserve"> </w:t>
      </w:r>
      <w:r>
        <w:t xml:space="preserve">Delfzijl, NL</w:t>
      </w:r>
      <w:r>
        <w:t xml:space="preserve"> </w:t>
      </w:r>
      <w:r>
        <w:t xml:space="preserve">200*</w:t>
      </w:r>
      <w:r>
        <w:t xml:space="preserve"> </w:t>
      </w:r>
      <w:r>
        <w:t xml:space="preserve">2023</w:t>
      </w:r>
      <w:r>
        <w:t xml:space="preserve"> </w:t>
      </w:r>
      <w:r>
        <w:t xml:space="preserve">BP</w:t>
      </w:r>
      <w:r>
        <w:t xml:space="preserve"> </w:t>
      </w:r>
      <w:r>
        <w:t xml:space="preserve">Gelsenkirchen, DE</w:t>
      </w:r>
      <w:r>
        <w:t xml:space="preserve"> </w:t>
      </w:r>
      <w:r>
        <w:t xml:space="preserve">285</w:t>
      </w:r>
      <w:r>
        <w:t xml:space="preserve"> </w:t>
      </w:r>
      <w:r>
        <w:t xml:space="preserve">2023</w:t>
      </w:r>
      <w:r>
        <w:t xml:space="preserve"> </w:t>
      </w:r>
      <w:r>
        <w:t xml:space="preserve">Shell</w:t>
      </w:r>
      <w:r>
        <w:t xml:space="preserve"> </w:t>
      </w:r>
      <w:r>
        <w:t xml:space="preserve">Wesseling, DE</w:t>
      </w:r>
      <w:r>
        <w:t xml:space="preserve"> </w:t>
      </w:r>
      <w:r>
        <w:t xml:space="preserve">400</w:t>
      </w:r>
      <w:r>
        <w:t xml:space="preserve"> </w:t>
      </w:r>
      <w:r>
        <w:t xml:space="preserve">Early-2025</w:t>
      </w:r>
      <w:r>
        <w:t xml:space="preserve"> </w:t>
      </w:r>
      <w:r>
        <w:t xml:space="preserve">Cumulated capacity closed down = ~0.9 million tonnes (ca. 40 % of initial EU capacity)</w:t>
      </w:r>
      <w:r>
        <w:t xml:space="preserve"> </w:t>
      </w:r>
      <w:r>
        <w:t xml:space="preserve">* The closure might not be permanent. It was decided because of the cost of natural gas, but it is idle since almost</w:t>
      </w:r>
      <w:r>
        <w:t xml:space="preserve"> </w:t>
      </w:r>
      <w:r>
        <w:t xml:space="preserve">2 years.</w:t>
      </w:r>
    </w:p>
    <w:p>
      <w:pPr>
        <w:pStyle w:val="BodyText"/>
      </w:pPr>
      <w:r>
        <w:t xml:space="preserve">CHLORINE</w:t>
      </w:r>
      <w:r>
        <w:t xml:space="preserve"> </w:t>
      </w:r>
      <w:r>
        <w:t xml:space="preserve">Company</w:t>
      </w:r>
      <w:r>
        <w:t xml:space="preserve"> </w:t>
      </w:r>
      <w:r>
        <w:t xml:space="preserve">Location</w:t>
      </w:r>
      <w:r>
        <w:t xml:space="preserve"> </w:t>
      </w:r>
      <w:r>
        <w:t xml:space="preserve">Capacity (‘000 t/year)</w:t>
      </w:r>
      <w:r>
        <w:t xml:space="preserve"> </w:t>
      </w:r>
      <w:r>
        <w:t xml:space="preserve">Timing</w:t>
      </w:r>
      <w:r>
        <w:t xml:space="preserve"> </w:t>
      </w:r>
      <w:r>
        <w:t xml:space="preserve">Kem One</w:t>
      </w:r>
      <w:r>
        <w:t xml:space="preserve"> </w:t>
      </w:r>
      <w:r>
        <w:t xml:space="preserve">Lavera, FR</w:t>
      </w:r>
      <w:r>
        <w:t xml:space="preserve"> </w:t>
      </w:r>
      <w:r>
        <w:t xml:space="preserve">333</w:t>
      </w:r>
      <w:r>
        <w:t xml:space="preserve"> </w:t>
      </w:r>
      <w:r>
        <w:t xml:space="preserve">November 2023</w:t>
      </w:r>
      <w:r>
        <w:t xml:space="preserve"> </w:t>
      </w:r>
      <w:r>
        <w:t xml:space="preserve">Vencorex</w:t>
      </w:r>
      <w:r>
        <w:t xml:space="preserve"> </w:t>
      </w:r>
      <w:r>
        <w:t xml:space="preserve">Pont de Claix, FR</w:t>
      </w:r>
      <w:r>
        <w:t xml:space="preserve"> </w:t>
      </w:r>
      <w:r>
        <w:t xml:space="preserve">118</w:t>
      </w:r>
      <w:r>
        <w:t xml:space="preserve"> </w:t>
      </w:r>
      <w:r>
        <w:t xml:space="preserve">September 2024</w:t>
      </w:r>
      <w:r>
        <w:t xml:space="preserve"> </w:t>
      </w:r>
      <w:r>
        <w:t xml:space="preserve">Arkema</w:t>
      </w:r>
      <w:r>
        <w:t xml:space="preserve"> </w:t>
      </w:r>
      <w:r>
        <w:t xml:space="preserve">Jarrie, FR</w:t>
      </w:r>
      <w:r>
        <w:t xml:space="preserve"> </w:t>
      </w:r>
      <w:r>
        <w:t xml:space="preserve">73</w:t>
      </w:r>
      <w:r>
        <w:t xml:space="preserve"> </w:t>
      </w:r>
      <w:r>
        <w:t xml:space="preserve">January 2025</w:t>
      </w:r>
      <w:r>
        <w:t xml:space="preserve"> </w:t>
      </w:r>
      <w:r>
        <w:t xml:space="preserve">Cumulated capacity closed down = 0.5 million tonnes (4.7 % of initial EU capacity)</w:t>
      </w:r>
    </w:p>
    <w:p>
      <w:pPr>
        <w:pStyle w:val="Compact"/>
        <w:numPr>
          <w:ilvl w:val="0"/>
          <w:numId w:val="1052"/>
        </w:numPr>
      </w:pPr>
      <w:r>
        <w:t xml:space="preserve">Financial situation</w:t>
      </w:r>
      <w:r>
        <w:t xml:space="preserve"> </w:t>
      </w:r>
      <w:r>
        <w:t xml:space="preserve">No aggregate data exists for the financial performance of the chemical industry as a whole and,</w:t>
      </w:r>
      <w:r>
        <w:t xml:space="preserve"> </w:t>
      </w:r>
      <w:r>
        <w:t xml:space="preserve">a fortiori, it cannot exist for a selected part of the chemical industry, i.e., the one that has drug</w:t>
      </w:r>
      <w:r>
        <w:t xml:space="preserve"> </w:t>
      </w:r>
      <w:r>
        <w:t xml:space="preserve">precursors featuring in its product slate.</w:t>
      </w:r>
    </w:p>
    <w:p>
      <w:pPr>
        <w:pStyle w:val="FirstParagraph"/>
      </w:pPr>
      <w:r>
        <w:t xml:space="preserve">Given these objective limitations, but to nevertheless provide indications that have at least</w:t>
      </w:r>
      <w:r>
        <w:t xml:space="preserve"> </w:t>
      </w:r>
      <w:r>
        <w:t xml:space="preserve">some relevance, the following table captures the recent financial performance of the largest</w:t>
      </w:r>
      <w:r>
        <w:t xml:space="preserve"> </w:t>
      </w:r>
      <w:r>
        <w:t xml:space="preserve">EU-incorporated companies whose outputs include intermediates derived from petrochemicals</w:t>
      </w:r>
      <w:r>
        <w:t xml:space="preserve"> </w:t>
      </w:r>
      <w:r>
        <w:t xml:space="preserve">involved in the production of drug precursors.</w:t>
      </w:r>
    </w:p>
    <w:p>
      <w:pPr>
        <w:pStyle w:val="BodyText"/>
      </w:pPr>
      <w:r>
        <w:t xml:space="preserve">EUR million</w:t>
      </w:r>
      <w:r>
        <w:t xml:space="preserve"> </w:t>
      </w:r>
      <w:r>
        <w:t xml:space="preserve">Net income, after tax</w:t>
      </w:r>
      <w:r>
        <w:t xml:space="preserve"> </w:t>
      </w:r>
      <w:r>
        <w:t xml:space="preserve">(profit/loss)</w:t>
      </w:r>
      <w:r>
        <w:t xml:space="preserve"> </w:t>
      </w:r>
      <w:r>
        <w:t xml:space="preserve">Proportion of</w:t>
      </w:r>
      <w:r>
        <w:t xml:space="preserve"> </w:t>
      </w:r>
      <w:r>
        <w:t xml:space="preserve">European sales</w:t>
      </w:r>
    </w:p>
    <w:p>
      <w:pPr>
        <w:pStyle w:val="BodyText"/>
      </w:pP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( %)</w:t>
      </w:r>
      <w:r>
        <w:t xml:space="preserve"> </w:t>
      </w:r>
      <w:r>
        <w:t xml:space="preserve">BASF</w:t>
      </w:r>
      <w:r>
        <w:br/>
      </w:r>
      <w:r>
        <w:t xml:space="preserve">4 070*</w:t>
      </w:r>
      <w:r>
        <w:t xml:space="preserve"> </w:t>
      </w:r>
      <w:r>
        <w:t xml:space="preserve">225</w:t>
      </w:r>
      <w:r>
        <w:t xml:space="preserve"> </w:t>
      </w:r>
      <w:r>
        <w:t xml:space="preserve">1 298</w:t>
      </w:r>
      <w:r>
        <w:t xml:space="preserve"> </w:t>
      </w:r>
      <w:r>
        <w:t xml:space="preserve">37 %</w:t>
      </w:r>
      <w:r>
        <w:t xml:space="preserve"> </w:t>
      </w:r>
      <w:r>
        <w:t xml:space="preserve">Evonik</w:t>
      </w:r>
      <w:r>
        <w:t xml:space="preserve"> </w:t>
      </w:r>
      <w:r>
        <w:t xml:space="preserve">1 054</w:t>
      </w:r>
      <w:r>
        <w:t xml:space="preserve"> </w:t>
      </w:r>
      <w:r>
        <w:t xml:space="preserve">(465)</w:t>
      </w:r>
      <w:r>
        <w:t xml:space="preserve"> </w:t>
      </w:r>
      <w:r>
        <w:t xml:space="preserve">222</w:t>
      </w:r>
      <w:r>
        <w:t xml:space="preserve"> </w:t>
      </w:r>
      <w:r>
        <w:t xml:space="preserve">49 %</w:t>
      </w:r>
      <w:r>
        <w:t xml:space="preserve"> </w:t>
      </w:r>
      <w:r>
        <w:t xml:space="preserve">Covestro</w:t>
      </w:r>
      <w:r>
        <w:t xml:space="preserve"> </w:t>
      </w:r>
      <w:r>
        <w:t xml:space="preserve">(272)</w:t>
      </w:r>
      <w:r>
        <w:t xml:space="preserve"> </w:t>
      </w:r>
      <w:r>
        <w:t xml:space="preserve">(198)</w:t>
      </w:r>
      <w:r>
        <w:t xml:space="preserve"> </w:t>
      </w:r>
      <w:r>
        <w:t xml:space="preserve">(266)</w:t>
      </w:r>
      <w:r>
        <w:t xml:space="preserve"> </w:t>
      </w:r>
      <w:r>
        <w:t xml:space="preserve">41 %</w:t>
      </w:r>
      <w:r>
        <w:t xml:space="preserve"> </w:t>
      </w:r>
      <w:r>
        <w:t xml:space="preserve">Arkema</w:t>
      </w:r>
      <w:r>
        <w:t xml:space="preserve"> </w:t>
      </w:r>
      <w:r>
        <w:t xml:space="preserve">965</w:t>
      </w:r>
      <w:r>
        <w:t xml:space="preserve"> </w:t>
      </w:r>
      <w:r>
        <w:t xml:space="preserve">418</w:t>
      </w:r>
      <w:r>
        <w:t xml:space="preserve"> </w:t>
      </w:r>
      <w:r>
        <w:t xml:space="preserve">354</w:t>
      </w:r>
      <w:r>
        <w:t xml:space="preserve"> </w:t>
      </w:r>
      <w:r>
        <w:t xml:space="preserve">33 %</w:t>
      </w:r>
      <w:r>
        <w:t xml:space="preserve"> </w:t>
      </w:r>
      <w:r>
        <w:t xml:space="preserve">Lanxess**</w:t>
      </w:r>
      <w:r>
        <w:t xml:space="preserve"> </w:t>
      </w:r>
      <w:r>
        <w:t xml:space="preserve">250</w:t>
      </w:r>
      <w:r>
        <w:t xml:space="preserve"> </w:t>
      </w:r>
      <w:r>
        <w:t xml:space="preserve">(113)</w:t>
      </w:r>
      <w:r>
        <w:t xml:space="preserve"> </w:t>
      </w:r>
      <w:r>
        <w:t xml:space="preserve">(266)</w:t>
      </w:r>
      <w:r>
        <w:t xml:space="preserve"> </w:t>
      </w:r>
      <w:r>
        <w:t xml:space="preserve">47 %</w:t>
      </w:r>
      <w:r>
        <w:t xml:space="preserve"> </w:t>
      </w:r>
      <w:r>
        <w:t xml:space="preserve">* The figure does not reflect the EUR 4.7 billion impairment recorded in 2022 on account of BASF’s stake in</w:t>
      </w:r>
      <w:r>
        <w:t xml:space="preserve"> </w:t>
      </w:r>
      <w:r>
        <w:t xml:space="preserve">Wintershall which it can no longer control given the latter’s extensive operations in Russia (as a result, BASF</w:t>
      </w:r>
      <w:r>
        <w:t xml:space="preserve"> </w:t>
      </w:r>
      <w:r>
        <w:t xml:space="preserve">formally reported a net loss of EUR 627 million in 2022)</w:t>
      </w:r>
      <w:r>
        <w:br/>
      </w:r>
      <w:r>
        <w:t xml:space="preserve">** In the case of Lanxess, whose annual report will only be released on 20 March, the 2024 figures refer only to</w:t>
      </w:r>
      <w:r>
        <w:t xml:space="preserve"> </w:t>
      </w:r>
      <w:r>
        <w:t xml:space="preserve">the period January-September.</w:t>
      </w:r>
      <w:r>
        <w:t xml:space="preserve"> </w:t>
      </w:r>
      <w:r>
        <w:t xml:space="preserve">Source: Fourth quarter and full year 2024 reports of the companies concerned</w:t>
      </w:r>
    </w:p>
    <w:p>
      <w:pPr>
        <w:pStyle w:val="BodyText"/>
      </w:pPr>
      <w:r>
        <w:t xml:space="preserve">While the trends conveyed by the figures above are not fully coincident, there is an obvious</w:t>
      </w:r>
      <w:r>
        <w:t xml:space="preserve"> </w:t>
      </w:r>
      <w:r>
        <w:t xml:space="preserve">general deterioration of the financial performance of all companies considered. The main</w:t>
      </w:r>
      <w:r>
        <w:t xml:space="preserve"> </w:t>
      </w:r>
      <w:r>
        <w:t xml:space="preserve">highlight is represented by the losses recorded for 3 years in a row by Covestro, as a result of</w:t>
      </w:r>
      <w:r>
        <w:t xml:space="preserve"> </w:t>
      </w:r>
      <w:r>
        <w:t xml:space="preserve">which its shareholders acquiesced to the takeover bid made by ADNOC (Abu Dhabi National</w:t>
      </w:r>
      <w:r>
        <w:t xml:space="preserve"> </w:t>
      </w:r>
      <w:r>
        <w:t xml:space="preserve">Oil Company), which became the company’s majority shareholder at the beginning of 2025.</w:t>
      </w:r>
      <w:r>
        <w:t xml:space="preserve"> </w:t>
      </w:r>
      <w:r>
        <w:t xml:space="preserve">Lanxess also appears to be following a similar path and its postponement of the release of the</w:t>
      </w:r>
      <w:r>
        <w:t xml:space="preserve"> </w:t>
      </w:r>
      <w:r>
        <w:t xml:space="preserve">2024 results comes as a corroboration.</w:t>
      </w:r>
    </w:p>
    <w:p>
      <w:pPr>
        <w:pStyle w:val="BodyText"/>
      </w:pPr>
      <w:r>
        <w:t xml:space="preserve">Although it may look counter-intuitive, all companies considered recorded their best recent</w:t>
      </w:r>
      <w:r>
        <w:t xml:space="preserve"> </w:t>
      </w:r>
      <w:r>
        <w:t xml:space="preserve">financial results in 2022, when energy prices were at all-time highs (which also pushed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chemical prices to unprecedented records). This does not mean that the high prices of</w:t>
      </w:r>
      <w:r>
        <w:t xml:space="preserve"> </w:t>
      </w:r>
      <w:r>
        <w:t xml:space="preserve">petrochemical feedstock and of energy in Europe do not matter a lot, but quite the opposite:</w:t>
      </w:r>
      <w:r>
        <w:t xml:space="preserve"> </w:t>
      </w:r>
      <w:r>
        <w:t xml:space="preserve">while a market characterised by high prices may validate high (and otherwise uncompetitive)</w:t>
      </w:r>
      <w:r>
        <w:t xml:space="preserve"> </w:t>
      </w:r>
      <w:r>
        <w:t xml:space="preserve">production costs, this is no longer possible in a market characterised by weak demand, where</w:t>
      </w:r>
      <w:r>
        <w:t xml:space="preserve"> </w:t>
      </w:r>
      <w:r>
        <w:t xml:space="preserve">the same suppliers are chasing a depressed volume of potential sales.</w:t>
      </w:r>
    </w:p>
    <w:p>
      <w:pPr>
        <w:pStyle w:val="Compact"/>
        <w:numPr>
          <w:ilvl w:val="0"/>
          <w:numId w:val="1053"/>
        </w:numPr>
      </w:pPr>
      <w:r>
        <w:t xml:space="preserve">Business confidence</w:t>
      </w:r>
      <w:r>
        <w:t xml:space="preserve"> </w:t>
      </w:r>
      <w:r>
        <w:t xml:space="preserve">Following a deterioration of the business confidence sentiment in the EU chemical industry</w:t>
      </w:r>
      <w:r>
        <w:t xml:space="preserve"> </w:t>
      </w:r>
      <w:r>
        <w:t xml:space="preserve">over the last quarter of 2024, a recovery can be noticed since January 2025. This, however,</w:t>
      </w:r>
      <w:r>
        <w:t xml:space="preserve"> </w:t>
      </w:r>
      <w:r>
        <w:t xml:space="preserve">needs sobering qualifications:</w:t>
      </w:r>
    </w:p>
    <w:p>
      <w:pPr>
        <w:pStyle w:val="Compact"/>
        <w:numPr>
          <w:ilvl w:val="0"/>
          <w:numId w:val="1054"/>
        </w:numPr>
      </w:pPr>
      <w:r>
        <w:t xml:space="preserve">the last time this indicator was in positive territory is May 2022;</w:t>
      </w:r>
    </w:p>
    <w:p>
      <w:pPr>
        <w:pStyle w:val="Compact"/>
        <w:numPr>
          <w:ilvl w:val="0"/>
          <w:numId w:val="1054"/>
        </w:numPr>
      </w:pPr>
      <w:r>
        <w:t xml:space="preserve">even if significantly better than in all of the previous three months, the indicator displays a</w:t>
      </w:r>
      <w:r>
        <w:t xml:space="preserve"> </w:t>
      </w:r>
      <w:r>
        <w:t xml:space="preserve">considerably worse level than last spring and even last summer.</w:t>
      </w:r>
      <w:r>
        <w:t xml:space="preserve"> </w:t>
      </w:r>
      <w:r>
        <w:t xml:space="preserve">At most, this is indicative of the fact that what may have looked like a sentiment of panic</w:t>
      </w:r>
      <w:r>
        <w:t xml:space="preserve"> </w:t>
      </w:r>
      <w:r>
        <w:t xml:space="preserve">getting installed has been dispelled.</w:t>
      </w:r>
    </w:p>
    <w:p>
      <w:pPr>
        <w:pStyle w:val="FirstParagraph"/>
      </w:pPr>
      <w:r>
        <w:t xml:space="preserve">Source: DG ECFIN business and consumer survey data</w:t>
      </w:r>
    </w:p>
    <w:p>
      <w:pPr>
        <w:pStyle w:val="BodyText"/>
      </w:pPr>
      <w:r>
        <w:t xml:space="preserve">103</w:t>
      </w:r>
    </w:p>
    <w:p>
      <w:pPr>
        <w:pStyle w:val="Compact"/>
        <w:numPr>
          <w:ilvl w:val="0"/>
          <w:numId w:val="1055"/>
        </w:numPr>
      </w:pPr>
      <w:r>
        <w:t xml:space="preserve">THE EU DRUG AND DRUG PRECURSORS MARKET</w:t>
      </w:r>
      <w:r>
        <w:t xml:space="preserve"> </w:t>
      </w:r>
      <w:r>
        <w:t xml:space="preserve">This section summarizes the data that were made available by the EUDA throughout its Annual</w:t>
      </w:r>
      <w:r>
        <w:t xml:space="preserve"> </w:t>
      </w:r>
      <w:r>
        <w:t xml:space="preserve">Reports and Drug Market Reports. Precursor seizures are complex and vary year to year.</w:t>
      </w:r>
      <w:r>
        <w:t xml:space="preserve"> </w:t>
      </w:r>
      <w:r>
        <w:t xml:space="preserve">3.1.</w:t>
      </w:r>
      <w:r>
        <w:t xml:space="preserve"> </w:t>
      </w:r>
      <w:r>
        <w:t xml:space="preserve">SUMMARY PER DRUG</w:t>
      </w:r>
      <w:r>
        <w:t xml:space="preserve"> </w:t>
      </w:r>
      <w:r>
        <w:t xml:space="preserve">Cannabis</w:t>
      </w:r>
      <w:r>
        <w:t xml:space="preserve"> </w:t>
      </w:r>
      <w:r>
        <w:t xml:space="preserve">•</w:t>
      </w:r>
      <w:r>
        <w:t xml:space="preserve"> </w:t>
      </w:r>
      <w:r>
        <w:t xml:space="preserve">Cannabis is the largest illicit drug market in Europe, with around 84 million adults</w:t>
      </w:r>
      <w:r>
        <w:t xml:space="preserve"> </w:t>
      </w:r>
      <w:r>
        <w:t xml:space="preserve">having tried it and 22.6 million using it in the last year. Most herbal cannabis is</w:t>
      </w:r>
      <w:r>
        <w:t xml:space="preserve"> </w:t>
      </w:r>
      <w:r>
        <w:t xml:space="preserve">grown within the EU, while cannabis resin mainly comes from Morocco.</w:t>
      </w:r>
      <w:r>
        <w:t xml:space="preserve"> </w:t>
      </w:r>
      <w:r>
        <w:t xml:space="preserve">•</w:t>
      </w:r>
      <w:r>
        <w:t xml:space="preserve"> </w:t>
      </w:r>
      <w:r>
        <w:t xml:space="preserve">The illicit market now includes a diverse range of products like high-potency</w:t>
      </w:r>
      <w:r>
        <w:t xml:space="preserve"> </w:t>
      </w:r>
      <w:r>
        <w:t xml:space="preserve">concentrates, oils, edibles, and vaping products, with increasing potency posing</w:t>
      </w:r>
      <w:r>
        <w:t xml:space="preserve"> </w:t>
      </w:r>
      <w:r>
        <w:t xml:space="preserve">greater health risks.</w:t>
      </w:r>
      <w:r>
        <w:t xml:space="preserve"> </w:t>
      </w:r>
      <w:r>
        <w:t xml:space="preserve">•</w:t>
      </w:r>
      <w:r>
        <w:t xml:space="preserve"> </w:t>
      </w:r>
      <w:r>
        <w:t xml:space="preserve">In 2021, seizures of herbal cannabis and resin hit their highest levels in a decade,</w:t>
      </w:r>
      <w:r>
        <w:t xml:space="preserve"> </w:t>
      </w:r>
      <w:r>
        <w:t xml:space="preserve">mainly in Spain, France, and Italy, reflecting active trafficking routes and domestic</w:t>
      </w:r>
      <w:r>
        <w:t xml:space="preserve"> </w:t>
      </w:r>
      <w:r>
        <w:t xml:space="preserve">cultivation in the Western Balkans.</w:t>
      </w:r>
      <w:r>
        <w:t xml:space="preserve"> </w:t>
      </w:r>
      <w:r>
        <w:t xml:space="preserve">•</w:t>
      </w:r>
      <w:r>
        <w:t xml:space="preserve"> </w:t>
      </w:r>
      <w:r>
        <w:t xml:space="preserve">Criminal networks from Belgium, the Netherlands, Spain, Albania, and Morocco</w:t>
      </w:r>
      <w:r>
        <w:t xml:space="preserve"> </w:t>
      </w:r>
      <w:r>
        <w:t xml:space="preserve">dominate the market, often cooperating but also driving violence and corruption.</w:t>
      </w:r>
      <w:r>
        <w:t xml:space="preserve"> </w:t>
      </w:r>
      <w:r>
        <w:t xml:space="preserve">•</w:t>
      </w:r>
      <w:r>
        <w:t xml:space="preserve"> </w:t>
      </w:r>
      <w:r>
        <w:t xml:space="preserve">The market is valued at around €11.4 billion, with potency rising sharply over the</w:t>
      </w:r>
      <w:r>
        <w:t xml:space="preserve"> </w:t>
      </w:r>
      <w:r>
        <w:t xml:space="preserve">past decade while prices remained stable. Stronger monitoring, enforcement, and</w:t>
      </w:r>
      <w:r>
        <w:t xml:space="preserve"> </w:t>
      </w:r>
      <w:r>
        <w:t xml:space="preserve">international cooperation are needed to address health, security, and environmental</w:t>
      </w:r>
      <w:r>
        <w:t xml:space="preserve"> </w:t>
      </w:r>
      <w:r>
        <w:t xml:space="preserve">challenges.</w:t>
      </w:r>
      <w:r>
        <w:t xml:space="preserve"> </w:t>
      </w:r>
      <w:r>
        <w:t xml:space="preserve">•</w:t>
      </w:r>
      <w:r>
        <w:t xml:space="preserve"> </w:t>
      </w:r>
      <w:r>
        <w:t xml:space="preserve">Seizures: 98,000 seizures of cannabis plants, totalling 3.5 million plants and 6.5</w:t>
      </w:r>
      <w:r>
        <w:t xml:space="preserve"> </w:t>
      </w:r>
      <w:r>
        <w:t xml:space="preserve">tonnes (down from 4.3 million plants and 32.5 tonnes in 2021).</w:t>
      </w:r>
      <w:r>
        <w:t xml:space="preserve"> </w:t>
      </w:r>
      <w:r>
        <w:t xml:space="preserve">•</w:t>
      </w:r>
      <w:r>
        <w:t xml:space="preserve"> </w:t>
      </w:r>
      <w:r>
        <w:t xml:space="preserve">Cultivation sites dismantled: Nearly 5,700 illicit cannabis grow operations dismantled</w:t>
      </w:r>
      <w:r>
        <w:t xml:space="preserve"> </w:t>
      </w:r>
      <w:r>
        <w:t xml:space="preserve">in 14 Member States.</w:t>
      </w:r>
      <w:r>
        <w:t xml:space="preserve"> </w:t>
      </w:r>
      <w:r>
        <w:t xml:space="preserve">Heroin</w:t>
      </w:r>
      <w:r>
        <w:t xml:space="preserve"> </w:t>
      </w:r>
      <w:r>
        <w:t xml:space="preserve">•</w:t>
      </w:r>
      <w:r>
        <w:t xml:space="preserve"> </w:t>
      </w:r>
      <w:r>
        <w:t xml:space="preserve">The heroin market in Europe is worth around €5.2 billion (2021), with about 1</w:t>
      </w:r>
      <w:r>
        <w:t xml:space="preserve"> </w:t>
      </w:r>
      <w:r>
        <w:t xml:space="preserve">million high-risk opioid users; opioids were involved in 74% of drug-related</w:t>
      </w:r>
      <w:r>
        <w:t xml:space="preserve"> </w:t>
      </w:r>
      <w:r>
        <w:t xml:space="preserve">deaths that year.</w:t>
      </w:r>
      <w:r>
        <w:t xml:space="preserve"> </w:t>
      </w:r>
      <w:r>
        <w:t xml:space="preserve">•</w:t>
      </w:r>
      <w:r>
        <w:t xml:space="preserve"> </w:t>
      </w:r>
      <w:r>
        <w:t xml:space="preserve">Heroin supply remains stable with increasing purity and declining prices;</w:t>
      </w:r>
      <w:r>
        <w:t xml:space="preserve"> </w:t>
      </w:r>
      <w:r>
        <w:t xml:space="preserve">Afghanistan is still the main source, though political instability may impact supply</w:t>
      </w:r>
      <w:r>
        <w:t xml:space="preserve"> </w:t>
      </w:r>
      <w:r>
        <w:t xml:space="preserve">routes, which include the Balkan and Southern maritime routes.</w:t>
      </w:r>
      <w:r>
        <w:t xml:space="preserve"> </w:t>
      </w:r>
      <w:r>
        <w:t xml:space="preserve">•</w:t>
      </w:r>
      <w:r>
        <w:t xml:space="preserve"> </w:t>
      </w:r>
      <w:r>
        <w:t xml:space="preserve">Criminal networks are highly adaptive and use legal businesses, money laundering,</w:t>
      </w:r>
      <w:r>
        <w:t xml:space="preserve"> </w:t>
      </w:r>
      <w:r>
        <w:t xml:space="preserve">and corruption to facilitate heroin trafficking across complex international routes.</w:t>
      </w:r>
      <w:r>
        <w:t xml:space="preserve"> </w:t>
      </w:r>
      <w:r>
        <w:t xml:space="preserve">•</w:t>
      </w:r>
      <w:r>
        <w:t xml:space="preserve"> </w:t>
      </w:r>
      <w:r>
        <w:t xml:space="preserve">Around 1 million Europeans used heroin or other illicit opioids in 2020.</w:t>
      </w:r>
      <w:r>
        <w:t xml:space="preserve"> </w:t>
      </w:r>
      <w:r>
        <w:t xml:space="preserve">•</w:t>
      </w:r>
      <w:r>
        <w:t xml:space="preserve"> </w:t>
      </w:r>
      <w:r>
        <w:t xml:space="preserve">Production sites: Two heroin production sites dismantled in the Netherlands (down</w:t>
      </w:r>
      <w:r>
        <w:t xml:space="preserve"> </w:t>
      </w:r>
      <w:r>
        <w:t xml:space="preserve">from three in 2021).</w:t>
      </w:r>
      <w:r>
        <w:t xml:space="preserve"> </w:t>
      </w:r>
      <w:r>
        <w:t xml:space="preserve">•</w:t>
      </w:r>
      <w:r>
        <w:t xml:space="preserve"> </w:t>
      </w:r>
      <w:r>
        <w:t xml:space="preserve">Precursor seizures: Only 141 litres of acetic anhydride (heroin precursor) seized in</w:t>
      </w:r>
      <w:r>
        <w:t xml:space="preserve"> </w:t>
      </w:r>
      <w:r>
        <w:t xml:space="preserve">Germany, Spain, and Poland, a significant decrease from 5,730 litres in 2021.</w:t>
      </w:r>
      <w:r>
        <w:t xml:space="preserve"> </w:t>
      </w:r>
      <w:r>
        <w:t xml:space="preserve">•</w:t>
      </w:r>
      <w:r>
        <w:t xml:space="preserve"> </w:t>
      </w:r>
      <w:r>
        <w:t xml:space="preserve">Trend: Declining global seizures of acetic anhydride may indicate fewer diversion</w:t>
      </w:r>
      <w:r>
        <w:t xml:space="preserve"> </w:t>
      </w:r>
      <w:r>
        <w:t xml:space="preserve">attempts or shifts in trafficking routes.</w:t>
      </w:r>
      <w:r>
        <w:t xml:space="preserve"> </w:t>
      </w:r>
      <w:r>
        <w:t xml:space="preserve">Cocaine</w:t>
      </w:r>
      <w:r>
        <w:t xml:space="preserve"> </w:t>
      </w:r>
      <w:r>
        <w:t xml:space="preserve">•</w:t>
      </w:r>
      <w:r>
        <w:t xml:space="preserve"> </w:t>
      </w:r>
      <w:r>
        <w:t xml:space="preserve">Approximately 3.5 million adults used cocaine in the past year.</w:t>
      </w:r>
    </w:p>
    <w:p>
      <w:pPr>
        <w:pStyle w:val="FirstParagraph"/>
      </w:pPr>
      <w:r>
        <w:t xml:space="preserve">104</w:t>
      </w:r>
      <w:r>
        <w:t xml:space="preserve"> </w:t>
      </w:r>
      <w:r>
        <w:t xml:space="preserve">•</w:t>
      </w:r>
      <w:r>
        <w:t xml:space="preserve"> </w:t>
      </w:r>
      <w:r>
        <w:t xml:space="preserve">The EU cocaine retail market was valued at a minimum of €10.5 billion in 2020,</w:t>
      </w:r>
      <w:r>
        <w:t xml:space="preserve"> </w:t>
      </w:r>
      <w:r>
        <w:t xml:space="preserve">making it the second-largest illicit drug market after cannabis. This estimate likely</w:t>
      </w:r>
      <w:r>
        <w:t xml:space="preserve"> </w:t>
      </w:r>
      <w:r>
        <w:t xml:space="preserve">understates the true market size.</w:t>
      </w:r>
      <w:r>
        <w:t xml:space="preserve"> </w:t>
      </w:r>
      <w:r>
        <w:t xml:space="preserve">•</w:t>
      </w:r>
      <w:r>
        <w:t xml:space="preserve"> </w:t>
      </w:r>
      <w:r>
        <w:t xml:space="preserve">High-risk criminal networks dominate cocaine trafficking, profiting billions and</w:t>
      </w:r>
      <w:r>
        <w:t xml:space="preserve"> </w:t>
      </w:r>
      <w:r>
        <w:t xml:space="preserve">operating through complex, fluid networks involving brokers and intermediaries.</w:t>
      </w:r>
      <w:r>
        <w:t xml:space="preserve"> </w:t>
      </w:r>
      <w:r>
        <w:t xml:space="preserve">•</w:t>
      </w:r>
      <w:r>
        <w:t xml:space="preserve"> </w:t>
      </w:r>
      <w:r>
        <w:t xml:space="preserve">Cocaine seizures in Europe have hit record highs since 2017, with 214.6 tonnes</w:t>
      </w:r>
      <w:r>
        <w:t xml:space="preserve"> </w:t>
      </w:r>
      <w:r>
        <w:t xml:space="preserve">seized in 2020 and preliminary 2021 data showing an increase to 240 tonnes.</w:t>
      </w:r>
      <w:r>
        <w:t xml:space="preserve"> </w:t>
      </w:r>
      <w:r>
        <w:t xml:space="preserve">•</w:t>
      </w:r>
      <w:r>
        <w:t xml:space="preserve"> </w:t>
      </w:r>
      <w:r>
        <w:t xml:space="preserve">The largest seizures occur at Belgian, Dutch, and Spanish ports, but growing</w:t>
      </w:r>
      <w:r>
        <w:t xml:space="preserve"> </w:t>
      </w:r>
      <w:r>
        <w:t xml:space="preserve">amounts are now intercepted at other European ports, indicating expanding trafficking</w:t>
      </w:r>
      <w:r>
        <w:t xml:space="preserve"> </w:t>
      </w:r>
      <w:r>
        <w:t xml:space="preserve">routes.</w:t>
      </w:r>
      <w:r>
        <w:t xml:space="preserve"> </w:t>
      </w:r>
      <w:r>
        <w:t xml:space="preserve">•</w:t>
      </w:r>
      <w:r>
        <w:t xml:space="preserve"> </w:t>
      </w:r>
      <w:r>
        <w:t xml:space="preserve">Chemical analyses confirm Colombia remains the main cocaine source, though</w:t>
      </w:r>
      <w:r>
        <w:t xml:space="preserve"> </w:t>
      </w:r>
      <w:r>
        <w:t xml:space="preserve">Peruvian-origin samples have increased recently.</w:t>
      </w:r>
      <w:r>
        <w:t xml:space="preserve"> </w:t>
      </w:r>
      <w:r>
        <w:t xml:space="preserve">•</w:t>
      </w:r>
      <w:r>
        <w:t xml:space="preserve"> </w:t>
      </w:r>
      <w:r>
        <w:t xml:space="preserve">Evidence shows cocaine production is happening within Europe, especially in the</w:t>
      </w:r>
      <w:r>
        <w:t xml:space="preserve"> </w:t>
      </w:r>
      <w:r>
        <w:t xml:space="preserve">Netherlands, Spain, and Belgium, involving sophisticated operations and new</w:t>
      </w:r>
      <w:r>
        <w:t xml:space="preserve"> </w:t>
      </w:r>
      <w:r>
        <w:t xml:space="preserve">production methods (e.g., using ethyl acetate).</w:t>
      </w:r>
      <w:r>
        <w:t xml:space="preserve"> </w:t>
      </w:r>
      <w:r>
        <w:t xml:space="preserve">•</w:t>
      </w:r>
      <w:r>
        <w:t xml:space="preserve"> </w:t>
      </w:r>
      <w:r>
        <w:t xml:space="preserve">Cocaine production and trafficking cause serious environmental harm, including</w:t>
      </w:r>
      <w:r>
        <w:t xml:space="preserve"> </w:t>
      </w:r>
      <w:r>
        <w:t xml:space="preserve">deforestation linked to coca cultivation and pollution from toxic chemicals used</w:t>
      </w:r>
      <w:r>
        <w:t xml:space="preserve"> </w:t>
      </w:r>
      <w:r>
        <w:t xml:space="preserve">during manufacturing.</w:t>
      </w:r>
      <w:r>
        <w:t xml:space="preserve"> </w:t>
      </w:r>
      <w:r>
        <w:t xml:space="preserve">•</w:t>
      </w:r>
      <w:r>
        <w:t xml:space="preserve"> </w:t>
      </w:r>
      <w:r>
        <w:t xml:space="preserve">Production sites: At least 39 cocaine production sites dismantled in the EU (up from</w:t>
      </w:r>
      <w:r>
        <w:t xml:space="preserve"> </w:t>
      </w:r>
      <w:r>
        <w:t xml:space="preserve">34 in 2021).</w:t>
      </w:r>
      <w:r>
        <w:t xml:space="preserve"> </w:t>
      </w:r>
      <w:r>
        <w:t xml:space="preserve">•</w:t>
      </w:r>
      <w:r>
        <w:t xml:space="preserve"> </w:t>
      </w:r>
      <w:r>
        <w:t xml:space="preserve">Precursor seizures: 173 kg of potassium permanganate seized (down from 1,100 kg in</w:t>
      </w:r>
      <w:r>
        <w:t xml:space="preserve"> </w:t>
      </w:r>
      <w:r>
        <w:t xml:space="preserve">2021).</w:t>
      </w:r>
      <w:r>
        <w:t xml:space="preserve"> </w:t>
      </w:r>
      <w:r>
        <w:t xml:space="preserve">•</w:t>
      </w:r>
      <w:r>
        <w:t xml:space="preserve"> </w:t>
      </w:r>
      <w:r>
        <w:t xml:space="preserve">Processing: Large-scale cocaine processing from imported intermediates continues;</w:t>
      </w:r>
      <w:r>
        <w:t xml:space="preserve"> </w:t>
      </w:r>
      <w:r>
        <w:t xml:space="preserve">example includes a Spanish lab with 200 kg daily output.</w:t>
      </w:r>
      <w:r>
        <w:t xml:space="preserve"> </w:t>
      </w:r>
      <w:r>
        <w:t xml:space="preserve">•</w:t>
      </w:r>
      <w:r>
        <w:t xml:space="preserve"> </w:t>
      </w:r>
      <w:r>
        <w:t xml:space="preserve">Concealed shipments: Notable seizures of chemically concealed cocaine, such as 22</w:t>
      </w:r>
      <w:r>
        <w:t xml:space="preserve"> </w:t>
      </w:r>
      <w:r>
        <w:t xml:space="preserve">tonnes hidden in sugar (France) and 100 kg in coal (Croatia).</w:t>
      </w:r>
      <w:r>
        <w:t xml:space="preserve"> </w:t>
      </w:r>
      <w:r>
        <w:t xml:space="preserve">Amphetamine</w:t>
      </w:r>
      <w:r>
        <w:t xml:space="preserve"> </w:t>
      </w:r>
      <w:r>
        <w:t xml:space="preserve">•</w:t>
      </w:r>
      <w:r>
        <w:t xml:space="preserve"> </w:t>
      </w:r>
      <w:r>
        <w:t xml:space="preserve">Amphetamine is the most common synthetic stimulant in Europe, competing with</w:t>
      </w:r>
      <w:r>
        <w:t xml:space="preserve"> </w:t>
      </w:r>
      <w:r>
        <w:t xml:space="preserve">cocaine and new psychoactive substances. The retail market is valued at</w:t>
      </w:r>
      <w:r>
        <w:t xml:space="preserve"> </w:t>
      </w:r>
      <w:r>
        <w:t xml:space="preserve">approximately €1.1 billion annually, with amphetamine powder and paste being the</w:t>
      </w:r>
      <w:r>
        <w:t xml:space="preserve"> </w:t>
      </w:r>
      <w:r>
        <w:t xml:space="preserve">main forms consumed. Use is higher than methamphetamine in most EU countries</w:t>
      </w:r>
      <w:r>
        <w:t xml:space="preserve"> </w:t>
      </w:r>
      <w:r>
        <w:t xml:space="preserve">except for places like Czechia and Slovakia.</w:t>
      </w:r>
      <w:r>
        <w:t xml:space="preserve"> </w:t>
      </w:r>
      <w:r>
        <w:t xml:space="preserve">•</w:t>
      </w:r>
      <w:r>
        <w:t xml:space="preserve"> </w:t>
      </w:r>
      <w:r>
        <w:t xml:space="preserve">Production is mainly concentrated in the Netherlands and Belgium, using the</w:t>
      </w:r>
      <w:r>
        <w:t xml:space="preserve"> </w:t>
      </w:r>
      <w:r>
        <w:t xml:space="preserve">precursor BMK (often derived from chemicals imported from China). Amphetamine</w:t>
      </w:r>
      <w:r>
        <w:t xml:space="preserve"> </w:t>
      </w:r>
      <w:r>
        <w:t xml:space="preserve">oil produced is sometimes trafficked for conversion into amphetamine sulfate</w:t>
      </w:r>
      <w:r>
        <w:t xml:space="preserve"> </w:t>
      </w:r>
      <w:r>
        <w:t xml:space="preserve">elsewhere in the EU. Captagon tablet production, mainly trafficked to the Middle</w:t>
      </w:r>
      <w:r>
        <w:t xml:space="preserve"> </w:t>
      </w:r>
      <w:r>
        <w:t xml:space="preserve">East, occurs occasionally within the EU, especially the Netherlands.</w:t>
      </w:r>
      <w:r>
        <w:t xml:space="preserve"> </w:t>
      </w:r>
      <w:r>
        <w:t xml:space="preserve">•</w:t>
      </w:r>
      <w:r>
        <w:t xml:space="preserve"> </w:t>
      </w:r>
      <w:r>
        <w:t xml:space="preserve">Amphetamine trafficking within the EU is complex and mainly occurs overland and</w:t>
      </w:r>
      <w:r>
        <w:t xml:space="preserve"> </w:t>
      </w:r>
      <w:r>
        <w:t xml:space="preserve">via postal services, with consignments originating from key production hubs in the</w:t>
      </w:r>
      <w:r>
        <w:t xml:space="preserve"> </w:t>
      </w:r>
      <w:r>
        <w:t xml:space="preserve">Netherlands, Belgium, and Germany. Large seizures of captagon tablets have been</w:t>
      </w:r>
      <w:r>
        <w:t xml:space="preserve"> </w:t>
      </w:r>
      <w:r>
        <w:t xml:space="preserve">made in Greece and Italy, highlighting the EU’s role as a transhipment zone for</w:t>
      </w:r>
      <w:r>
        <w:t xml:space="preserve"> </w:t>
      </w:r>
      <w:r>
        <w:t xml:space="preserve">Middle Eastern markets.</w:t>
      </w:r>
      <w:r>
        <w:t xml:space="preserve"> </w:t>
      </w:r>
      <w:r>
        <w:t xml:space="preserve">•</w:t>
      </w:r>
      <w:r>
        <w:t xml:space="preserve"> </w:t>
      </w:r>
      <w:r>
        <w:t xml:space="preserve">Dutch criminal groups dominate synthetic drug production and trafficking in Europe,</w:t>
      </w:r>
      <w:r>
        <w:t xml:space="preserve"> </w:t>
      </w:r>
      <w:r>
        <w:t xml:space="preserve">working with distributors worldwide. Baltic criminal groups are active in regional</w:t>
      </w:r>
      <w:r>
        <w:t xml:space="preserve"> </w:t>
      </w:r>
      <w:r>
        <w:t xml:space="preserve">amphetamine production and distribution to Nordic countries. Networks use legal</w:t>
      </w:r>
      <w:r>
        <w:t xml:space="preserve"> </w:t>
      </w:r>
      <w:r>
        <w:t xml:space="preserve">businesses, corruption, money laundering, and cooperative strategies to facilitate</w:t>
      </w:r>
      <w:r>
        <w:t xml:space="preserve"> </w:t>
      </w:r>
      <w:r>
        <w:t xml:space="preserve">operations.</w:t>
      </w:r>
      <w:r>
        <w:t xml:space="preserve"> </w:t>
      </w:r>
      <w:r>
        <w:t xml:space="preserve">•</w:t>
      </w:r>
      <w:r>
        <w:t xml:space="preserve"> </w:t>
      </w:r>
      <w:r>
        <w:t xml:space="preserve">Amphetamine is relatively inexpensive and of variable purity across Europe, with</w:t>
      </w:r>
      <w:r>
        <w:t xml:space="preserve"> </w:t>
      </w:r>
      <w:r>
        <w:t xml:space="preserve">higher purities in Belgium and the Netherlands due to local production. Use is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associated with significant health risks, including cardiovascular effects and risks</w:t>
      </w:r>
      <w:r>
        <w:t xml:space="preserve"> </w:t>
      </w:r>
      <w:r>
        <w:t xml:space="preserve">from injection (such as HIV). Around 5 000 people entered specialized treatment in</w:t>
      </w:r>
      <w:r>
        <w:t xml:space="preserve"> </w:t>
      </w:r>
      <w:r>
        <w:t xml:space="preserve">2021 citing amphetamine as their primary drug.</w:t>
      </w:r>
      <w:r>
        <w:t xml:space="preserve"> </w:t>
      </w:r>
      <w:r>
        <w:t xml:space="preserve">•</w:t>
      </w:r>
      <w:r>
        <w:t xml:space="preserve"> </w:t>
      </w:r>
      <w:r>
        <w:t xml:space="preserve">Globally, amphetamine use is smaller compared to methamphetamine but has grown</w:t>
      </w:r>
      <w:r>
        <w:t xml:space="preserve"> </w:t>
      </w:r>
      <w:r>
        <w:t xml:space="preserve">sixfold in seizures from 2010 to 2021. Most amphetamine seizures occur in the Near</w:t>
      </w:r>
      <w:r>
        <w:t xml:space="preserve"> </w:t>
      </w:r>
      <w:r>
        <w:t xml:space="preserve">and Middle East (mainly as captagon) and Europe (mainly powder/paste).</w:t>
      </w:r>
      <w:r>
        <w:t xml:space="preserve"> </w:t>
      </w:r>
      <w:r>
        <w:t xml:space="preserve">•</w:t>
      </w:r>
      <w:r>
        <w:t xml:space="preserve"> </w:t>
      </w:r>
      <w:r>
        <w:t xml:space="preserve">Approximately 2 million adults used amphetamines in the past year.</w:t>
      </w:r>
      <w:r>
        <w:t xml:space="preserve"> </w:t>
      </w:r>
      <w:r>
        <w:t xml:space="preserve">•</w:t>
      </w:r>
      <w:r>
        <w:t xml:space="preserve"> </w:t>
      </w:r>
      <w:r>
        <w:t xml:space="preserve">Labs dismantled: 108 amphetamine labs dismantled in 7 Member States, mainly in the</w:t>
      </w:r>
      <w:r>
        <w:t xml:space="preserve"> </w:t>
      </w:r>
      <w:r>
        <w:t xml:space="preserve">Netherlands (39), Belgium (35), and Poland (22).</w:t>
      </w:r>
      <w:r>
        <w:t xml:space="preserve"> </w:t>
      </w:r>
      <w:r>
        <w:t xml:space="preserve">Methamphetamine</w:t>
      </w:r>
      <w:r>
        <w:t xml:space="preserve"> </w:t>
      </w:r>
      <w:r>
        <w:t xml:space="preserve">•</w:t>
      </w:r>
      <w:r>
        <w:t xml:space="preserve"> </w:t>
      </w:r>
      <w:r>
        <w:t xml:space="preserve">Methamphetamine plays a relatively small role in European stimulant markets</w:t>
      </w:r>
      <w:r>
        <w:t xml:space="preserve"> </w:t>
      </w:r>
      <w:r>
        <w:t xml:space="preserve">compared to the global situation, but its threat is increasing as the drug spreads to new</w:t>
      </w:r>
      <w:r>
        <w:t xml:space="preserve"> </w:t>
      </w:r>
      <w:r>
        <w:t xml:space="preserve">markets across Europe. Europe not only produces methamphetamine for its own</w:t>
      </w:r>
      <w:r>
        <w:t xml:space="preserve"> </w:t>
      </w:r>
      <w:r>
        <w:t xml:space="preserve">markets but also acts as a significant source for external markets, with major</w:t>
      </w:r>
      <w:r>
        <w:t xml:space="preserve"> </w:t>
      </w:r>
      <w:r>
        <w:t xml:space="preserve">production hubs in the Netherlands, Belgium, Czechia, and neighbouring countries.</w:t>
      </w:r>
      <w:r>
        <w:t xml:space="preserve"> </w:t>
      </w:r>
      <w:r>
        <w:t xml:space="preserve">Between 2010 and 2020, methamphetamine seizures in the EU increased by 477%,</w:t>
      </w:r>
      <w:r>
        <w:t xml:space="preserve"> </w:t>
      </w:r>
      <w:r>
        <w:t xml:space="preserve">reflecting the rapid expansion of the market. Europe also serves as a transit zone for</w:t>
      </w:r>
      <w:r>
        <w:t xml:space="preserve"> </w:t>
      </w:r>
      <w:r>
        <w:t xml:space="preserve">methamphetamine produced in Iran, Nigeria, Mexico, and increasingly Afghanistan.</w:t>
      </w:r>
      <w:r>
        <w:t xml:space="preserve"> </w:t>
      </w:r>
      <w:r>
        <w:t xml:space="preserve">•</w:t>
      </w:r>
      <w:r>
        <w:t xml:space="preserve"> </w:t>
      </w:r>
      <w:r>
        <w:t xml:space="preserve">Methamphetamine use remains concentrated mainly in central Europe (notably</w:t>
      </w:r>
      <w:r>
        <w:t xml:space="preserve"> </w:t>
      </w:r>
      <w:r>
        <w:t xml:space="preserve">Czechia and Slovakia), but recent years have seen growth elsewhere. The drug is</w:t>
      </w:r>
      <w:r>
        <w:t xml:space="preserve"> </w:t>
      </w:r>
      <w:r>
        <w:t xml:space="preserve">commonly found as methamphetamine hydrochloride powder and increasingly as</w:t>
      </w:r>
      <w:r>
        <w:t xml:space="preserve"> </w:t>
      </w:r>
      <w:r>
        <w:t xml:space="preserve">crystalline ‘ice’ or ‘crystal meth’, which carries higher health risks. Prices vary</w:t>
      </w:r>
      <w:r>
        <w:t xml:space="preserve"> </w:t>
      </w:r>
      <w:r>
        <w:t xml:space="preserve">widely, from approximately €13.50 per gram in Hungary to €113 in Cyprus, with</w:t>
      </w:r>
      <w:r>
        <w:t xml:space="preserve"> </w:t>
      </w:r>
      <w:r>
        <w:t xml:space="preserve">darknet prices around €55 per gram.</w:t>
      </w:r>
      <w:r>
        <w:t xml:space="preserve"> </w:t>
      </w:r>
      <w:r>
        <w:t xml:space="preserve">•</w:t>
      </w:r>
      <w:r>
        <w:t xml:space="preserve"> </w:t>
      </w:r>
      <w:r>
        <w:t xml:space="preserve">Seizures in the EU have increased both in number and quantity, partly due to</w:t>
      </w:r>
      <w:r>
        <w:t xml:space="preserve"> </w:t>
      </w:r>
      <w:r>
        <w:t xml:space="preserve">industrial-scale labs in the Netherlands and Belgium, supported by collaboration</w:t>
      </w:r>
      <w:r>
        <w:t xml:space="preserve"> </w:t>
      </w:r>
      <w:r>
        <w:t xml:space="preserve">between European and Mexican criminal networks. In 2020, several large-scale labs</w:t>
      </w:r>
      <w:r>
        <w:t xml:space="preserve"> </w:t>
      </w:r>
      <w:r>
        <w:t xml:space="preserve">were dismantled, underscoring the growing sophistication of production.</w:t>
      </w:r>
      <w:r>
        <w:t xml:space="preserve"> </w:t>
      </w:r>
      <w:r>
        <w:t xml:space="preserve">•</w:t>
      </w:r>
      <w:r>
        <w:t xml:space="preserve"> </w:t>
      </w:r>
      <w:r>
        <w:t xml:space="preserve">Globally, methamphetamine accounts for over 70% of all amphetamine seizures (325</w:t>
      </w:r>
      <w:r>
        <w:t xml:space="preserve"> </w:t>
      </w:r>
      <w:r>
        <w:t xml:space="preserve">tonnes in 2019), with Asia, North America, and Australia as the largest markets.</w:t>
      </w:r>
      <w:r>
        <w:t xml:space="preserve"> </w:t>
      </w:r>
      <w:r>
        <w:t xml:space="preserve">While Europe’s market is smaller, it is an emerging global producer and distributor,</w:t>
      </w:r>
      <w:r>
        <w:t xml:space="preserve"> </w:t>
      </w:r>
      <w:r>
        <w:t xml:space="preserve">with production capacity expanding rapidly.</w:t>
      </w:r>
      <w:r>
        <w:t xml:space="preserve"> </w:t>
      </w:r>
      <w:r>
        <w:t xml:space="preserve">•</w:t>
      </w:r>
      <w:r>
        <w:t xml:space="preserve"> </w:t>
      </w:r>
      <w:r>
        <w:t xml:space="preserve">About 2.6 million adults used MDMA/ecstasy in the past year.</w:t>
      </w:r>
      <w:r>
        <w:t xml:space="preserve"> </w:t>
      </w:r>
      <w:r>
        <w:t xml:space="preserve">•</w:t>
      </w:r>
      <w:r>
        <w:t xml:space="preserve"> </w:t>
      </w:r>
      <w:r>
        <w:t xml:space="preserve">Labs dismantled: 242 methamphetamine labs dismantled in 9 Member States,</w:t>
      </w:r>
      <w:r>
        <w:t xml:space="preserve"> </w:t>
      </w:r>
      <w:r>
        <w:t xml:space="preserve">primarily Czechia (202).</w:t>
      </w:r>
      <w:r>
        <w:t xml:space="preserve"> </w:t>
      </w:r>
      <w:r>
        <w:t xml:space="preserve">•</w:t>
      </w:r>
      <w:r>
        <w:t xml:space="preserve"> </w:t>
      </w:r>
      <w:r>
        <w:t xml:space="preserve">Precursor seizures: 352 kg of ephedrine and pseudoephedrine seized (down from 723</w:t>
      </w:r>
      <w:r>
        <w:t xml:space="preserve"> </w:t>
      </w:r>
      <w:r>
        <w:t xml:space="preserve">kg in 2021).</w:t>
      </w:r>
      <w:r>
        <w:t xml:space="preserve"> </w:t>
      </w:r>
      <w:r>
        <w:t xml:space="preserve">•</w:t>
      </w:r>
      <w:r>
        <w:t xml:space="preserve"> </w:t>
      </w:r>
      <w:r>
        <w:t xml:space="preserve">BMK-related precursors: 1,329 litres of BMK and 26.6 tonnes of related substances</w:t>
      </w:r>
      <w:r>
        <w:t xml:space="preserve"> </w:t>
      </w:r>
      <w:r>
        <w:t xml:space="preserve">seized, including new alternative chemicals DEPAPD and DEPAPD enolate detected</w:t>
      </w:r>
      <w:r>
        <w:t xml:space="preserve"> </w:t>
      </w:r>
      <w:r>
        <w:t xml:space="preserve">for the first time.</w:t>
      </w:r>
      <w:r>
        <w:t xml:space="preserve"> </w:t>
      </w:r>
      <w:r>
        <w:t xml:space="preserve">•</w:t>
      </w:r>
      <w:r>
        <w:t xml:space="preserve"> </w:t>
      </w:r>
      <w:r>
        <w:t xml:space="preserve">Tartaric acid seizures: 2.6 tonnes seized, indicating ongoing large-scale production of</w:t>
      </w:r>
      <w:r>
        <w:t xml:space="preserve"> </w:t>
      </w:r>
      <w:r>
        <w:t xml:space="preserve">d-methamphetamine (‘crystal meth’).</w:t>
      </w:r>
      <w:r>
        <w:t xml:space="preserve"> </w:t>
      </w:r>
      <w:r>
        <w:t xml:space="preserve">MDMA</w:t>
      </w:r>
      <w:r>
        <w:t xml:space="preserve"> </w:t>
      </w:r>
      <w:r>
        <w:t xml:space="preserve">•</w:t>
      </w:r>
      <w:r>
        <w:t xml:space="preserve"> </w:t>
      </w:r>
      <w:r>
        <w:t xml:space="preserve">MDMA (commonly known as ecstasy) is a synthetic illicit drug prevalent in Europe</w:t>
      </w:r>
      <w:r>
        <w:t xml:space="preserve"> </w:t>
      </w:r>
      <w:r>
        <w:t xml:space="preserve">mainly as tablets, powder, or crystals. The European market, largely supplied by illicit</w:t>
      </w:r>
      <w:r>
        <w:t xml:space="preserve"> </w:t>
      </w:r>
      <w:r>
        <w:t xml:space="preserve">labs in the Netherlands and Belgium, is estimated to have an annual retail value of</w:t>
      </w:r>
      <w:r>
        <w:t xml:space="preserve"> </w:t>
      </w:r>
      <w:r>
        <w:t xml:space="preserve">around €594 million, corresponding to about 72 million tablets consumed yearly.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Despite being smaller in value than other stimulants, MDMA production is highly</w:t>
      </w:r>
      <w:r>
        <w:t xml:space="preserve"> </w:t>
      </w:r>
      <w:r>
        <w:t xml:space="preserve">profitable and increasingly sophisticated, with Dutch criminal networks playing a</w:t>
      </w:r>
      <w:r>
        <w:t xml:space="preserve"> </w:t>
      </w:r>
      <w:r>
        <w:t xml:space="preserve">major role both within Europe and internationally.</w:t>
      </w:r>
      <w:r>
        <w:t xml:space="preserve"> </w:t>
      </w:r>
      <w:r>
        <w:t xml:space="preserve">•</w:t>
      </w:r>
      <w:r>
        <w:t xml:space="preserve"> </w:t>
      </w:r>
      <w:r>
        <w:t xml:space="preserve">Europe is a prominent global supplier, accounting for approximately 43% of global</w:t>
      </w:r>
      <w:r>
        <w:t xml:space="preserve"> </w:t>
      </w:r>
      <w:r>
        <w:t xml:space="preserve">MDMA seizures and about half of all dismantled illicit MDMA labs worldwide.</w:t>
      </w:r>
      <w:r>
        <w:t xml:space="preserve"> </w:t>
      </w:r>
      <w:r>
        <w:t xml:space="preserve">Production mainly uses the ‘high-pressure’ method, though shortages of equipment</w:t>
      </w:r>
      <w:r>
        <w:t xml:space="preserve"> </w:t>
      </w:r>
      <w:r>
        <w:t xml:space="preserve">and precursor chemicals have led to shifts in production techniques and precursor</w:t>
      </w:r>
      <w:r>
        <w:t xml:space="preserve"> </w:t>
      </w:r>
      <w:r>
        <w:t xml:space="preserve">sources, often involving designer chemicals from China.</w:t>
      </w:r>
      <w:r>
        <w:t xml:space="preserve"> </w:t>
      </w:r>
      <w:r>
        <w:t xml:space="preserve">•</w:t>
      </w:r>
      <w:r>
        <w:t xml:space="preserve"> </w:t>
      </w:r>
      <w:r>
        <w:t xml:space="preserve">MDMA produced in Europe is trafficked worldwide, particularly to Oceania, Asia,</w:t>
      </w:r>
      <w:r>
        <w:t xml:space="preserve"> </w:t>
      </w:r>
      <w:r>
        <w:t xml:space="preserve">and Latin America, with emerging markets in Latin America linked to barter deals</w:t>
      </w:r>
      <w:r>
        <w:t xml:space="preserve"> </w:t>
      </w:r>
      <w:r>
        <w:t xml:space="preserve">exchanging MDMA for cocaine. Within Europe, Germany, Bulgaria, and Belgium are</w:t>
      </w:r>
      <w:r>
        <w:t xml:space="preserve"> </w:t>
      </w:r>
      <w:r>
        <w:t xml:space="preserve">growing distribution hubs, while the Netherlands remains the primary origin of</w:t>
      </w:r>
      <w:r>
        <w:t xml:space="preserve"> </w:t>
      </w:r>
      <w:r>
        <w:t xml:space="preserve">ecstasy trafficking globally.</w:t>
      </w:r>
      <w:r>
        <w:t xml:space="preserve"> </w:t>
      </w:r>
      <w:r>
        <w:t xml:space="preserve">•</w:t>
      </w:r>
      <w:r>
        <w:t xml:space="preserve"> </w:t>
      </w:r>
      <w:r>
        <w:t xml:space="preserve">Demand is met largely by large-scale EU production, with retail prices and purity</w:t>
      </w:r>
      <w:r>
        <w:t xml:space="preserve"> </w:t>
      </w:r>
      <w:r>
        <w:t xml:space="preserve">varying by region. MDMA distribution relies on diverse channels including land</w:t>
      </w:r>
      <w:r>
        <w:t xml:space="preserve"> </w:t>
      </w:r>
      <w:r>
        <w:t xml:space="preserve">transport, air cargo, maritime shipping, and increasingly, online markets such as</w:t>
      </w:r>
      <w:r>
        <w:t xml:space="preserve"> </w:t>
      </w:r>
      <w:r>
        <w:t xml:space="preserve">darknet and social media platforms.</w:t>
      </w:r>
      <w:r>
        <w:t xml:space="preserve"> </w:t>
      </w:r>
      <w:r>
        <w:t xml:space="preserve">•</w:t>
      </w:r>
      <w:r>
        <w:t xml:space="preserve"> </w:t>
      </w:r>
      <w:r>
        <w:t xml:space="preserve">Around 12.3 million adults in the EU have used MDMA at least once, with frequent</w:t>
      </w:r>
      <w:r>
        <w:t xml:space="preserve"> </w:t>
      </w:r>
      <w:r>
        <w:t xml:space="preserve">users responsible for most consumption. While MDMA content per tablet peaked</w:t>
      </w:r>
      <w:r>
        <w:t xml:space="preserve"> </w:t>
      </w:r>
      <w:r>
        <w:t xml:space="preserve">before 2019 and has since slightly declined—partly due to COVID-19 impacts—high-</w:t>
      </w:r>
      <w:r>
        <w:t xml:space="preserve"> </w:t>
      </w:r>
      <w:r>
        <w:t xml:space="preserve">strength ecstasy tablets and novel products like MDMA edibles remain on the market,</w:t>
      </w:r>
      <w:r>
        <w:t xml:space="preserve"> </w:t>
      </w:r>
      <w:r>
        <w:t xml:space="preserve">posing health risks including acute toxicity.</w:t>
      </w:r>
      <w:r>
        <w:t xml:space="preserve"> </w:t>
      </w:r>
      <w:r>
        <w:t xml:space="preserve">•</w:t>
      </w:r>
      <w:r>
        <w:t xml:space="preserve"> </w:t>
      </w:r>
      <w:r>
        <w:t xml:space="preserve">Labs dismantled: 48 labs dismantled in 6 Member States (27 in Belgium, 13 in the</w:t>
      </w:r>
      <w:r>
        <w:t xml:space="preserve"> </w:t>
      </w:r>
      <w:r>
        <w:t xml:space="preserve">Netherlands).</w:t>
      </w:r>
      <w:r>
        <w:t xml:space="preserve"> </w:t>
      </w:r>
      <w:r>
        <w:t xml:space="preserve">•</w:t>
      </w:r>
      <w:r>
        <w:t xml:space="preserve"> </w:t>
      </w:r>
      <w:r>
        <w:t xml:space="preserve">Precursor seizures: MDMA precursor seizures increased to 20.5 tonnes (up from 7.1</w:t>
      </w:r>
      <w:r>
        <w:t xml:space="preserve"> </w:t>
      </w:r>
      <w:r>
        <w:t xml:space="preserve">tonnes in 2021), with PMK and derivatives accounting for 19.9 tonnes.</w:t>
      </w:r>
      <w:r>
        <w:t xml:space="preserve"> </w:t>
      </w:r>
      <w:r>
        <w:t xml:space="preserve">•</w:t>
      </w:r>
      <w:r>
        <w:t xml:space="preserve"> </w:t>
      </w:r>
      <w:r>
        <w:t xml:space="preserve">Production trends: Increased precursor seizures and exports suggest a rebound in</w:t>
      </w:r>
      <w:r>
        <w:t xml:space="preserve"> </w:t>
      </w:r>
      <w:r>
        <w:t xml:space="preserve">MDMA production post-COVID-19.</w:t>
      </w:r>
      <w:r>
        <w:t xml:space="preserve"> </w:t>
      </w:r>
      <w:r>
        <w:t xml:space="preserve">Synthetic Cathinones</w:t>
      </w:r>
      <w:r>
        <w:t xml:space="preserve"> </w:t>
      </w:r>
      <w:r>
        <w:t xml:space="preserve">•</w:t>
      </w:r>
      <w:r>
        <w:t xml:space="preserve"> </w:t>
      </w:r>
      <w:r>
        <w:t xml:space="preserve">Production sites dismantled: 29 sites (mostly in Poland and the Netherlands), nearly</w:t>
      </w:r>
      <w:r>
        <w:t xml:space="preserve"> </w:t>
      </w:r>
      <w:r>
        <w:t xml:space="preserve">double from 15 in 2021.</w:t>
      </w:r>
      <w:r>
        <w:t xml:space="preserve"> </w:t>
      </w:r>
      <w:r>
        <w:t xml:space="preserve">•</w:t>
      </w:r>
      <w:r>
        <w:t xml:space="preserve"> </w:t>
      </w:r>
      <w:r>
        <w:t xml:space="preserve">Precursor seizures: 558 kg seized, mainly in Poland.</w:t>
      </w:r>
      <w:r>
        <w:t xml:space="preserve"> </w:t>
      </w:r>
      <w:r>
        <w:t xml:space="preserve">•</w:t>
      </w:r>
      <w:r>
        <w:t xml:space="preserve"> </w:t>
      </w:r>
      <w:r>
        <w:t xml:space="preserve">Notable interception: 1 tonne shipment of 4-CMC precursor stopped in France en</w:t>
      </w:r>
      <w:r>
        <w:t xml:space="preserve"> </w:t>
      </w:r>
      <w:r>
        <w:t xml:space="preserve">route from China to Poland.</w:t>
      </w:r>
      <w:r>
        <w:t xml:space="preserve"> </w:t>
      </w:r>
      <w:r>
        <w:t xml:space="preserve">Synthetic Opioids (see heroine)</w:t>
      </w:r>
      <w:r>
        <w:t xml:space="preserve"> </w:t>
      </w:r>
      <w:r>
        <w:t xml:space="preserve">•</w:t>
      </w:r>
      <w:r>
        <w:t xml:space="preserve"> </w:t>
      </w:r>
      <w:r>
        <w:t xml:space="preserve">Synthetic opioids, often from China, India, and Russia, are increasingly present in</w:t>
      </w:r>
      <w:r>
        <w:t xml:space="preserve"> </w:t>
      </w:r>
      <w:r>
        <w:t xml:space="preserve">Europe, posing significant public health risks due to high potency and detection</w:t>
      </w:r>
      <w:r>
        <w:t xml:space="preserve"> </w:t>
      </w:r>
      <w:r>
        <w:t xml:space="preserve">challenges.</w:t>
      </w:r>
      <w:r>
        <w:t xml:space="preserve"> </w:t>
      </w:r>
      <w:r>
        <w:t xml:space="preserve">•</w:t>
      </w:r>
      <w:r>
        <w:t xml:space="preserve"> </w:t>
      </w:r>
      <w:r>
        <w:t xml:space="preserve">Around 1 million Europeans used heroin or other illicit opioids in 2020.</w:t>
      </w:r>
      <w:r>
        <w:t xml:space="preserve"> </w:t>
      </w:r>
      <w:r>
        <w:t xml:space="preserve">•</w:t>
      </w:r>
      <w:r>
        <w:t xml:space="preserve"> </w:t>
      </w:r>
      <w:r>
        <w:t xml:space="preserve">Notable seizures (2023): Latvian police dismantled a fentanyl production site, seizing</w:t>
      </w:r>
      <w:r>
        <w:t xml:space="preserve"> </w:t>
      </w:r>
      <w:r>
        <w:t xml:space="preserve">nearly 2 kg of fentanyl and 2.7 kg of precursor NPP, as well as an illicit methadone</w:t>
      </w:r>
      <w:r>
        <w:t xml:space="preserve"> </w:t>
      </w:r>
      <w:r>
        <w:t xml:space="preserve">lab.</w:t>
      </w:r>
      <w:r>
        <w:t xml:space="preserve"> </w:t>
      </w:r>
      <w:r>
        <w:t xml:space="preserve">Environmental Impact: Dumping Sites</w:t>
      </w:r>
      <w:r>
        <w:t xml:space="preserve"> </w:t>
      </w:r>
      <w:r>
        <w:t xml:space="preserve">•</w:t>
      </w:r>
      <w:r>
        <w:t xml:space="preserve"> </w:t>
      </w:r>
      <w:r>
        <w:t xml:space="preserve">Drug production waste: 194 dumping sites reported, mostly in Belgium (41) and the</w:t>
      </w:r>
      <w:r>
        <w:t xml:space="preserve"> </w:t>
      </w:r>
      <w:r>
        <w:t xml:space="preserve">Netherlands (153), down from 234 in 2021.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3.2.</w:t>
      </w:r>
      <w:r>
        <w:t xml:space="preserve"> </w:t>
      </w:r>
      <w:r>
        <w:t xml:space="preserve">OVERVIEW TABLE PER MEMBER STATE AND DRUG</w:t>
      </w:r>
      <w:r>
        <w:t xml:space="preserve"> </w:t>
      </w:r>
      <w:r>
        <w:t xml:space="preserve">The figures are approximate and reflect aggregated seizures of key precursors like PMK for MDMA, ephedrine/pseudoephedrine for</w:t>
      </w:r>
      <w:r>
        <w:t xml:space="preserve"> </w:t>
      </w:r>
      <w:r>
        <w:t xml:space="preserve">amphetamines, acetic anhydride for heroin.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  <w:r>
        <w:t xml:space="preserve"> </w:t>
      </w:r>
      <w:r>
        <w:t xml:space="preserve">Austria</w:t>
      </w:r>
      <w:r>
        <w:t xml:space="preserve"> </w:t>
      </w:r>
      <w:r>
        <w:t xml:space="preserve">Cannabis</w:t>
      </w:r>
      <w:r>
        <w:t xml:space="preserve"> </w:t>
      </w:r>
      <w:r>
        <w:t xml:space="preserve">10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1.9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involvement</w:t>
      </w:r>
      <w:r>
        <w:t xml:space="preserve"> </w:t>
      </w:r>
      <w:r>
        <w:t xml:space="preserve">Increased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 for</w:t>
      </w:r>
      <w:r>
        <w:t xml:space="preserve"> </w:t>
      </w:r>
      <w:r>
        <w:t xml:space="preserve">cannabis-related</w:t>
      </w:r>
      <w:r>
        <w:t xml:space="preserve"> </w:t>
      </w:r>
      <w:r>
        <w:t xml:space="preserve">issues</w:t>
      </w:r>
      <w:r>
        <w:t xml:space="preserve"> </w:t>
      </w:r>
      <w:r>
        <w:t xml:space="preserve">None reported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0.5</w:t>
      </w:r>
      <w:r>
        <w:t xml:space="preserve"> </w:t>
      </w:r>
      <w:r>
        <w:t xml:space="preserve">Limited data</w:t>
      </w:r>
      <w:r>
        <w:t xml:space="preserve"> </w:t>
      </w:r>
      <w:r>
        <w:t xml:space="preserve">Transnational</w:t>
      </w:r>
      <w:r>
        <w:t xml:space="preserve"> </w:t>
      </w:r>
      <w:r>
        <w:t xml:space="preserve">trafficking</w:t>
      </w:r>
      <w:r>
        <w:t xml:space="preserve"> </w:t>
      </w:r>
      <w:r>
        <w:t xml:space="preserve">Occasional</w:t>
      </w:r>
      <w:r>
        <w:t xml:space="preserve"> </w:t>
      </w:r>
      <w:r>
        <w:t xml:space="preserve">overdoses</w:t>
      </w:r>
      <w:r>
        <w:t xml:space="preserve"> </w:t>
      </w:r>
      <w:r>
        <w:t xml:space="preserve">None reported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Limited data</w:t>
      </w:r>
      <w:r>
        <w:t xml:space="preserve"> </w:t>
      </w:r>
      <w:r>
        <w:t xml:space="preserve">Heroin 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Opioid overdose</w:t>
      </w:r>
      <w:r>
        <w:t xml:space="preserve"> </w:t>
      </w:r>
      <w:r>
        <w:t xml:space="preserve">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0.3</w:t>
      </w:r>
      <w:r>
        <w:t xml:space="preserve"> </w:t>
      </w:r>
      <w:r>
        <w:t xml:space="preserve">No data</w:t>
      </w:r>
      <w:r>
        <w:t xml:space="preserve"> </w:t>
      </w:r>
      <w:r>
        <w:t xml:space="preserve">Small scale</w:t>
      </w:r>
      <w:r>
        <w:t xml:space="preserve"> </w:t>
      </w:r>
      <w:r>
        <w:t xml:space="preserve">production</w:t>
      </w:r>
      <w:r>
        <w:t xml:space="preserve"> </w:t>
      </w:r>
      <w:r>
        <w:t xml:space="preserve">Ecstasy-related</w:t>
      </w:r>
      <w:r>
        <w:t xml:space="preserve"> </w:t>
      </w:r>
      <w:r>
        <w:t xml:space="preserve">emergencies</w:t>
      </w:r>
      <w:r>
        <w:t xml:space="preserve"> </w:t>
      </w:r>
      <w:r>
        <w:t xml:space="preserve">None reported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1.2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Street-level</w:t>
      </w:r>
      <w:r>
        <w:t xml:space="preserve"> </w:t>
      </w:r>
      <w:r>
        <w:t xml:space="preserve">dealing</w:t>
      </w:r>
      <w:r>
        <w:t xml:space="preserve"> </w:t>
      </w:r>
      <w:r>
        <w:t xml:space="preserve">Occasional acute</w:t>
      </w:r>
      <w:r>
        <w:t xml:space="preserve"> </w:t>
      </w:r>
      <w:r>
        <w:t xml:space="preserve">toxicity</w:t>
      </w:r>
      <w:r>
        <w:t xml:space="preserve"> </w:t>
      </w:r>
      <w:r>
        <w:t xml:space="preserve">None reported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Very low</w:t>
      </w:r>
      <w:r>
        <w:t xml:space="preserve"> </w:t>
      </w:r>
      <w:r>
        <w:t xml:space="preserve">Minimal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0.2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None reported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Belgium</w:t>
      </w:r>
      <w:r>
        <w:t xml:space="preserve"> </w:t>
      </w:r>
      <w:r>
        <w:t xml:space="preserve">Cannabis</w:t>
      </w:r>
      <w:r>
        <w:t xml:space="preserve"> </w:t>
      </w:r>
      <w:r>
        <w:t xml:space="preserve">15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1.8</w:t>
      </w:r>
      <w:r>
        <w:t xml:space="preserve"> </w:t>
      </w:r>
      <w:r>
        <w:t xml:space="preserve">Limited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Hospitalizations</w:t>
      </w:r>
      <w:r>
        <w:t xml:space="preserve"> </w:t>
      </w:r>
      <w:r>
        <w:t xml:space="preserve">for cannabis use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0.5</w:t>
      </w:r>
      <w:r>
        <w:t xml:space="preserve"> </w:t>
      </w:r>
      <w:r>
        <w:t xml:space="preserve">Limited</w:t>
      </w:r>
      <w:r>
        <w:t xml:space="preserve"> </w:t>
      </w:r>
      <w:r>
        <w:t xml:space="preserve">Large trafficking</w:t>
      </w:r>
      <w:r>
        <w:t xml:space="preserve"> </w:t>
      </w:r>
      <w:r>
        <w:t xml:space="preserve">networks</w:t>
      </w:r>
      <w:r>
        <w:t xml:space="preserve"> </w:t>
      </w:r>
      <w:r>
        <w:t xml:space="preserve">Overdoses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reported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Some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2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0.3</w:t>
      </w:r>
      <w:r>
        <w:t xml:space="preserve"> </w:t>
      </w:r>
      <w:r>
        <w:t xml:space="preserve">Large 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1 ton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level</w:t>
      </w:r>
      <w:r>
        <w:t xml:space="preserve"> </w:t>
      </w:r>
      <w:r>
        <w:t xml:space="preserve">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Bulgaria</w:t>
      </w:r>
      <w:r>
        <w:t xml:space="preserve"> </w:t>
      </w:r>
      <w:r>
        <w:t xml:space="preserve">Cannabis</w:t>
      </w:r>
      <w:r>
        <w:t xml:space="preserve"> </w:t>
      </w:r>
      <w:r>
        <w:t xml:space="preserve">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Occasional</w:t>
      </w:r>
      <w:r>
        <w:t xml:space="preserve"> </w:t>
      </w:r>
      <w:r>
        <w:t xml:space="preserve">hospitalizations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1 ton (2021)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Very 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Heroin 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Opioid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Occasional</w:t>
      </w:r>
      <w:r>
        <w:t xml:space="preserve"> </w:t>
      </w:r>
      <w:r>
        <w:t xml:space="preserve">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Emerging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Croatia</w:t>
      </w:r>
      <w:r>
        <w:t xml:space="preserve"> </w:t>
      </w:r>
      <w:r>
        <w:t xml:space="preserve">Cannabis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0.6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Occasional</w:t>
      </w:r>
      <w:r>
        <w:t xml:space="preserve"> </w:t>
      </w:r>
      <w:r>
        <w:t xml:space="preserve">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Emerging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Cyprus</w:t>
      </w:r>
      <w:r>
        <w:t xml:space="preserve"> </w:t>
      </w:r>
      <w:r>
        <w:t xml:space="preserve">Cannabis</w:t>
      </w:r>
      <w:r>
        <w:t xml:space="preserve"> </w:t>
      </w:r>
      <w:r>
        <w:t xml:space="preserve">No data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Czechia</w:t>
      </w:r>
      <w:r>
        <w:t xml:space="preserve"> </w:t>
      </w:r>
      <w:r>
        <w:t xml:space="preserve">Cannabis</w:t>
      </w:r>
      <w:r>
        <w:t xml:space="preserve"> </w:t>
      </w:r>
      <w:r>
        <w:t xml:space="preserve">6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1.8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Overdose cases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Heroin 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1 ton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  <w:r>
        <w:t xml:space="preserve"> </w:t>
      </w:r>
      <w:r>
        <w:t xml:space="preserve">reported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2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Large 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1.8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0.1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level</w:t>
      </w:r>
      <w:r>
        <w:t xml:space="preserve"> </w:t>
      </w:r>
      <w:r>
        <w:t xml:space="preserve">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Denmark</w:t>
      </w:r>
      <w:r>
        <w:t xml:space="preserve"> </w:t>
      </w:r>
      <w:r>
        <w:t xml:space="preserve">Cannabis</w:t>
      </w:r>
      <w:r>
        <w:t xml:space="preserve"> </w:t>
      </w:r>
      <w:r>
        <w:t xml:space="preserve">8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2.5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0.6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Heroin 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1.2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1.6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0.9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level</w:t>
      </w:r>
      <w:r>
        <w:t xml:space="preserve"> </w:t>
      </w:r>
      <w:r>
        <w:t xml:space="preserve">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Estonia</w:t>
      </w:r>
      <w:r>
        <w:t xml:space="preserve"> </w:t>
      </w:r>
      <w:r>
        <w:t xml:space="preserve">Cannabis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0.6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0.07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Finland</w:t>
      </w:r>
      <w:r>
        <w:t xml:space="preserve"> </w:t>
      </w:r>
      <w:r>
        <w:t xml:space="preserve">Cannabis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1.0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0.1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France</w:t>
      </w:r>
      <w:r>
        <w:t xml:space="preserve"> </w:t>
      </w:r>
      <w:r>
        <w:t xml:space="preserve">Cannabis</w:t>
      </w:r>
      <w:r>
        <w:t xml:space="preserve"> </w:t>
      </w:r>
      <w:r>
        <w:t xml:space="preserve">60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7.5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High</w:t>
      </w:r>
      <w:r>
        <w:t xml:space="preserve"> </w:t>
      </w:r>
      <w:r>
        <w:t xml:space="preserve">hospitalizations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15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1.5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Large trafficking</w:t>
      </w:r>
      <w:r>
        <w:t xml:space="preserve"> </w:t>
      </w:r>
      <w:r>
        <w:t xml:space="preserve">networks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4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Limited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</w:t>
      </w:r>
      <w:r>
        <w:t xml:space="preserve"> </w:t>
      </w:r>
      <w:r>
        <w:t xml:space="preserve">deaths</w:t>
      </w:r>
      <w:r>
        <w:t xml:space="preserve"> </w:t>
      </w:r>
      <w:r>
        <w:t xml:space="preserve">Production waste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1.0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production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7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0.5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Germany</w:t>
      </w:r>
      <w:r>
        <w:t xml:space="preserve"> </w:t>
      </w:r>
      <w:r>
        <w:t xml:space="preserve">Cannabis</w:t>
      </w:r>
      <w:r>
        <w:t xml:space="preserve"> </w:t>
      </w:r>
      <w:r>
        <w:t xml:space="preserve">70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6.0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High 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20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1.0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Large 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6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0.8</w:t>
      </w:r>
      <w:r>
        <w:t xml:space="preserve"> </w:t>
      </w:r>
      <w:r>
        <w:t xml:space="preserve">Large 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8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0.4</w:t>
      </w:r>
      <w:r>
        <w:t xml:space="preserve"> </w:t>
      </w:r>
      <w:r>
        <w:t xml:space="preserve">Large 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Greece</w:t>
      </w:r>
      <w:r>
        <w:t xml:space="preserve"> </w:t>
      </w:r>
      <w:r>
        <w:t xml:space="preserve">Cannabis</w:t>
      </w:r>
      <w:r>
        <w:t xml:space="preserve"> </w:t>
      </w:r>
      <w:r>
        <w:t xml:space="preserve">10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1.0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 ton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Hungary</w:t>
      </w:r>
      <w:r>
        <w:t xml:space="preserve"> </w:t>
      </w:r>
      <w:r>
        <w:t xml:space="preserve">Cannabis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Ireland</w:t>
      </w:r>
      <w:r>
        <w:t xml:space="preserve"> </w:t>
      </w:r>
      <w:r>
        <w:t xml:space="preserve">Cannabis</w:t>
      </w:r>
      <w:r>
        <w:t xml:space="preserve"> </w:t>
      </w:r>
      <w:r>
        <w:t xml:space="preserve">12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1.0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4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0.3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0.6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  <w:r>
        <w:t xml:space="preserve"> </w:t>
      </w:r>
      <w:r>
        <w:t xml:space="preserve">Italy</w:t>
      </w:r>
      <w:r>
        <w:t xml:space="preserve"> </w:t>
      </w:r>
      <w:r>
        <w:t xml:space="preserve">Cannabis</w:t>
      </w:r>
      <w:r>
        <w:t xml:space="preserve"> </w:t>
      </w:r>
      <w:r>
        <w:t xml:space="preserve">40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4.0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12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0.8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Large trafficking</w:t>
      </w:r>
      <w:r>
        <w:t xml:space="preserve"> </w:t>
      </w:r>
      <w:r>
        <w:t xml:space="preserve">networks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Production waste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0.5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Latvia</w:t>
      </w:r>
      <w:r>
        <w:t xml:space="preserve"> </w:t>
      </w:r>
      <w:r>
        <w:t xml:space="preserve">Cannabis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0.1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Lithuania</w:t>
      </w:r>
      <w:r>
        <w:t xml:space="preserve"> </w:t>
      </w:r>
      <w:r>
        <w:t xml:space="preserve">Cannabis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0.1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0.6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Luxembourg Cannabis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0.1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Malta</w:t>
      </w:r>
      <w:r>
        <w:t xml:space="preserve"> </w:t>
      </w:r>
      <w:r>
        <w:t xml:space="preserve">Cannabis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The</w:t>
      </w:r>
      <w:r>
        <w:t xml:space="preserve"> </w:t>
      </w:r>
      <w:r>
        <w:t xml:space="preserve">Netherlands</w:t>
      </w:r>
      <w:r>
        <w:t xml:space="preserve"> </w:t>
      </w:r>
      <w:r>
        <w:t xml:space="preserve">Cannabis</w:t>
      </w:r>
      <w:r>
        <w:t xml:space="preserve"> </w:t>
      </w:r>
      <w:r>
        <w:t xml:space="preserve">150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3.0</w:t>
      </w:r>
      <w:r>
        <w:t xml:space="preserve"> </w:t>
      </w:r>
      <w:r>
        <w:t xml:space="preserve">Significant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Major production</w:t>
      </w:r>
      <w:r>
        <w:t xml:space="preserve"> </w:t>
      </w:r>
      <w:r>
        <w:t xml:space="preserve">hub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20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0.5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Major trafficking</w:t>
      </w:r>
      <w:r>
        <w:t xml:space="preserve"> </w:t>
      </w:r>
      <w:r>
        <w:t xml:space="preserve">hub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Production waste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Production waste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10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0.3</w:t>
      </w:r>
      <w:r>
        <w:t xml:space="preserve"> </w:t>
      </w:r>
      <w:r>
        <w:t xml:space="preserve">Large 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Global</w:t>
      </w:r>
      <w:r>
        <w:t xml:space="preserve"> </w:t>
      </w:r>
      <w:r>
        <w:t xml:space="preserve">production</w:t>
      </w:r>
      <w:r>
        <w:t xml:space="preserve"> </w:t>
      </w:r>
      <w:r>
        <w:t xml:space="preserve">center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12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Large 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1.2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Poland</w:t>
      </w:r>
      <w:r>
        <w:t xml:space="preserve"> </w:t>
      </w:r>
      <w:r>
        <w:t xml:space="preserve">Cannabis</w:t>
      </w:r>
      <w:r>
        <w:t xml:space="preserve"> </w:t>
      </w:r>
      <w:r>
        <w:t xml:space="preserve">15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1.0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1 ton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Industrial</w:t>
      </w:r>
      <w:r>
        <w:t xml:space="preserve"> </w:t>
      </w:r>
      <w:r>
        <w:t xml:space="preserve">production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Portugal</w:t>
      </w:r>
      <w:r>
        <w:t xml:space="preserve"> </w:t>
      </w:r>
      <w:r>
        <w:t xml:space="preserve">Cannabis</w:t>
      </w:r>
      <w:r>
        <w:t xml:space="preserve"> </w:t>
      </w:r>
      <w:r>
        <w:t xml:space="preserve">10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1.0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8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Trafficking</w:t>
      </w:r>
      <w:r>
        <w:t xml:space="preserve"> </w:t>
      </w:r>
      <w:r>
        <w:t xml:space="preserve">networks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Romania</w:t>
      </w:r>
      <w:r>
        <w:t xml:space="preserve"> </w:t>
      </w:r>
      <w:r>
        <w:t xml:space="preserve">Cannabis</w:t>
      </w:r>
      <w:r>
        <w:t xml:space="preserve"> </w:t>
      </w:r>
      <w:r>
        <w:t xml:space="preserve">4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0.3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0.6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Slovakia</w:t>
      </w:r>
      <w:r>
        <w:t xml:space="preserve"> </w:t>
      </w:r>
      <w:r>
        <w:t xml:space="preserve">Cannabis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0.4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0.07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Slovenia</w:t>
      </w:r>
      <w:r>
        <w:t xml:space="preserve"> </w:t>
      </w:r>
      <w:r>
        <w:t xml:space="preserve">Cannabis</w:t>
      </w:r>
      <w:r>
        <w:t xml:space="preserve"> </w:t>
      </w:r>
      <w:r>
        <w:t xml:space="preserve">2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0.03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0.02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Spain</w:t>
      </w:r>
      <w:r>
        <w:t xml:space="preserve"> </w:t>
      </w:r>
      <w:r>
        <w:t xml:space="preserve">Cannabis</w:t>
      </w:r>
      <w:r>
        <w:t xml:space="preserve"> </w:t>
      </w:r>
      <w:r>
        <w:t xml:space="preserve">50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4.0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18 tons (2021)</w:t>
      </w:r>
      <w:r>
        <w:t xml:space="preserve"> </w:t>
      </w:r>
      <w:r>
        <w:t xml:space="preserve">High use (2021)</w:t>
      </w:r>
      <w:r>
        <w:t xml:space="preserve"> </w:t>
      </w:r>
      <w:r>
        <w:t xml:space="preserve">1.0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Large trafficking</w:t>
      </w:r>
      <w:r>
        <w:t xml:space="preserve"> </w:t>
      </w:r>
      <w:r>
        <w:t xml:space="preserve">groups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Production waste</w:t>
      </w:r>
      <w:r>
        <w:t xml:space="preserve"> </w:t>
      </w:r>
      <w:r>
        <w:t xml:space="preserve">concerns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4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Production waste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3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0.6</w:t>
      </w:r>
      <w:r>
        <w:t xml:space="preserve"> </w:t>
      </w:r>
      <w:r>
        <w:t xml:space="preserve">Moderate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Industrial scale</w:t>
      </w:r>
      <w:r>
        <w:t xml:space="preserve"> </w:t>
      </w:r>
      <w:r>
        <w:t xml:space="preserve">Emergency visits</w:t>
      </w:r>
      <w:r>
        <w:t xml:space="preserve"> </w:t>
      </w:r>
      <w:r>
        <w:t xml:space="preserve">Chemical waste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Country</w:t>
      </w:r>
      <w:r>
        <w:t xml:space="preserve"> </w:t>
      </w:r>
      <w:r>
        <w:t xml:space="preserve">Drug</w:t>
      </w:r>
      <w:r>
        <w:t xml:space="preserve"> </w:t>
      </w:r>
      <w:r>
        <w:t xml:space="preserve">Quantity Seized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Quantity Used</w:t>
      </w:r>
      <w:r>
        <w:t xml:space="preserve"> </w:t>
      </w:r>
      <w:r>
        <w:t xml:space="preserve">(Year)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 Users</w:t>
      </w:r>
      <w:r>
        <w:t xml:space="preserve"> </w:t>
      </w:r>
      <w:r>
        <w:t xml:space="preserve">(millions)</w:t>
      </w:r>
      <w:r>
        <w:t xml:space="preserve"> </w:t>
      </w:r>
      <w:r>
        <w:t xml:space="preserve">Quantity of</w:t>
      </w:r>
      <w:r>
        <w:t xml:space="preserve"> </w:t>
      </w:r>
      <w:r>
        <w:t xml:space="preserve">Precursor Seized</w:t>
      </w:r>
      <w:r>
        <w:br/>
      </w:r>
      <w:r>
        <w:t xml:space="preserve">Criminal Threat</w:t>
      </w:r>
      <w:r>
        <w:t xml:space="preserve"> </w:t>
      </w:r>
      <w:r>
        <w:t xml:space="preserve">Health Issues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Issues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0.3</w:t>
      </w:r>
      <w:r>
        <w:t xml:space="preserve"> </w:t>
      </w:r>
      <w:r>
        <w:t xml:space="preserve">Limited</w:t>
      </w:r>
      <w:r>
        <w:t xml:space="preserve"> </w:t>
      </w:r>
      <w:r>
        <w:t xml:space="preserve">precursor</w:t>
      </w:r>
      <w:r>
        <w:t xml:space="preserve"> </w:t>
      </w:r>
      <w:r>
        <w:t xml:space="preserve">seizures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Risks related to</w:t>
      </w:r>
      <w:r>
        <w:t xml:space="preserve"> </w:t>
      </w:r>
      <w:r>
        <w:t xml:space="preserve">‘ice’</w:t>
      </w:r>
      <w:r>
        <w:t xml:space="preserve"> </w:t>
      </w:r>
      <w:r>
        <w:t xml:space="preserve">Chemical</w:t>
      </w:r>
      <w:r>
        <w:t xml:space="preserve"> </w:t>
      </w:r>
      <w:r>
        <w:t xml:space="preserve">dumping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1 ton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0.5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  <w:r>
        <w:t xml:space="preserve"> </w:t>
      </w:r>
      <w:r>
        <w:t xml:space="preserve">Sweden</w:t>
      </w:r>
      <w:r>
        <w:t xml:space="preserve"> </w:t>
      </w:r>
      <w:r>
        <w:t xml:space="preserve">Cannabis</w:t>
      </w:r>
      <w:r>
        <w:t xml:space="preserve"> </w:t>
      </w:r>
      <w:r>
        <w:t xml:space="preserve">8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1.5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Hospital</w:t>
      </w:r>
      <w:r>
        <w:t xml:space="preserve"> </w:t>
      </w:r>
      <w:r>
        <w:t xml:space="preserve">admissions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Cocaine</w:t>
      </w:r>
      <w:r>
        <w:t xml:space="preserve"> </w:t>
      </w:r>
      <w:r>
        <w:t xml:space="preserve">2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0.2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Low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Heroin</w:t>
      </w:r>
      <w:r>
        <w:t xml:space="preserve"> </w:t>
      </w:r>
      <w:r>
        <w:t xml:space="preserve">0.8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0.05</w:t>
      </w:r>
      <w:r>
        <w:t xml:space="preserve"> </w:t>
      </w:r>
      <w:r>
        <w:t xml:space="preserve">No data</w:t>
      </w:r>
      <w:r>
        <w:t xml:space="preserve"> </w:t>
      </w:r>
      <w:r>
        <w:t xml:space="preserve">Organized</w:t>
      </w:r>
      <w:r>
        <w:t xml:space="preserve"> </w:t>
      </w:r>
      <w:r>
        <w:t xml:space="preserve">trafficking</w:t>
      </w:r>
      <w:r>
        <w:t xml:space="preserve"> </w:t>
      </w:r>
      <w:r>
        <w:t xml:space="preserve">Opioid overdoses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MDMA</w:t>
      </w:r>
      <w:r>
        <w:t xml:space="preserve"> </w:t>
      </w:r>
      <w:r>
        <w:t xml:space="preserve">0.7 tons (2021)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Amphetamines</w:t>
      </w:r>
      <w:r>
        <w:t xml:space="preserve"> </w:t>
      </w:r>
      <w:r>
        <w:t xml:space="preserve">1.5 tons (2021)</w:t>
      </w:r>
      <w:r>
        <w:t xml:space="preserve"> </w:t>
      </w:r>
      <w:r>
        <w:t xml:space="preserve">Moderate use</w:t>
      </w:r>
      <w:r>
        <w:t xml:space="preserve"> </w:t>
      </w:r>
      <w:r>
        <w:t xml:space="preserve">(2021)</w:t>
      </w:r>
      <w:r>
        <w:t xml:space="preserve"> </w:t>
      </w:r>
      <w:r>
        <w:t xml:space="preserve">0.1</w:t>
      </w:r>
      <w:r>
        <w:t xml:space="preserve"> </w:t>
      </w:r>
      <w:r>
        <w:t xml:space="preserve">No data</w:t>
      </w:r>
      <w:r>
        <w:t xml:space="preserve"> </w:t>
      </w:r>
      <w:r>
        <w:t xml:space="preserve">Street dealing</w:t>
      </w:r>
      <w:r>
        <w:t xml:space="preserve"> </w:t>
      </w:r>
      <w:r>
        <w:t xml:space="preserve">Acute toxicity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Methamphetamine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Synthetic Opioids</w:t>
      </w:r>
      <w:r>
        <w:t xml:space="preserve"> </w:t>
      </w:r>
      <w:r>
        <w:t xml:space="preserve">No data</w:t>
      </w:r>
      <w:r>
        <w:t xml:space="preserve"> </w:t>
      </w:r>
      <w:r>
        <w:t xml:space="preserve">Low use 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Rising threat</w:t>
      </w:r>
      <w:r>
        <w:t xml:space="preserve"> </w:t>
      </w:r>
      <w:r>
        <w:t xml:space="preserve">Overdose deaths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Cathinones</w:t>
      </w:r>
      <w:r>
        <w:t xml:space="preserve"> </w:t>
      </w:r>
      <w:r>
        <w:t xml:space="preserve">No data</w:t>
      </w:r>
      <w:r>
        <w:t xml:space="preserve"> </w:t>
      </w:r>
      <w:r>
        <w:t xml:space="preserve">Very low use</w:t>
      </w:r>
      <w:r>
        <w:t xml:space="preserve"> </w:t>
      </w:r>
      <w:r>
        <w:t xml:space="preserve">(2021)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  <w:r>
        <w:t xml:space="preserve"> </w:t>
      </w:r>
      <w:r>
        <w:t xml:space="preserve">Limited</w:t>
      </w:r>
      <w:r>
        <w:t xml:space="preserve"> </w:t>
      </w:r>
      <w:r>
        <w:t xml:space="preserve">No data</w:t>
      </w:r>
      <w:r>
        <w:t xml:space="preserve"> </w:t>
      </w:r>
      <w:r>
        <w:t xml:space="preserve">No data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3.3.</w:t>
      </w:r>
      <w:r>
        <w:t xml:space="preserve"> </w:t>
      </w:r>
      <w:r>
        <w:t xml:space="preserve">UNEVEN IMPLEMENTATION ACROSS MEMBER STATES – STUDY FINDINGS</w:t>
      </w:r>
      <w:r>
        <w:t xml:space="preserve"> </w:t>
      </w:r>
      <w:r>
        <w:t xml:space="preserve">The study reaffirmed a key finding from the 2020 Evaluation: inconsistent implementation and</w:t>
      </w:r>
      <w:r>
        <w:t xml:space="preserve"> </w:t>
      </w:r>
      <w:r>
        <w:t xml:space="preserve">enforcement of EU drug precursor regulations across Member States (MS) undermines the system’s</w:t>
      </w:r>
      <w:r>
        <w:t xml:space="preserve"> </w:t>
      </w:r>
      <w:r>
        <w:t xml:space="preserve">effectiveness. Specifically, 15 out of 27 MS authorities indicated that uneven enforcement creates</w:t>
      </w:r>
      <w:r>
        <w:t xml:space="preserve"> </w:t>
      </w:r>
      <w:r>
        <w:t xml:space="preserve">“paths of least resistance,” exploited by organised criminal groups (OCGs) to traffic drug precursors</w:t>
      </w:r>
      <w:r>
        <w:t xml:space="preserve"> </w:t>
      </w:r>
      <w:r>
        <w:t xml:space="preserve">into and across the EU. This aligns with the European Union Drugs Agency (EUDA)’s 2024 report,</w:t>
      </w:r>
      <w:r>
        <w:t xml:space="preserve"> </w:t>
      </w:r>
      <w:r>
        <w:t xml:space="preserve">which highlights OCGs’ use of commercial transportation infrastructure—particularly EU ports—</w:t>
      </w:r>
      <w:r>
        <w:t xml:space="preserve"> </w:t>
      </w:r>
      <w:r>
        <w:t xml:space="preserve">as a major driver of drug availability. Around 70% of drug seizures occur in EU ports, especially in</w:t>
      </w:r>
      <w:r>
        <w:t xml:space="preserve"> </w:t>
      </w:r>
      <w:r>
        <w:t xml:space="preserve">large intermodal container hubs in Belgium and the Netherlands. However, smaller ports are</w:t>
      </w:r>
      <w:r>
        <w:t xml:space="preserve"> </w:t>
      </w:r>
      <w:r>
        <w:t xml:space="preserve">increasingly being targeted, and although systematic data on precursors are lacking, interviews</w:t>
      </w:r>
      <w:r>
        <w:t xml:space="preserve"> </w:t>
      </w:r>
      <w:r>
        <w:t xml:space="preserve">suggest similar trafficking patterns.</w:t>
      </w:r>
      <w:r>
        <w:t xml:space="preserve"> </w:t>
      </w:r>
      <w:r>
        <w:t xml:space="preserve">Differences among MS emerge across three main dimensions:</w:t>
      </w:r>
      <w:r>
        <w:t xml:space="preserve"> </w:t>
      </w:r>
      <w:r>
        <w:t xml:space="preserve">Legal frameworks:</w:t>
      </w:r>
      <w:r>
        <w:t xml:space="preserve"> </w:t>
      </w:r>
      <w:r>
        <w:t xml:space="preserve">Several MS have adopted national legislation that complements or extends EU rules. Examples</w:t>
      </w:r>
      <w:r>
        <w:t xml:space="preserve"> </w:t>
      </w:r>
      <w:r>
        <w:t xml:space="preserve">include the Dutch ban on certain designer precursors not yet scheduled at the EU level; Denmark’s</w:t>
      </w:r>
      <w:r>
        <w:t xml:space="preserve"> </w:t>
      </w:r>
      <w:r>
        <w:t xml:space="preserve">special licensing requirements for substances with no known legitimate use; Czech restrictions on</w:t>
      </w:r>
      <w:r>
        <w:t xml:space="preserve"> </w:t>
      </w:r>
      <w:r>
        <w:t xml:space="preserve">the quantity of certain Category 4 substances available for purchase in pharmacies; and Italy’s</w:t>
      </w:r>
      <w:r>
        <w:t xml:space="preserve"> </w:t>
      </w:r>
      <w:r>
        <w:t xml:space="preserve">obligation to notify its anti-drug authority immediately about commercial transactions involving</w:t>
      </w:r>
      <w:r>
        <w:t xml:space="preserve"> </w:t>
      </w:r>
      <w:r>
        <w:t xml:space="preserve">specific precursors. In addition, some MS (e.g. Italy, Hungary, Czech Republic) have gone further</w:t>
      </w:r>
      <w:r>
        <w:t xml:space="preserve"> </w:t>
      </w:r>
      <w:r>
        <w:t xml:space="preserve">by treating unscheduled substances such as GBL and BDO as illicit drugs. Legal systems also</w:t>
      </w:r>
      <w:r>
        <w:t xml:space="preserve"> </w:t>
      </w:r>
      <w:r>
        <w:t xml:space="preserve">diverge in terms of penalties and prosecutorial priority: some countries impose harsher sanctions</w:t>
      </w:r>
      <w:r>
        <w:t xml:space="preserve"> </w:t>
      </w:r>
      <w:r>
        <w:t xml:space="preserve">for precursor-related offences, while others may deprioritise such cases, creating enforcement</w:t>
      </w:r>
      <w:r>
        <w:t xml:space="preserve"> </w:t>
      </w:r>
      <w:r>
        <w:t xml:space="preserve">loopholes.</w:t>
      </w:r>
      <w:r>
        <w:t xml:space="preserve"> </w:t>
      </w:r>
      <w:r>
        <w:t xml:space="preserve">Discretionary implementation of EU measures</w:t>
      </w:r>
      <w:r>
        <w:t xml:space="preserve"> </w:t>
      </w:r>
      <w:r>
        <w:t xml:space="preserve">Several EU drug precursor regulations leave room for national discretion, which has led to</w:t>
      </w:r>
      <w:r>
        <w:t xml:space="preserve"> </w:t>
      </w:r>
      <w:r>
        <w:t xml:space="preserve">inconsistent application across MS. This includes voluntary monitoring of non-scheduled</w:t>
      </w:r>
      <w:r>
        <w:t xml:space="preserve"> </w:t>
      </w:r>
      <w:r>
        <w:t xml:space="preserve">substances and the “catch-all” clause, which allows authorities to intervene in cases not explicitly</w:t>
      </w:r>
      <w:r>
        <w:t xml:space="preserve"> </w:t>
      </w:r>
      <w:r>
        <w:t xml:space="preserve">covered by the legislation. Some countries, like Belgium and Hungary, impose stricter requirements</w:t>
      </w:r>
      <w:r>
        <w:t xml:space="preserve"> </w:t>
      </w:r>
      <w:r>
        <w:t xml:space="preserve">by obliging operators to prove the licit use of such substances. France has recently enhanced its</w:t>
      </w:r>
      <w:r>
        <w:t xml:space="preserve"> </w:t>
      </w:r>
      <w:r>
        <w:t xml:space="preserve">customs authority’s capacity to investigate unclassified substances. Other disparities concern the</w:t>
      </w:r>
      <w:r>
        <w:t xml:space="preserve"> </w:t>
      </w:r>
      <w:r>
        <w:t xml:space="preserve">scope and format of reporting obligations, the interpretation of subjective provisions (particularly</w:t>
      </w:r>
      <w:r>
        <w:t xml:space="preserve"> </w:t>
      </w:r>
      <w:r>
        <w:t xml:space="preserve">concerning mixtures), and the adoption of technological tools to support implementation. These</w:t>
      </w:r>
      <w:r>
        <w:t xml:space="preserve"> </w:t>
      </w:r>
      <w:r>
        <w:t xml:space="preserve">inconsistencies not only complicate enforcement but also increase legal uncertainty for operators.</w:t>
      </w:r>
      <w:r>
        <w:t xml:space="preserve"> </w:t>
      </w:r>
      <w:r>
        <w:t xml:space="preserve">Enforcement capacity and awareness</w:t>
      </w:r>
      <w:r>
        <w:t xml:space="preserve"> </w:t>
      </w:r>
      <w:r>
        <w:t xml:space="preserve">Control and detection capabilities differ not only between MS but also within them—particularly at</w:t>
      </w:r>
      <w:r>
        <w:t xml:space="preserve"> </w:t>
      </w:r>
      <w:r>
        <w:t xml:space="preserve">various entry points. Familiarity with drug precursor issues varies widely, depending on how acutely</w:t>
      </w:r>
      <w:r>
        <w:t xml:space="preserve"> </w:t>
      </w:r>
      <w:r>
        <w:t xml:space="preserve">each MS is affected. Nevertheless, enforcement gaps are broadly acknowledged: 24 out of 29 MS</w:t>
      </w:r>
      <w:r>
        <w:t xml:space="preserve"> </w:t>
      </w:r>
      <w:r>
        <w:t xml:space="preserve">authorities surveyed agreed that stronger implementation and enforcement support should be a key</w:t>
      </w:r>
      <w:r>
        <w:t xml:space="preserve"> </w:t>
      </w:r>
      <w:r>
        <w:t xml:space="preserve">objective of future policy reform. As echoed in public consultation feedback, this support should</w:t>
      </w:r>
      <w:r>
        <w:t xml:space="preserve"> </w:t>
      </w:r>
      <w:r>
        <w:t xml:space="preserve">include improved information-sharing, scientific and technical guidance, international cooperation,</w:t>
      </w:r>
      <w:r>
        <w:t xml:space="preserve"> </w:t>
      </w:r>
      <w:r>
        <w:t xml:space="preserve">and training. The lack of uniform enforcement creates an uneven risk environment, where some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jurisdictions become preferred entry points for traffickers due to weaker oversight or lower</w:t>
      </w:r>
      <w:r>
        <w:t xml:space="preserve"> </w:t>
      </w:r>
      <w:r>
        <w:t xml:space="preserve">institutional awareness.</w:t>
      </w:r>
      <w:r>
        <w:t xml:space="preserve"> </w:t>
      </w:r>
      <w:r>
        <w:t xml:space="preserve">In summary, the consultation findings highlight that divergence in legal structures, discretionary</w:t>
      </w:r>
      <w:r>
        <w:t xml:space="preserve"> </w:t>
      </w:r>
      <w:r>
        <w:t xml:space="preserve">practices, and enforcement capacity continues to undermine the EU drug precursors framework.</w:t>
      </w:r>
      <w:r>
        <w:t xml:space="preserve"> </w:t>
      </w:r>
      <w:r>
        <w:t xml:space="preserve">Harmonisation—both in legal interpretation and operational practice—is broadly seen as essential</w:t>
      </w:r>
      <w:r>
        <w:t xml:space="preserve"> </w:t>
      </w:r>
      <w:r>
        <w:t xml:space="preserve">to reduce vulnerabilities, ensure fair treatment of legitimate operators, and strengthen the EU’s</w:t>
      </w:r>
      <w:r>
        <w:t xml:space="preserve"> </w:t>
      </w:r>
      <w:r>
        <w:t xml:space="preserve">collective ability to prevent precursor diversion.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1"/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4">
    <w:abstractNumId w:val="991"/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2026-07-31T16:48:33Z</dcterms:created>
  <dcterms:modified xsi:type="dcterms:W3CDTF">2026-07-31T16:48:33Z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