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</w:t>
      </w:r>
      <w:r>
        <w:t xml:space="preserve"> </w:t>
      </w:r>
      <w:r>
        <w:t xml:space="preserve">REGULATION OF THE EUROPEAN PARLIAMENT AND OF THE COUNCIL</w:t>
      </w:r>
    </w:p>
    <w:p>
      <w:pPr>
        <w:pStyle w:val="BodyText"/>
      </w:pPr>
      <w:r>
        <w:t xml:space="preserve">establishing the European Fund for economic, social and territorial cohesion,</w:t>
      </w:r>
      <w:r>
        <w:t xml:space="preserve"> </w:t>
      </w:r>
      <w:r>
        <w:t xml:space="preserve">agriculture and rural, maritime, prosperity and security for the period 2028-2034 and</w:t>
      </w:r>
      <w:r>
        <w:t xml:space="preserve"> </w:t>
      </w:r>
      <w:r>
        <w:t xml:space="preserve">amending Regulation (EU) 2023/955 and Regulation (EU, Euratom) 2024/2509</w:t>
      </w:r>
    </w:p>
    <w:p>
      <w:pPr>
        <w:pStyle w:val="BodyText"/>
      </w:pPr>
      <w:r>
        <w:t xml:space="preserve">{COM(2025) 565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1.1. Political context ……………………………………………………………………………………. 4</w:t>
      </w:r>
      <w:r>
        <w:t xml:space="preserve"> </w:t>
      </w:r>
      <w:r>
        <w:t xml:space="preserve">1.2. Scope of this impact assessment ………………………………………………………………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5</w:t>
      </w:r>
      <w:r>
        <w:t xml:space="preserve"> </w:t>
      </w:r>
      <w:r>
        <w:t xml:space="preserve">2.1. What are the problems? …………………………………………………………………………. 6</w:t>
      </w:r>
      <w:r>
        <w:t xml:space="preserve"> </w:t>
      </w:r>
      <w:r>
        <w:t xml:space="preserve">2.1.1.</w:t>
      </w:r>
      <w:r>
        <w:t xml:space="preserve"> </w:t>
      </w:r>
      <w:r>
        <w:t xml:space="preserve">Problem 1: Suboptimal spending………………………………………………………. 6</w:t>
      </w:r>
      <w:r>
        <w:t xml:space="preserve"> </w:t>
      </w:r>
      <w:r>
        <w:t xml:space="preserve">2.1.2.</w:t>
      </w:r>
      <w:r>
        <w:t xml:space="preserve"> </w:t>
      </w:r>
      <w:r>
        <w:t xml:space="preserve">Problem 2: High administrative burden for beneficiaries, Member States’</w:t>
      </w:r>
      <w:r>
        <w:t xml:space="preserve"> </w:t>
      </w:r>
      <w:r>
        <w:t xml:space="preserve">authorities and the Commission ……………………………………………………………………… 7</w:t>
      </w:r>
      <w:r>
        <w:t xml:space="preserve"> </w:t>
      </w:r>
      <w:r>
        <w:t xml:space="preserve">2.1.3.</w:t>
      </w:r>
      <w:r>
        <w:t xml:space="preserve"> </w:t>
      </w:r>
      <w:r>
        <w:t xml:space="preserve">Problem 3: Little capacity to quickly respond to emerging needs …………. 8</w:t>
      </w:r>
      <w:r>
        <w:t xml:space="preserve"> </w:t>
      </w:r>
      <w:r>
        <w:t xml:space="preserve">2.1.4.</w:t>
      </w:r>
      <w:r>
        <w:t xml:space="preserve"> </w:t>
      </w:r>
      <w:r>
        <w:t xml:space="preserve">Problem 4: Low coherence across funds, policy frameworks, reforms and</w:t>
      </w:r>
      <w:r>
        <w:t xml:space="preserve"> </w:t>
      </w:r>
      <w:r>
        <w:t xml:space="preserve">investments ………………………………………………………………………………………………….. 9</w:t>
      </w:r>
      <w:r>
        <w:t xml:space="preserve"> </w:t>
      </w:r>
      <w:r>
        <w:t xml:space="preserve">2.2. What are the problem drivers? ……………………………………………………………… 10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driver 1: Some programmes overlap or have a similar scope …. 10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driver 2: The programming of EU funds with nationally pre-</w:t>
      </w:r>
      <w:r>
        <w:t xml:space="preserve"> </w:t>
      </w:r>
      <w:r>
        <w:t xml:space="preserve">allocated envelopes is too fragmented ……………………………………………………………. 10</w:t>
      </w:r>
      <w:r>
        <w:t xml:space="preserve"> </w:t>
      </w:r>
      <w:r>
        <w:t xml:space="preserve">2.2.3.</w:t>
      </w:r>
      <w:r>
        <w:t xml:space="preserve"> </w:t>
      </w:r>
      <w:r>
        <w:t xml:space="preserve">Problem driver 3: Heterogeneous programme-specific rules may lead to a</w:t>
      </w:r>
      <w:r>
        <w:t xml:space="preserve"> </w:t>
      </w:r>
      <w:r>
        <w:t xml:space="preserve">suboptimal use of resources………………………………………………………………………….. 11</w:t>
      </w:r>
      <w:r>
        <w:t xml:space="preserve"> </w:t>
      </w:r>
      <w:r>
        <w:t xml:space="preserve">2.2.4.</w:t>
      </w:r>
      <w:r>
        <w:t xml:space="preserve"> </w:t>
      </w:r>
      <w:r>
        <w:t xml:space="preserve">Problem driver 4: Persistent weak administrative capacity and governance</w:t>
      </w:r>
      <w:r>
        <w:t xml:space="preserve"> </w:t>
      </w:r>
      <w:r>
        <w:t xml:space="preserve">at national, regional and local levels ……………………………………………………………… 12</w:t>
      </w:r>
      <w:r>
        <w:t xml:space="preserve"> </w:t>
      </w:r>
      <w:r>
        <w:t xml:space="preserve">2.2.5.</w:t>
      </w:r>
      <w:r>
        <w:t xml:space="preserve"> </w:t>
      </w:r>
      <w:r>
        <w:t xml:space="preserve">Problem driver 5: Budgetary allocations can lead to rigidities. …………… 12</w:t>
      </w:r>
      <w:r>
        <w:t xml:space="preserve"> </w:t>
      </w:r>
      <w:r>
        <w:t xml:space="preserve">2.2.6.</w:t>
      </w:r>
      <w:r>
        <w:t xml:space="preserve"> </w:t>
      </w:r>
      <w:r>
        <w:t xml:space="preserve">Problem driver 6: The delivery models are too complex ……………………. 14</w:t>
      </w:r>
      <w:r>
        <w:t xml:space="preserve"> </w:t>
      </w:r>
      <w:r>
        <w:t xml:space="preserve">2.2.7.</w:t>
      </w:r>
      <w:r>
        <w:t xml:space="preserve"> </w:t>
      </w:r>
      <w:r>
        <w:t xml:space="preserve">Problem driver 7: Low uptake of cross-border and multi-country projects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2.3. How likely is the problem to persist? …………………………………………………….. 16</w:t>
      </w:r>
      <w:r>
        <w:t xml:space="preserve"> </w:t>
      </w:r>
      <w:r>
        <w:t xml:space="preserve">2.3.1.</w:t>
      </w:r>
      <w:r>
        <w:t xml:space="preserve"> </w:t>
      </w:r>
      <w:r>
        <w:t xml:space="preserve">Problem 1: Suboptimal spending…………………………………………………….. 16</w:t>
      </w:r>
      <w:r>
        <w:t xml:space="preserve"> </w:t>
      </w:r>
      <w:r>
        <w:t xml:space="preserve">2.3.2.</w:t>
      </w:r>
      <w:r>
        <w:t xml:space="preserve"> </w:t>
      </w:r>
      <w:r>
        <w:t xml:space="preserve">Problem 2: High administrative burden for beneficiaries, Member States</w:t>
      </w:r>
      <w:r>
        <w:t xml:space="preserve"> </w:t>
      </w:r>
      <w:r>
        <w:t xml:space="preserve">and the Commission ……………………………………………………………………………………. 16</w:t>
      </w:r>
      <w:r>
        <w:t xml:space="preserve"> </w:t>
      </w:r>
      <w:r>
        <w:t xml:space="preserve">2.3.3.</w:t>
      </w:r>
      <w:r>
        <w:t xml:space="preserve"> </w:t>
      </w:r>
      <w:r>
        <w:t xml:space="preserve">Problem 3: Limited capacity to quickly respond to emerging needs ……. 17</w:t>
      </w:r>
      <w:r>
        <w:t xml:space="preserve"> </w:t>
      </w:r>
      <w:r>
        <w:t xml:space="preserve">2.3.4.</w:t>
      </w:r>
      <w:r>
        <w:t xml:space="preserve"> </w:t>
      </w:r>
      <w:r>
        <w:t xml:space="preserve">Problem 4: Low coherence across funds, policy frameworks, reforms and</w:t>
      </w:r>
      <w:r>
        <w:t xml:space="preserve"> </w:t>
      </w:r>
      <w:r>
        <w:t xml:space="preserve">investments …………………………………………………………………………………………………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17</w:t>
      </w:r>
      <w:r>
        <w:t xml:space="preserve"> </w:t>
      </w:r>
      <w:r>
        <w:t xml:space="preserve">3.1. Legal basis …………………………………………………………………………………………. 17</w:t>
      </w:r>
      <w:r>
        <w:t xml:space="preserve"> </w:t>
      </w:r>
      <w:r>
        <w:t xml:space="preserve">3.2. Subsidiarity: Necessity of EU action ……………………………………………………… 18</w:t>
      </w:r>
      <w:r>
        <w:t xml:space="preserve"> </w:t>
      </w:r>
      <w:r>
        <w:t xml:space="preserve">3.3. Subsidiarity: Added value of EU action …………………………………………………. 19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20</w:t>
      </w:r>
      <w:r>
        <w:t xml:space="preserve"> </w:t>
      </w:r>
      <w:r>
        <w:t xml:space="preserve">4.1. General objectives ………………………………………………………………………………. 21</w:t>
      </w:r>
      <w:r>
        <w:t xml:space="preserve"> </w:t>
      </w:r>
      <w:r>
        <w:t xml:space="preserve">4.2. Specific objectives 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21</w:t>
      </w:r>
      <w:r>
        <w:t xml:space="preserve"> </w:t>
      </w:r>
      <w:r>
        <w:t xml:space="preserve">5.1. What is the baseline from which options are assessed? ……………………………. 21</w:t>
      </w:r>
    </w:p>
    <w:p>
      <w:pPr>
        <w:pStyle w:val="BodyText"/>
      </w:pPr>
      <w:r>
        <w:t xml:space="preserve">5.2. Approach of this impact assessment ………………………………………………………. 22</w:t>
      </w:r>
      <w:r>
        <w:t xml:space="preserve"> </w:t>
      </w:r>
      <w:r>
        <w:t xml:space="preserve">5.3. Options on the design of the plans ………………………………………………………… 24</w:t>
      </w:r>
      <w:r>
        <w:t xml:space="preserve"> </w:t>
      </w:r>
      <w:r>
        <w:t xml:space="preserve">5.3.1.</w:t>
      </w:r>
      <w:r>
        <w:t xml:space="preserve"> </w:t>
      </w:r>
      <w:r>
        <w:t xml:space="preserve">Options on the delivery model ……………………………………………………….. 24</w:t>
      </w:r>
      <w:r>
        <w:t xml:space="preserve"> </w:t>
      </w:r>
      <w:r>
        <w:t xml:space="preserve">5.3.2.</w:t>
      </w:r>
      <w:r>
        <w:t xml:space="preserve"> </w:t>
      </w:r>
      <w:r>
        <w:t xml:space="preserve">Options on the management mode ………………………………………………….. 25</w:t>
      </w:r>
      <w:r>
        <w:t xml:space="preserve"> </w:t>
      </w:r>
      <w:r>
        <w:t xml:space="preserve">5.4. Options on the scope of the plans ………………………………………………………….. 25</w:t>
      </w:r>
      <w:r>
        <w:t xml:space="preserve"> </w:t>
      </w:r>
      <w:r>
        <w:t xml:space="preserve">5.5. Options to support cross-border projects ………………………………………………… 29</w:t>
      </w:r>
      <w:r>
        <w:t xml:space="preserve"> </w:t>
      </w:r>
      <w:r>
        <w:t xml:space="preserve">6.</w:t>
      </w:r>
      <w:r>
        <w:t xml:space="preserve"> </w:t>
      </w:r>
      <w:r>
        <w:t xml:space="preserve">ASSESSMENT OF THE OPTIONS RELATED TO THE DESIGN OF THE PLANS ………………… 29</w:t>
      </w:r>
      <w:r>
        <w:t xml:space="preserve"> </w:t>
      </w:r>
      <w:r>
        <w:t xml:space="preserve">6.1. What are the impacts of the options? …………………………………………………….. 29</w:t>
      </w:r>
      <w:r>
        <w:t xml:space="preserve"> </w:t>
      </w:r>
      <w:r>
        <w:t xml:space="preserve">6.1.1.</w:t>
      </w:r>
      <w:r>
        <w:t xml:space="preserve"> </w:t>
      </w:r>
      <w:r>
        <w:t xml:space="preserve">Options on the delivery model ……………………………………………………….. 29</w:t>
      </w:r>
      <w:r>
        <w:t xml:space="preserve"> </w:t>
      </w:r>
      <w:r>
        <w:t xml:space="preserve">6.1.2.</w:t>
      </w:r>
      <w:r>
        <w:t xml:space="preserve"> </w:t>
      </w:r>
      <w:r>
        <w:t xml:space="preserve">Options on the management mode ………………………………………………….. 33</w:t>
      </w:r>
      <w:r>
        <w:t xml:space="preserve"> </w:t>
      </w:r>
      <w:r>
        <w:t xml:space="preserve">6.2. How do the options compare? ………………………………………………………………. 34</w:t>
      </w:r>
      <w:r>
        <w:t xml:space="preserve"> </w:t>
      </w:r>
      <w:r>
        <w:t xml:space="preserve">6.3. Preferred option for the design of the plans ……………………………………………. 36</w:t>
      </w:r>
      <w:r>
        <w:t xml:space="preserve"> </w:t>
      </w:r>
      <w:r>
        <w:t xml:space="preserve">7.</w:t>
      </w:r>
      <w:r>
        <w:t xml:space="preserve"> </w:t>
      </w:r>
      <w:r>
        <w:t xml:space="preserve">ASSESSMENT OF THE OPTIONS RELATED TO THE SCOPE OF THE PLANS ………………….. 36</w:t>
      </w:r>
      <w:r>
        <w:t xml:space="preserve"> </w:t>
      </w:r>
      <w:r>
        <w:t xml:space="preserve">7.1. What are the impacts of the options? …………………………………………………….. 36</w:t>
      </w:r>
      <w:r>
        <w:t xml:space="preserve"> </w:t>
      </w:r>
      <w:r>
        <w:t xml:space="preserve">7.2. How do the options compare? ………………………………………………………………. 43</w:t>
      </w:r>
      <w:r>
        <w:t xml:space="preserve"> </w:t>
      </w:r>
      <w:r>
        <w:t xml:space="preserve">7.3. Options to support cross-border projects ………………………………………………… 46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48</w:t>
      </w:r>
      <w:r>
        <w:t xml:space="preserve"> </w:t>
      </w:r>
      <w:r>
        <w:t xml:space="preserve">ANNEX 1: PROCEDURAL INFORMATION ……………………………………………………………………………….. 49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49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49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49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49</w:t>
      </w:r>
      <w:r>
        <w:t xml:space="preserve"> </w:t>
      </w:r>
      <w:r>
        <w:t xml:space="preserve">ANNEX 2: STAKEHOLDER CONSULTATION (SYNOPSIS REPORT) ………………………………………… 51</w:t>
      </w:r>
      <w:r>
        <w:t xml:space="preserve"> </w:t>
      </w:r>
      <w:r>
        <w:t xml:space="preserve">ANNEX 3: WHO IS AFFECTED AND HOW? ……………………………………………………………………………… 61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61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61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63</w:t>
      </w:r>
      <w:r>
        <w:t xml:space="preserve"> </w:t>
      </w:r>
      <w:r>
        <w:t xml:space="preserve">ANNEX 4: COMPETITIVENESS CHECK …………………………………………………………………………………… 67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…………………………………………………………. 67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 67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……………………………………… 68</w:t>
      </w:r>
      <w:r>
        <w:t xml:space="preserve"> </w:t>
      </w:r>
      <w:r>
        <w:t xml:space="preserve">ANNEX 5: SME CHECK [FOR SME RELEVANT AND HIGHLY RELEVANT INITIATIVES] ………. 69</w:t>
      </w:r>
      <w:r>
        <w:t xml:space="preserve"> </w:t>
      </w:r>
      <w:r>
        <w:t xml:space="preserve">ANNEX 6: EU FUNDS WITH NATIONALLY PRE-ALLOCATED ENVELOPES …………………………… 72</w:t>
      </w:r>
      <w:r>
        <w:t xml:space="preserve"> </w:t>
      </w:r>
      <w:r>
        <w:t xml:space="preserve">ANNEX 7: FURTHER ANALYSIS SUPPORTING THE IDENTIFICATION OF PROBLEM</w:t>
      </w:r>
      <w:r>
        <w:t xml:space="preserve"> </w:t>
      </w:r>
      <w:r>
        <w:t xml:space="preserve">DRIVERS …………………………………………………………………………………………………………………………. 78</w:t>
      </w:r>
      <w:r>
        <w:t xml:space="preserve"> </w:t>
      </w:r>
      <w:r>
        <w:t xml:space="preserve">ANNEX 8: OVERVIEW OF THE DELIVERY MODEL AND MANAGEMENT FUNDS OF</w:t>
      </w:r>
      <w:r>
        <w:t xml:space="preserve"> </w:t>
      </w:r>
      <w:r>
        <w:t xml:space="preserve">CURRENT EU FUNDS WITH NATIONALLY PRE-ALLOCATED ENVELOPES …………………. 94</w:t>
      </w:r>
      <w:r>
        <w:t xml:space="preserve"> </w:t>
      </w:r>
      <w:r>
        <w:t xml:space="preserve">ANNEX 9: SUMMARY OF THE IMPACT OF COHESION POLICY INTERVENTIONS ………………… 95</w:t>
      </w:r>
      <w:r>
        <w:t xml:space="preserve"> </w:t>
      </w:r>
      <w:r>
        <w:t xml:space="preserve">ANNEX 10: IMPACTS ON ADMINISTRATIVE COSTS OF THE OPTIONS ON THE SCOPE</w:t>
      </w:r>
      <w:r>
        <w:t xml:space="preserve"> </w:t>
      </w:r>
      <w:r>
        <w:t xml:space="preserve">OF THE PLANS ………………………………………………………………………………………………………………… 98</w:t>
      </w:r>
    </w:p>
    <w:p>
      <w:pPr>
        <w:pStyle w:val="BodyText"/>
      </w:pPr>
      <w:r>
        <w:t xml:space="preserve">ANNEX 11: RHOMOLO ANALYSIS OF THE THREE OPTIONS ON THE DELIVERY</w:t>
      </w:r>
      <w:r>
        <w:t xml:space="preserve"> </w:t>
      </w:r>
      <w:r>
        <w:t xml:space="preserve">MODEL ………………………………………………………………………………………………………………………….. 103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As highlighted in the relevant evaluations, the complexity of the funding architecture is a</w:t>
      </w:r>
      <w:r>
        <w:t xml:space="preserve"> </w:t>
      </w:r>
      <w:r>
        <w:t xml:space="preserve">major factor hindering the implementation of the current and previous EU programmes,</w:t>
      </w:r>
      <w:r>
        <w:t xml:space="preserve"> </w:t>
      </w:r>
      <w:r>
        <w:t xml:space="preserve">limiting their impact. Currently, many programmes may finance the same activities, but</w:t>
      </w:r>
      <w:r>
        <w:t xml:space="preserve"> </w:t>
      </w:r>
      <w:r>
        <w:t xml:space="preserve">without the same rules and conditions and there is insufficient flexibility to respond to</w:t>
      </w:r>
      <w:r>
        <w:t xml:space="preserve"> </w:t>
      </w:r>
      <w:r>
        <w:t xml:space="preserve">unforeseen needs. This leads to inefficiencies and administrative burden for beneficiaries,</w:t>
      </w:r>
      <w:r>
        <w:t xml:space="preserve"> </w:t>
      </w:r>
      <w:r>
        <w:t xml:space="preserve">Member States and the Commission. In addition, the start of NextGenerationEU</w:t>
      </w:r>
      <w:r>
        <w:t xml:space="preserve"> </w:t>
      </w:r>
      <w:r>
        <w:t xml:space="preserve">repayments, the increasing number of EU priorities and the tight fiscal situation of</w:t>
      </w:r>
      <w:r>
        <w:t xml:space="preserve"> </w:t>
      </w:r>
      <w:r>
        <w:t xml:space="preserve">Member States all reinforce the need to reduce identified inefficiencies and</w:t>
      </w:r>
      <w:r>
        <w:t xml:space="preserve"> </w:t>
      </w:r>
      <w:r>
        <w:t xml:space="preserve">administrative burden.</w:t>
      </w:r>
      <w:r>
        <w:br/>
      </w:r>
      <w:r>
        <w:t xml:space="preserve">The Political Guidelines acknowledge that ‘our spending is spread over too many</w:t>
      </w:r>
      <w:r>
        <w:t xml:space="preserve"> </w:t>
      </w:r>
      <w:r>
        <w:t xml:space="preserve">overlapping programmes – many of which fund the same things but with different</w:t>
      </w:r>
      <w:r>
        <w:t xml:space="preserve"> </w:t>
      </w:r>
      <w:r>
        <w:t xml:space="preserve">requirements and difficulties to combine funding effectively’. The Guidelines set out that</w:t>
      </w:r>
      <w:r>
        <w:t xml:space="preserve"> </w:t>
      </w:r>
      <w:r>
        <w:t xml:space="preserve">the new long-term budget needs to be more focused, simpler, with fewer programmes</w:t>
      </w:r>
      <w:r>
        <w:t xml:space="preserve"> </w:t>
      </w:r>
      <w:r>
        <w:t xml:space="preserve">and more impactful.</w:t>
      </w:r>
      <w:r>
        <w:br/>
      </w:r>
      <w:r>
        <w:t xml:space="preserve">In line with the Political Guidelines, the College adopted on 11 February 2025 the</w:t>
      </w:r>
      <w:r>
        <w:t xml:space="preserve"> </w:t>
      </w:r>
      <w:r>
        <w:t xml:space="preserve">Communication ‘The road to the next multiannual financial framework’, which states</w:t>
      </w:r>
      <w:r>
        <w:t xml:space="preserve"> </w:t>
      </w:r>
      <w:r>
        <w:t xml:space="preserve">that ‘the next long-term budget will have to address the complexities, weaknesses and</w:t>
      </w:r>
      <w:r>
        <w:t xml:space="preserve"> </w:t>
      </w:r>
      <w:r>
        <w:t xml:space="preserve">rigidities that are currently present and maximise the impact of every euro it spends’.</w:t>
      </w:r>
      <w:r>
        <w:t xml:space="preserve"> </w:t>
      </w:r>
      <w:r>
        <w:t xml:space="preserve">The Communication also underlines that flexibility is key in guaranteeing the budget’s</w:t>
      </w:r>
      <w:r>
        <w:t xml:space="preserve"> </w:t>
      </w:r>
      <w:r>
        <w:t xml:space="preserve">ability to respond to a changing reality.</w:t>
      </w:r>
      <w:r>
        <w:br/>
      </w:r>
      <w:r>
        <w:t xml:space="preserve">In this political context, impact assessments for programmes under the next multiannual</w:t>
      </w:r>
      <w:r>
        <w:t xml:space="preserve"> </w:t>
      </w:r>
      <w:r>
        <w:t xml:space="preserve">financial framework focus on how to streamline the architecture of the EU budget,</w:t>
      </w:r>
      <w:r>
        <w:t xml:space="preserve"> </w:t>
      </w:r>
      <w:r>
        <w:t xml:space="preserve">thereby assessing the most important policy choices underpinning the legislative</w:t>
      </w:r>
      <w:r>
        <w:t xml:space="preserve"> </w:t>
      </w:r>
      <w:r>
        <w:t xml:space="preserve">proposals for the future EU programmes. Policy aspects are considered in the analysis of</w:t>
      </w:r>
      <w:r>
        <w:t xml:space="preserve"> </w:t>
      </w:r>
      <w:r>
        <w:t xml:space="preserve">the context, the problem definition and the objectives, which inform the choices on the</w:t>
      </w:r>
      <w:r>
        <w:t xml:space="preserve"> </w:t>
      </w:r>
      <w:r>
        <w:t xml:space="preserve">programme architecture. Given that the architecture of the new multiannual financial</w:t>
      </w:r>
      <w:r>
        <w:t xml:space="preserve"> </w:t>
      </w:r>
      <w:r>
        <w:t xml:space="preserve">framework will differ significantly from the current one, assumptions on the budget of</w:t>
      </w:r>
      <w:r>
        <w:t xml:space="preserve"> </w:t>
      </w:r>
      <w:r>
        <w:t xml:space="preserve">each programme would be unreliable at this stage. Therefore, the impact assessment does</w:t>
      </w:r>
      <w:r>
        <w:t xml:space="preserve"> </w:t>
      </w:r>
      <w:r>
        <w:t xml:space="preserve">not include funding scenarios and, consequently, only qualitative cost benefit analysis is</w:t>
      </w:r>
      <w:r>
        <w:t xml:space="preserve"> </w:t>
      </w:r>
      <w:r>
        <w:t xml:space="preserve">possible.</w:t>
      </w:r>
      <w:r>
        <w:br/>
      </w:r>
      <w:r>
        <w:t xml:space="preserve">This reflects the specificities of this exercise, clearly acknowledged in Tool #9 of the</w:t>
      </w:r>
      <w:r>
        <w:t xml:space="preserve"> </w:t>
      </w:r>
      <w:r>
        <w:t xml:space="preserve">Commission’s better regulation toolbox which states that ‘the special case of preparing a</w:t>
      </w:r>
      <w:r>
        <w:t xml:space="preserve"> </w:t>
      </w:r>
      <w:r>
        <w:t xml:space="preserve">new multiannual financial framework is a unique process requiring a specific approach</w:t>
      </w:r>
      <w:r>
        <w:t xml:space="preserve"> </w:t>
      </w:r>
      <w:r>
        <w:t xml:space="preserve">as regards scope and depth of analysis’.</w:t>
      </w:r>
    </w:p>
    <w:p>
      <w:pPr>
        <w:pStyle w:val="FirstParagraph"/>
      </w:pPr>
      <w:r>
        <w:t xml:space="preserve">1.2.</w:t>
      </w:r>
      <w:r>
        <w:t xml:space="preserve"> </w:t>
      </w:r>
      <w:r>
        <w:t xml:space="preserve">Scope of this impact assessment</w:t>
      </w:r>
      <w:r>
        <w:t xml:space="preserve"> </w:t>
      </w:r>
      <w:r>
        <w:t xml:space="preserve">EU funds with nationally pre-allocated envelopes1 have crucially supported the delivery</w:t>
      </w:r>
      <w:r>
        <w:t xml:space="preserve"> </w:t>
      </w:r>
      <w:r>
        <w:t xml:space="preserve">of key EU Treaty objectives – from economic, territorial and social cohesion to ensuring</w:t>
      </w:r>
      <w:r>
        <w:t xml:space="preserve"> </w:t>
      </w:r>
      <w:r>
        <w:t xml:space="preserve">a fair standard of living for the agricultural community or creating an Area of Freedom,</w:t>
      </w:r>
      <w:r>
        <w:t xml:space="preserve"> </w:t>
      </w:r>
      <w:r>
        <w:t xml:space="preserve">Security and Justice. The policy challenges that prompted the creation of these</w:t>
      </w:r>
      <w:r>
        <w:t xml:space="preserve"> </w:t>
      </w:r>
      <w:r>
        <w:t xml:space="preserve">instruments remain relevant in today’s world, while new challenges arising from recent</w:t>
      </w:r>
      <w:r>
        <w:t xml:space="preserve"> </w:t>
      </w:r>
      <w:r>
        <w:t xml:space="preserve">geopolitical shifts have also emerged. The next multiannual financial framework is a</w:t>
      </w:r>
      <w:r>
        <w:t xml:space="preserve"> </w:t>
      </w:r>
      <w:r>
        <w:t xml:space="preserve">golden opportunity to facilitate the delivery on the policy objectives of the EU and its</w:t>
      </w:r>
      <w:r>
        <w:t xml:space="preserve"> </w:t>
      </w:r>
      <w:r>
        <w:t xml:space="preserve">Member States, since desired synergies and results are unlikely to materialise without the</w:t>
      </w:r>
      <w:r>
        <w:t xml:space="preserve"> </w:t>
      </w:r>
      <w:r>
        <w:t xml:space="preserve">alignment between the policy objectives and financial architecture. In this light, in the</w:t>
      </w:r>
      <w:r>
        <w:t xml:space="preserve"> </w:t>
      </w:r>
      <w:r>
        <w:t xml:space="preserve">Communication on the road to the next MFF, the Commission has suggested a new</w:t>
      </w:r>
      <w:r>
        <w:t xml:space="preserve"> </w:t>
      </w:r>
      <w:r>
        <w:t xml:space="preserve">approach to the budget with, at its core, a plan for each Member State linking key</w:t>
      </w:r>
      <w:r>
        <w:t xml:space="preserve"> </w:t>
      </w:r>
      <w:r>
        <w:t xml:space="preserve">reforms with investments, and focusing on our joint priorities, including promoting</w:t>
      </w:r>
      <w:r>
        <w:t xml:space="preserve"> </w:t>
      </w:r>
      <w:r>
        <w:t xml:space="preserve">economic, social and territorial cohesion.</w:t>
      </w:r>
      <w:r>
        <w:br/>
      </w:r>
      <w:r>
        <w:t xml:space="preserve">Currently, there are over 10 EU funds that are predominantly pre-allocated, accounting</w:t>
      </w:r>
      <w:r>
        <w:t xml:space="preserve"> </w:t>
      </w:r>
      <w:r>
        <w:t xml:space="preserve">for more than 2/3 of the EU budget, and which are assessed as part of this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➢ In the area of cohesion policy: Cohesion Fund, European Regional Development</w:t>
      </w:r>
      <w:r>
        <w:t xml:space="preserve"> </w:t>
      </w:r>
      <w:r>
        <w:t xml:space="preserve">Fund, European Social Fund+, the Just Transition Fund.</w:t>
      </w:r>
      <w:r>
        <w:br/>
      </w:r>
      <w:r>
        <w:t xml:space="preserve">➢ In the area of common agricultural policy and fisheries: European Agricultural</w:t>
      </w:r>
      <w:r>
        <w:t xml:space="preserve"> </w:t>
      </w:r>
      <w:r>
        <w:t xml:space="preserve">Guarantee Fund, European Agricultural Fund for Rural Development, European</w:t>
      </w:r>
      <w:r>
        <w:t xml:space="preserve"> </w:t>
      </w:r>
      <w:r>
        <w:t xml:space="preserve">Maritime, Fisheries and Aquaculture Fund.</w:t>
      </w:r>
      <w:r>
        <w:br/>
      </w:r>
      <w:r>
        <w:t xml:space="preserve">➢ In the area of home affairs: the Asylum, Migration and Integration Fund, the</w:t>
      </w:r>
      <w:r>
        <w:t xml:space="preserve"> </w:t>
      </w:r>
      <w:r>
        <w:t xml:space="preserve">Border Management and Visa Instrument and the Internal Security Fund.</w:t>
      </w:r>
      <w:r>
        <w:br/>
      </w:r>
      <w:r>
        <w:t xml:space="preserve">➢ The 2021-2027 long-term budget also introduced the Brexit Adjustment Reserve</w:t>
      </w:r>
      <w:r>
        <w:t xml:space="preserve"> </w:t>
      </w:r>
      <w:r>
        <w:t xml:space="preserve">over and above the MFF ceilings and, with NextGenerationEU, the Recovery and</w:t>
      </w:r>
      <w:r>
        <w:t xml:space="preserve"> </w:t>
      </w:r>
      <w:r>
        <w:t xml:space="preserve">Resilience Facility.</w:t>
      </w:r>
      <w:r>
        <w:br/>
      </w:r>
      <w:r>
        <w:t xml:space="preserve">➢ Outside the multiannual financial framework or the EU budget, there are the</w:t>
      </w:r>
      <w:r>
        <w:t xml:space="preserve"> </w:t>
      </w:r>
      <w:r>
        <w:t xml:space="preserve">Social Climate Fund (from 2026) and the Modernisation Fund.</w:t>
      </w:r>
      <w:r>
        <w:br/>
      </w:r>
      <w:r>
        <w:t xml:space="preserve">Since the transport envelope of the Connecting Europe Facility benefits from a transfer</w:t>
      </w:r>
      <w:r>
        <w:t xml:space="preserve"> </w:t>
      </w:r>
      <w:r>
        <w:t xml:space="preserve">from the Cohesion Fund, it is also included in the scope of this impact assessment,</w:t>
      </w:r>
      <w:r>
        <w:t xml:space="preserve"> </w:t>
      </w:r>
      <w:r>
        <w:t xml:space="preserve">together with the energy strand – while the digital strand is assessed as part of the impact</w:t>
      </w:r>
      <w:r>
        <w:t xml:space="preserve"> </w:t>
      </w:r>
      <w:r>
        <w:t xml:space="preserve">assessment on the European Competitiveness Fund. A part of the LIFE programme is</w:t>
      </w:r>
      <w:r>
        <w:t xml:space="preserve"> </w:t>
      </w:r>
      <w:r>
        <w:t xml:space="preserve">also included in this impact assessment, given that funding under the nature and</w:t>
      </w:r>
      <w:r>
        <w:t xml:space="preserve"> </w:t>
      </w:r>
      <w:r>
        <w:t xml:space="preserve">biodiversity strand of LIFE budget is mainly pre-allocated to Member States. Annex 6</w:t>
      </w:r>
      <w:r>
        <w:t xml:space="preserve"> </w:t>
      </w:r>
      <w:r>
        <w:t xml:space="preserve">provides a more detailed description of the scope of this impact assessment.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Figure 1 visualises the relevant problems, underlying problem drivers and consequences:</w:t>
      </w:r>
    </w:p>
    <w:p>
      <w:pPr>
        <w:pStyle w:val="BodyText"/>
      </w:pPr>
      <w:r>
        <w:t xml:space="preserve">1 Spending programmes in the EU budget can be divided between those that have nationally pre-allocated</w:t>
      </w:r>
      <w:r>
        <w:t xml:space="preserve"> </w:t>
      </w:r>
      <w:r>
        <w:t xml:space="preserve">envelopes and those that do not. Nationally pre-allocated envelope refers to amounts in EU funds that are</w:t>
      </w:r>
      <w:r>
        <w:t xml:space="preserve"> </w:t>
      </w:r>
      <w:r>
        <w:t xml:space="preserve">earmarked predominantly for the use by a given Member State..</w:t>
      </w:r>
    </w:p>
    <w:p>
      <w:pPr>
        <w:pStyle w:val="BodyText"/>
      </w:pPr>
      <w:r>
        <w:t xml:space="preserve">Figure 1: Problem tree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 Problem 1: Suboptimal spending</w:t>
      </w:r>
      <w:r>
        <w:t xml:space="preserve"> </w:t>
      </w:r>
      <w:r>
        <w:t xml:space="preserve">The fragmentation of nationally pre-allocated envelopes into many programmes with</w:t>
      </w:r>
      <w:r>
        <w:t xml:space="preserve"> </w:t>
      </w:r>
      <w:r>
        <w:t xml:space="preserve">different rules creates inefficiencies both between programmes and between different</w:t>
      </w:r>
      <w:r>
        <w:t xml:space="preserve"> </w:t>
      </w:r>
      <w:r>
        <w:t xml:space="preserve">layers of implementation.</w:t>
      </w:r>
      <w:r>
        <w:br/>
      </w:r>
      <w:r>
        <w:t xml:space="preserve">Fragmentation increases the risk of duplication and overlaps between programmes</w:t>
      </w:r>
      <w:r>
        <w:t xml:space="preserve"> </w:t>
      </w:r>
      <w:r>
        <w:t xml:space="preserve">targeting the same policy objectives. This can even create substitution effects. For</w:t>
      </w:r>
      <w:r>
        <w:t xml:space="preserve"> </w:t>
      </w:r>
      <w:r>
        <w:t xml:space="preserve">example, the mid-term evaluation of the Recovery and Resilience Facility (RRF) pointed</w:t>
      </w:r>
      <w:r>
        <w:t xml:space="preserve"> </w:t>
      </w:r>
      <w:r>
        <w:t xml:space="preserve">to risks of substitution effects generated by the RRF to the detriment of cohesion policy</w:t>
      </w:r>
      <w:r>
        <w:t xml:space="preserve"> </w:t>
      </w:r>
      <w:r>
        <w:t xml:space="preserve">concerning the 2021-27 programmes. In Member States such as Spain, Greece, Italy and</w:t>
      </w:r>
      <w:r>
        <w:t xml:space="preserve"> </w:t>
      </w:r>
      <w:r>
        <w:t xml:space="preserve">Romania, some more mature projects that were planned under the CEF or cohesion</w:t>
      </w:r>
      <w:r>
        <w:t xml:space="preserve"> </w:t>
      </w:r>
      <w:r>
        <w:t xml:space="preserve">instruments (and expected to be implemented under 2021-2027 cohesion programmes)</w:t>
      </w:r>
      <w:r>
        <w:t xml:space="preserve"> </w:t>
      </w:r>
      <w:r>
        <w:t xml:space="preserve">were moved into the national recovery and resilience plans (RRPs). Substitution effects</w:t>
      </w:r>
      <w:r>
        <w:t xml:space="preserve"> </w:t>
      </w:r>
      <w:r>
        <w:t xml:space="preserve">can be partly explained by the RRF being created as an emergency instrument, after the</w:t>
      </w:r>
      <w:r>
        <w:t xml:space="preserve"> </w:t>
      </w:r>
      <w:r>
        <w:t xml:space="preserve">comprehensive set of funding instruments for the current MFF were already agreed. On</w:t>
      </w:r>
      <w:r>
        <w:t xml:space="preserve"> </w:t>
      </w:r>
      <w:r>
        <w:t xml:space="preserve">the other hand, duplications increase the risk of double funding, which the co-existence</w:t>
      </w:r>
      <w:r>
        <w:t xml:space="preserve"> </w:t>
      </w:r>
      <w:r>
        <w:t xml:space="preserve">of different rules and cost-based and performance-based delivery models makes harder to</w:t>
      </w:r>
      <w:r>
        <w:t xml:space="preserve"> </w:t>
      </w:r>
      <w:r>
        <w:t xml:space="preserve">detect2.</w:t>
      </w:r>
      <w:r>
        <w:br/>
      </w:r>
      <w:r>
        <w:t xml:space="preserve">Fragmentation also prevents the efficient pooling of resources to support EU strategic</w:t>
      </w:r>
      <w:r>
        <w:t xml:space="preserve"> </w:t>
      </w:r>
      <w:r>
        <w:t xml:space="preserve">investments. The work leading to the adoption of the Strategic Technologies for Europe</w:t>
      </w:r>
      <w:r>
        <w:t xml:space="preserve"> </w:t>
      </w:r>
      <w:r>
        <w:t xml:space="preserve">Platform (STEP) showed that, while many EU funds with nationally pre-allocated</w:t>
      </w:r>
      <w:r>
        <w:t xml:space="preserve"> </w:t>
      </w:r>
      <w:r>
        <w:t xml:space="preserve">envelopes and as well as directly managed ones support EU’s strategic technologies, the</w:t>
      </w:r>
      <w:r>
        <w:t xml:space="preserve"> </w:t>
      </w:r>
      <w:r>
        <w:t xml:space="preserve">fragmentation of funding across various spending programmes following different rules</w:t>
      </w:r>
      <w:r>
        <w:t xml:space="preserve"> </w:t>
      </w:r>
      <w:r>
        <w:t xml:space="preserve">prevents the EU budget from reaching sufficient scale because it prevents the effective</w:t>
      </w:r>
      <w:r>
        <w:t xml:space="preserve"> </w:t>
      </w:r>
      <w:r>
        <w:t xml:space="preserve">use of cumulative or combined funding. While the Regulation on the Strategic</w:t>
      </w:r>
    </w:p>
    <w:p>
      <w:pPr>
        <w:pStyle w:val="BodyText"/>
      </w:pPr>
      <w:r>
        <w:t xml:space="preserve">2 ECA Special Report on double funding from the EU budget</w:t>
      </w:r>
    </w:p>
    <w:p>
      <w:pPr>
        <w:pStyle w:val="BodyText"/>
      </w:pPr>
      <w:r>
        <w:t xml:space="preserve">Technologies for Europe Platform (STEP) will improve coordination and pooling of</w:t>
      </w:r>
      <w:r>
        <w:t xml:space="preserve"> </w:t>
      </w:r>
      <w:r>
        <w:t xml:space="preserve">resources for strategic technologies until the end of the programming period, more</w:t>
      </w:r>
      <w:r>
        <w:t xml:space="preserve"> </w:t>
      </w:r>
      <w:r>
        <w:t xml:space="preserve">consistency is needed to maximise the use of the EU budget to better achieve key</w:t>
      </w:r>
      <w:r>
        <w:t xml:space="preserve"> </w:t>
      </w:r>
      <w:r>
        <w:t xml:space="preserve">political objectives, avoid funding gaps and reach all relevant beneficiaries.</w:t>
      </w:r>
      <w:r>
        <w:t xml:space="preserve"> </w:t>
      </w:r>
      <w:r>
        <w:t xml:space="preserve">The fragmented implementation of programmes can also lead to coordination issues</w:t>
      </w:r>
      <w:r>
        <w:t xml:space="preserve"> </w:t>
      </w:r>
      <w:r>
        <w:t xml:space="preserve">between the different levels (EU, national, regional and local) involved in the</w:t>
      </w:r>
      <w:r>
        <w:t xml:space="preserve"> </w:t>
      </w:r>
      <w:r>
        <w:t xml:space="preserve">implementation, undermining the efficient implementation of investments3. In cohesion</w:t>
      </w:r>
      <w:r>
        <w:t xml:space="preserve"> </w:t>
      </w:r>
      <w:r>
        <w:t xml:space="preserve">policy funds, implemented via shared management, Member States and the regions are</w:t>
      </w:r>
      <w:r>
        <w:t xml:space="preserve"> </w:t>
      </w:r>
      <w:r>
        <w:t xml:space="preserve">responsible for tailoring their programmes to their needs and priorities (consistent with</w:t>
      </w:r>
      <w:r>
        <w:t xml:space="preserve"> </w:t>
      </w:r>
      <w:r>
        <w:t xml:space="preserve">the legislative framework and the applicable conditionalities). The shared management</w:t>
      </w:r>
      <w:r>
        <w:t xml:space="preserve"> </w:t>
      </w:r>
      <w:r>
        <w:t xml:space="preserve">set-up, together with the application of the partnership principle and multi-level</w:t>
      </w:r>
      <w:r>
        <w:t xml:space="preserve"> </w:t>
      </w:r>
      <w:r>
        <w:t xml:space="preserve">governance, are considered key success factors in ensuring the involvement of relevant</w:t>
      </w:r>
      <w:r>
        <w:t xml:space="preserve"> </w:t>
      </w:r>
      <w:r>
        <w:t xml:space="preserve">stakeholders and social partners as well as ownership throughout programme</w:t>
      </w:r>
      <w:r>
        <w:t xml:space="preserve"> </w:t>
      </w:r>
      <w:r>
        <w:t xml:space="preserve">implementation. While the RRF is implemented under direct management, it relies in</w:t>
      </w:r>
      <w:r>
        <w:t xml:space="preserve"> </w:t>
      </w:r>
      <w:r>
        <w:t xml:space="preserve">many instances on the established structures set out for shared management programmes</w:t>
      </w:r>
      <w:r>
        <w:t xml:space="preserve"> </w:t>
      </w:r>
      <w:r>
        <w:t xml:space="preserve">and the pool of knowledge generated. Nevertheless, in some Member States, complexity</w:t>
      </w:r>
      <w:r>
        <w:t xml:space="preserve"> </w:t>
      </w:r>
      <w:r>
        <w:t xml:space="preserve">and lack of capacity remain major bottlenecks to their effective involvement. On the</w:t>
      </w:r>
      <w:r>
        <w:t xml:space="preserve"> </w:t>
      </w:r>
      <w:r>
        <w:t xml:space="preserve">other hand, under the direct management set-up of the RRF, ownership by regional and</w:t>
      </w:r>
      <w:r>
        <w:t xml:space="preserve"> </w:t>
      </w:r>
      <w:r>
        <w:t xml:space="preserve">local authorities and stakeholders can be weak and their involvement in the planning and</w:t>
      </w:r>
      <w:r>
        <w:t xml:space="preserve"> </w:t>
      </w:r>
      <w:r>
        <w:t xml:space="preserve">implementation stages of the RRPs insufficient.</w:t>
      </w:r>
      <w:r>
        <w:br/>
      </w:r>
      <w:r>
        <w:t xml:space="preserve">Furthermore, resources are not always allocated where they can achieve the best results,</w:t>
      </w:r>
      <w:r>
        <w:t xml:space="preserve"> </w:t>
      </w:r>
      <w:r>
        <w:t xml:space="preserve">based on Member States and regions’ needs and EU policy priorities. For instance, while</w:t>
      </w:r>
      <w:r>
        <w:t xml:space="preserve"> </w:t>
      </w:r>
      <w:r>
        <w:t xml:space="preserve">it is still too early to quantify impacts of the new CAP given that its implementation only</w:t>
      </w:r>
      <w:r>
        <w:t xml:space="preserve"> </w:t>
      </w:r>
      <w:r>
        <w:t xml:space="preserve">started in 2023, evidence collected so far confirms that the CAP has contributed to</w:t>
      </w:r>
      <w:r>
        <w:t xml:space="preserve"> </w:t>
      </w:r>
      <w:r>
        <w:t xml:space="preserve">increasing farmers’ income over time and efforts have been put to increase the fairness of</w:t>
      </w:r>
      <w:r>
        <w:t xml:space="preserve"> </w:t>
      </w:r>
      <w:r>
        <w:t xml:space="preserve">income support towards smaller farms, however disparities with other economic sectors</w:t>
      </w:r>
      <w:r>
        <w:t xml:space="preserve"> </w:t>
      </w:r>
      <w:r>
        <w:t xml:space="preserve">and within the farming community still remain large. This also means limited</w:t>
      </w:r>
      <w:r>
        <w:t xml:space="preserve"> </w:t>
      </w:r>
      <w:r>
        <w:t xml:space="preserve">attractiveness of the sector for future generations. As underlined in the report of the</w:t>
      </w:r>
      <w:r>
        <w:t xml:space="preserve"> </w:t>
      </w:r>
      <w:r>
        <w:t xml:space="preserve">Strategic Dialogue on the future of EU agriculture, while basic income support remains</w:t>
      </w:r>
      <w:r>
        <w:t xml:space="preserve"> </w:t>
      </w:r>
      <w:r>
        <w:t xml:space="preserve">the most funded CAP measure, it is not sufficiently targeted to socio-economic needs of</w:t>
      </w:r>
      <w:r>
        <w:t xml:space="preserve"> </w:t>
      </w:r>
      <w:r>
        <w:t xml:space="preserve">farmers.</w:t>
      </w:r>
      <w:r>
        <w:br/>
      </w:r>
      <w:r>
        <w:t xml:space="preserve">Likewise, even though cohesion policy has successfully contributed to upwards social</w:t>
      </w:r>
      <w:r>
        <w:t xml:space="preserve"> </w:t>
      </w:r>
      <w:r>
        <w:t xml:space="preserve">and economic convergence, gaps remain. Regions at different levels of development</w:t>
      </w:r>
      <w:r>
        <w:t xml:space="preserve"> </w:t>
      </w:r>
      <w:r>
        <w:t xml:space="preserve">experience economic stagnation and some have fallen into a development trap4. Regions</w:t>
      </w:r>
      <w:r>
        <w:t xml:space="preserve"> </w:t>
      </w:r>
      <w:r>
        <w:t xml:space="preserve">are also unevenly equipped to cope with emerging and transition challenges. In addition,</w:t>
      </w:r>
      <w:r>
        <w:t xml:space="preserve"> </w:t>
      </w:r>
      <w:r>
        <w:t xml:space="preserve">an overreliance on grants may lead to “crowding-out” effects and sub-optimal</w:t>
      </w:r>
      <w:r>
        <w:t xml:space="preserve"> </w:t>
      </w:r>
      <w:r>
        <w:t xml:space="preserve">investment. In a context of budgetary constraints, financial instruments are a</w:t>
      </w:r>
      <w:r>
        <w:t xml:space="preserve"> </w:t>
      </w:r>
      <w:r>
        <w:t xml:space="preserve">complementary form of support to grants, whose use can help achieve the desired</w:t>
      </w:r>
      <w:r>
        <w:t xml:space="preserve"> </w:t>
      </w:r>
      <w:r>
        <w:t xml:space="preserve">leveraging effects, including the private sector participation, and enhance the</w:t>
      </w:r>
      <w:r>
        <w:t xml:space="preserve"> </w:t>
      </w:r>
      <w:r>
        <w:t xml:space="preserve">effectiveness of the EU budget. However, their uptake remains limited – with only 6% of</w:t>
      </w:r>
      <w:r>
        <w:t xml:space="preserve"> </w:t>
      </w:r>
      <w:r>
        <w:t xml:space="preserve">total resources of cohesion policy for the 2021-2027 period channelled through financial</w:t>
      </w:r>
      <w:r>
        <w:t xml:space="preserve"> </w:t>
      </w:r>
      <w:r>
        <w:t xml:space="preserve">instruments. There is therefore a need to reflect on how to optimise the use of EU</w:t>
      </w:r>
    </w:p>
    <w:p>
      <w:pPr>
        <w:pStyle w:val="BodyText"/>
      </w:pPr>
      <w:r>
        <w:t xml:space="preserve">3 For example, the preliminary findings of an audit of the European Court of Auditors on EU budget’s</w:t>
      </w:r>
      <w:r>
        <w:t xml:space="preserve"> </w:t>
      </w:r>
      <w:r>
        <w:t xml:space="preserve">support to integration found that the coordination between AMIF and ESF+ was still limited – despite</w:t>
      </w:r>
      <w:r>
        <w:t xml:space="preserve"> </w:t>
      </w:r>
      <w:r>
        <w:t xml:space="preserve">bringing AMIF under the umbrella of CPR coordination.</w:t>
      </w:r>
      <w:r>
        <w:t xml:space="preserve"> </w:t>
      </w:r>
      <w:r>
        <w:t xml:space="preserve">4 COM(2024) 149 final - Communication on the 9th Cohesion Report</w:t>
      </w:r>
    </w:p>
    <w:p>
      <w:pPr>
        <w:pStyle w:val="BodyText"/>
      </w:pPr>
      <w:r>
        <w:t xml:space="preserve">funding, tailored to the specific regional needs, and provide EU added value compared to</w:t>
      </w:r>
      <w:r>
        <w:t xml:space="preserve"> </w:t>
      </w:r>
      <w:r>
        <w:t xml:space="preserve">national spending.</w:t>
      </w:r>
    </w:p>
    <w:p>
      <w:pPr>
        <w:pStyle w:val="BodyText"/>
      </w:pPr>
      <w:r>
        <w:t xml:space="preserve">2.1.2. Problem 2: High administrative burden for beneficiaries, Member</w:t>
      </w:r>
      <w:r>
        <w:t xml:space="preserve"> </w:t>
      </w:r>
      <w:r>
        <w:t xml:space="preserve">States’ authorities and the Commission</w:t>
      </w:r>
      <w:r>
        <w:t xml:space="preserve"> </w:t>
      </w:r>
      <w:r>
        <w:t xml:space="preserve">Managing close to 540 EU programmes with nationally pre-allocated envelopes, subject</w:t>
      </w:r>
      <w:r>
        <w:t xml:space="preserve"> </w:t>
      </w:r>
      <w:r>
        <w:t xml:space="preserve">to different rules, delivery models and management modes, is complex and costly for</w:t>
      </w:r>
      <w:r>
        <w:t xml:space="preserve"> </w:t>
      </w:r>
      <w:r>
        <w:t xml:space="preserve">Member States’ authorities, beneficiaries as well as for the Commission. National and</w:t>
      </w:r>
      <w:r>
        <w:t xml:space="preserve"> </w:t>
      </w:r>
      <w:r>
        <w:t xml:space="preserve">regional authorities need to manage different funds in parallel5. This can create</w:t>
      </w:r>
      <w:r>
        <w:t xml:space="preserve"> </w:t>
      </w:r>
      <w:r>
        <w:t xml:space="preserve">implementation issues, as currently experienced by all EU programmes with nationally</w:t>
      </w:r>
      <w:r>
        <w:t xml:space="preserve"> </w:t>
      </w:r>
      <w:r>
        <w:t xml:space="preserve">pre-allocated envelopes (albeit to a different extent).</w:t>
      </w:r>
      <w:r>
        <w:br/>
      </w:r>
      <w:r>
        <w:t xml:space="preserve">The programming of EU funds in the 2021-2027 period was subject to delays, in part due</w:t>
      </w:r>
      <w:r>
        <w:t xml:space="preserve"> </w:t>
      </w:r>
      <w:r>
        <w:t xml:space="preserve">to complexities and in part due to COVID-19 and the creation of the RRF, where</w:t>
      </w:r>
      <w:r>
        <w:t xml:space="preserve"> </w:t>
      </w:r>
      <w:r>
        <w:t xml:space="preserve">Member States chose to focus their limited administrative capacity into preparing the</w:t>
      </w:r>
      <w:r>
        <w:t xml:space="preserve"> </w:t>
      </w:r>
      <w:r>
        <w:t xml:space="preserve">RRPs before the other new programmes funded by nationally pre-allocated envelopes.</w:t>
      </w:r>
      <w:r>
        <w:br/>
      </w:r>
      <w:r>
        <w:t xml:space="preserve">The efforts to simplify in the current programming period have not always delivered the</w:t>
      </w:r>
      <w:r>
        <w:t xml:space="preserve"> </w:t>
      </w:r>
      <w:r>
        <w:t xml:space="preserve">anticipated results. For example, while Member States have overall welcomed the move</w:t>
      </w:r>
      <w:r>
        <w:t xml:space="preserve"> </w:t>
      </w:r>
      <w:r>
        <w:t xml:space="preserve">towards strategic planning in the CAP, they find the CAP Strategic Plans still too</w:t>
      </w:r>
      <w:r>
        <w:t xml:space="preserve"> </w:t>
      </w:r>
      <w:r>
        <w:t xml:space="preserve">detailed and complex to implement and request that their design and implementation is</w:t>
      </w:r>
      <w:r>
        <w:t xml:space="preserve"> </w:t>
      </w:r>
      <w:r>
        <w:t xml:space="preserve">further simplified. Likewise, while the merger of different funds under ESF+ has</w:t>
      </w:r>
      <w:r>
        <w:t xml:space="preserve"> </w:t>
      </w:r>
      <w:r>
        <w:t xml:space="preserve">produced efficiency gains – e.g. streamlined programming and implementation rules,</w:t>
      </w:r>
      <w:r>
        <w:t xml:space="preserve"> </w:t>
      </w:r>
      <w:r>
        <w:t xml:space="preserve">fewer programmes under shared management and less indicators used for monitoring and</w:t>
      </w:r>
      <w:r>
        <w:t xml:space="preserve"> </w:t>
      </w:r>
      <w:r>
        <w:t xml:space="preserve">reporting –, stakeholders consider that the programming process and documents could</w:t>
      </w:r>
      <w:r>
        <w:t xml:space="preserve"> </w:t>
      </w:r>
      <w:r>
        <w:t xml:space="preserve">still be further simplified6. The relative novelty of the RRF’s performance-based delivery</w:t>
      </w:r>
      <w:r>
        <w:t xml:space="preserve"> </w:t>
      </w:r>
      <w:r>
        <w:t xml:space="preserve">model also created some implementation challenges. Some Member States found the</w:t>
      </w:r>
      <w:r>
        <w:t xml:space="preserve"> </w:t>
      </w:r>
      <w:r>
        <w:t xml:space="preserve">definition of milestones and targets too detailed, the fixed composition of groups of</w:t>
      </w:r>
      <w:r>
        <w:t xml:space="preserve"> </w:t>
      </w:r>
      <w:r>
        <w:t xml:space="preserve">milestones and targets for each instalment too rigid and the process for revising the plans</w:t>
      </w:r>
      <w:r>
        <w:t xml:space="preserve"> </w:t>
      </w:r>
      <w:r>
        <w:t xml:space="preserve">too burdensome – causing implementation delays and administrative burden for all</w:t>
      </w:r>
      <w:r>
        <w:t xml:space="preserve"> </w:t>
      </w:r>
      <w:r>
        <w:t xml:space="preserve">parties involved. The combination of national, Commission and ECA audits also creates</w:t>
      </w:r>
      <w:r>
        <w:t xml:space="preserve"> </w:t>
      </w:r>
      <w:r>
        <w:t xml:space="preserve">administrative burden 7.</w:t>
      </w:r>
      <w:r>
        <w:t xml:space="preserve"> </w:t>
      </w:r>
      <w:r>
        <w:t xml:space="preserve">Access to EU funding remains complex. For example, despite the progress made to</w:t>
      </w:r>
      <w:r>
        <w:t xml:space="preserve"> </w:t>
      </w:r>
      <w:r>
        <w:t xml:space="preserve">simplify the delivery model of the CAP, beneficiaries still find the system too complex8.</w:t>
      </w:r>
      <w:r>
        <w:t xml:space="preserve"> </w:t>
      </w:r>
      <w:r>
        <w:t xml:space="preserve">In response, the Commission initiated a simplification exercise during the current</w:t>
      </w:r>
      <w:r>
        <w:t xml:space="preserve"> </w:t>
      </w:r>
      <w:r>
        <w:t xml:space="preserve">programming period. Overall, administrative burden is undermining the attractiveness of</w:t>
      </w:r>
      <w:r>
        <w:t xml:space="preserve"> </w:t>
      </w:r>
      <w:r>
        <w:t xml:space="preserve">the EU budget and could prevent funding from reaching those beneficiaries needing</w:t>
      </w:r>
      <w:r>
        <w:t xml:space="preserve"> </w:t>
      </w:r>
      <w:r>
        <w:t xml:space="preserve">support the most, as they may not have the expertise and resources required to navigate a</w:t>
      </w:r>
      <w:r>
        <w:t xml:space="preserve"> </w:t>
      </w:r>
      <w:r>
        <w:t xml:space="preserve">complex financial landscape.</w:t>
      </w:r>
    </w:p>
    <w:p>
      <w:pPr>
        <w:pStyle w:val="BodyText"/>
      </w:pPr>
      <w:r>
        <w:t xml:space="preserve">5 For example, managing authorities dealing with home affairs funds often complain that managing three</w:t>
      </w:r>
      <w:r>
        <w:t xml:space="preserve"> </w:t>
      </w:r>
      <w:r>
        <w:t xml:space="preserve">relatively small national programmes stretches their already limited capacity.</w:t>
      </w:r>
      <w:r>
        <w:t xml:space="preserve"> </w:t>
      </w:r>
      <w:r>
        <w:t xml:space="preserve">6 ESF+ mid-term evaluation [upcoming]</w:t>
      </w:r>
      <w:r>
        <w:t xml:space="preserve"> </w:t>
      </w:r>
      <w:r>
        <w:t xml:space="preserve">7 RRF mid-term evaluation</w:t>
      </w:r>
      <w:r>
        <w:t xml:space="preserve"> </w:t>
      </w:r>
      <w:r>
        <w:t xml:space="preserve">8 Study on simplification and administrative burden for farmers and other beneficiaries under the CAP | EU</w:t>
      </w:r>
      <w:r>
        <w:t xml:space="preserve"> </w:t>
      </w:r>
      <w:r>
        <w:t xml:space="preserve">CAP Network</w:t>
      </w:r>
    </w:p>
    <w:p>
      <w:pPr>
        <w:pStyle w:val="BodyText"/>
      </w:pPr>
      <w:r>
        <w:t xml:space="preserve">2.1.3. Problem 3: Little capacity to quickly respond to emerging needs</w:t>
      </w:r>
      <w:r>
        <w:t xml:space="preserve"> </w:t>
      </w:r>
      <w:r>
        <w:t xml:space="preserve">While the EU budget is predominantly an investment budget, spending programmes with</w:t>
      </w:r>
      <w:r>
        <w:t xml:space="preserve"> </w:t>
      </w:r>
      <w:r>
        <w:t xml:space="preserve">nationally pre-allocated envelopes have proven their added-value in supporting the EU’s</w:t>
      </w:r>
      <w:r>
        <w:t xml:space="preserve"> </w:t>
      </w:r>
      <w:r>
        <w:t xml:space="preserve">response to crises such as the COVID-19 pandemic, Russia’s war of aggression against</w:t>
      </w:r>
      <w:r>
        <w:t xml:space="preserve"> </w:t>
      </w:r>
      <w:r>
        <w:t xml:space="preserve">Ukraine, or climate-related events9. As these flexibilities were not embedded in the</w:t>
      </w:r>
      <w:r>
        <w:t xml:space="preserve"> </w:t>
      </w:r>
      <w:r>
        <w:t xml:space="preserve">design of these programmes they had to be created ad-hoc, through legislative changes to</w:t>
      </w:r>
      <w:r>
        <w:t xml:space="preserve"> </w:t>
      </w:r>
      <w:r>
        <w:t xml:space="preserve">the Common Provisions Regulation (CPR) and fund-specific regulations10. Although this</w:t>
      </w:r>
      <w:r>
        <w:t xml:space="preserve"> </w:t>
      </w:r>
      <w:r>
        <w:t xml:space="preserve">process has since been simplified, certain governance difficulties persist. While</w:t>
      </w:r>
      <w:r>
        <w:t xml:space="preserve"> </w:t>
      </w:r>
      <w:r>
        <w:t xml:space="preserve">amending the CAP Strategic Plans or cohesion policy programmes does not require a</w:t>
      </w:r>
      <w:r>
        <w:t xml:space="preserve"> </w:t>
      </w:r>
      <w:r>
        <w:t xml:space="preserve">Council decision, the process is also considered complex by Member States.</w:t>
      </w:r>
      <w:r>
        <w:br/>
      </w:r>
      <w:r>
        <w:t xml:space="preserve">Additional resources to mitigate the impact of a crisis or to cater for new policy priorities</w:t>
      </w:r>
      <w:r>
        <w:t xml:space="preserve"> </w:t>
      </w:r>
      <w:r>
        <w:t xml:space="preserve">have often come from budgets intended for structural objectives. The past years have</w:t>
      </w:r>
      <w:r>
        <w:t xml:space="preserve"> </w:t>
      </w:r>
      <w:r>
        <w:t xml:space="preserve">therefore exposed a trade-off between the Union’s capacity to react to emergencies in a</w:t>
      </w:r>
      <w:r>
        <w:t xml:space="preserve"> </w:t>
      </w:r>
      <w:r>
        <w:t xml:space="preserve">context of limited resources and the ability to deliver on mid-to-long-term priorities. The</w:t>
      </w:r>
      <w:r>
        <w:t xml:space="preserve"> </w:t>
      </w:r>
      <w:r>
        <w:t xml:space="preserve">creation of reserves such as Emergency Assistance under the Thematic Facilities in the</w:t>
      </w:r>
      <w:r>
        <w:t xml:space="preserve"> </w:t>
      </w:r>
      <w:r>
        <w:t xml:space="preserve">Home Affairs Funds, the CAP agricultural reserve or the flexibility reserve for cohesion</w:t>
      </w:r>
      <w:r>
        <w:t xml:space="preserve"> </w:t>
      </w:r>
      <w:r>
        <w:t xml:space="preserve">policy programmes have provided additional room of manoeuvre to address crises and</w:t>
      </w:r>
      <w:r>
        <w:t xml:space="preserve"> </w:t>
      </w:r>
      <w:r>
        <w:t xml:space="preserve">new needs. However, as these reserves could not always cope with competing crises and</w:t>
      </w:r>
      <w:r>
        <w:t xml:space="preserve"> </w:t>
      </w:r>
      <w:r>
        <w:t xml:space="preserve">new priorities, special instruments at the level of the MFF have often had to be</w:t>
      </w:r>
      <w:r>
        <w:t xml:space="preserve"> </w:t>
      </w:r>
      <w:r>
        <w:t xml:space="preserve">mobilised. Member States and stakeholders alike call for a more flexible budget, able to</w:t>
      </w:r>
      <w:r>
        <w:t xml:space="preserve"> </w:t>
      </w:r>
      <w:r>
        <w:t xml:space="preserve">respond to new needs and emerging priorities throughout the programming period. This</w:t>
      </w:r>
      <w:r>
        <w:t xml:space="preserve"> </w:t>
      </w:r>
      <w:r>
        <w:t xml:space="preserve">flexibility should not put at stake the predictability of EU funding, which is needed to run</w:t>
      </w:r>
      <w:r>
        <w:t xml:space="preserve"> </w:t>
      </w:r>
      <w:r>
        <w:t xml:space="preserve">long term investments and secure the necessary funding for key long-term priorities.</w:t>
      </w:r>
      <w:r>
        <w:t xml:space="preserve"> </w:t>
      </w:r>
      <w:r>
        <w:t xml:space="preserve">2.1.4. Problem 4: Low coherence across funds, policy frameworks, reforms</w:t>
      </w:r>
      <w:r>
        <w:t xml:space="preserve"> </w:t>
      </w:r>
      <w:r>
        <w:t xml:space="preserve">and investments</w:t>
      </w:r>
      <w:r>
        <w:t xml:space="preserve"> </w:t>
      </w:r>
      <w:r>
        <w:t xml:space="preserve">As recognised in the 9th cohesion report, reforms are needed to create an enabling</w:t>
      </w:r>
      <w:r>
        <w:t xml:space="preserve"> </w:t>
      </w:r>
      <w:r>
        <w:t xml:space="preserve">environment, amplifying the impact of investments by addressing bottlenecks to growth</w:t>
      </w:r>
      <w:r>
        <w:t xml:space="preserve"> </w:t>
      </w:r>
      <w:r>
        <w:t xml:space="preserve">and convergence. For example, the recent experience of the RRF has shown for example</w:t>
      </w:r>
      <w:r>
        <w:t xml:space="preserve"> </w:t>
      </w:r>
      <w:r>
        <w:t xml:space="preserve">that SMEs have benefited from a wide spectrum of reforms, from reforms improving the</w:t>
      </w:r>
      <w:r>
        <w:t xml:space="preserve"> </w:t>
      </w:r>
      <w:r>
        <w:t xml:space="preserve">business environment and reducing red tape to reforms supporting the digitalisation of</w:t>
      </w:r>
      <w:r>
        <w:t xml:space="preserve"> </w:t>
      </w:r>
      <w:r>
        <w:t xml:space="preserve">public administration – which have, as a result, strengthened SME’s place in the</w:t>
      </w:r>
      <w:r>
        <w:t xml:space="preserve"> </w:t>
      </w:r>
      <w:r>
        <w:t xml:space="preserve">economy. Likewise, reforms are also an important tool to enable but also give scale to</w:t>
      </w:r>
      <w:r>
        <w:t xml:space="preserve"> </w:t>
      </w:r>
      <w:r>
        <w:t xml:space="preserve">individual projects – for example, reforms in public procurement and permitting are</w:t>
      </w:r>
      <w:r>
        <w:t xml:space="preserve"> </w:t>
      </w:r>
      <w:r>
        <w:t xml:space="preserve">important to align the regulatory framework between Member States and hence enable</w:t>
      </w:r>
      <w:r>
        <w:t xml:space="preserve"> </w:t>
      </w:r>
      <w:r>
        <w:t xml:space="preserve">the delivery of cross-border projects. Furthermore, reforms can also play a crucial role</w:t>
      </w:r>
      <w:r>
        <w:t xml:space="preserve"> </w:t>
      </w:r>
      <w:r>
        <w:t xml:space="preserve">for mainstreaming and capitalising on the results of EU funded projects, for instance in</w:t>
      </w:r>
      <w:r>
        <w:t xml:space="preserve"> </w:t>
      </w:r>
      <w:r>
        <w:t xml:space="preserve">the area of human capital.</w:t>
      </w:r>
      <w:r>
        <w:br/>
      </w:r>
      <w:r>
        <w:t xml:space="preserve">For example, the support to new farmer generations promoted under the CAP is</w:t>
      </w:r>
      <w:r>
        <w:t xml:space="preserve"> </w:t>
      </w:r>
      <w:r>
        <w:t xml:space="preserve">intrinsically linked to Member States’ responsibilities to put in place the right conditions</w:t>
      </w:r>
      <w:r>
        <w:t xml:space="preserve"> </w:t>
      </w:r>
      <w:r>
        <w:t xml:space="preserve">to access the land market. In this context, despite the effort done by the CAP to enhance</w:t>
      </w:r>
    </w:p>
    <w:p>
      <w:pPr>
        <w:pStyle w:val="BodyText"/>
      </w:pPr>
      <w:r>
        <w:t xml:space="preserve">9 With key initiatives including the Coronavirus Response Investment Initiative (CRII), Security Action for</w:t>
      </w:r>
      <w:r>
        <w:t xml:space="preserve"> </w:t>
      </w:r>
      <w:r>
        <w:t xml:space="preserve">Europe (SAFE) or the recent RESTORE proposal – as well as catering for new priorities (e.g. STEP).</w:t>
      </w:r>
      <w:r>
        <w:t xml:space="preserve"> </w:t>
      </w:r>
      <w:r>
        <w:t xml:space="preserve">10 RRF mid-term evaluation</w:t>
      </w:r>
    </w:p>
    <w:p>
      <w:pPr>
        <w:pStyle w:val="BodyText"/>
      </w:pPr>
      <w:r>
        <w:t xml:space="preserve">generational renewal, provisions put in place at national level have not always provided</w:t>
      </w:r>
      <w:r>
        <w:t xml:space="preserve"> </w:t>
      </w:r>
      <w:r>
        <w:t xml:space="preserve">the right incentives, limiting the impact of EU support. Yet, Member States face</w:t>
      </w:r>
      <w:r>
        <w:t xml:space="preserve"> </w:t>
      </w:r>
      <w:r>
        <w:t xml:space="preserve">difficulties implementing much needed reforms, because they come with a high political,</w:t>
      </w:r>
      <w:r>
        <w:t xml:space="preserve"> </w:t>
      </w:r>
      <w:r>
        <w:t xml:space="preserve">social or economic cost or because of a lack of technical know-how.</w:t>
      </w:r>
      <w:r>
        <w:br/>
      </w:r>
      <w:r>
        <w:t xml:space="preserve">Over the years, the concept of</w:t>
      </w:r>
      <w:r>
        <w:t xml:space="preserve"> </w:t>
      </w:r>
      <w:r>
        <w:t xml:space="preserve">“reform”</w:t>
      </w:r>
      <w:r>
        <w:t xml:space="preserve"> </w:t>
      </w:r>
      <w:r>
        <w:t xml:space="preserve">has been interpreted in various ways across EU</w:t>
      </w:r>
      <w:r>
        <w:t xml:space="preserve"> </w:t>
      </w:r>
      <w:r>
        <w:t xml:space="preserve">programmes with nationally pre-allocated envelopes, leading to diverging approaches in</w:t>
      </w:r>
      <w:r>
        <w:t xml:space="preserve"> </w:t>
      </w:r>
      <w:r>
        <w:t xml:space="preserve">how a reform is defined, if and how the EU budget is used to incentivise it and the results</w:t>
      </w:r>
      <w:r>
        <w:t xml:space="preserve"> </w:t>
      </w:r>
      <w:r>
        <w:t xml:space="preserve">achieved on the ground. Furthermore, scattering funding for reforms across many</w:t>
      </w:r>
      <w:r>
        <w:t xml:space="preserve"> </w:t>
      </w:r>
      <w:r>
        <w:t xml:space="preserve">funding streams may lower the attractiveness – and hence effectiveness – of reforms</w:t>
      </w:r>
      <w:r>
        <w:t xml:space="preserve"> </w:t>
      </w:r>
      <w:r>
        <w:t xml:space="preserve">efforts. Overall, fragmented approaches prevent from making full use of the size of the</w:t>
      </w:r>
      <w:r>
        <w:t xml:space="preserve"> </w:t>
      </w:r>
      <w:r>
        <w:t xml:space="preserve">EU budget as an incentive for reforms that contribute to Union objectives.</w:t>
      </w:r>
      <w:r>
        <w:t xml:space="preserve"> </w:t>
      </w:r>
      <w:r>
        <w:t xml:space="preserve">Relying on multiple policy documents and analytical tools to inform the programming of</w:t>
      </w:r>
      <w:r>
        <w:t xml:space="preserve"> </w:t>
      </w:r>
      <w:r>
        <w:t xml:space="preserve">investments and reforms exacerbates the lack of policy coherence between funding</w:t>
      </w:r>
      <w:r>
        <w:t xml:space="preserve"> </w:t>
      </w:r>
      <w:r>
        <w:t xml:space="preserve">instruments as well as between the EU-level policies and national and regional ones. The</w:t>
      </w:r>
      <w:r>
        <w:t xml:space="preserve"> </w:t>
      </w:r>
      <w:r>
        <w:t xml:space="preserve">European Semester has increasingly been used as a policy reference framework for the</w:t>
      </w:r>
      <w:r>
        <w:t xml:space="preserve"> </w:t>
      </w:r>
      <w:r>
        <w:t xml:space="preserve">programming of EU funding. Its link with cohesion policy funding has strengthened over</w:t>
      </w:r>
      <w:r>
        <w:t xml:space="preserve"> </w:t>
      </w:r>
      <w:r>
        <w:t xml:space="preserve">time, enabling to better steer the programming of cohesion policy resources towards</w:t>
      </w:r>
      <w:r>
        <w:t xml:space="preserve"> </w:t>
      </w:r>
      <w:r>
        <w:t xml:space="preserve">development challenges. The RRF has gone even further by requiring that the national</w:t>
      </w:r>
      <w:r>
        <w:t xml:space="preserve"> </w:t>
      </w:r>
      <w:r>
        <w:t xml:space="preserve">RRPs address all or a significant subset of the Semester country-specific</w:t>
      </w:r>
      <w:r>
        <w:t xml:space="preserve"> </w:t>
      </w:r>
      <w:r>
        <w:t xml:space="preserve">recommendations. However, other programmes rely on other documents to steer</w:t>
      </w:r>
      <w:r>
        <w:t xml:space="preserve"> </w:t>
      </w:r>
      <w:r>
        <w:t xml:space="preserve">programming11. With different timelines and institutional frameworks, the multiplicity of</w:t>
      </w:r>
      <w:r>
        <w:t xml:space="preserve"> </w:t>
      </w:r>
      <w:r>
        <w:t xml:space="preserve">reference documents complicates the identification of reforms and investments that</w:t>
      </w:r>
      <w:r>
        <w:t xml:space="preserve"> </w:t>
      </w:r>
      <w:r>
        <w:t xml:space="preserve">would best contribute to the EU’s policy priorities.</w:t>
      </w:r>
      <w:r>
        <w:t xml:space="preserve"> </w:t>
      </w:r>
      <w:r>
        <w:t xml:space="preserve">Likewise, while the conditionality mechanisms have demonstrated the power of the EU</w:t>
      </w:r>
      <w:r>
        <w:t xml:space="preserve"> </w:t>
      </w:r>
      <w:r>
        <w:t xml:space="preserve">budget for triggering changes within Member States in the Rule of Law and other</w:t>
      </w:r>
      <w:r>
        <w:t xml:space="preserve"> </w:t>
      </w:r>
      <w:r>
        <w:t xml:space="preserve">fundamental rights areas, the current legal framework – with multiple programmes</w:t>
      </w:r>
      <w:r>
        <w:t xml:space="preserve"> </w:t>
      </w:r>
      <w:r>
        <w:t xml:space="preserve">following different rules – is complex and brings additional burden for managing</w:t>
      </w:r>
      <w:r>
        <w:t xml:space="preserve"> </w:t>
      </w:r>
      <w:r>
        <w:t xml:space="preserve">authorities and the Commission. It could also encourage “programme-arbitrage” whereby</w:t>
      </w:r>
      <w:r>
        <w:t xml:space="preserve"> </w:t>
      </w:r>
      <w:r>
        <w:t xml:space="preserve">Member States with particular issues could be tempted to shift some investments</w:t>
      </w:r>
      <w:r>
        <w:t xml:space="preserve"> </w:t>
      </w:r>
      <w:r>
        <w:t xml:space="preserve">between programmes to avoid being subject to a particular condition if the investment in</w:t>
      </w:r>
      <w:r>
        <w:t xml:space="preserve"> </w:t>
      </w:r>
      <w:r>
        <w:t xml:space="preserve">question can be implemented under several programmes. Meanwhile, the Modernisation</w:t>
      </w:r>
      <w:r>
        <w:t xml:space="preserve"> </w:t>
      </w:r>
      <w:r>
        <w:t xml:space="preserve">Fund, which is not part of the EU budget, is not subject to any rule of law requirements</w:t>
      </w:r>
      <w:r>
        <w:t xml:space="preserve"> </w:t>
      </w:r>
      <w:r>
        <w:t xml:space="preserve">nor the Conditionality Regulation.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Annex 7 provides further analysis supporting the identification of problem drivers.</w:t>
      </w:r>
      <w:r>
        <w:t xml:space="preserve"> </w:t>
      </w:r>
      <w:r>
        <w:t xml:space="preserve">2.2.1. Problem driver 1: Some programmes overlap or have a similar scope</w:t>
      </w:r>
      <w:r>
        <w:t xml:space="preserve"> </w:t>
      </w:r>
      <w:r>
        <w:t xml:space="preserve">EU funds with nationally pre-allocated envelopes often target similar policy areas,</w:t>
      </w:r>
      <w:r>
        <w:t xml:space="preserve"> </w:t>
      </w:r>
      <w:r>
        <w:t xml:space="preserve">territories and sectors. The policy objectives of the various funds can at times be</w:t>
      </w:r>
      <w:r>
        <w:t xml:space="preserve"> </w:t>
      </w:r>
      <w:r>
        <w:t xml:space="preserve">overlapping. For instance, to finance basic and advanced digital skills, beneficiaries can</w:t>
      </w:r>
    </w:p>
    <w:p>
      <w:pPr>
        <w:pStyle w:val="BodyText"/>
      </w:pPr>
      <w:r>
        <w:t xml:space="preserve">11 For example, the CAP relied on ad hoc Commission CAP Recommendations, while the Border</w:t>
      </w:r>
      <w:r>
        <w:t xml:space="preserve"> </w:t>
      </w:r>
      <w:r>
        <w:t xml:space="preserve">Management and Visa Instrument (BMVI) refers to the Schengen Recommendations adopted by the</w:t>
      </w:r>
      <w:r>
        <w:t xml:space="preserve"> </w:t>
      </w:r>
      <w:r>
        <w:t xml:space="preserve">Council.</w:t>
      </w:r>
    </w:p>
    <w:p>
      <w:pPr>
        <w:pStyle w:val="BodyText"/>
      </w:pPr>
      <w:r>
        <w:t xml:space="preserve">receive funding from six EU programmes with nationally pre-allocated envelopes12 as</w:t>
      </w:r>
      <w:r>
        <w:t xml:space="preserve"> </w:t>
      </w:r>
      <w:r>
        <w:t xml:space="preserve">well as other programmes without nationally pre-allocated envelopes13. At the same time,</w:t>
      </w:r>
      <w:r>
        <w:t xml:space="preserve"> </w:t>
      </w:r>
      <w:r>
        <w:t xml:space="preserve">better synergies between EU funds to deliver on complex problems, requiring</w:t>
      </w:r>
      <w:r>
        <w:t xml:space="preserve"> </w:t>
      </w:r>
      <w:r>
        <w:t xml:space="preserve">comprehensive approaches – for instance, when it comes to enhancing the attractiveness</w:t>
      </w:r>
      <w:r>
        <w:t xml:space="preserve"> </w:t>
      </w:r>
      <w:r>
        <w:t xml:space="preserve">of rural areas, which requires support to farmers (supported by the CAP) but also</w:t>
      </w:r>
      <w:r>
        <w:t xml:space="preserve"> </w:t>
      </w:r>
      <w:r>
        <w:t xml:space="preserve">investments in education, infrastructure or healthcare (mainly supported by cohesion).</w:t>
      </w:r>
      <w:r>
        <w:br/>
      </w:r>
      <w:r>
        <w:t xml:space="preserve">There are also synergies between the CAP, especially some interventions under the</w:t>
      </w:r>
      <w:r>
        <w:t xml:space="preserve"> </w:t>
      </w:r>
      <w:r>
        <w:t xml:space="preserve">EAFRD, and cohesion policy when it comes to supporting investments in rural</w:t>
      </w:r>
      <w:r>
        <w:t xml:space="preserve"> </w:t>
      </w:r>
      <w:r>
        <w:t xml:space="preserve">areas (especially beyond farming or food production) as illustrated below:</w:t>
      </w:r>
      <w:r>
        <w:t xml:space="preserve"> </w:t>
      </w:r>
      <w:r>
        <w:t xml:space="preserve">-</w:t>
      </w:r>
      <w:r>
        <w:t xml:space="preserve"> </w:t>
      </w:r>
      <w:r>
        <w:t xml:space="preserve">Non-productive investments on farms can help farmers improve environmental</w:t>
      </w:r>
      <w:r>
        <w:t xml:space="preserve"> </w:t>
      </w:r>
      <w:r>
        <w:t xml:space="preserve">performance by restoring agro-ecosystems or integrating landscape elements in</w:t>
      </w:r>
      <w:r>
        <w:t xml:space="preserve"> </w:t>
      </w:r>
      <w:r>
        <w:t xml:space="preserve">their fields. Cohesion policy may support similar projects, also outside the remit</w:t>
      </w:r>
      <w:r>
        <w:t xml:space="preserve"> </w:t>
      </w:r>
      <w:r>
        <w:t xml:space="preserve">of agriculture and agricultural production i.e. nature conservation, reforestation,</w:t>
      </w:r>
      <w:r>
        <w:t xml:space="preserve"> </w:t>
      </w:r>
      <w:r>
        <w:t xml:space="preserve">wetland restoration, and rehabilitation of degraded landscapes to enhance</w:t>
      </w:r>
      <w:r>
        <w:t xml:space="preserve"> </w:t>
      </w:r>
      <w:r>
        <w:t xml:space="preserve">biodiversity, tourism or other economic activities etc.</w:t>
      </w:r>
      <w:r>
        <w:br/>
      </w:r>
      <w:r>
        <w:t xml:space="preserve">-</w:t>
      </w:r>
      <w:r>
        <w:t xml:space="preserve"> </w:t>
      </w:r>
      <w:r>
        <w:t xml:space="preserve">The EAFRD can support on-farm productive investments such as renewable</w:t>
      </w:r>
      <w:r>
        <w:t xml:space="preserve"> </w:t>
      </w:r>
      <w:r>
        <w:t xml:space="preserve">energy installations in farms. Similarly, cohesion policy may support the</w:t>
      </w:r>
      <w:r>
        <w:t xml:space="preserve"> </w:t>
      </w:r>
      <w:r>
        <w:t xml:space="preserve">installation of solar panels including in small businesses in rural areas and</w:t>
      </w:r>
      <w:r>
        <w:t xml:space="preserve"> </w:t>
      </w:r>
      <w:r>
        <w:t xml:space="preserve">projects to reduce energy costs.</w:t>
      </w:r>
      <w:r>
        <w:br/>
      </w:r>
      <w:r>
        <w:t xml:space="preserve">-</w:t>
      </w:r>
      <w:r>
        <w:t xml:space="preserve"> </w:t>
      </w:r>
      <w:r>
        <w:t xml:space="preserve">The EAFRD also supports off farm investments in rural areas, however these</w:t>
      </w:r>
      <w:r>
        <w:t xml:space="preserve"> </w:t>
      </w:r>
      <w:r>
        <w:t xml:space="preserve">account for less than 6% of the EAFRD budget. As both the EAFRD and</w:t>
      </w:r>
      <w:r>
        <w:t xml:space="preserve"> </w:t>
      </w:r>
      <w:r>
        <w:t xml:space="preserve">cohesion policy funds intervene in rural and remote areas including for support to</w:t>
      </w:r>
      <w:r>
        <w:t xml:space="preserve"> </w:t>
      </w:r>
      <w:r>
        <w:t xml:space="preserve">smaller businesses, both the area of intervention, the target groups and the</w:t>
      </w:r>
      <w:r>
        <w:t xml:space="preserve"> </w:t>
      </w:r>
      <w:r>
        <w:t xml:space="preserve">objective for development/diversification are similar, however differences exist in</w:t>
      </w:r>
      <w:r>
        <w:t xml:space="preserve"> </w:t>
      </w:r>
      <w:r>
        <w:t xml:space="preserve">the specific targeting of the support.</w:t>
      </w:r>
      <w:r>
        <w:br/>
      </w:r>
      <w:r>
        <w:t xml:space="preserve">2.2.2. Problem driver 2: The programming of EU funds with nationally</w:t>
      </w:r>
      <w:r>
        <w:t xml:space="preserve"> </w:t>
      </w:r>
      <w:r>
        <w:t xml:space="preserve">pre-allocated envelopes is too fragmented</w:t>
      </w:r>
      <w:r>
        <w:t xml:space="preserve"> </w:t>
      </w:r>
      <w:r>
        <w:t xml:space="preserve">Nationally pre-allocated envelopes cover several EU funds, and while some multi-</w:t>
      </w:r>
      <w:r>
        <w:t xml:space="preserve"> </w:t>
      </w:r>
      <w:r>
        <w:t xml:space="preserve">programmes exist, each of the funds in most cases involves several sets of</w:t>
      </w:r>
      <w:r>
        <w:t xml:space="preserve"> </w:t>
      </w:r>
      <w:r>
        <w:t xml:space="preserve">programmes. For instance, cohesion policy involves the ERDF, CF, ESF+ and JTF and</w:t>
      </w:r>
      <w:r>
        <w:t xml:space="preserve"> </w:t>
      </w:r>
      <w:r>
        <w:t xml:space="preserve">is implemented through 27 high level ‘partnership agreements’ and more than 300</w:t>
      </w:r>
      <w:r>
        <w:t xml:space="preserve"> </w:t>
      </w:r>
      <w:r>
        <w:t xml:space="preserve">programmes. Overall, EU funds with nationally pre-allocated envelopes are implemented</w:t>
      </w:r>
      <w:r>
        <w:t xml:space="preserve"> </w:t>
      </w:r>
      <w:r>
        <w:t xml:space="preserve">through close to 540 programmes – with the 27 social and climate plans to be added as of</w:t>
      </w:r>
      <w:r>
        <w:t xml:space="preserve"> </w:t>
      </w:r>
      <w:r>
        <w:t xml:space="preserve">2026.</w:t>
      </w:r>
      <w:r>
        <w:t xml:space="preserve"> </w:t>
      </w:r>
      <w:r>
        <w:t xml:space="preserve">Fragmentation can lead to a sizeable lag between the preparation of the financial</w:t>
      </w:r>
      <w:r>
        <w:t xml:space="preserve"> </w:t>
      </w:r>
      <w:r>
        <w:t xml:space="preserve">framework and its implementation. In the 2021-2027 programming period, the late</w:t>
      </w:r>
      <w:r>
        <w:t xml:space="preserve"> </w:t>
      </w:r>
      <w:r>
        <w:t xml:space="preserve">adoption of the sectoral legislation and the lengthy process to adopt programming</w:t>
      </w:r>
    </w:p>
    <w:p>
      <w:pPr>
        <w:pStyle w:val="BodyText"/>
      </w:pPr>
      <w:r>
        <w:t xml:space="preserve">12 The Just Transition Fund (JTF), the European Regional Development Fund (ERDF), the European Social</w:t>
      </w:r>
      <w:r>
        <w:t xml:space="preserve"> </w:t>
      </w:r>
      <w:r>
        <w:t xml:space="preserve">Fund+ (ESF+), the European Maritime, Fisheries and Aquaculture Fund, the European Agricultural Fund</w:t>
      </w:r>
      <w:r>
        <w:t xml:space="preserve"> </w:t>
      </w:r>
      <w:r>
        <w:t xml:space="preserve">for Rural Development (EAFRD) and the RRF).</w:t>
      </w:r>
      <w:r>
        <w:t xml:space="preserve"> </w:t>
      </w:r>
      <w:r>
        <w:t xml:space="preserve">13 Such as Erasmus+, the Digital Europe Programme, Horizon Europe, InvestEU and the Technical Support</w:t>
      </w:r>
      <w:r>
        <w:t xml:space="preserve"> </w:t>
      </w:r>
      <w:r>
        <w:t xml:space="preserve">Instrument.</w:t>
      </w:r>
    </w:p>
    <w:p>
      <w:pPr>
        <w:pStyle w:val="BodyText"/>
      </w:pPr>
      <w:r>
        <w:t xml:space="preserve">documents led to delays in implementation. For instance, two-level programming in</w:t>
      </w:r>
      <w:r>
        <w:t xml:space="preserve"> </w:t>
      </w:r>
      <w:r>
        <w:t xml:space="preserve">cohesion policy lasts on average 18-24 months. While slow programme implementation</w:t>
      </w:r>
      <w:r>
        <w:t xml:space="preserve"> </w:t>
      </w:r>
      <w:r>
        <w:t xml:space="preserve">may result in higher outstanding commitments and higher risk of decommitments, it also</w:t>
      </w:r>
      <w:r>
        <w:t xml:space="preserve"> </w:t>
      </w:r>
      <w:r>
        <w:t xml:space="preserve">raises issues of coherence, as policy priorities shift over time.</w:t>
      </w:r>
      <w:r>
        <w:br/>
      </w:r>
      <w:r>
        <w:t xml:space="preserve">The programming of EU funds with nationally pre-allocated envelopes can be</w:t>
      </w:r>
      <w:r>
        <w:t xml:space="preserve"> </w:t>
      </w:r>
      <w:r>
        <w:t xml:space="preserve">further simplified. Member States have overall been supportive of the move towards</w:t>
      </w:r>
      <w:r>
        <w:t xml:space="preserve"> </w:t>
      </w:r>
      <w:r>
        <w:t xml:space="preserve">single programming in the CAP but call for further simplification. Many find the</w:t>
      </w:r>
      <w:r>
        <w:t xml:space="preserve"> </w:t>
      </w:r>
      <w:r>
        <w:t xml:space="preserve">Strategic Plans too detailed and have complained – for example, the Spanish CAP</w:t>
      </w:r>
      <w:r>
        <w:t xml:space="preserve"> </w:t>
      </w:r>
      <w:r>
        <w:t xml:space="preserve">Strategic Plan is over 3,000 pages long. Furthermore, Member States have also</w:t>
      </w:r>
      <w:r>
        <w:t xml:space="preserve"> </w:t>
      </w:r>
      <w:r>
        <w:t xml:space="preserve">complained that the procedure for amending them is too complex. At the same time,</w:t>
      </w:r>
      <w:r>
        <w:t xml:space="preserve"> </w:t>
      </w:r>
      <w:r>
        <w:t xml:space="preserve">there is a strong call from stakeholders, including Member States, for stability and</w:t>
      </w:r>
      <w:r>
        <w:t xml:space="preserve"> </w:t>
      </w:r>
      <w:r>
        <w:t xml:space="preserve">predictability and to build on the efforts already made to adjust to the current delivery</w:t>
      </w:r>
      <w:r>
        <w:t xml:space="preserve"> </w:t>
      </w:r>
      <w:r>
        <w:t xml:space="preserve">model.</w:t>
      </w:r>
      <w:r>
        <w:t xml:space="preserve"> </w:t>
      </w:r>
      <w:r>
        <w:t xml:space="preserve">The mid-term evaluation of the RRF highlights that combining reforms and</w:t>
      </w:r>
      <w:r>
        <w:t xml:space="preserve"> </w:t>
      </w:r>
      <w:r>
        <w:t xml:space="preserve">investments boosts their effectiveness. Appropriate sequencing between reforms and</w:t>
      </w:r>
      <w:r>
        <w:t xml:space="preserve"> </w:t>
      </w:r>
      <w:r>
        <w:t xml:space="preserve">investments ensures that prior reforms amplify the impact of subsequent investments.</w:t>
      </w:r>
      <w:r>
        <w:t xml:space="preserve"> </w:t>
      </w:r>
      <w:r>
        <w:t xml:space="preserve">Moreover, synergies between reforms and investments can more easily be exploited</w:t>
      </w:r>
      <w:r>
        <w:t xml:space="preserve"> </w:t>
      </w:r>
      <w:r>
        <w:t xml:space="preserve">where their implementation is coordinated in an integrated manner. However, given the</w:t>
      </w:r>
      <w:r>
        <w:t xml:space="preserve"> </w:t>
      </w:r>
      <w:r>
        <w:t xml:space="preserve">national legal framework and the fast pace in designing RRPs in a crisis context, local</w:t>
      </w:r>
      <w:r>
        <w:t xml:space="preserve"> </w:t>
      </w:r>
      <w:r>
        <w:t xml:space="preserve">and regional authorities and relevant stakeholders, including social partners, pointed to</w:t>
      </w:r>
      <w:r>
        <w:t xml:space="preserve"> </w:t>
      </w:r>
      <w:r>
        <w:t xml:space="preserve">their insufficient involvement in the design, implementation and monitoring of the</w:t>
      </w:r>
      <w:r>
        <w:t xml:space="preserve"> </w:t>
      </w:r>
      <w:r>
        <w:t xml:space="preserve">included measures.</w:t>
      </w:r>
      <w:r>
        <w:t xml:space="preserve"> </w:t>
      </w:r>
      <w:r>
        <w:t xml:space="preserve">2.2.3. Problem driver 3: Heterogeneous programme-specific rules may</w:t>
      </w:r>
      <w:r>
        <w:t xml:space="preserve"> </w:t>
      </w:r>
      <w:r>
        <w:t xml:space="preserve">lead to a suboptimal use of resources</w:t>
      </w:r>
      <w:r>
        <w:t xml:space="preserve"> </w:t>
      </w:r>
      <w:r>
        <w:t xml:space="preserve">Diverging co-financing rates, eligibility rules, or asymmetric conditionality</w:t>
      </w:r>
      <w:r>
        <w:t xml:space="preserve"> </w:t>
      </w:r>
      <w:r>
        <w:t xml:space="preserve">mechanisms can lead to a suboptimal use of nationally pre-allocated envelopes.</w:t>
      </w:r>
      <w:r>
        <w:t xml:space="preserve"> </w:t>
      </w:r>
      <w:r>
        <w:t xml:space="preserve">Heterogeneous programme-specific rules not only create confusion, but also encourage</w:t>
      </w:r>
      <w:r>
        <w:t xml:space="preserve"> </w:t>
      </w:r>
      <w:r>
        <w:t xml:space="preserve">competition between programmes, as project promoters seek out programmes with the</w:t>
      </w:r>
      <w:r>
        <w:t xml:space="preserve"> </w:t>
      </w:r>
      <w:r>
        <w:t xml:space="preserve">less stringent criteria and/or less complex procedures14. While rationalisation and</w:t>
      </w:r>
      <w:r>
        <w:t xml:space="preserve"> </w:t>
      </w:r>
      <w:r>
        <w:t xml:space="preserve">streamlining efforts were made in this current MFF15, challenges remain.</w:t>
      </w:r>
      <w:r>
        <w:br/>
      </w:r>
      <w:r>
        <w:t xml:space="preserve">Bringing the European Agricultural Guarantee Fund (EAGF) and the EAFRD</w:t>
      </w:r>
      <w:r>
        <w:t xml:space="preserve"> </w:t>
      </w:r>
      <w:r>
        <w:t xml:space="preserve">under the same umbrella has allowed for strategic planning and the harmonisation</w:t>
      </w:r>
      <w:r>
        <w:t xml:space="preserve"> </w:t>
      </w:r>
      <w:r>
        <w:t xml:space="preserve">of management and control rules for both pillars of the CAP. However, removing the</w:t>
      </w:r>
      <w:r>
        <w:t xml:space="preserve"> </w:t>
      </w:r>
      <w:r>
        <w:t xml:space="preserve">EAFRD from the CPR has made establishing synergies with other EU funds more</w:t>
      </w:r>
      <w:r>
        <w:t xml:space="preserve"> </w:t>
      </w:r>
      <w:r>
        <w:t xml:space="preserve">challenging, for example in the context of community-led local development approaches</w:t>
      </w:r>
      <w:r>
        <w:t xml:space="preserve"> </w:t>
      </w:r>
      <w:r>
        <w:t xml:space="preserve">in rural areas (LEADER), where implementing integrated, multi-funding approaches</w:t>
      </w:r>
      <w:r>
        <w:t xml:space="preserve"> </w:t>
      </w:r>
      <w:r>
        <w:t xml:space="preserve">require considerable coordination efforts among administrations.</w:t>
      </w:r>
    </w:p>
    <w:p>
      <w:pPr>
        <w:pStyle w:val="BodyText"/>
      </w:pPr>
      <w:r>
        <w:t xml:space="preserve">14 It is not only at EU level that rules are complex: as shown by the forthcoming ESF+ mid-term</w:t>
      </w:r>
      <w:r>
        <w:t xml:space="preserve"> </w:t>
      </w:r>
      <w:r>
        <w:t xml:space="preserve">evaluation, additional requirements set up at (sub-) national level can further increase the administrative</w:t>
      </w:r>
      <w:r>
        <w:t xml:space="preserve"> </w:t>
      </w:r>
      <w:r>
        <w:t xml:space="preserve">burden on managing authorities and beneficiaries.</w:t>
      </w:r>
      <w:r>
        <w:t xml:space="preserve"> </w:t>
      </w:r>
      <w:r>
        <w:t xml:space="preserve">15 For instance, bringing the three home affairs funds – AMIF, BMVI, ISF – under the CPR umbrella has</w:t>
      </w:r>
      <w:r>
        <w:t xml:space="preserve"> </w:t>
      </w:r>
      <w:r>
        <w:t xml:space="preserve">allowed them to benefit from the experience and best practices of cohesion policy funds (e.g. use of</w:t>
      </w:r>
      <w:r>
        <w:t xml:space="preserve"> </w:t>
      </w:r>
      <w:r>
        <w:t xml:space="preserve">simplified cost options, flexibility in programme amendments, single audit principle). However, it has also</w:t>
      </w:r>
      <w:r>
        <w:t xml:space="preserve"> </w:t>
      </w:r>
      <w:r>
        <w:t xml:space="preserve">come with challenges as national authorities have had to set up new management and control systems for</w:t>
      </w:r>
      <w:r>
        <w:t xml:space="preserve"> </w:t>
      </w:r>
      <w:r>
        <w:t xml:space="preserve">the Home Affairs Funds.</w:t>
      </w:r>
    </w:p>
    <w:p>
      <w:pPr>
        <w:pStyle w:val="BodyText"/>
      </w:pPr>
      <w:r>
        <w:t xml:space="preserve">While the fragmentation of the EU’s funding landscape has led to the need to</w:t>
      </w:r>
      <w:r>
        <w:t xml:space="preserve"> </w:t>
      </w:r>
      <w:r>
        <w:t xml:space="preserve">combine different funding, this remains very challenging. Several factors complicate</w:t>
      </w:r>
      <w:r>
        <w:t xml:space="preserve"> </w:t>
      </w:r>
      <w:r>
        <w:t xml:space="preserve">the process, including varying administrative and legal requirements; legal and financial</w:t>
      </w:r>
      <w:r>
        <w:t xml:space="preserve"> </w:t>
      </w:r>
      <w:r>
        <w:t xml:space="preserve">incompatibilities; different eligibility criteria; possibly different State aid exemptions;</w:t>
      </w:r>
      <w:r>
        <w:t xml:space="preserve"> </w:t>
      </w:r>
      <w:r>
        <w:t xml:space="preserve">unsynchronised timelines; and the lack of experience of managing authorities.</w:t>
      </w:r>
      <w:r>
        <w:t xml:space="preserve"> </w:t>
      </w:r>
      <w:r>
        <w:t xml:space="preserve">Combining funding from performance- and cost-based instruments is especially</w:t>
      </w:r>
      <w:r>
        <w:t xml:space="preserve"> </w:t>
      </w:r>
      <w:r>
        <w:t xml:space="preserve">challenging, since it is difficult to clearly demarcate the respective costs/results.</w:t>
      </w:r>
      <w:r>
        <w:br/>
      </w:r>
      <w:r>
        <w:t xml:space="preserve">2.2.4. Problem driver 4: Persistent weak administrative capacity and</w:t>
      </w:r>
      <w:r>
        <w:t xml:space="preserve"> </w:t>
      </w:r>
      <w:r>
        <w:t xml:space="preserve">governance at national, regional and local levels</w:t>
      </w:r>
      <w:r>
        <w:t xml:space="preserve"> </w:t>
      </w:r>
      <w:r>
        <w:t xml:space="preserve">Institutional capacity and the regulatory environment are a decisive factor for the</w:t>
      </w:r>
      <w:r>
        <w:t xml:space="preserve"> </w:t>
      </w:r>
      <w:r>
        <w:t xml:space="preserve">successful implementation of EU funds. Regions with stronger institutions are usually</w:t>
      </w:r>
      <w:r>
        <w:t xml:space="preserve"> </w:t>
      </w:r>
      <w:r>
        <w:t xml:space="preserve">better at implementing projects, managing funds and adapting to change. As emphasised</w:t>
      </w:r>
      <w:r>
        <w:t xml:space="preserve"> </w:t>
      </w:r>
      <w:r>
        <w:t xml:space="preserve">in the Letta report, addressing the disparities in technical and administrative capacities</w:t>
      </w:r>
      <w:r>
        <w:t xml:space="preserve"> </w:t>
      </w:r>
      <w:r>
        <w:t xml:space="preserve">among the Member States is essential for ensuring a level playing field within the Single</w:t>
      </w:r>
      <w:r>
        <w:t xml:space="preserve"> </w:t>
      </w:r>
      <w:r>
        <w:t xml:space="preserve">Market. Investments must therefore be accompanied by administrative capacity building</w:t>
      </w:r>
      <w:r>
        <w:t xml:space="preserve"> </w:t>
      </w:r>
      <w:r>
        <w:t xml:space="preserve">and targeted reforms, including at subnational level.</w:t>
      </w:r>
      <w:r>
        <w:t xml:space="preserve"> </w:t>
      </w:r>
      <w:r>
        <w:t xml:space="preserve">The EU budget has consistently supported the strengthening of Member States’</w:t>
      </w:r>
      <w:r>
        <w:t xml:space="preserve"> </w:t>
      </w:r>
      <w:r>
        <w:t xml:space="preserve">administrative capacity. It has done so through technical assistance for national and</w:t>
      </w:r>
      <w:r>
        <w:t xml:space="preserve"> </w:t>
      </w:r>
      <w:r>
        <w:t xml:space="preserve">regional authorities in a shared management context; technical support directly provided</w:t>
      </w:r>
      <w:r>
        <w:t xml:space="preserve"> </w:t>
      </w:r>
      <w:r>
        <w:t xml:space="preserve">by the services of the Commission or via implementing partners; project level advisory</w:t>
      </w:r>
      <w:r>
        <w:t xml:space="preserve"> </w:t>
      </w:r>
      <w:r>
        <w:t xml:space="preserve">support which also supports private project promoters; and technical assistance envelopes</w:t>
      </w:r>
      <w:r>
        <w:t xml:space="preserve"> </w:t>
      </w:r>
      <w:r>
        <w:t xml:space="preserve">put at the disposal of the Commission’s services themselves for the management of the</w:t>
      </w:r>
      <w:r>
        <w:t xml:space="preserve"> </w:t>
      </w:r>
      <w:r>
        <w:t xml:space="preserve">funds. Yet, administrative capacity at national, regional and/or local level often remains</w:t>
      </w:r>
      <w:r>
        <w:t xml:space="preserve"> </w:t>
      </w:r>
      <w:r>
        <w:t xml:space="preserve">weak. Recent reports16 highlight that the administrative capacity and quality of</w:t>
      </w:r>
      <w:r>
        <w:t xml:space="preserve"> </w:t>
      </w:r>
      <w:r>
        <w:t xml:space="preserve">institutions in beneficiary countries remain significant barriers to recovery efforts,</w:t>
      </w:r>
      <w:r>
        <w:t xml:space="preserve"> </w:t>
      </w:r>
      <w:r>
        <w:t xml:space="preserve">national and regional resilience, and overcoming development traps. From this</w:t>
      </w:r>
      <w:r>
        <w:t xml:space="preserve"> </w:t>
      </w:r>
      <w:r>
        <w:t xml:space="preserve">perspective discontinuing support for the objective of public administration reforms</w:t>
      </w:r>
      <w:r>
        <w:t xml:space="preserve"> </w:t>
      </w:r>
      <w:r>
        <w:t xml:space="preserve">under cohesion policy in 2021-2027 created some gaps for funding. Beyond the formal</w:t>
      </w:r>
      <w:r>
        <w:t xml:space="preserve"> </w:t>
      </w:r>
      <w:r>
        <w:t xml:space="preserve">involvement of regional and local authorities, quality data at regional/local level is also</w:t>
      </w:r>
      <w:r>
        <w:t xml:space="preserve"> </w:t>
      </w:r>
      <w:r>
        <w:t xml:space="preserve">important to ensure their meaningful involvement in the programming and</w:t>
      </w:r>
      <w:r>
        <w:t xml:space="preserve"> </w:t>
      </w:r>
      <w:r>
        <w:t xml:space="preserve">implementation of EU funds.</w:t>
      </w:r>
      <w:r>
        <w:t xml:space="preserve"> </w:t>
      </w:r>
      <w:r>
        <w:t xml:space="preserve">Diverging rules across programmes make it more difficult for administrations to</w:t>
      </w:r>
      <w:r>
        <w:t xml:space="preserve"> </w:t>
      </w:r>
      <w:r>
        <w:t xml:space="preserve">understand and access the available technical support. While the demand-driven</w:t>
      </w:r>
      <w:r>
        <w:t xml:space="preserve"> </w:t>
      </w:r>
      <w:r>
        <w:t xml:space="preserve">nature of technical support requests from Member States may weaken the link with EU</w:t>
      </w:r>
      <w:r>
        <w:t xml:space="preserve"> </w:t>
      </w:r>
      <w:r>
        <w:t xml:space="preserve">priorities, it is also hard to follow-up on the results and complete reforms efforts – for</w:t>
      </w:r>
      <w:r>
        <w:t xml:space="preserve"> </w:t>
      </w:r>
      <w:r>
        <w:t xml:space="preserve">instance, in the event of changes in Member States or regions’ administrations.</w:t>
      </w:r>
      <w:r>
        <w:br/>
      </w:r>
      <w:r>
        <w:t xml:space="preserve">2.2.5. Problem driver 5: Budgetary allocations can lead to rigidities.</w:t>
      </w:r>
      <w:r>
        <w:t xml:space="preserve"> </w:t>
      </w:r>
      <w:r>
        <w:t xml:space="preserve">Different factors influence budgetary allocations and their use. Neither geographical</w:t>
      </w:r>
      <w:r>
        <w:t xml:space="preserve"> </w:t>
      </w:r>
      <w:r>
        <w:t xml:space="preserve">nor thematic concentration requirements are being assessed in this Impact Assessment.</w:t>
      </w:r>
      <w:r>
        <w:t xml:space="preserve"> </w:t>
      </w:r>
      <w:r>
        <w:t xml:space="preserve">For example, the level of development of regions, along with other indicators, plays an</w:t>
      </w:r>
      <w:r>
        <w:t xml:space="preserve"> </w:t>
      </w:r>
      <w:r>
        <w:t xml:space="preserve">important role in the allocation of cohesion policy funding to ensure that resources are</w:t>
      </w:r>
      <w:r>
        <w:t xml:space="preserve"> </w:t>
      </w:r>
      <w:r>
        <w:t xml:space="preserve">available for long-term investment and are concentrated on areas of greatest need.</w:t>
      </w:r>
    </w:p>
    <w:p>
      <w:pPr>
        <w:pStyle w:val="BodyText"/>
      </w:pPr>
      <w:r>
        <w:t xml:space="preserve">16 Including the 9th cohesion report and the RRF mid-term evaluation</w:t>
      </w:r>
    </w:p>
    <w:p>
      <w:pPr>
        <w:pStyle w:val="BodyText"/>
      </w:pPr>
      <w:r>
        <w:t xml:space="preserve">EU cohesion policy categorises regions for funding based mainly on GDP per capita,</w:t>
      </w:r>
      <w:r>
        <w:t xml:space="preserve"> </w:t>
      </w:r>
      <w:r>
        <w:t xml:space="preserve">creating three main categories: less-developed, transition, and more-developed regions.</w:t>
      </w:r>
      <w:r>
        <w:t xml:space="preserve"> </w:t>
      </w:r>
      <w:r>
        <w:t xml:space="preserve">As a result, most of the funds are targeted in less developed regions with a GDP per</w:t>
      </w:r>
      <w:r>
        <w:t xml:space="preserve"> </w:t>
      </w:r>
      <w:r>
        <w:t xml:space="preserve">capita under 75% of the EU average. This approach is broadly supported by stakeholders</w:t>
      </w:r>
      <w:r>
        <w:t xml:space="preserve"> </w:t>
      </w:r>
      <w:r>
        <w:t xml:space="preserve">and consistent with TFEU (Article 174).</w:t>
      </w:r>
      <w:r>
        <w:t xml:space="preserve"> </w:t>
      </w:r>
      <w:r>
        <w:t xml:space="preserve">Today, 120 million EU citizens live in regions with an average GDP per capita below</w:t>
      </w:r>
      <w:r>
        <w:t xml:space="preserve"> </w:t>
      </w:r>
      <w:r>
        <w:t xml:space="preserve">75% of the EU average; 60 million people live in regions with GDP per capita lower than</w:t>
      </w:r>
      <w:r>
        <w:t xml:space="preserve"> </w:t>
      </w:r>
      <w:r>
        <w:t xml:space="preserve">in 2000, and 75 million people live in regions with near-zero growth. Overall, one third</w:t>
      </w:r>
      <w:r>
        <w:t xml:space="preserve"> </w:t>
      </w:r>
      <w:r>
        <w:t xml:space="preserve">of the EU population lives in places that have slowly fallen behind. Economic activity</w:t>
      </w:r>
      <w:r>
        <w:t xml:space="preserve"> </w:t>
      </w:r>
      <w:r>
        <w:t xml:space="preserve">has become increasingly concentrated in major urban areas, while many regions – often</w:t>
      </w:r>
      <w:r>
        <w:t xml:space="preserve"> </w:t>
      </w:r>
      <w:r>
        <w:t xml:space="preserve">caught in development traps from which escaping is difficult – are stagnating.</w:t>
      </w:r>
      <w:r>
        <w:br/>
      </w:r>
      <w:r>
        <w:t xml:space="preserve">A system which, as currently, identifies three categories of development, is underpinned</w:t>
      </w:r>
      <w:r>
        <w:t xml:space="preserve"> </w:t>
      </w:r>
      <w:r>
        <w:t xml:space="preserve">by the principle that funding allocated to a specific category of regions must be used for</w:t>
      </w:r>
      <w:r>
        <w:t xml:space="preserve"> </w:t>
      </w:r>
      <w:r>
        <w:t xml:space="preserve">the benefit of that category (with some flexibilities). It helps ensuring an alignment</w:t>
      </w:r>
      <w:r>
        <w:t xml:space="preserve"> </w:t>
      </w:r>
      <w:r>
        <w:t xml:space="preserve">between EU spending for territorial cohesion and EU policies and provides a more long-</w:t>
      </w:r>
      <w:r>
        <w:t xml:space="preserve"> </w:t>
      </w:r>
      <w:r>
        <w:t xml:space="preserve">term framework for public investment, notably in less developed regions which can</w:t>
      </w:r>
      <w:r>
        <w:t xml:space="preserve"> </w:t>
      </w:r>
      <w:r>
        <w:t xml:space="preserve">incentivise private investment; also reflecting solidarity between all EU regions, which is</w:t>
      </w:r>
      <w:r>
        <w:t xml:space="preserve"> </w:t>
      </w:r>
      <w:r>
        <w:t xml:space="preserve">especially imperative when people in those regions feel increasingly left behind.</w:t>
      </w:r>
      <w:r>
        <w:br/>
      </w:r>
      <w:r>
        <w:t xml:space="preserve">Other requirements are imposed via thematic concentration mechanisms. For broad</w:t>
      </w:r>
      <w:r>
        <w:t xml:space="preserve"> </w:t>
      </w:r>
      <w:r>
        <w:t xml:space="preserve">and common challenges and EU policy priorities, these requirements have proven useful</w:t>
      </w:r>
      <w:r>
        <w:t xml:space="preserve"> </w:t>
      </w:r>
      <w:r>
        <w:t xml:space="preserve">to ensure cohesion policy funds contribute to specific policy objectives. Therefore, it</w:t>
      </w:r>
      <w:r>
        <w:t xml:space="preserve"> </w:t>
      </w:r>
      <w:r>
        <w:t xml:space="preserve">could be an important tool to increase the leverage of the EU budget and align it with</w:t>
      </w:r>
      <w:r>
        <w:t xml:space="preserve"> </w:t>
      </w:r>
      <w:r>
        <w:t xml:space="preserve">European strategic interests. However, concentration requirements can also lead to</w:t>
      </w:r>
      <w:r>
        <w:t xml:space="preserve"> </w:t>
      </w:r>
      <w:r>
        <w:t xml:space="preserve">rigidity in programming and reduce budgetary flexibility in times of evolving priorities</w:t>
      </w:r>
      <w:r>
        <w:t xml:space="preserve"> </w:t>
      </w:r>
      <w:r>
        <w:t xml:space="preserve">and emerging crises. In addition, the monitoring of the requirement and the mechanisms</w:t>
      </w:r>
      <w:r>
        <w:t xml:space="preserve"> </w:t>
      </w:r>
      <w:r>
        <w:t xml:space="preserve">put in place to ensure the achievement of these requirements can be an administrative</w:t>
      </w:r>
      <w:r>
        <w:t xml:space="preserve"> </w:t>
      </w:r>
      <w:r>
        <w:t xml:space="preserve">burden. Therefore, there is a policy trade-off between flexibility and the need to target</w:t>
      </w:r>
      <w:r>
        <w:t xml:space="preserve"> </w:t>
      </w:r>
      <w:r>
        <w:t xml:space="preserve">specific EU policy priorities.</w:t>
      </w:r>
      <w:r>
        <w:t xml:space="preserve"> </w:t>
      </w:r>
      <w:r>
        <w:t xml:space="preserve">Most EU funds allocate national envelopes upfront at the start of the programming</w:t>
      </w:r>
      <w:r>
        <w:t xml:space="preserve"> </w:t>
      </w:r>
      <w:r>
        <w:t xml:space="preserve">period. This leaves little room to allocate funding to account for new needs (without</w:t>
      </w:r>
      <w:r>
        <w:t xml:space="preserve"> </w:t>
      </w:r>
      <w:r>
        <w:t xml:space="preserve">reopening the regulatory framework) or to those Member States achieving better results.</w:t>
      </w:r>
      <w:r>
        <w:t xml:space="preserve"> </w:t>
      </w:r>
      <w:r>
        <w:t xml:space="preserve">Efforts have been made in the current programming period, but the approaches diverge</w:t>
      </w:r>
      <w:r>
        <w:t xml:space="preserve"> </w:t>
      </w:r>
      <w:r>
        <w:t xml:space="preserve">across funds17 . The lack of budgetary reserves at programme-level also limits the room</w:t>
      </w:r>
      <w:r>
        <w:t xml:space="preserve"> </w:t>
      </w:r>
      <w:r>
        <w:t xml:space="preserve">of manoeuvre at EU level to address new needs. In this regard, the three Thematic</w:t>
      </w:r>
      <w:r>
        <w:t xml:space="preserve"> </w:t>
      </w:r>
      <w:r>
        <w:t xml:space="preserve">Facilities under the home affairs funds are an innovation, with their multiannual scope,</w:t>
      </w:r>
      <w:r>
        <w:t xml:space="preserve"> </w:t>
      </w:r>
      <w:r>
        <w:t xml:space="preserve">mix of actions and because they combine all three management modes. Yet, increased</w:t>
      </w:r>
      <w:r>
        <w:t xml:space="preserve"> </w:t>
      </w:r>
      <w:r>
        <w:t xml:space="preserve">flexibility has also been coupled with higher administrative burden in the implementation</w:t>
      </w:r>
      <w:r>
        <w:t xml:space="preserve"> </w:t>
      </w:r>
      <w:r>
        <w:t xml:space="preserve">of the Facilities. The agricultural reserve is one of the main novelties of the current CAP</w:t>
      </w:r>
      <w:r>
        <w:t xml:space="preserve"> </w:t>
      </w:r>
      <w:r>
        <w:t xml:space="preserve">and has empowered the Commission to provide additional support to farmers in the event</w:t>
      </w:r>
      <w:r>
        <w:t xml:space="preserve"> </w:t>
      </w:r>
      <w:r>
        <w:t xml:space="preserve">of foreseen crises. While Member States agree on the need for better crisis management,</w:t>
      </w:r>
      <w:r>
        <w:t xml:space="preserve"> </w:t>
      </w:r>
      <w:r>
        <w:t xml:space="preserve">many call for a stronger focus on prevention and for more transparent criteria in the</w:t>
      </w:r>
      <w:r>
        <w:t xml:space="preserve"> </w:t>
      </w:r>
      <w:r>
        <w:t xml:space="preserve">management of the agricultural reserve. The present system of geographic allocations</w:t>
      </w:r>
    </w:p>
    <w:p>
      <w:pPr>
        <w:pStyle w:val="BodyText"/>
      </w:pPr>
      <w:r>
        <w:t xml:space="preserve">17 For example, the mid-term review of cohesion policy seeks to cater for Member States’ new needs but</w:t>
      </w:r>
      <w:r>
        <w:t xml:space="preserve"> </w:t>
      </w:r>
      <w:r>
        <w:t xml:space="preserve">without reallocating funding across Member States, while the mid-term review of the home affairs funds</w:t>
      </w:r>
      <w:r>
        <w:t xml:space="preserve"> </w:t>
      </w:r>
      <w:r>
        <w:t xml:space="preserve">aims to provide additional funding to Member States taking into account changes in needs</w:t>
      </w:r>
    </w:p>
    <w:p>
      <w:pPr>
        <w:pStyle w:val="BodyText"/>
      </w:pPr>
      <w:r>
        <w:t xml:space="preserve">across the three categories of regions has also been made more flexible in the 2021-27</w:t>
      </w:r>
      <w:r>
        <w:t xml:space="preserve"> </w:t>
      </w:r>
      <w:r>
        <w:t xml:space="preserve">programming period by permitting the transfer of a share of resources from less-</w:t>
      </w:r>
      <w:r>
        <w:t xml:space="preserve"> </w:t>
      </w:r>
      <w:r>
        <w:t xml:space="preserve">developed regions to other regions, with one Member State fully exploiting this</w:t>
      </w:r>
      <w:r>
        <w:t xml:space="preserve"> </w:t>
      </w:r>
      <w:r>
        <w:t xml:space="preserve">flexibility thus far.</w:t>
      </w:r>
      <w:r>
        <w:t xml:space="preserve"> </w:t>
      </w:r>
      <w:r>
        <w:t xml:space="preserve">The transfer of resources between CAP funds or among cohesion funds is working</w:t>
      </w:r>
      <w:r>
        <w:t xml:space="preserve"> </w:t>
      </w:r>
      <w:r>
        <w:t xml:space="preserve">well, but there is little appetite for transfers to other EU programmes. This is the</w:t>
      </w:r>
      <w:r>
        <w:t xml:space="preserve"> </w:t>
      </w:r>
      <w:r>
        <w:t xml:space="preserve">case, even if these share similar policy objectives or concern policy areas with higher</w:t>
      </w:r>
      <w:r>
        <w:t xml:space="preserve"> </w:t>
      </w:r>
      <w:r>
        <w:t xml:space="preserve">needs. Finally, although financial instruments help trigger investments for revenue-</w:t>
      </w:r>
      <w:r>
        <w:t xml:space="preserve"> </w:t>
      </w:r>
      <w:r>
        <w:t xml:space="preserve">generating and cost-saving activities, their uptake remains limited.</w:t>
      </w:r>
      <w:r>
        <w:t xml:space="preserve"> </w:t>
      </w:r>
      <w:r>
        <w:t xml:space="preserve">2.2.6. Problem driver 6: The delivery models are too complex</w:t>
      </w:r>
      <w:r>
        <w:t xml:space="preserve"> </w:t>
      </w:r>
      <w:r>
        <w:t xml:space="preserve">Currently, most EU funds with nationally pre-allocated envelopes reimburse</w:t>
      </w:r>
      <w:r>
        <w:t xml:space="preserve"> </w:t>
      </w:r>
      <w:r>
        <w:t xml:space="preserve">Member States on the basis of beneficiaries´ expenditure. Relying on real costs brings</w:t>
      </w:r>
      <w:r>
        <w:t xml:space="preserve"> </w:t>
      </w:r>
      <w:r>
        <w:t xml:space="preserve">complexity and burden for Member States’ authorities and beneficiaries and is also more</w:t>
      </w:r>
      <w:r>
        <w:t xml:space="preserve"> </w:t>
      </w:r>
      <w:r>
        <w:t xml:space="preserve">prone to errors. Furthermore, the focus is on managing invoices rather than the results</w:t>
      </w:r>
      <w:r>
        <w:t xml:space="preserve"> </w:t>
      </w:r>
      <w:r>
        <w:t xml:space="preserve">achieved by EU funding. The use of simplified cost options (SCOs)18 – unit costs, lump</w:t>
      </w:r>
      <w:r>
        <w:t xml:space="preserve"> </w:t>
      </w:r>
      <w:r>
        <w:t xml:space="preserve">sums and flat rates – has increased but remains limited, while the use of financing not</w:t>
      </w:r>
      <w:r>
        <w:t xml:space="preserve"> </w:t>
      </w:r>
      <w:r>
        <w:t xml:space="preserve">linked to costs (FNLC) remains sporadic19. Overall, the managing authorities’ lack of</w:t>
      </w:r>
      <w:r>
        <w:t xml:space="preserve"> </w:t>
      </w:r>
      <w:r>
        <w:t xml:space="preserve">experience and/or capacity, coupled with the difficulties in accessing relevant, quality</w:t>
      </w:r>
      <w:r>
        <w:t xml:space="preserve"> </w:t>
      </w:r>
      <w:r>
        <w:t xml:space="preserve">data to define the appropriate performance indicators, continue to be seen as bottlenecks</w:t>
      </w:r>
      <w:r>
        <w:t xml:space="preserve"> </w:t>
      </w:r>
      <w:r>
        <w:t xml:space="preserve">in implementing simplified forms of funding. Time constraints related to implementation</w:t>
      </w:r>
      <w:r>
        <w:t xml:space="preserve"> </w:t>
      </w:r>
      <w:r>
        <w:t xml:space="preserve">of parallel EU funds and programmes and divergent legal interpretations among relevant</w:t>
      </w:r>
      <w:r>
        <w:t xml:space="preserve"> </w:t>
      </w:r>
      <w:r>
        <w:t xml:space="preserve">actors – from the Commission to Member States’ managing authorities or the European</w:t>
      </w:r>
      <w:r>
        <w:t xml:space="preserve"> </w:t>
      </w:r>
      <w:r>
        <w:t xml:space="preserve">Court of Auditors – further complicate their uptake. This might be particularly</w:t>
      </w:r>
      <w:r>
        <w:t xml:space="preserve"> </w:t>
      </w:r>
      <w:r>
        <w:t xml:space="preserve">challenging for regional and local authorities with limited administrative capacity, whose</w:t>
      </w:r>
      <w:r>
        <w:t xml:space="preserve"> </w:t>
      </w:r>
      <w:r>
        <w:t xml:space="preserve">involvement is however important for the successful implementation of funding under</w:t>
      </w:r>
      <w:r>
        <w:t xml:space="preserve"> </w:t>
      </w:r>
      <w:r>
        <w:t xml:space="preserve">shared management. Support for institutional and administrative capacity is needed to</w:t>
      </w:r>
      <w:r>
        <w:t xml:space="preserve"> </w:t>
      </w:r>
      <w:r>
        <w:t xml:space="preserve">ensure successful implementation.</w:t>
      </w:r>
      <w:r>
        <w:t xml:space="preserve"> </w:t>
      </w:r>
      <w:r>
        <w:t xml:space="preserve">The Common Agricultural Policy has moved closer to a performance-based delivery</w:t>
      </w:r>
      <w:r>
        <w:t xml:space="preserve"> </w:t>
      </w:r>
      <w:r>
        <w:t xml:space="preserve">model, whereby all interventions are planned ex ante and linked to specific outputs</w:t>
      </w:r>
      <w:r>
        <w:t xml:space="preserve"> </w:t>
      </w:r>
      <w:r>
        <w:t xml:space="preserve">and results indicators in the CAP Strategic Plans. At the same time, it retains</w:t>
      </w:r>
      <w:r>
        <w:t xml:space="preserve"> </w:t>
      </w:r>
      <w:r>
        <w:t xml:space="preserve">elements of a cost-based delivery model, whereby the amounts reimbursed are the actual</w:t>
      </w:r>
      <w:r>
        <w:t xml:space="preserve"> </w:t>
      </w:r>
      <w:r>
        <w:t xml:space="preserve">costs incurred by Member States when reimbursing beneficiaries. While the move</w:t>
      </w:r>
      <w:r>
        <w:t xml:space="preserve"> </w:t>
      </w:r>
      <w:r>
        <w:t xml:space="preserve">towards a more performance-based delivery model has been welcomed by stakeholders,</w:t>
      </w:r>
      <w:r>
        <w:t xml:space="preserve"> </w:t>
      </w:r>
      <w:r>
        <w:t xml:space="preserve">it came with high transition costs and did not always translate into simplification for</w:t>
      </w:r>
    </w:p>
    <w:p>
      <w:pPr>
        <w:pStyle w:val="BodyText"/>
      </w:pPr>
      <w:r>
        <w:t xml:space="preserve">18 Unit costs and lump sums retain a link to costs of the particular action because the amounts are</w:t>
      </w:r>
      <w:r>
        <w:t xml:space="preserve"> </w:t>
      </w:r>
      <w:r>
        <w:t xml:space="preserve">calculated ex-ante as an approximation of the actual costs. However, these costs are not checked</w:t>
      </w:r>
      <w:r>
        <w:t xml:space="preserve"> </w:t>
      </w:r>
      <w:r>
        <w:t xml:space="preserve">afterwards, and the pre-defined amount is paid once the output is delivered. The impact on performance is</w:t>
      </w:r>
      <w:r>
        <w:t xml:space="preserve"> </w:t>
      </w:r>
      <w:r>
        <w:t xml:space="preserve">indirect, driven by simplification – instead of managing invoices, beneficiaries can focus on the</w:t>
      </w:r>
      <w:r>
        <w:t xml:space="preserve"> </w:t>
      </w:r>
      <w:r>
        <w:t xml:space="preserve">implementation of investments. The ESF+ is the frontrunner in the use of SCOs, with some 40% of the</w:t>
      </w:r>
      <w:r>
        <w:t xml:space="preserve"> </w:t>
      </w:r>
      <w:r>
        <w:t xml:space="preserve">2021-2027 budget implemented through SCOs and FNLC at the time of writing.</w:t>
      </w:r>
      <w:r>
        <w:t xml:space="preserve"> </w:t>
      </w:r>
      <w:r>
        <w:t xml:space="preserve">19 Under FNLC, payments are conditional upon the achievement of results and the fulfilment of conditions.</w:t>
      </w:r>
      <w:r>
        <w:t xml:space="preserve"> </w:t>
      </w:r>
      <w:r>
        <w:t xml:space="preserve">Despite the simpler payments and delivery it offers, only 12 FNLC schemes (mostly in the ESF+) have</w:t>
      </w:r>
      <w:r>
        <w:t xml:space="preserve"> </w:t>
      </w:r>
      <w:r>
        <w:t xml:space="preserve">been approved by the Commission in 9 Member States.</w:t>
      </w:r>
    </w:p>
    <w:p>
      <w:pPr>
        <w:pStyle w:val="BodyText"/>
      </w:pPr>
      <w:r>
        <w:t xml:space="preserve">Member States authorities or farmers20. To address these concerns, the Commission has</w:t>
      </w:r>
      <w:r>
        <w:t xml:space="preserve"> </w:t>
      </w:r>
      <w:r>
        <w:t xml:space="preserve">launched a simplification exercise, with packages of legislative and non-legislative</w:t>
      </w:r>
      <w:r>
        <w:t xml:space="preserve"> </w:t>
      </w:r>
      <w:r>
        <w:t xml:space="preserve">initiatives adopted in 2024 and 2025.</w:t>
      </w:r>
      <w:r>
        <w:t xml:space="preserve"> </w:t>
      </w:r>
      <w:r>
        <w:t xml:space="preserve">The RRF has shown that a performance-based delivery model can trigger faster</w:t>
      </w:r>
      <w:r>
        <w:t xml:space="preserve"> </w:t>
      </w:r>
      <w:r>
        <w:t xml:space="preserve">disbursements to Member States and ensure better value for money. The fulfilment</w:t>
      </w:r>
      <w:r>
        <w:t xml:space="preserve"> </w:t>
      </w:r>
      <w:r>
        <w:t xml:space="preserve">of milestones linked to reforms – which do not necessarily involve costs as such – also</w:t>
      </w:r>
      <w:r>
        <w:t xml:space="preserve"> </w:t>
      </w:r>
      <w:r>
        <w:t xml:space="preserve">impacts the level and timing of disbursements that have been negotiated with Member</w:t>
      </w:r>
      <w:r>
        <w:t xml:space="preserve"> </w:t>
      </w:r>
      <w:r>
        <w:t xml:space="preserve">States with the view to provide a strong incentive to frontload reforms. While subsequent</w:t>
      </w:r>
      <w:r>
        <w:t xml:space="preserve"> </w:t>
      </w:r>
      <w:r>
        <w:t xml:space="preserve">revisions of the plans made milestones and targets more focused and simpler to</w:t>
      </w:r>
      <w:r>
        <w:t xml:space="preserve"> </w:t>
      </w:r>
      <w:r>
        <w:t xml:space="preserve">implement, and the broader use of partial suspension mechanisms improved the delivery</w:t>
      </w:r>
      <w:r>
        <w:t xml:space="preserve"> </w:t>
      </w:r>
      <w:r>
        <w:t xml:space="preserve">model’s flexibility, these adjustments came at a high resource cost, and significant</w:t>
      </w:r>
      <w:r>
        <w:t xml:space="preserve"> </w:t>
      </w:r>
      <w:r>
        <w:t xml:space="preserve">challenges persist. Moreover, in most Member States, the disbursement from Member</w:t>
      </w:r>
      <w:r>
        <w:t xml:space="preserve"> </w:t>
      </w:r>
      <w:r>
        <w:t xml:space="preserve">States’ authorities to beneficiaries for measures supported by the RRF in the Member</w:t>
      </w:r>
      <w:r>
        <w:t xml:space="preserve"> </w:t>
      </w:r>
      <w:r>
        <w:t xml:space="preserve">States is almost exclusively done based on expenditure which strongly limits the</w:t>
      </w:r>
      <w:r>
        <w:t xml:space="preserve"> </w:t>
      </w:r>
      <w:r>
        <w:t xml:space="preserve">simplification for beneficiaries.</w:t>
      </w:r>
      <w:r>
        <w:br/>
      </w:r>
      <w:r>
        <w:t xml:space="preserve">2.2.7. Problem driver 7: Low uptake of cross-border and multi-country</w:t>
      </w:r>
      <w:r>
        <w:t xml:space="preserve"> </w:t>
      </w:r>
      <w:r>
        <w:t xml:space="preserve">projects</w:t>
      </w:r>
      <w:r>
        <w:t xml:space="preserve"> </w:t>
      </w:r>
      <w:r>
        <w:t xml:space="preserve">Cross-border projects</w:t>
      </w:r>
      <w:r>
        <w:t xml:space="preserve"> </w:t>
      </w:r>
      <w:r>
        <w:t xml:space="preserve">Cross-border projects21 and projects of high EU relevance are key to ensuring</w:t>
      </w:r>
      <w:r>
        <w:t xml:space="preserve"> </w:t>
      </w:r>
      <w:r>
        <w:t xml:space="preserve">connectivity and coherence across the Union and to fully reap the benefits of the</w:t>
      </w:r>
      <w:r>
        <w:t xml:space="preserve"> </w:t>
      </w:r>
      <w:r>
        <w:t xml:space="preserve">Single Market. While EU programmes with nationally pre-allocated envelopes support a</w:t>
      </w:r>
      <w:r>
        <w:t xml:space="preserve"> </w:t>
      </w:r>
      <w:r>
        <w:t xml:space="preserve">considerable amount of the latter, the uptake of genuine cross-border projects remains</w:t>
      </w:r>
      <w:r>
        <w:t xml:space="preserve"> </w:t>
      </w:r>
      <w:r>
        <w:t xml:space="preserve">low. While cross-border projects create significant positive externalities and foster</w:t>
      </w:r>
      <w:r>
        <w:t xml:space="preserve"> </w:t>
      </w:r>
      <w:r>
        <w:t xml:space="preserve">solidarity, they also entail specific challenges for project promoters, due to their multi-</w:t>
      </w:r>
      <w:r>
        <w:t xml:space="preserve"> </w:t>
      </w:r>
      <w:r>
        <w:t xml:space="preserve">jurisdictional nature and coordination issues. The unequal distribution of project benefits</w:t>
      </w:r>
      <w:r>
        <w:t xml:space="preserve"> </w:t>
      </w:r>
      <w:r>
        <w:t xml:space="preserve">and project costs between the different Member States concerned makes it more difficult</w:t>
      </w:r>
      <w:r>
        <w:t xml:space="preserve"> </w:t>
      </w:r>
      <w:r>
        <w:t xml:space="preserve">to finance these projects from national funding sources alone.</w:t>
      </w:r>
      <w:r>
        <w:br/>
      </w:r>
      <w:r>
        <w:t xml:space="preserve">The resulting market failures, whereby positive externalities of cross-border investments</w:t>
      </w:r>
      <w:r>
        <w:t xml:space="preserve"> </w:t>
      </w:r>
      <w:r>
        <w:t xml:space="preserve">are not considered in public or private investment decisions, calls for an intervention at</w:t>
      </w:r>
      <w:r>
        <w:t xml:space="preserve"> </w:t>
      </w:r>
      <w:r>
        <w:t xml:space="preserve">the EU level. To overcome this, the directly managed CEF programme focuses on</w:t>
      </w:r>
      <w:r>
        <w:t xml:space="preserve"> </w:t>
      </w:r>
      <w:r>
        <w:t xml:space="preserve">projects which bring large benefits to the EU as a whole, but whose commercial cost-</w:t>
      </w:r>
      <w:r>
        <w:t xml:space="preserve"> </w:t>
      </w:r>
      <w:r>
        <w:t xml:space="preserve">benefit ratio tends to be low or whose costs and benefits are unevenly distributed across</w:t>
      </w:r>
      <w:r>
        <w:t xml:space="preserve"> </w:t>
      </w:r>
      <w:r>
        <w:t xml:space="preserve">borders. One key success of the CEF has been the creation of integrated management</w:t>
      </w:r>
      <w:r>
        <w:t xml:space="preserve"> </w:t>
      </w:r>
      <w:r>
        <w:t xml:space="preserve">structures between different Member States (from regional groups to joint ventures or a</w:t>
      </w:r>
      <w:r>
        <w:t xml:space="preserve"> </w:t>
      </w:r>
      <w:r>
        <w:t xml:space="preserve">bilateral legal framework) to facilitate coordination in the implementation of complex</w:t>
      </w:r>
      <w:r>
        <w:t xml:space="preserve"> </w:t>
      </w:r>
      <w:r>
        <w:t xml:space="preserve">cross-border projects.</w:t>
      </w:r>
    </w:p>
    <w:p>
      <w:pPr>
        <w:pStyle w:val="BodyText"/>
      </w:pPr>
      <w:r>
        <w:t xml:space="preserve">20 For instance, Member States still need to ensure the regularity and legality of EU funds spending at</w:t>
      </w:r>
      <w:r>
        <w:t xml:space="preserve"> </w:t>
      </w:r>
      <w:r>
        <w:t xml:space="preserve">beneficiary level. The challenge has been even greater for regionalised Member States who needed to</w:t>
      </w:r>
      <w:r>
        <w:t xml:space="preserve"> </w:t>
      </w:r>
      <w:r>
        <w:t xml:space="preserve">redefine the cooperation mechanisms between the regional and national levels.</w:t>
      </w:r>
      <w:r>
        <w:t xml:space="preserve"> </w:t>
      </w:r>
      <w:r>
        <w:t xml:space="preserve">21 Cross-border projects are those aiming to link two or more Member States’ infrastructure (for instance, a</w:t>
      </w:r>
      <w:r>
        <w:t xml:space="preserve"> </w:t>
      </w:r>
      <w:r>
        <w:t xml:space="preserve">railway link, an electricity interconnector, a terrestrial or submarine cable or IT systems).</w:t>
      </w:r>
    </w:p>
    <w:p>
      <w:pPr>
        <w:pStyle w:val="BodyText"/>
      </w:pPr>
      <w:r>
        <w:t xml:space="preserve">Multi-country projects</w:t>
      </w:r>
      <w:r>
        <w:t xml:space="preserve"> </w:t>
      </w:r>
      <w:r>
        <w:t xml:space="preserve">“Multi-country projects” aim to foster cross-border cooperation between Member</w:t>
      </w:r>
      <w:r>
        <w:t xml:space="preserve"> </w:t>
      </w:r>
      <w:r>
        <w:t xml:space="preserve">States’ authorities or project promoters from different countries. They serve to</w:t>
      </w:r>
      <w:r>
        <w:t xml:space="preserve"> </w:t>
      </w:r>
      <w:r>
        <w:t xml:space="preserve">jointly tackle common challenges and find shared solutions in fields such as health,</w:t>
      </w:r>
      <w:r>
        <w:t xml:space="preserve"> </w:t>
      </w:r>
      <w:r>
        <w:t xml:space="preserve">environment, research, education, transport, sustainable energy and more. For instance,</w:t>
      </w:r>
      <w:r>
        <w:t xml:space="preserve"> </w:t>
      </w:r>
      <w:r>
        <w:t xml:space="preserve">HOME funds promote cross-border cooperation through transnational cooperation</w:t>
      </w:r>
      <w:r>
        <w:t xml:space="preserve"> </w:t>
      </w:r>
      <w:r>
        <w:t xml:space="preserve">networks for visa processing and joint operations in relation to terrorism and organised</w:t>
      </w:r>
      <w:r>
        <w:t xml:space="preserve"> </w:t>
      </w:r>
      <w:r>
        <w:t xml:space="preserve">crime. Multi-country projects also support environmental protection, as they often</w:t>
      </w:r>
      <w:r>
        <w:t xml:space="preserve"> </w:t>
      </w:r>
      <w:r>
        <w:t xml:space="preserve">involve the conservation of natural areas that span national borders (e.g. transnational</w:t>
      </w:r>
      <w:r>
        <w:t xml:space="preserve"> </w:t>
      </w:r>
      <w:r>
        <w:t xml:space="preserve">species populations or managing Natura 2000 sites).</w:t>
      </w:r>
      <w:r>
        <w:br/>
      </w:r>
      <w:r>
        <w:t xml:space="preserve">Important Projects of Common European Interest (IPCEIs) are of a strategic</w:t>
      </w:r>
      <w:r>
        <w:t xml:space="preserve"> </w:t>
      </w:r>
      <w:r>
        <w:t xml:space="preserve">importance for the Union and thus bring a very high EU added value. The mid-term</w:t>
      </w:r>
      <w:r>
        <w:t xml:space="preserve"> </w:t>
      </w:r>
      <w:r>
        <w:t xml:space="preserve">evaluation of the RRF showed that the Facility helped increase the number of Member</w:t>
      </w:r>
      <w:r>
        <w:t xml:space="preserve"> </w:t>
      </w:r>
      <w:r>
        <w:t xml:space="preserve">States participating in IPCEI projects (in particular for hydrogen, microelectronics and</w:t>
      </w:r>
      <w:r>
        <w:t xml:space="preserve"> </w:t>
      </w:r>
      <w:r>
        <w:t xml:space="preserve">connectivity), including several in Central and Eastern Europe, which would not have</w:t>
      </w:r>
      <w:r>
        <w:t xml:space="preserve"> </w:t>
      </w:r>
      <w:r>
        <w:t xml:space="preserve">participated otherwise. However, there is still scope for improvement to ensure coherence</w:t>
      </w:r>
      <w:r>
        <w:t xml:space="preserve"> </w:t>
      </w:r>
      <w:r>
        <w:t xml:space="preserve">in procedures when IPCEI projects are funded via shared management funds and to avoid</w:t>
      </w:r>
      <w:r>
        <w:t xml:space="preserve"> </w:t>
      </w:r>
      <w:r>
        <w:t xml:space="preserve">duplication in assessment and delays in procedures and for the Commission to play a</w:t>
      </w:r>
      <w:r>
        <w:t xml:space="preserve"> </w:t>
      </w:r>
      <w:r>
        <w:t xml:space="preserve">more proactive coordination role22.</w:t>
      </w:r>
      <w:r>
        <w:br/>
      </w:r>
      <w:r>
        <w:t xml:space="preserve">Interreg</w:t>
      </w:r>
      <w:r>
        <w:t xml:space="preserve"> </w:t>
      </w:r>
      <w:r>
        <w:t xml:space="preserve">Interreg helps overcome border obstacles and capitalise on border opportunities, such as</w:t>
      </w:r>
      <w:r>
        <w:t xml:space="preserve"> </w:t>
      </w:r>
      <w:r>
        <w:t xml:space="preserve">the establishment and improvement of public transport links and services or the setting</w:t>
      </w:r>
      <w:r>
        <w:t xml:space="preserve"> </w:t>
      </w:r>
      <w:r>
        <w:t xml:space="preserve">up of joint facilities (e.g. waste management plants, healthcare infrastructure). In</w:t>
      </w:r>
      <w:r>
        <w:t xml:space="preserve"> </w:t>
      </w:r>
      <w:r>
        <w:t xml:space="preserve">addition, Interreg plays a crucial role in building trust and bridges with third countries,</w:t>
      </w:r>
      <w:r>
        <w:t xml:space="preserve"> </w:t>
      </w:r>
      <w:r>
        <w:t xml:space="preserve">such as Ukraine, Moldova, Georgia and those in the Western Balkans, fostering</w:t>
      </w:r>
      <w:r>
        <w:t xml:space="preserve"> </w:t>
      </w:r>
      <w:r>
        <w:t xml:space="preserve">cooperation and cohesion beyond EU borders. However, several challenges need to be</w:t>
      </w:r>
      <w:r>
        <w:t xml:space="preserve"> </w:t>
      </w:r>
      <w:r>
        <w:t xml:space="preserve">addressed – including the limited integration within national/regional programmes,</w:t>
      </w:r>
      <w:r>
        <w:t xml:space="preserve"> </w:t>
      </w:r>
      <w:r>
        <w:t xml:space="preserve">administrative and legal barriers, and the need to tailor approaches to diverse border</w:t>
      </w:r>
      <w:r>
        <w:t xml:space="preserve"> </w:t>
      </w:r>
      <w:r>
        <w:t xml:space="preserve">contexts and policy frameworks. Evaluating project impact and ensuring long-term</w:t>
      </w:r>
      <w:r>
        <w:t xml:space="preserve"> </w:t>
      </w:r>
      <w:r>
        <w:t xml:space="preserve">sustainability are also significant hurdles, particularly after funding ends.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2.3.1. Problem 1: Suboptimal spending</w:t>
      </w:r>
      <w:r>
        <w:t xml:space="preserve"> </w:t>
      </w:r>
      <w:r>
        <w:t xml:space="preserve">Without changes to the EU-level framework, the fragmentation of nationally pre-</w:t>
      </w:r>
      <w:r>
        <w:t xml:space="preserve"> </w:t>
      </w:r>
      <w:r>
        <w:t xml:space="preserve">allocated envelopes is likely to continue to lead to suboptimal spending as described</w:t>
      </w:r>
      <w:r>
        <w:t xml:space="preserve"> </w:t>
      </w:r>
      <w:r>
        <w:t xml:space="preserve">above. In the context of national fiscal consolidation, little progress on new own</w:t>
      </w:r>
      <w:r>
        <w:t xml:space="preserve"> </w:t>
      </w:r>
      <w:r>
        <w:t xml:space="preserve">resources for the EU budget and the repayment of the NextGenerationEU borrowing to</w:t>
      </w:r>
      <w:r>
        <w:t xml:space="preserve"> </w:t>
      </w:r>
      <w:r>
        <w:t xml:space="preserve">start as of 2028, the negative impact will even be higher. The policy challenges of the</w:t>
      </w:r>
      <w:r>
        <w:t xml:space="preserve"> </w:t>
      </w:r>
      <w:r>
        <w:t xml:space="preserve">past will remain relevant. At the same time, the Letta and Draghi reports duly underline</w:t>
      </w:r>
      <w:r>
        <w:t xml:space="preserve"> </w:t>
      </w:r>
      <w:r>
        <w:t xml:space="preserve">that new and emerging policy challenges linked to competitiveness, reindustrialisation,</w:t>
      </w:r>
      <w:r>
        <w:t xml:space="preserve"> </w:t>
      </w:r>
      <w:r>
        <w:t xml:space="preserve">demographic decline, defence, climate adaptation and digitalisation, require significant</w:t>
      </w:r>
    </w:p>
    <w:p>
      <w:pPr>
        <w:pStyle w:val="BodyText"/>
      </w:pPr>
      <w:r>
        <w:t xml:space="preserve">22 Through the establishment of the Joint European Forum for IPCEI (JEF-IPCEI) in October 2023 and the</w:t>
      </w:r>
      <w:r>
        <w:t xml:space="preserve"> </w:t>
      </w:r>
      <w:r>
        <w:t xml:space="preserve">newly initiated IPCEI Design Support Hub.</w:t>
      </w:r>
    </w:p>
    <w:p>
      <w:pPr>
        <w:pStyle w:val="BodyText"/>
      </w:pPr>
      <w:r>
        <w:t xml:space="preserve">investments. These various factors increase the risk of fragmentation and overlaps if left</w:t>
      </w:r>
      <w:r>
        <w:t xml:space="preserve"> </w:t>
      </w:r>
      <w:r>
        <w:t xml:space="preserve">unaddressed, and hence will make the optimal use of every euro spent by the EU budget</w:t>
      </w:r>
      <w:r>
        <w:t xml:space="preserve"> </w:t>
      </w:r>
      <w:r>
        <w:t xml:space="preserve">all the more important to make sure it is able to support the Union’s policy priorities</w:t>
      </w:r>
      <w:r>
        <w:t xml:space="preserve"> </w:t>
      </w:r>
      <w:r>
        <w:t xml:space="preserve">coherently.</w:t>
      </w:r>
      <w:r>
        <w:br/>
      </w:r>
      <w:r>
        <w:t xml:space="preserve">2.3.2. Problem 2: High administrative burden for beneficiaries, Member</w:t>
      </w:r>
      <w:r>
        <w:t xml:space="preserve"> </w:t>
      </w:r>
      <w:r>
        <w:t xml:space="preserve">States and the Commission</w:t>
      </w:r>
      <w:r>
        <w:t xml:space="preserve"> </w:t>
      </w:r>
      <w:r>
        <w:t xml:space="preserve">Without changes to the EU-level framework, the implementation of EU funds with</w:t>
      </w:r>
      <w:r>
        <w:t xml:space="preserve"> </w:t>
      </w:r>
      <w:r>
        <w:t xml:space="preserve">nationally pre-allocated envelopes is likely to continue incurring delays and slow</w:t>
      </w:r>
      <w:r>
        <w:t xml:space="preserve"> </w:t>
      </w:r>
      <w:r>
        <w:t xml:space="preserve">disbursements at the beginning of the implementation period. As a result, there will</w:t>
      </w:r>
      <w:r>
        <w:t xml:space="preserve"> </w:t>
      </w:r>
      <w:r>
        <w:t xml:space="preserve">continue to be a time lapse between the moment EU funding is needed and when it is</w:t>
      </w:r>
      <w:r>
        <w:t xml:space="preserve"> </w:t>
      </w:r>
      <w:r>
        <w:t xml:space="preserve">eventually disbursed. Managing multiple programmes in parallel will also continue</w:t>
      </w:r>
      <w:r>
        <w:t xml:space="preserve"> </w:t>
      </w:r>
      <w:r>
        <w:t xml:space="preserve">stretching Member States and regions’ administrative resources. The perspective of</w:t>
      </w:r>
      <w:r>
        <w:t xml:space="preserve"> </w:t>
      </w:r>
      <w:r>
        <w:t xml:space="preserve">enlargement will make administrative capacity all the more important, with (potential)</w:t>
      </w:r>
      <w:r>
        <w:t xml:space="preserve"> </w:t>
      </w:r>
      <w:r>
        <w:t xml:space="preserve">candidate countries and potential candidate countries having to significantly boost their</w:t>
      </w:r>
      <w:r>
        <w:t xml:space="preserve"> </w:t>
      </w:r>
      <w:r>
        <w:t xml:space="preserve">capability to implement EU policies and manage EU funds.</w:t>
      </w:r>
      <w:r>
        <w:t xml:space="preserve"> </w:t>
      </w:r>
      <w:r>
        <w:t xml:space="preserve">Lastly, the perceived complexity of EU funds could reduce the accessibility and the</w:t>
      </w:r>
      <w:r>
        <w:t xml:space="preserve"> </w:t>
      </w:r>
      <w:r>
        <w:t xml:space="preserve">attractiveness of EU funding for beneficiaries in the future. While the consequences of</w:t>
      </w:r>
      <w:r>
        <w:t xml:space="preserve"> </w:t>
      </w:r>
      <w:r>
        <w:t xml:space="preserve">the latter cannot be determined at this stage, also due to the major role played by national</w:t>
      </w:r>
      <w:r>
        <w:t xml:space="preserve"> </w:t>
      </w:r>
      <w:r>
        <w:t xml:space="preserve">implementing rules, one cannot discard that it could lead to new waves of protests in</w:t>
      </w:r>
      <w:r>
        <w:t xml:space="preserve"> </w:t>
      </w:r>
      <w:r>
        <w:t xml:space="preserve">some sectors such as agriculture, despite the simplification actions already implemented</w:t>
      </w:r>
      <w:r>
        <w:t xml:space="preserve"> </w:t>
      </w:r>
      <w:r>
        <w:t xml:space="preserve">in the current period, or encourage EU companies, SMEs and others to seek funding</w:t>
      </w:r>
      <w:r>
        <w:t xml:space="preserve"> </w:t>
      </w:r>
      <w:r>
        <w:t xml:space="preserve">elsewhere, including outside of the EU.</w:t>
      </w:r>
      <w:r>
        <w:br/>
      </w:r>
      <w:r>
        <w:t xml:space="preserve">2.3.3. Problem 3: Limited capacity to quickly respond to emerging needs</w:t>
      </w:r>
      <w:r>
        <w:t xml:space="preserve"> </w:t>
      </w:r>
      <w:r>
        <w:t xml:space="preserve">As outlined in the Niinisto report23, the confluence of different risks leads to an increased</w:t>
      </w:r>
      <w:r>
        <w:t xml:space="preserve"> </w:t>
      </w:r>
      <w:r>
        <w:t xml:space="preserve">probability of major cross-sectoral crises, shocks and disruptions occurring</w:t>
      </w:r>
      <w:r>
        <w:t xml:space="preserve"> </w:t>
      </w:r>
      <w:r>
        <w:t xml:space="preserve">simultaneously in the years ahead. Without changes to the EU-level framework, the EU</w:t>
      </w:r>
      <w:r>
        <w:t xml:space="preserve"> </w:t>
      </w:r>
      <w:r>
        <w:t xml:space="preserve">budget will not be equipped to quickly and efficiently address these challenges.</w:t>
      </w:r>
      <w:r>
        <w:t xml:space="preserve"> </w:t>
      </w:r>
      <w:r>
        <w:t xml:space="preserve">Furthermore, the continued use of the ad-hoc mechanisms developed in the current</w:t>
      </w:r>
      <w:r>
        <w:t xml:space="preserve"> </w:t>
      </w:r>
      <w:r>
        <w:t xml:space="preserve">programming period heightens the risk of undermining the delivery of EU’s policy</w:t>
      </w:r>
      <w:r>
        <w:t xml:space="preserve"> </w:t>
      </w:r>
      <w:r>
        <w:t xml:space="preserve">objectives in the longer term. Overall, the lack of flexibility could reduce the relevance</w:t>
      </w:r>
      <w:r>
        <w:t xml:space="preserve"> </w:t>
      </w:r>
      <w:r>
        <w:t xml:space="preserve">and added value of the Union’s budget for Member States, stakeholders and citizens in</w:t>
      </w:r>
      <w:r>
        <w:t xml:space="preserve"> </w:t>
      </w:r>
      <w:r>
        <w:t xml:space="preserve">general.</w:t>
      </w:r>
      <w:r>
        <w:br/>
      </w:r>
      <w:r>
        <w:t xml:space="preserve">2.3.4. Problem 4: Low coherence across funds, policy frameworks, reforms</w:t>
      </w:r>
      <w:r>
        <w:t xml:space="preserve"> </w:t>
      </w:r>
      <w:r>
        <w:t xml:space="preserve">and investments</w:t>
      </w:r>
      <w:r>
        <w:t xml:space="preserve"> </w:t>
      </w:r>
      <w:r>
        <w:t xml:space="preserve">Without changes to the EU-level framework, EU funds with nationally pre-allocated</w:t>
      </w:r>
      <w:r>
        <w:t xml:space="preserve"> </w:t>
      </w:r>
      <w:r>
        <w:t xml:space="preserve">envelopes would continue to rely on different policy documents and reference</w:t>
      </w:r>
      <w:r>
        <w:t xml:space="preserve"> </w:t>
      </w:r>
      <w:r>
        <w:t xml:space="preserve">frameworks, making it difficult to identify the reforms and investments needs that best</w:t>
      </w:r>
      <w:r>
        <w:t xml:space="preserve"> </w:t>
      </w:r>
      <w:r>
        <w:t xml:space="preserve">serve the Union’s objectives. As a result, the gap between the EU policy priorities and</w:t>
      </w:r>
      <w:r>
        <w:t xml:space="preserve"> </w:t>
      </w:r>
      <w:r>
        <w:t xml:space="preserve">what is financed by the EU budget would remain and possibly widen further.</w:t>
      </w:r>
    </w:p>
    <w:p>
      <w:pPr>
        <w:pStyle w:val="BodyText"/>
      </w:pPr>
      <w:r>
        <w:t xml:space="preserve">23 Report on “Strengthening Europe’s civilian and military preparedness and readiness”, 5bb2881f-9e29-</w:t>
      </w:r>
      <w:r>
        <w:t xml:space="preserve"> </w:t>
      </w:r>
      <w:r>
        <w:t xml:space="preserve">42f2-8b77-8739b19d047c_en</w:t>
      </w:r>
    </w:p>
    <w:p>
      <w:pPr>
        <w:pStyle w:val="BodyText"/>
      </w:pPr>
      <w:r>
        <w:t xml:space="preserve">Furthermore, progress in implementing reforms will most likely remain slow and uneven</w:t>
      </w:r>
      <w:r>
        <w:t xml:space="preserve"> </w:t>
      </w:r>
      <w:r>
        <w:t xml:space="preserve">across Member States. While the RRF has positively impacted Member States’ reform</w:t>
      </w:r>
      <w:r>
        <w:t xml:space="preserve"> </w:t>
      </w:r>
      <w:r>
        <w:t xml:space="preserve">efforts, additional reform efforts will be needed to address critical challenges such as low</w:t>
      </w:r>
      <w:r>
        <w:t xml:space="preserve"> </w:t>
      </w:r>
      <w:r>
        <w:t xml:space="preserve">productivity growth or demographic trends, among others. In view of a potentially larger</w:t>
      </w:r>
      <w:r>
        <w:t xml:space="preserve"> </w:t>
      </w:r>
      <w:r>
        <w:t xml:space="preserve">Union in the years to come, an additional emphasis on supporting candidate and new</w:t>
      </w:r>
      <w:r>
        <w:t xml:space="preserve"> </w:t>
      </w:r>
      <w:r>
        <w:t xml:space="preserve">Member States to continue their reform path towards convergence will also be needed.</w:t>
      </w:r>
      <w:r>
        <w:t xml:space="preserve"> </w:t>
      </w:r>
      <w:r>
        <w:t xml:space="preserve">With the end of the RRF in 2026, and in the absence of a dedicated focus on reforms in</w:t>
      </w:r>
      <w:r>
        <w:t xml:space="preserve"> </w:t>
      </w:r>
      <w:r>
        <w:t xml:space="preserve">the next MFF, there would be limited capacity at Union level to incentivise the reform</w:t>
      </w:r>
      <w:r>
        <w:t xml:space="preserve"> </w:t>
      </w:r>
      <w:r>
        <w:t xml:space="preserve">efforts.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174 TFEU commits the EU to promote economic, social and territorial cohesion.</w:t>
      </w:r>
      <w:r>
        <w:t xml:space="preserve"> </w:t>
      </w:r>
      <w:r>
        <w:t xml:space="preserve">Articles 176, 177 and 162 TFEU establish the ERDF, CF and ESF respectively and</w:t>
      </w:r>
      <w:r>
        <w:t xml:space="preserve"> </w:t>
      </w:r>
      <w:r>
        <w:t xml:space="preserve">define their respective objectives. Article 38 TFEU empowers the EU to define and</w:t>
      </w:r>
      <w:r>
        <w:t xml:space="preserve"> </w:t>
      </w:r>
      <w:r>
        <w:t xml:space="preserve">implement a common agriculture and fisheries policy. Article 39 TFEU sets the</w:t>
      </w:r>
      <w:r>
        <w:t xml:space="preserve"> </w:t>
      </w:r>
      <w:r>
        <w:t xml:space="preserve">objectives of the CAP, which include the increase of agricultural productivity, a fair</w:t>
      </w:r>
      <w:r>
        <w:t xml:space="preserve"> </w:t>
      </w:r>
      <w:r>
        <w:t xml:space="preserve">standard of living for the agricultural community, stabilise markets, assure the</w:t>
      </w:r>
      <w:r>
        <w:t xml:space="preserve"> </w:t>
      </w:r>
      <w:r>
        <w:t xml:space="preserve">availability of supplies and that these supplies reach consumers at reasonable prices. The</w:t>
      </w:r>
      <w:r>
        <w:t xml:space="preserve"> </w:t>
      </w:r>
      <w:r>
        <w:t xml:space="preserve">Treaties task the Union with the constitution of an area of freedom, security and justice,</w:t>
      </w:r>
      <w:r>
        <w:t xml:space="preserve"> </w:t>
      </w:r>
      <w:r>
        <w:t xml:space="preserve">based on a common policy on asylum, immigration and external border control, a high</w:t>
      </w:r>
      <w:r>
        <w:t xml:space="preserve"> </w:t>
      </w:r>
      <w:r>
        <w:t xml:space="preserve">level of security and no internal border controls for persons.</w:t>
      </w:r>
      <w:r>
        <w:br/>
      </w:r>
      <w:r>
        <w:t xml:space="preserve">Article 175 TFEU lists the Structural Funds, which shall support the achievement of</w:t>
      </w:r>
      <w:r>
        <w:t xml:space="preserve"> </w:t>
      </w:r>
      <w:r>
        <w:t xml:space="preserve">economic, social and territorial cohesion – the European Agricultural Guidance and</w:t>
      </w:r>
      <w:r>
        <w:t xml:space="preserve"> </w:t>
      </w:r>
      <w:r>
        <w:t xml:space="preserve">Guarantee Fund, Guidance Section; European Social Fund; European Regional</w:t>
      </w:r>
      <w:r>
        <w:t xml:space="preserve"> </w:t>
      </w:r>
      <w:r>
        <w:t xml:space="preserve">Development Fund. Article 177 TFEU provides that “the European Parliament and the</w:t>
      </w:r>
      <w:r>
        <w:t xml:space="preserve"> </w:t>
      </w:r>
      <w:r>
        <w:t xml:space="preserve">Council […] shall define the tasks, priority objectives and the organisation of the</w:t>
      </w:r>
      <w:r>
        <w:t xml:space="preserve"> </w:t>
      </w:r>
      <w:r>
        <w:t xml:space="preserve">Structural Funds, which may involve grouping the Funds.” Furthermore, Article 177 (2)</w:t>
      </w:r>
      <w:r>
        <w:t xml:space="preserve"> </w:t>
      </w:r>
      <w:r>
        <w:t xml:space="preserve">TFEU provides that “a Cohesion Fund set up in accordance with the same procedure</w:t>
      </w:r>
      <w:r>
        <w:t xml:space="preserve"> </w:t>
      </w:r>
      <w:r>
        <w:t xml:space="preserve">shall provide a financial contribution to projects in the fields of environment and trans-</w:t>
      </w:r>
      <w:r>
        <w:t xml:space="preserve"> </w:t>
      </w:r>
      <w:r>
        <w:t xml:space="preserve">European networks in the area of transport infrastructure”.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Nationally pre-allocated envelopes play a vital role in delivering on EU priorities</w:t>
      </w:r>
      <w:r>
        <w:t xml:space="preserve"> </w:t>
      </w:r>
      <w:r>
        <w:t xml:space="preserve">across all Member States and regions. Cohesion Policy is a prime example of EU</w:t>
      </w:r>
      <w:r>
        <w:t xml:space="preserve"> </w:t>
      </w:r>
      <w:r>
        <w:t xml:space="preserve">solidarity in action, promoting integration and cooperation among Member States and</w:t>
      </w:r>
      <w:r>
        <w:t xml:space="preserve"> </w:t>
      </w:r>
      <w:r>
        <w:t xml:space="preserve">reducing regional disparities within and between Member States, including between</w:t>
      </w:r>
      <w:r>
        <w:t xml:space="preserve"> </w:t>
      </w:r>
      <w:r>
        <w:t xml:space="preserve">urban, rural, coastal or sparsely populated areas and between Europe’s mainland and</w:t>
      </w:r>
      <w:r>
        <w:t xml:space="preserve"> </w:t>
      </w:r>
      <w:r>
        <w:t xml:space="preserve">outermost regions and islands. Cohesion policy funding has triggered investments that</w:t>
      </w:r>
      <w:r>
        <w:t xml:space="preserve"> </w:t>
      </w:r>
      <w:r>
        <w:t xml:space="preserve">would not have materialised with the same scope, ambition and speed if the EU funding</w:t>
      </w:r>
      <w:r>
        <w:t xml:space="preserve"> </w:t>
      </w:r>
      <w:r>
        <w:t xml:space="preserve">was not available24. RRF contributes to Member States’ and regions’ economic and</w:t>
      </w:r>
      <w:r>
        <w:t xml:space="preserve"> </w:t>
      </w:r>
      <w:r>
        <w:t xml:space="preserve">social recovery and resilience, while also accelerating the green and digital transition.</w:t>
      </w:r>
    </w:p>
    <w:p>
      <w:pPr>
        <w:pStyle w:val="BodyText"/>
      </w:pPr>
      <w:r>
        <w:t xml:space="preserve">24 Ex-post evaluation of the 2014-2020 cohesion policy</w:t>
      </w:r>
    </w:p>
    <w:p>
      <w:pPr>
        <w:pStyle w:val="BodyText"/>
      </w:pPr>
      <w:r>
        <w:t xml:space="preserve">The application of common rules linked to CAP funding helps ensure a level playing</w:t>
      </w:r>
      <w:r>
        <w:t xml:space="preserve"> </w:t>
      </w:r>
      <w:r>
        <w:t xml:space="preserve">field among Member States in the agri-food sector. The combination of the CAP</w:t>
      </w:r>
      <w:r>
        <w:t xml:space="preserve"> </w:t>
      </w:r>
      <w:r>
        <w:t xml:space="preserve">policy tools contributes to a fair standard of living for farmers across the EU,</w:t>
      </w:r>
      <w:r>
        <w:t xml:space="preserve"> </w:t>
      </w:r>
      <w:r>
        <w:t xml:space="preserve">guaranteeing food security throughout the Union, enhancing the attractiveness of the</w:t>
      </w:r>
      <w:r>
        <w:t xml:space="preserve"> </w:t>
      </w:r>
      <w:r>
        <w:t xml:space="preserve">sector also for new entrants, and addressing challenges of a cross-border and global</w:t>
      </w:r>
      <w:r>
        <w:t xml:space="preserve"> </w:t>
      </w:r>
      <w:r>
        <w:t xml:space="preserve">nature.</w:t>
      </w:r>
      <w:r>
        <w:br/>
      </w:r>
      <w:r>
        <w:t xml:space="preserve">The conservation of marine resources, being an EU exclusive competence, puts a</w:t>
      </w:r>
      <w:r>
        <w:t xml:space="preserve"> </w:t>
      </w:r>
      <w:r>
        <w:t xml:space="preserve">responsibility on the Union in terms of policy making and financing. This requires</w:t>
      </w:r>
      <w:r>
        <w:t xml:space="preserve"> </w:t>
      </w:r>
      <w:r>
        <w:t xml:space="preserve">continued support to provide for the evidence base for conservation measures and</w:t>
      </w:r>
      <w:r>
        <w:t xml:space="preserve"> </w:t>
      </w:r>
      <w:r>
        <w:t xml:space="preserve">management of fish stocks, data collection, and the provision of scientific advice and</w:t>
      </w:r>
      <w:r>
        <w:t xml:space="preserve"> </w:t>
      </w:r>
      <w:r>
        <w:t xml:space="preserve">knowledge, and also to contribute to the implementation of the new Control Regulation.</w:t>
      </w:r>
      <w:r>
        <w:br/>
      </w:r>
      <w:r>
        <w:t xml:space="preserve">In the field of home affairs, EU funding helps ensure a common approach when</w:t>
      </w:r>
      <w:r>
        <w:t xml:space="preserve"> </w:t>
      </w:r>
      <w:r>
        <w:t xml:space="preserve">implementing EU acquis and standards, while fostering cooperation across borders</w:t>
      </w:r>
      <w:r>
        <w:t xml:space="preserve"> </w:t>
      </w:r>
      <w:r>
        <w:t xml:space="preserve">in the Area of Freedom, Security and Justice. Given the strong national focus of these</w:t>
      </w:r>
      <w:r>
        <w:t xml:space="preserve"> </w:t>
      </w:r>
      <w:r>
        <w:t xml:space="preserve">policy areas, EU funding is best allocated through nationally pre-allocated envelopes.</w:t>
      </w:r>
      <w:r>
        <w:t xml:space="preserve"> </w:t>
      </w:r>
      <w:r>
        <w:t xml:space="preserve">Support from the EU budget will prove particularly important for the implementation of</w:t>
      </w:r>
      <w:r>
        <w:t xml:space="preserve"> </w:t>
      </w:r>
      <w:r>
        <w:t xml:space="preserve">the Pact on Migration and Asylum and the new Internal Security Strategy.</w:t>
      </w:r>
      <w:r>
        <w:br/>
      </w:r>
      <w:r>
        <w:t xml:space="preserve">EU funding is also necessary to uphold EU values and fundamental rights. Without</w:t>
      </w:r>
      <w:r>
        <w:t xml:space="preserve"> </w:t>
      </w:r>
      <w:r>
        <w:t xml:space="preserve">EU involvement, some EU countries might link the promotion and protection of rights</w:t>
      </w:r>
      <w:r>
        <w:t xml:space="preserve"> </w:t>
      </w:r>
      <w:r>
        <w:t xml:space="preserve">and EU values to national political and economic interests. This could create</w:t>
      </w:r>
      <w:r>
        <w:t xml:space="preserve"> </w:t>
      </w:r>
      <w:r>
        <w:t xml:space="preserve">discrimination and inequalities. However, as highlighted in the Political Guidelines, the</w:t>
      </w:r>
      <w:r>
        <w:t xml:space="preserve"> </w:t>
      </w:r>
      <w:r>
        <w:t xml:space="preserve">RRF showed how nationally pre-allocated envelopes can contribute to reforms that</w:t>
      </w:r>
      <w:r>
        <w:t xml:space="preserve"> </w:t>
      </w:r>
      <w:r>
        <w:t xml:space="preserve">strengthen the rule of law.</w:t>
      </w:r>
      <w:r>
        <w:br/>
      </w:r>
      <w:r>
        <w:t xml:space="preserve">The transboundary nature and scale of many of the present and future challenges</w:t>
      </w:r>
      <w:r>
        <w:t xml:space="preserve"> </w:t>
      </w:r>
      <w:r>
        <w:t xml:space="preserve">call for EU-level action, including through nationally pre-allocated envelopes. For</w:t>
      </w:r>
      <w:r>
        <w:t xml:space="preserve"> </w:t>
      </w:r>
      <w:r>
        <w:t xml:space="preserve">example, a weak spot in the border of a Member State or a threat posed to one Member</w:t>
      </w:r>
      <w:r>
        <w:t xml:space="preserve"> </w:t>
      </w:r>
      <w:r>
        <w:t xml:space="preserve">State can affect the EU as whole, while a higher level of EU external border security</w:t>
      </w:r>
      <w:r>
        <w:t xml:space="preserve"> </w:t>
      </w:r>
      <w:r>
        <w:t xml:space="preserve">benefits all Member States. Managing the impact of climate change and environmental</w:t>
      </w:r>
      <w:r>
        <w:t xml:space="preserve"> </w:t>
      </w:r>
      <w:r>
        <w:t xml:space="preserve">degradation is another transnational challenge requiring EU-level action25.</w:t>
      </w:r>
      <w:r>
        <w:br/>
      </w:r>
      <w:r>
        <w:t xml:space="preserve">Likewise, defence requires a common response at EU level, including through</w:t>
      </w:r>
      <w:r>
        <w:t xml:space="preserve"> </w:t>
      </w:r>
      <w:r>
        <w:t xml:space="preserve">nationally pre-allocated envelopes. As highlighted by the Communication on the mid-</w:t>
      </w:r>
      <w:r>
        <w:t xml:space="preserve"> </w:t>
      </w:r>
      <w:r>
        <w:t xml:space="preserve">term review26, cohesion policy is already funding security and defence-related</w:t>
      </w:r>
      <w:r>
        <w:t xml:space="preserve"> </w:t>
      </w:r>
      <w:r>
        <w:t xml:space="preserve">investments contributing to regional development. Defence industries often create</w:t>
      </w:r>
      <w:r>
        <w:t xml:space="preserve"> </w:t>
      </w:r>
      <w:r>
        <w:t xml:space="preserve">research and development and industrial ecosystems which benefit Europe’s regions and</w:t>
      </w:r>
      <w:r>
        <w:t xml:space="preserve"> </w:t>
      </w:r>
      <w:r>
        <w:t xml:space="preserve">communities. The territorial focus of the policy is particularly relevant to foster regional</w:t>
      </w:r>
      <w:r>
        <w:t xml:space="preserve"> </w:t>
      </w:r>
      <w:r>
        <w:t xml:space="preserve">synergies and alignment with local strengths.</w:t>
      </w:r>
      <w:r>
        <w:br/>
      </w:r>
      <w:r>
        <w:t xml:space="preserve">Furthermore, funding at Union level supports “EU public goods”, i.e. strategic</w:t>
      </w:r>
      <w:r>
        <w:t xml:space="preserve"> </w:t>
      </w:r>
      <w:r>
        <w:t xml:space="preserve">policies that are insufficiently prioritised by Member States due to divergent</w:t>
      </w:r>
    </w:p>
    <w:p>
      <w:pPr>
        <w:pStyle w:val="BodyText"/>
      </w:pPr>
      <w:r>
        <w:t xml:space="preserve">25 The combined impacts of climate change could exceed 60% of the EU’s GDP by 2080, disproportionally</w:t>
      </w:r>
      <w:r>
        <w:t xml:space="preserve"> </w:t>
      </w:r>
      <w:r>
        <w:t xml:space="preserve">impacting certain Member States and regions, requiring EU action to provide long-term investments to</w:t>
      </w:r>
      <w:r>
        <w:t xml:space="preserve"> </w:t>
      </w:r>
      <w:r>
        <w:t xml:space="preserve">preserve social, economic, and territorial cohesion.</w:t>
      </w:r>
      <w:r>
        <w:t xml:space="preserve"> </w:t>
      </w:r>
      <w:r>
        <w:t xml:space="preserve">26 communication-mid-term-review-2025_en.pdf</w:t>
      </w:r>
    </w:p>
    <w:p>
      <w:pPr>
        <w:pStyle w:val="BodyText"/>
      </w:pPr>
      <w:r>
        <w:t xml:space="preserve">national interests or market failures, but which bring high EU-wide benefits27.</w:t>
      </w:r>
      <w:r>
        <w:br/>
      </w:r>
      <w:r>
        <w:t xml:space="preserve">These include projects benefitting more than one Member State, such as cross-border</w:t>
      </w:r>
      <w:r>
        <w:t xml:space="preserve"> </w:t>
      </w:r>
      <w:r>
        <w:t xml:space="preserve">projects or IPCEIs. For instance, EU funding for cooperation between Member States’</w:t>
      </w:r>
      <w:r>
        <w:t xml:space="preserve"> </w:t>
      </w:r>
      <w:r>
        <w:t xml:space="preserve">law enforcement authorities can improve the exchange of information across borders,</w:t>
      </w:r>
      <w:r>
        <w:t xml:space="preserve"> </w:t>
      </w:r>
      <w:r>
        <w:t xml:space="preserve">thereby contributing to the internal security of the Schengen area. Likewise, by financing</w:t>
      </w:r>
      <w:r>
        <w:t xml:space="preserve"> </w:t>
      </w:r>
      <w:r>
        <w:t xml:space="preserve">cooperation between regions, Interreg programmes strengthen ties between EU regions</w:t>
      </w:r>
      <w:r>
        <w:t xml:space="preserve"> </w:t>
      </w:r>
      <w:r>
        <w:t xml:space="preserve">and local communities and neighbouring countries (including in outermost regions).</w:t>
      </w:r>
      <w:r>
        <w:t xml:space="preserve"> </w:t>
      </w:r>
      <w:r>
        <w:t xml:space="preserve">They also contribute to building good relations between border regions, as illustrated by</w:t>
      </w:r>
      <w:r>
        <w:t xml:space="preserve"> </w:t>
      </w:r>
      <w:r>
        <w:t xml:space="preserve">the emblematic PEACE Programme in Northern Ireland.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Allocating EU funding through nationally pre-allocated envelopes ensures that</w:t>
      </w:r>
      <w:r>
        <w:t xml:space="preserve"> </w:t>
      </w:r>
      <w:r>
        <w:t xml:space="preserve">support is focused on the specific needs of each Member State and its regions, while</w:t>
      </w:r>
      <w:r>
        <w:t xml:space="preserve"> </w:t>
      </w:r>
      <w:r>
        <w:t xml:space="preserve">being consistent with EU priorities. As they know the exact needs of their territory,</w:t>
      </w:r>
      <w:r>
        <w:t xml:space="preserve"> </w:t>
      </w:r>
      <w:r>
        <w:t xml:space="preserve">regional and local stakeholders and as such should be involved in the programming of</w:t>
      </w:r>
      <w:r>
        <w:t xml:space="preserve"> </w:t>
      </w:r>
      <w:r>
        <w:t xml:space="preserve">EU funds. At the same time, allocating funding through nationally pre-allocated</w:t>
      </w:r>
      <w:r>
        <w:t xml:space="preserve"> </w:t>
      </w:r>
      <w:r>
        <w:t xml:space="preserve">envelopes can help the EU achieve its policy objectives more efficiently by linking EU</w:t>
      </w:r>
      <w:r>
        <w:t xml:space="preserve"> </w:t>
      </w:r>
      <w:r>
        <w:t xml:space="preserve">funding to reforms. This approach enhances the EU’s leverage to encourage and assist</w:t>
      </w:r>
      <w:r>
        <w:t xml:space="preserve"> </w:t>
      </w:r>
      <w:r>
        <w:t xml:space="preserve">Member States in overcoming institutional and regulatory obstacles that hinder the</w:t>
      </w:r>
      <w:r>
        <w:t xml:space="preserve"> </w:t>
      </w:r>
      <w:r>
        <w:t xml:space="preserve">fulfilment of EU policy priorities, including the implementation of the EU acquis.</w:t>
      </w:r>
      <w:r>
        <w:t xml:space="preserve"> </w:t>
      </w:r>
      <w:r>
        <w:t xml:space="preserve">Reforms can also magnify the positive impact of investments, thereby maximizing the</w:t>
      </w:r>
      <w:r>
        <w:t xml:space="preserve"> </w:t>
      </w:r>
      <w:r>
        <w:t xml:space="preserve">value of each euro spent.</w:t>
      </w:r>
      <w:r>
        <w:br/>
      </w:r>
      <w:r>
        <w:t xml:space="preserve">EU funding also enables EU-level coordination to address transnational challenges</w:t>
      </w:r>
      <w:r>
        <w:t xml:space="preserve"> </w:t>
      </w:r>
      <w:r>
        <w:t xml:space="preserve">such as military mobility. EU-level coordination is needed to support the development</w:t>
      </w:r>
      <w:r>
        <w:t xml:space="preserve"> </w:t>
      </w:r>
      <w:r>
        <w:t xml:space="preserve">of dual-use transport infrastructure along the four European military mobility corridors</w:t>
      </w:r>
      <w:r>
        <w:t xml:space="preserve"> </w:t>
      </w:r>
      <w:r>
        <w:t xml:space="preserve">endorsed by the EU Military Committee. This is crucial to ensure the large-scale</w:t>
      </w:r>
      <w:r>
        <w:t xml:space="preserve"> </w:t>
      </w:r>
      <w:r>
        <w:t xml:space="preserve">movements of troops and heavy material at short notice, against a background where</w:t>
      </w:r>
      <w:r>
        <w:t xml:space="preserve"> </w:t>
      </w:r>
      <w:r>
        <w:t xml:space="preserve">Member States make individual and selective investments on their national networks,</w:t>
      </w:r>
      <w:r>
        <w:t xml:space="preserve"> </w:t>
      </w:r>
      <w:r>
        <w:t xml:space="preserve">without taking into account the investments made by other Member States.</w:t>
      </w:r>
      <w:r>
        <w:br/>
      </w:r>
      <w:r>
        <w:t xml:space="preserve">Finally, modern, efficient and resilient national, regional and local authorities are a</w:t>
      </w:r>
      <w:r>
        <w:t xml:space="preserve"> </w:t>
      </w:r>
      <w:r>
        <w:t xml:space="preserve">pre-requisite for the achievement of Union goals. They play a pivotal role in</w:t>
      </w:r>
      <w:r>
        <w:t xml:space="preserve"> </w:t>
      </w:r>
      <w:r>
        <w:t xml:space="preserve">implementing EU funding and policy priorities, together with non-state actors28.</w:t>
      </w:r>
      <w:r>
        <w:t xml:space="preserve"> </w:t>
      </w:r>
      <w:r>
        <w:t xml:space="preserve">Nationally pre-allocated envelopes can provide both with the necessary support to deliver</w:t>
      </w:r>
      <w:r>
        <w:t xml:space="preserve"> </w:t>
      </w:r>
      <w:r>
        <w:t xml:space="preserve">more efficiently on EU common objectives. For example, EU funding delivered through</w:t>
      </w:r>
      <w:r>
        <w:t xml:space="preserve"> </w:t>
      </w:r>
      <w:r>
        <w:t xml:space="preserve">nationally pre-allocated envelopes can also provide technical assistance funding, which is</w:t>
      </w:r>
      <w:r>
        <w:t xml:space="preserve"> </w:t>
      </w:r>
      <w:r>
        <w:t xml:space="preserve">crucial for data acquisition and the developments of tools that support policy</w:t>
      </w:r>
      <w:r>
        <w:t xml:space="preserve"> </w:t>
      </w:r>
      <w:r>
        <w:t xml:space="preserve">implementation.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intervention logic of this initiative is presented in Figure 2.</w:t>
      </w:r>
    </w:p>
    <w:p>
      <w:pPr>
        <w:pStyle w:val="BodyText"/>
      </w:pPr>
      <w:r>
        <w:t xml:space="preserve">27 EU public goods can be defined as “policies and initiatives whose value to the citizens are higher when</w:t>
      </w:r>
      <w:r>
        <w:t xml:space="preserve"> </w:t>
      </w:r>
      <w:r>
        <w:t xml:space="preserve">conducted at EU rather than at national level” (Fuest and Pisani-Ferry, 2019). The concept of EU public</w:t>
      </w:r>
      <w:r>
        <w:t xml:space="preserve"> </w:t>
      </w:r>
      <w:r>
        <w:t xml:space="preserve">goods is based on the notion that the EU should only step in when the private sector or Member Sates’</w:t>
      </w:r>
      <w:r>
        <w:t xml:space="preserve"> </w:t>
      </w:r>
      <w:r>
        <w:t xml:space="preserve">budgets fall short of financing goods that would benefit the EU as a whole.</w:t>
      </w:r>
      <w:r>
        <w:br/>
      </w:r>
      <w:r>
        <w:t xml:space="preserve">28 E.g. social partners, consumers and business organisations, non-profit and civil society organisations</w:t>
      </w:r>
    </w:p>
    <w:p>
      <w:pPr>
        <w:pStyle w:val="BodyText"/>
      </w:pPr>
      <w:r>
        <w:t xml:space="preserve">Figure 2: Intervention logic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EU funding alone is not sufficient to fulfil the Treaty obligations outlined in section 3.1.</w:t>
      </w:r>
      <w:r>
        <w:t xml:space="preserve"> </w:t>
      </w:r>
      <w:r>
        <w:t xml:space="preserve">if not accompanied by complementary actions – such as legislative initiatives – as well as</w:t>
      </w:r>
      <w:r>
        <w:t xml:space="preserve"> </w:t>
      </w:r>
      <w:r>
        <w:t xml:space="preserve">funding from other sources – national and private. Considering the above, the focus and</w:t>
      </w:r>
      <w:r>
        <w:t xml:space="preserve"> </w:t>
      </w:r>
      <w:r>
        <w:t xml:space="preserve">general objective of this initiative is to ensure that the EU budget is well-equipped to</w:t>
      </w:r>
      <w:r>
        <w:t xml:space="preserve"> </w:t>
      </w:r>
      <w:r>
        <w:t xml:space="preserve">support Member States and regions in delivering on EU policy objectives and</w:t>
      </w:r>
      <w:r>
        <w:t xml:space="preserve"> </w:t>
      </w:r>
      <w:r>
        <w:t xml:space="preserve">priorities and maximise the impact of every euro spent.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address the identified problem drivers, three specific objectives have been set taking</w:t>
      </w:r>
      <w:r>
        <w:t xml:space="preserve"> </w:t>
      </w:r>
      <w:r>
        <w:t xml:space="preserve">into account the Political Guidelines, which call for a more focused, simpler, impactful</w:t>
      </w:r>
      <w:r>
        <w:t xml:space="preserve"> </w:t>
      </w:r>
      <w:r>
        <w:t xml:space="preserve">and responsive EU budget.</w:t>
      </w:r>
    </w:p>
    <w:p>
      <w:pPr>
        <w:pStyle w:val="BodyText"/>
      </w:pPr>
      <w:r>
        <w:t xml:space="preserve">Specific Objective 1 (SO1) – Ensuring coherence between EU priorities, national</w:t>
      </w:r>
      <w:r>
        <w:t xml:space="preserve"> </w:t>
      </w:r>
      <w:r>
        <w:t xml:space="preserve">and regional actions. The first objective (linked to Problems 2 and 4) is to align EU</w:t>
      </w:r>
      <w:r>
        <w:t xml:space="preserve"> </w:t>
      </w:r>
      <w:r>
        <w:t xml:space="preserve">funding with key EU priorities, while tailoring EU interventions to Member States’</w:t>
      </w:r>
      <w:r>
        <w:t xml:space="preserve"> </w:t>
      </w:r>
      <w:r>
        <w:t xml:space="preserve">regional and sector specific needs. Nationally pre-allocated envelopes should support</w:t>
      </w:r>
      <w:r>
        <w:t xml:space="preserve"> </w:t>
      </w:r>
      <w:r>
        <w:t xml:space="preserve">investments, reforms and other policy interventions with a strong EU added value,</w:t>
      </w:r>
      <w:r>
        <w:t xml:space="preserve"> </w:t>
      </w:r>
      <w:r>
        <w:t xml:space="preserve">contributing to goals that cannot be achieved as effectively by individual Member States</w:t>
      </w:r>
      <w:r>
        <w:t xml:space="preserve"> </w:t>
      </w:r>
      <w:r>
        <w:t xml:space="preserve">alone. EU support should be adapted to the specific needs of individual regions and</w:t>
      </w:r>
      <w:r>
        <w:t xml:space="preserve"> </w:t>
      </w:r>
      <w:r>
        <w:t xml:space="preserve">sectors, in full respect of Treaty objectives and obligations, while ensuring better</w:t>
      </w:r>
      <w:r>
        <w:t xml:space="preserve"> </w:t>
      </w:r>
      <w:r>
        <w:t xml:space="preserve">alignment between EU/national priorities and funding.</w:t>
      </w:r>
    </w:p>
    <w:p>
      <w:pPr>
        <w:pStyle w:val="BodyText"/>
      </w:pPr>
      <w:r>
        <w:t xml:space="preserve">Specific Objective 2 (SO2) – Creating a simple and cost-effective framework</w:t>
      </w:r>
      <w:r>
        <w:t xml:space="preserve"> </w:t>
      </w:r>
      <w:r>
        <w:t xml:space="preserve">delivering on EU priorities. The second objective (linked to Problem 2) is to simplify</w:t>
      </w:r>
      <w:r>
        <w:t xml:space="preserve"> </w:t>
      </w:r>
      <w:r>
        <w:t xml:space="preserve">the implementation framework and reduce the administrative costs for Member States’</w:t>
      </w:r>
      <w:r>
        <w:t xml:space="preserve"> </w:t>
      </w:r>
      <w:r>
        <w:t xml:space="preserve">authorities, the Commission, as well as beneficiaries through a more coordinated,</w:t>
      </w:r>
      <w:r>
        <w:t xml:space="preserve"> </w:t>
      </w:r>
      <w:r>
        <w:t xml:space="preserve">consistent and holistic policy intervention for each Member State and its regions.</w:t>
      </w:r>
      <w:r>
        <w:t xml:space="preserve"> </w:t>
      </w:r>
      <w:r>
        <w:t xml:space="preserve">Simplification should be done in full respect of the partnership principle, which ensures</w:t>
      </w:r>
      <w:r>
        <w:t xml:space="preserve"> </w:t>
      </w:r>
      <w:r>
        <w:t xml:space="preserve">that regional and local authorities, as well as economic and social partners and the bodies</w:t>
      </w:r>
    </w:p>
    <w:p>
      <w:pPr>
        <w:pStyle w:val="BodyText"/>
      </w:pPr>
      <w:r>
        <w:t xml:space="preserve">representing civil society at large, are involved at all stages of programming and</w:t>
      </w:r>
      <w:r>
        <w:t xml:space="preserve"> </w:t>
      </w:r>
      <w:r>
        <w:t xml:space="preserve">implementation of nationally pre-allocated envelopes.</w:t>
      </w:r>
    </w:p>
    <w:p>
      <w:pPr>
        <w:pStyle w:val="BodyText"/>
      </w:pPr>
      <w:r>
        <w:t xml:space="preserve">Specific Objective 3 (SO3) – Meeting both long-term policy goals and emerging</w:t>
      </w:r>
      <w:r>
        <w:t xml:space="preserve"> </w:t>
      </w:r>
      <w:r>
        <w:t xml:space="preserve">policy priorities. The third objective (linked to Problem 3) is to adapt EU funding to</w:t>
      </w:r>
      <w:r>
        <w:t xml:space="preserve"> </w:t>
      </w:r>
      <w:r>
        <w:t xml:space="preserve">changing circumstances and crisis situations in Member States, regions, the Union as a</w:t>
      </w:r>
      <w:r>
        <w:t xml:space="preserve"> </w:t>
      </w:r>
      <w:r>
        <w:t xml:space="preserve">whole or in particular sectors in a more agile way, without compromising long-term</w:t>
      </w:r>
      <w:r>
        <w:t xml:space="preserve"> </w:t>
      </w:r>
      <w:r>
        <w:t xml:space="preserve">objectives and stability and predictability for beneficiaries.</w:t>
      </w:r>
    </w:p>
    <w:p>
      <w:pPr>
        <w:pStyle w:val="BodyText"/>
      </w:pPr>
      <w:r>
        <w:t xml:space="preserve">This initiative will be monitored through the performance framework for the post-2027</w:t>
      </w:r>
      <w:r>
        <w:t xml:space="preserve"> </w:t>
      </w:r>
      <w:r>
        <w:t xml:space="preserve">budget, which is examined in a separate impact assessment.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baseline, EU funds with nationally pre-allocated envelopes would continue to</w:t>
      </w:r>
      <w:r>
        <w:t xml:space="preserve"> </w:t>
      </w:r>
      <w:r>
        <w:t xml:space="preserve">be governed by separate fund-specific regulations and implemented through different</w:t>
      </w:r>
      <w:r>
        <w:t xml:space="preserve"> </w:t>
      </w:r>
      <w:r>
        <w:t xml:space="preserve">programmes as described in the problem definition. Negotiated between the Commission</w:t>
      </w:r>
      <w:r>
        <w:t xml:space="preserve"> </w:t>
      </w:r>
      <w:r>
        <w:t xml:space="preserve">and each Member State, with involvement of regional and local authorities and relevant</w:t>
      </w:r>
      <w:r>
        <w:t xml:space="preserve"> </w:t>
      </w:r>
      <w:r>
        <w:t xml:space="preserve">partners, the Partnership Agreement would continue to be the overarching strategic</w:t>
      </w:r>
      <w:r>
        <w:t xml:space="preserve"> </w:t>
      </w:r>
      <w:r>
        <w:t xml:space="preserve">programming document which would set the investment priorities for each Member</w:t>
      </w:r>
      <w:r>
        <w:t xml:space="preserve"> </w:t>
      </w:r>
      <w:r>
        <w:t xml:space="preserve">State. It would also continue to include thematic and horizontal enabling conditions that</w:t>
      </w:r>
      <w:r>
        <w:t xml:space="preserve"> </w:t>
      </w:r>
      <w:r>
        <w:t xml:space="preserve">would be the same for all Member States. The scope of the Partnership Agreement would</w:t>
      </w:r>
      <w:r>
        <w:t xml:space="preserve"> </w:t>
      </w:r>
      <w:r>
        <w:t xml:space="preserve">be the same as today (i.e. cohesion and fisheries). The principle of partnership and multi-</w:t>
      </w:r>
      <w:r>
        <w:t xml:space="preserve"> </w:t>
      </w:r>
      <w:r>
        <w:t xml:space="preserve">level governance would continue to apply.</w:t>
      </w:r>
    </w:p>
    <w:p>
      <w:pPr>
        <w:pStyle w:val="BodyText"/>
      </w:pPr>
      <w:r>
        <w:t xml:space="preserve">As is currently the case, more detailed programming including the intervention logic</w:t>
      </w:r>
      <w:r>
        <w:t xml:space="preserve"> </w:t>
      </w:r>
      <w:r>
        <w:t xml:space="preserve">would be set out in separate programmes, mainly implemented under shared</w:t>
      </w:r>
      <w:r>
        <w:t xml:space="preserve"> </w:t>
      </w:r>
      <w:r>
        <w:t xml:space="preserve">management. Member States would continue to be free to choose the number of</w:t>
      </w:r>
      <w:r>
        <w:t xml:space="preserve"> </w:t>
      </w:r>
      <w:r>
        <w:t xml:space="preserve">programmes they want, and whether they prefer national or regional programmes (or a</w:t>
      </w:r>
      <w:r>
        <w:t xml:space="preserve"> </w:t>
      </w:r>
      <w:r>
        <w:t xml:space="preserve">combination of both). They would also continue to decide which competent authorities</w:t>
      </w:r>
      <w:r>
        <w:t xml:space="preserve"> </w:t>
      </w:r>
      <w:r>
        <w:t xml:space="preserve">(national/regional) should manage (specific components of) the programmes. This should</w:t>
      </w:r>
      <w:r>
        <w:t xml:space="preserve"> </w:t>
      </w:r>
      <w:r>
        <w:t xml:space="preserve">however not lead to increased fragmentation in those policy areas which have already</w:t>
      </w:r>
      <w:r>
        <w:t xml:space="preserve"> </w:t>
      </w:r>
      <w:r>
        <w:t xml:space="preserve">moved to single programming (such as the CAP or fisheries). Cost-based delivery</w:t>
      </w:r>
      <w:r>
        <w:t xml:space="preserve"> </w:t>
      </w:r>
      <w:r>
        <w:t xml:space="preserve">models would continue to prevail, with the possibility to use SCOs and FNLC forms of</w:t>
      </w:r>
      <w:r>
        <w:t xml:space="preserve"> </w:t>
      </w:r>
      <w:r>
        <w:t xml:space="preserve">funding. Budgetary flexibilities would remain limited, both within programmes as well</w:t>
      </w:r>
      <w:r>
        <w:t xml:space="preserve"> </w:t>
      </w:r>
      <w:r>
        <w:t xml:space="preserve">as between programmes, as outlined in the problem definition.</w:t>
      </w:r>
    </w:p>
    <w:p>
      <w:pPr>
        <w:pStyle w:val="BodyText"/>
      </w:pPr>
      <w:r>
        <w:t xml:space="preserve">Cross-border and multi-country projects would continue to be eligible for support under</w:t>
      </w:r>
      <w:r>
        <w:t xml:space="preserve"> </w:t>
      </w:r>
      <w:r>
        <w:t xml:space="preserve">several funds with different rules (direct and shared management).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Approach of this impact assessment</w:t>
      </w:r>
      <w:r>
        <w:t xml:space="preserve"> </w:t>
      </w:r>
      <w:r>
        <w:t xml:space="preserve">While regional and territorial disparities have been substantially reduced, including by</w:t>
      </w:r>
      <w:r>
        <w:t xml:space="preserve"> </w:t>
      </w:r>
      <w:r>
        <w:t xml:space="preserve">EU cohesion policies, 29% of EU citizens still live in regions with a GDP per capita</w:t>
      </w:r>
      <w:r>
        <w:t xml:space="preserve"> </w:t>
      </w:r>
      <w:r>
        <w:t xml:space="preserve">below 75% of the EU average and about 135 million people live in places which, in the</w:t>
      </w:r>
      <w:r>
        <w:t xml:space="preserve"> </w:t>
      </w:r>
      <w:r>
        <w:t xml:space="preserve">last two decades, have slowly fallen behind. The current divergent growth trajectories</w:t>
      </w:r>
      <w:r>
        <w:t xml:space="preserve"> </w:t>
      </w:r>
      <w:r>
        <w:t xml:space="preserve">risk widening socio-economic gaps between and within Member States, notably between</w:t>
      </w:r>
      <w:r>
        <w:t xml:space="preserve"> </w:t>
      </w:r>
      <w:r>
        <w:t xml:space="preserve">rural and urban areas.</w:t>
      </w:r>
    </w:p>
    <w:p>
      <w:pPr>
        <w:pStyle w:val="BodyText"/>
      </w:pPr>
      <w:r>
        <w:t xml:space="preserve">At the same time, food security and nature protection sustain Europe’s quality of life with</w:t>
      </w:r>
      <w:r>
        <w:t xml:space="preserve"> </w:t>
      </w:r>
      <w:r>
        <w:t xml:space="preserve">the Common Agricultural Policy (CAP) able to guarantee that 450 million Europeans</w:t>
      </w:r>
      <w:r>
        <w:t xml:space="preserve"> </w:t>
      </w:r>
      <w:r>
        <w:t xml:space="preserve">have access to safe, high quality and diversified food products at affordable prices. At the</w:t>
      </w:r>
      <w:r>
        <w:t xml:space="preserve"> </w:t>
      </w:r>
      <w:r>
        <w:t xml:space="preserve">same time, the CAP contributes to preserving vibrant rural areas and helps the</w:t>
      </w:r>
      <w:r>
        <w:t xml:space="preserve"> </w:t>
      </w:r>
      <w:r>
        <w:t xml:space="preserve">agricultural sector make significant progress towards sustainability. Yet, long-term risks</w:t>
      </w:r>
      <w:r>
        <w:t xml:space="preserve"> </w:t>
      </w:r>
      <w:r>
        <w:t xml:space="preserve">for food security and the effects of climate change and environmental degradation put the</w:t>
      </w:r>
      <w:r>
        <w:t xml:space="preserve"> </w:t>
      </w:r>
      <w:r>
        <w:t xml:space="preserve">agricultural sector under increasing pressure. In addition, farmers, fishers and rural areas</w:t>
      </w:r>
      <w:r>
        <w:t xml:space="preserve"> </w:t>
      </w:r>
      <w:r>
        <w:t xml:space="preserve">are increasingly affected by unfair global competition, higher energy prices, a lack of</w:t>
      </w:r>
      <w:r>
        <w:t xml:space="preserve"> </w:t>
      </w:r>
      <w:r>
        <w:t xml:space="preserve">younger farmers and fishers and difficulties in accessing capital. For example, despite the</w:t>
      </w:r>
      <w:r>
        <w:t xml:space="preserve"> </w:t>
      </w:r>
      <w:r>
        <w:t xml:space="preserve">substantial support from the CAP, the agricultural income per worker remains volatile</w:t>
      </w:r>
      <w:r>
        <w:t xml:space="preserve"> </w:t>
      </w:r>
      <w:r>
        <w:t xml:space="preserve">and significantly below the average wage in the EU economy (60% in 2023).</w:t>
      </w:r>
    </w:p>
    <w:p>
      <w:pPr>
        <w:pStyle w:val="BodyText"/>
      </w:pPr>
      <w:r>
        <w:t xml:space="preserve">War, insecurity, poverty and a lack of opportunities have strengthened migration flows,</w:t>
      </w:r>
      <w:r>
        <w:t xml:space="preserve"> </w:t>
      </w:r>
      <w:r>
        <w:t xml:space="preserve">and the weaponisation of migration at the EU borders has illustrated new forms of</w:t>
      </w:r>
      <w:r>
        <w:t xml:space="preserve"> </w:t>
      </w:r>
      <w:r>
        <w:t xml:space="preserve">threats. At the same time, the global political and economic landscape poses challenges</w:t>
      </w:r>
      <w:r>
        <w:t xml:space="preserve"> </w:t>
      </w:r>
      <w:r>
        <w:t xml:space="preserve">of unprecedented magnitude, with war still raging on the European continent and in its</w:t>
      </w:r>
      <w:r>
        <w:t xml:space="preserve"> </w:t>
      </w:r>
      <w:r>
        <w:t xml:space="preserve">neighbourhood.</w:t>
      </w:r>
    </w:p>
    <w:p>
      <w:pPr>
        <w:pStyle w:val="BodyText"/>
      </w:pPr>
      <w:r>
        <w:t xml:space="preserve">While these are only a few of the many challenges faced by our Union, they show the</w:t>
      </w:r>
      <w:r>
        <w:t xml:space="preserve"> </w:t>
      </w:r>
      <w:r>
        <w:t xml:space="preserve">need to improve the design of EU support to best deliver on our shared priorities and</w:t>
      </w:r>
      <w:r>
        <w:t xml:space="preserve"> </w:t>
      </w:r>
      <w:r>
        <w:t xml:space="preserve">common policies and ensure that the EU budget continues to play a key role in</w:t>
      </w:r>
      <w:r>
        <w:t xml:space="preserve"> </w:t>
      </w:r>
      <w:r>
        <w:t xml:space="preserve">supporting fair and inclusive growth, sustainable economic convergence, and security.</w:t>
      </w:r>
    </w:p>
    <w:p>
      <w:pPr>
        <w:pStyle w:val="BodyText"/>
      </w:pPr>
      <w:r>
        <w:t xml:space="preserve">In this light, in line with the Political Guidelines, the Commission’s Communication on</w:t>
      </w:r>
      <w:r>
        <w:t xml:space="preserve"> </w:t>
      </w:r>
      <w:r>
        <w:t xml:space="preserve">the road to the next MFF suggested a new approach to the budget with, at its core, a plan</w:t>
      </w:r>
      <w:r>
        <w:t xml:space="preserve"> </w:t>
      </w:r>
      <w:r>
        <w:t xml:space="preserve">for each Member State linking key reforms with investments, and focusing on our joint</w:t>
      </w:r>
      <w:r>
        <w:t xml:space="preserve"> </w:t>
      </w:r>
      <w:r>
        <w:t xml:space="preserve">priorities, including promoting economic, social and territorial cohesion.</w:t>
      </w:r>
    </w:p>
    <w:p>
      <w:pPr>
        <w:pStyle w:val="BodyText"/>
      </w:pPr>
      <w:r>
        <w:t xml:space="preserve">A plan for each Member State would gather all investments, other instruments, and</w:t>
      </w:r>
      <w:r>
        <w:t xml:space="preserve"> </w:t>
      </w:r>
      <w:r>
        <w:t xml:space="preserve">reforms relevant for EU priorities. Each Member State, with close involvement of</w:t>
      </w:r>
      <w:r>
        <w:t xml:space="preserve"> </w:t>
      </w:r>
      <w:r>
        <w:t xml:space="preserve">regional and local authorities and other relevant stakeholders, would be responsible to</w:t>
      </w:r>
      <w:r>
        <w:t xml:space="preserve"> </w:t>
      </w:r>
      <w:r>
        <w:t xml:space="preserve">draw up their plan and to propose the relevant key investments, other instruments, and</w:t>
      </w:r>
      <w:r>
        <w:t xml:space="preserve"> </w:t>
      </w:r>
      <w:r>
        <w:t xml:space="preserve">reforms, which could be organised in thematic/sectoral and/or regional chapters.</w:t>
      </w:r>
    </w:p>
    <w:p>
      <w:pPr>
        <w:pStyle w:val="BodyText"/>
      </w:pPr>
      <w:r>
        <w:t xml:space="preserve">The preparation of the plans would incorporate the findings of the steering mechanism</w:t>
      </w:r>
      <w:r>
        <w:t xml:space="preserve"> </w:t>
      </w:r>
      <w:r>
        <w:t xml:space="preserve">announced as part of the Competitiveness Compass Communication29 of February 2025,</w:t>
      </w:r>
      <w:r>
        <w:t xml:space="preserve"> </w:t>
      </w:r>
      <w:r>
        <w:t xml:space="preserve">linking EU priorities with the EU budget. The steering mechanism would identify the</w:t>
      </w:r>
      <w:r>
        <w:t xml:space="preserve"> </w:t>
      </w:r>
      <w:r>
        <w:t xml:space="preserve">main challenges that the Union and its Member States face in all relevant policy areas</w:t>
      </w:r>
      <w:r>
        <w:t xml:space="preserve"> </w:t>
      </w:r>
      <w:r>
        <w:t xml:space="preserve">and provide country-specific recommendations, which would help with the identification</w:t>
      </w:r>
      <w:r>
        <w:t xml:space="preserve"> </w:t>
      </w:r>
      <w:r>
        <w:t xml:space="preserve">of reforms, investments and other instruments for the individual plans. This would</w:t>
      </w:r>
      <w:r>
        <w:t xml:space="preserve"> </w:t>
      </w:r>
      <w:r>
        <w:t xml:space="preserve">contribute to ensuring that the plans address key EU priorities and have a strong EU</w:t>
      </w:r>
      <w:r>
        <w:t xml:space="preserve"> </w:t>
      </w:r>
      <w:r>
        <w:t xml:space="preserve">added value. Reform, investment and other instrument proposals would be tailored to</w:t>
      </w:r>
      <w:r>
        <w:t xml:space="preserve"> </w:t>
      </w:r>
      <w:r>
        <w:t xml:space="preserve">each Member States’ national and, where relevant, regional needs. Since the plans would</w:t>
      </w:r>
      <w:r>
        <w:t xml:space="preserve"> </w:t>
      </w:r>
      <w:r>
        <w:t xml:space="preserve">cover a broad range of policy areas (cf. infra on scope) based on the findings of the</w:t>
      </w:r>
      <w:r>
        <w:t xml:space="preserve"> </w:t>
      </w:r>
      <w:r>
        <w:t xml:space="preserve">steering mechanism, there will be no options regarding thematic priorities. The</w:t>
      </w:r>
      <w:r>
        <w:t xml:space="preserve"> </w:t>
      </w:r>
      <w:r>
        <w:t xml:space="preserve">functioning of the proposed steering mechanism and principles of its governance are not</w:t>
      </w:r>
      <w:r>
        <w:t xml:space="preserve"> </w:t>
      </w:r>
      <w:r>
        <w:t xml:space="preserve">covered by this impact assessment.</w:t>
      </w:r>
    </w:p>
    <w:p>
      <w:pPr>
        <w:pStyle w:val="BodyText"/>
      </w:pPr>
      <w:r>
        <w:t xml:space="preserve">29 COM(2025) 30 final 10017eb1-4722-4333-add2-e0ed18105a34_en</w:t>
      </w:r>
    </w:p>
    <w:p>
      <w:pPr>
        <w:pStyle w:val="BodyText"/>
      </w:pPr>
      <w:r>
        <w:t xml:space="preserve">Each plan would be negotiated and approved by the Commission based on common</w:t>
      </w:r>
      <w:r>
        <w:t xml:space="preserve"> </w:t>
      </w:r>
      <w:r>
        <w:t xml:space="preserve">assessment criteria. Technical support and assistance would be provided as part of the</w:t>
      </w:r>
      <w:r>
        <w:t xml:space="preserve"> </w:t>
      </w:r>
      <w:r>
        <w:t xml:space="preserve">plans, targeted to Member States’ and regions’ needs, to address the disparities in</w:t>
      </w:r>
      <w:r>
        <w:t xml:space="preserve"> </w:t>
      </w:r>
      <w:r>
        <w:t xml:space="preserve">technical and administrative capacities between Member States and/or regions. The plans</w:t>
      </w:r>
      <w:r>
        <w:t xml:space="preserve"> </w:t>
      </w:r>
      <w:r>
        <w:t xml:space="preserve">would be subject to the respect of the rule of law, in line with the Political Guidelines.</w:t>
      </w:r>
    </w:p>
    <w:p>
      <w:pPr>
        <w:pStyle w:val="BodyText"/>
      </w:pPr>
      <w:r>
        <w:t xml:space="preserve">Regional and local actors, including civil society, and specific sectors will remain at the</w:t>
      </w:r>
      <w:r>
        <w:t xml:space="preserve"> </w:t>
      </w:r>
      <w:r>
        <w:t xml:space="preserve">centre of the plans, as the partnership principle and multi-level governance arrangements</w:t>
      </w:r>
      <w:r>
        <w:t xml:space="preserve"> </w:t>
      </w:r>
      <w:r>
        <w:t xml:space="preserve">would continue to apply with appropriate mechanisms considering the context of the</w:t>
      </w:r>
      <w:r>
        <w:t xml:space="preserve"> </w:t>
      </w:r>
      <w:r>
        <w:t xml:space="preserve">plan. Member States could choose to have regional/territorial chapters, in accordance</w:t>
      </w:r>
      <w:r>
        <w:t xml:space="preserve"> </w:t>
      </w:r>
      <w:r>
        <w:t xml:space="preserve">with their constitutional, legal and administrative setting or preference, as well as</w:t>
      </w:r>
      <w:r>
        <w:t xml:space="preserve"> </w:t>
      </w:r>
      <w:r>
        <w:t xml:space="preserve">thematic/sectoral chapters. The plan should also specify how responsibilities, including</w:t>
      </w:r>
      <w:r>
        <w:t xml:space="preserve"> </w:t>
      </w:r>
      <w:r>
        <w:t xml:space="preserve">the delivery model and following payments, are shared among different levels of</w:t>
      </w:r>
      <w:r>
        <w:t xml:space="preserve"> </w:t>
      </w:r>
      <w:r>
        <w:t xml:space="preserve">government. Hence, while there would be one coordinating authority in each Member</w:t>
      </w:r>
      <w:r>
        <w:t xml:space="preserve"> </w:t>
      </w:r>
      <w:r>
        <w:t xml:space="preserve">State, other authorities, would be in charge of the implementation of specific regional or</w:t>
      </w:r>
      <w:r>
        <w:t xml:space="preserve"> </w:t>
      </w:r>
      <w:r>
        <w:t xml:space="preserve">thematic/sectoral chapters. Regional partnership and monitoring committees would also</w:t>
      </w:r>
      <w:r>
        <w:t xml:space="preserve"> </w:t>
      </w:r>
      <w:r>
        <w:t xml:space="preserve">be established.</w:t>
      </w:r>
    </w:p>
    <w:bookmarkStart w:id="9" w:name="X0c69c4b204e7fcd0e8a05692898c6c81ab27756"/>
    <w:p>
      <w:pPr>
        <w:pStyle w:val="Heading2"/>
      </w:pPr>
      <w:r>
        <w:t xml:space="preserve">The plans would follow a common rulebook, with the same rules on key issues such as:</w:t>
      </w:r>
    </w:p>
    <w:p>
      <w:pPr>
        <w:pStyle w:val="FirstParagraph"/>
      </w:pPr>
      <w:r>
        <w:t xml:space="preserve">Governance of the plans – including the role of Member States’ authorities and</w:t>
      </w:r>
      <w:r>
        <w:t xml:space="preserve"> </w:t>
      </w:r>
      <w:r>
        <w:t xml:space="preserve">monitoring committees;</w:t>
      </w:r>
      <w:r>
        <w:t xml:space="preserve"> </w:t>
      </w:r>
      <w:r>
        <w:t xml:space="preserve">-</w:t>
      </w:r>
      <w:r>
        <w:t xml:space="preserve"> </w:t>
      </w:r>
      <w:r>
        <w:t xml:space="preserve">Conditionality – with horizontal conditions regarding compliance with the rule of</w:t>
      </w:r>
      <w:r>
        <w:t xml:space="preserve"> </w:t>
      </w:r>
      <w:r>
        <w:t xml:space="preserve">law and the Charter of Fundamental Rights of the EU, as well as the principles of</w:t>
      </w:r>
      <w:r>
        <w:t xml:space="preserve"> </w:t>
      </w:r>
      <w:r>
        <w:t xml:space="preserve">“do no significant harm” and gender equality;</w:t>
      </w:r>
      <w:r>
        <w:t xml:space="preserve"> </w:t>
      </w:r>
      <w:r>
        <w:t xml:space="preserve">-</w:t>
      </w:r>
      <w:r>
        <w:t xml:space="preserve"> </w:t>
      </w:r>
      <w:r>
        <w:t xml:space="preserve">Management and financial rules – including assurance, data collection and</w:t>
      </w:r>
      <w:r>
        <w:t xml:space="preserve"> </w:t>
      </w:r>
      <w:r>
        <w:t xml:space="preserve">recording, transparency, processing of personal data, payments.</w:t>
      </w:r>
      <w:r>
        <w:t xml:space="preserve"> </w:t>
      </w:r>
      <w:r>
        <w:t xml:space="preserve">-</w:t>
      </w:r>
      <w:r>
        <w:t xml:space="preserve"> </w:t>
      </w:r>
      <w:r>
        <w:t xml:space="preserve">Specific type of support – including the use of financial instruments.</w:t>
      </w:r>
      <w:r>
        <w:t xml:space="preserve"> </w:t>
      </w:r>
      <w:r>
        <w:t xml:space="preserve">-</w:t>
      </w:r>
      <w:r>
        <w:t xml:space="preserve"> </w:t>
      </w:r>
      <w:r>
        <w:t xml:space="preserve">Other horizontal provisions, such as State aid compliance, empowerment for</w:t>
      </w:r>
      <w:r>
        <w:t xml:space="preserve"> </w:t>
      </w:r>
      <w:r>
        <w:t xml:space="preserve">delegated and implementing acts.</w:t>
      </w:r>
    </w:p>
    <w:p>
      <w:pPr>
        <w:pStyle w:val="BodyText"/>
      </w:pPr>
      <w:r>
        <w:t xml:space="preserve">The main characteristics of the plans as described above will not be assessed in this</w:t>
      </w:r>
      <w:r>
        <w:t xml:space="preserve"> </w:t>
      </w:r>
      <w:r>
        <w:t xml:space="preserve">impact assessment since they stem from the Political Guidelines. As outlined in the</w:t>
      </w:r>
      <w:r>
        <w:t xml:space="preserve"> </w:t>
      </w:r>
      <w:r>
        <w:t xml:space="preserve">intervention logic, in light of the problems identified and the specific objectives of this</w:t>
      </w:r>
      <w:r>
        <w:t xml:space="preserve"> </w:t>
      </w:r>
      <w:r>
        <w:t xml:space="preserve">initiative, there are choices to be made regarding the design and scope of such plans.</w:t>
      </w:r>
      <w:r>
        <w:br/>
      </w:r>
      <w:r>
        <w:t xml:space="preserve">There is a need to examine first the design (or the ‘mechanics’) of the plan, that is, how it</w:t>
      </w:r>
      <w:r>
        <w:t xml:space="preserve"> </w:t>
      </w:r>
      <w:r>
        <w:t xml:space="preserve">will work and which characteristics it should have to best fulfil the objectives outlined</w:t>
      </w:r>
      <w:r>
        <w:t xml:space="preserve"> </w:t>
      </w:r>
      <w:r>
        <w:t xml:space="preserve">above. This concerns on the one hand the “delivery model” (that is, how payments are</w:t>
      </w:r>
      <w:r>
        <w:t xml:space="preserve"> </w:t>
      </w:r>
      <w:r>
        <w:t xml:space="preserve">made) and on the other hand the “management mode” (that is, how EU spending is</w:t>
      </w:r>
      <w:r>
        <w:t xml:space="preserve"> </w:t>
      </w:r>
      <w:r>
        <w:t xml:space="preserve">implemented and overseen). The choices with respect to those design features will have</w:t>
      </w:r>
      <w:r>
        <w:t xml:space="preserve"> </w:t>
      </w:r>
      <w:r>
        <w:t xml:space="preserve">an impact on the scope of the plans, which should therefore be examined in a second</w:t>
      </w:r>
      <w:r>
        <w:t xml:space="preserve"> </w:t>
      </w:r>
      <w:r>
        <w:t xml:space="preserve">stage. Other elements, such as the structure of the underlying funds (e.g. how they would</w:t>
      </w:r>
      <w:r>
        <w:t xml:space="preserve"> </w:t>
      </w:r>
      <w:r>
        <w:t xml:space="preserve">be integrated under the plans), the policy priorities to be covered, possible concentration</w:t>
      </w:r>
      <w:r>
        <w:t xml:space="preserve"> </w:t>
      </w:r>
      <w:r>
        <w:t xml:space="preserve">requirements and the impact on EU policies enshrined in the Treaty are not assessed as</w:t>
      </w:r>
      <w:r>
        <w:t xml:space="preserve"> </w:t>
      </w:r>
      <w:r>
        <w:t xml:space="preserve">part of this impact assessment.</w:t>
      </w:r>
      <w:r>
        <w:t xml:space="preserve"> </w:t>
      </w:r>
      <w:r>
        <w:t xml:space="preserve">At the same time, an option to implement existing funds currently governed by separate</w:t>
      </w:r>
      <w:r>
        <w:t xml:space="preserve"> </w:t>
      </w:r>
      <w:r>
        <w:t xml:space="preserve">fund-specific regulations within a single plan for each Member State is not analysed as</w:t>
      </w:r>
      <w:r>
        <w:t xml:space="preserve"> </w:t>
      </w:r>
      <w:r>
        <w:t xml:space="preserve">part of this impact assessment.</w:t>
      </w:r>
    </w:p>
    <w:p>
      <w:pPr>
        <w:pStyle w:val="BodyText"/>
      </w:pPr>
      <w:r>
        <w:t xml:space="preserve">In light of the above, this impact assessment will proceed in two stages. First, section 6</w:t>
      </w:r>
      <w:r>
        <w:t xml:space="preserve"> </w:t>
      </w:r>
      <w:r>
        <w:t xml:space="preserve">will assess the options related to the design of the plans (delivery model and</w:t>
      </w:r>
      <w:r>
        <w:t xml:space="preserve"> </w:t>
      </w:r>
      <w:r>
        <w:t xml:space="preserve">management mode). Following an analysis of their impacts (6.1), it will assess the</w:t>
      </w:r>
      <w:r>
        <w:t xml:space="preserve"> </w:t>
      </w:r>
      <w:r>
        <w:t xml:space="preserve">effectiveness and coherence of the options in relation to the specific objectives of this</w:t>
      </w:r>
      <w:r>
        <w:t xml:space="preserve"> </w:t>
      </w:r>
      <w:r>
        <w:t xml:space="preserve">initiative (6.2) and compared to the baseline. The choice of the preferred option for the</w:t>
      </w:r>
      <w:r>
        <w:t xml:space="preserve"> </w:t>
      </w:r>
      <w:r>
        <w:t xml:space="preserve">design of the plans will be made on that basis (6.3).</w:t>
      </w:r>
    </w:p>
    <w:p>
      <w:pPr>
        <w:pStyle w:val="BodyText"/>
      </w:pPr>
      <w:r>
        <w:t xml:space="preserve">Second, section 7 will assess the options related to the scope of the plans. There will</w:t>
      </w:r>
      <w:r>
        <w:t xml:space="preserve"> </w:t>
      </w:r>
      <w:r>
        <w:t xml:space="preserve">be two sets of options – the first set focused on the scope of the plans as such, and the</w:t>
      </w:r>
      <w:r>
        <w:t xml:space="preserve"> </w:t>
      </w:r>
      <w:r>
        <w:t xml:space="preserve">second set to assess whether the plans are a suitable tool to support cross-border/multi-</w:t>
      </w:r>
      <w:r>
        <w:t xml:space="preserve"> </w:t>
      </w:r>
      <w:r>
        <w:t xml:space="preserve">country projects. It will follow a similar structure as section 6, looking at the impacts of</w:t>
      </w:r>
      <w:r>
        <w:t xml:space="preserve"> </w:t>
      </w:r>
      <w:r>
        <w:t xml:space="preserve">the available options (7.1) and assess their effectiveness and coherence in relation of the</w:t>
      </w:r>
      <w:r>
        <w:t xml:space="preserve"> </w:t>
      </w:r>
      <w:r>
        <w:t xml:space="preserve">specific objectives and compare to the baseline (7.2). In doing so, it will take into</w:t>
      </w:r>
      <w:r>
        <w:t xml:space="preserve"> </w:t>
      </w:r>
      <w:r>
        <w:t xml:space="preserve">account the preferred option chosen for the design of the plans.</w:t>
      </w:r>
      <w:r>
        <w:br/>
      </w:r>
      <w:r>
        <w:t xml:space="preserve">Given that assumptions on the budget would be unreliable at this stage, the impact will</w:t>
      </w:r>
      <w:r>
        <w:t xml:space="preserve"> </w:t>
      </w:r>
      <w:r>
        <w:t xml:space="preserve">not include funding scenarios and no cost benefit analyses will be carried out to assess</w:t>
      </w:r>
      <w:r>
        <w:t xml:space="preserve"> </w:t>
      </w:r>
      <w:r>
        <w:t xml:space="preserve">the efficiency of the policy options proposed.</w:t>
      </w:r>
      <w:r>
        <w:t xml:space="preserve"> </w:t>
      </w:r>
      <w:r>
        <w:t xml:space="preserve">Summary of the options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on the design of the plans</w:t>
      </w:r>
      <w:r>
        <w:t xml:space="preserve"> </w:t>
      </w:r>
      <w:r>
        <w:t xml:space="preserve">This section examines which design features are best suited to reach the objectives of this</w:t>
      </w:r>
      <w:r>
        <w:t xml:space="preserve"> </w:t>
      </w:r>
      <w:r>
        <w:t xml:space="preserve">initiative. The options focus in particular on the plans the delivery model (1); and their</w:t>
      </w:r>
      <w:r>
        <w:t xml:space="preserve"> </w:t>
      </w:r>
      <w:r>
        <w:t xml:space="preserve">management mode (2). Annex 8 presents the current set-up regarding both dimensions.</w:t>
      </w:r>
    </w:p>
    <w:p>
      <w:pPr>
        <w:pStyle w:val="BodyText"/>
      </w:pPr>
      <w:r>
        <w:t xml:space="preserve">5.3.1. Options on the delivery model</w:t>
      </w:r>
      <w:r>
        <w:t xml:space="preserve"> </w:t>
      </w:r>
      <w:r>
        <w:t xml:space="preserve">Option A: Cost-based finance model with the possibility to disburse funds based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This option entails the use of a cost-based delivery model in which disbursements remain</w:t>
      </w:r>
      <w:r>
        <w:t xml:space="preserve"> </w:t>
      </w:r>
      <w:r>
        <w:t xml:space="preserve">predominantly linked to incurred expenditure and Member States submit cost-based</w:t>
      </w:r>
      <w:r>
        <w:t xml:space="preserve"> </w:t>
      </w:r>
      <w:r>
        <w:t xml:space="preserve">payment claims to the Commission to reimburse. The use of SCOs at the level of</w:t>
      </w:r>
      <w:r>
        <w:t xml:space="preserve"> </w:t>
      </w:r>
      <w:r>
        <w:t xml:space="preserve">operations and of FNLCs disbursements would be further encouraged, with a view to</w:t>
      </w:r>
      <w:r>
        <w:t xml:space="preserve"> </w:t>
      </w:r>
      <w:r>
        <w:t xml:space="preserve">simplifying implementation and enhancing the focus on results.</w:t>
      </w:r>
      <w:r>
        <w:br/>
      </w:r>
      <w:r>
        <w:t xml:space="preserve">Option B: Delivery against pre-agreed milestones and targets</w:t>
      </w:r>
      <w:r>
        <w:t xml:space="preserve"> </w:t>
      </w:r>
      <w:r>
        <w:t xml:space="preserve">Option B implies a system where payments are made only upon fulfilment of milestones</w:t>
      </w:r>
      <w:r>
        <w:t xml:space="preserve"> </w:t>
      </w:r>
      <w:r>
        <w:t xml:space="preserve">and targets which represent the different implementation stages. of each supported</w:t>
      </w:r>
      <w:r>
        <w:t xml:space="preserve"> </w:t>
      </w:r>
      <w:r>
        <w:t xml:space="preserve">reform, investment and other instruments. The estimated costs of implementing planned</w:t>
      </w:r>
      <w:r>
        <w:t xml:space="preserve"> </w:t>
      </w:r>
      <w:r>
        <w:t xml:space="preserve">reforms, investments and other instruments would be assessed ex-ante and serve as a</w:t>
      </w:r>
      <w:r>
        <w:t xml:space="preserve"> </w:t>
      </w:r>
      <w:r>
        <w:t xml:space="preserve">basis to determine the level of ambition of milestones and targets, but the disbursement</w:t>
      </w:r>
      <w:r>
        <w:t xml:space="preserve"> </w:t>
      </w:r>
      <w:r>
        <w:t xml:space="preserve">to Member States would not be based on the expenditure incurred for their</w:t>
      </w:r>
      <w:r>
        <w:t xml:space="preserve"> </w:t>
      </w:r>
      <w:r>
        <w:t xml:space="preserve">implementation. Payments would be made upon completion of pre-agreed milestones and</w:t>
      </w:r>
      <w:r>
        <w:t xml:space="preserve"> </w:t>
      </w:r>
      <w:r>
        <w:t xml:space="preserve">targets capturing key steps in the implementation of reforms, investments and other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Option C: Hybrid model</w:t>
      </w:r>
      <w:r>
        <w:t xml:space="preserve"> </w:t>
      </w:r>
      <w:r>
        <w:t xml:space="preserve">Option C also implies a system where payments are largely made only upon fulfilment of</w:t>
      </w:r>
      <w:r>
        <w:t xml:space="preserve"> </w:t>
      </w:r>
      <w:r>
        <w:t xml:space="preserve">milestones and targets, as under option B. However, it would also allow for payments</w:t>
      </w:r>
      <w:r>
        <w:t xml:space="preserve"> </w:t>
      </w:r>
      <w:r>
        <w:t xml:space="preserve">based on expenditure incurred in cases where it is difficult to clearly estimate the costs ex</w:t>
      </w:r>
      <w:r>
        <w:t xml:space="preserve"> </w:t>
      </w:r>
      <w:r>
        <w:t xml:space="preserve">ante or where there could be a risk of overpaying (e.g. projects subject to public</w:t>
      </w:r>
      <w:r>
        <w:t xml:space="preserve"> </w:t>
      </w:r>
      <w:r>
        <w:t xml:space="preserve">procurement, especially large infrastructure projects).</w:t>
      </w:r>
      <w:r>
        <w:br/>
      </w:r>
      <w:r>
        <w:t xml:space="preserve">5.3.2. Options on the management mode</w:t>
      </w:r>
      <w:r>
        <w:t xml:space="preserve"> </w:t>
      </w:r>
      <w:r>
        <w:t xml:space="preserve">Option D: Shared management</w:t>
      </w:r>
      <w:r>
        <w:t xml:space="preserve"> </w:t>
      </w:r>
      <w:r>
        <w:t xml:space="preserve">Member States and the Commission would share the responsibility for implementing the</w:t>
      </w:r>
      <w:r>
        <w:t xml:space="preserve"> </w:t>
      </w:r>
      <w:r>
        <w:t xml:space="preserve">funds and as well as in protecting the financial interests of the Union. The Commission</w:t>
      </w:r>
      <w:r>
        <w:t xml:space="preserve"> </w:t>
      </w:r>
      <w:r>
        <w:t xml:space="preserve">would negotiate with Member States and approve the plans to ensure alignment with</w:t>
      </w:r>
      <w:r>
        <w:t xml:space="preserve"> </w:t>
      </w:r>
      <w:r>
        <w:t xml:space="preserve">political priorities and compliance with assessment criteria. Tasks related to budget</w:t>
      </w:r>
      <w:r>
        <w:t xml:space="preserve"> </w:t>
      </w:r>
      <w:r>
        <w:t xml:space="preserve">implementation would be delegated to Member States, who would themselves appoint</w:t>
      </w:r>
      <w:r>
        <w:t xml:space="preserve"> </w:t>
      </w:r>
      <w:r>
        <w:t xml:space="preserve">bodies for the management and control of the funds. In case a cost-based delivery model</w:t>
      </w:r>
      <w:r>
        <w:t xml:space="preserve"> </w:t>
      </w:r>
      <w:r>
        <w:t xml:space="preserve">was applied, the Member State authority would submit payment claims to the</w:t>
      </w:r>
      <w:r>
        <w:t xml:space="preserve"> </w:t>
      </w:r>
      <w:r>
        <w:t xml:space="preserve">Commission and provide assurance, as it is currently the case for shared management</w:t>
      </w:r>
      <w:r>
        <w:t xml:space="preserve"> </w:t>
      </w:r>
      <w:r>
        <w:t xml:space="preserve">funds. If a performance-based delivery model was adopted, national and/or regional</w:t>
      </w:r>
      <w:r>
        <w:t xml:space="preserve"> </w:t>
      </w:r>
      <w:r>
        <w:t xml:space="preserve">programme authorities jointly assess the fulfilment of milestones and targets and provide</w:t>
      </w:r>
      <w:r>
        <w:t xml:space="preserve"> </w:t>
      </w:r>
      <w:r>
        <w:t xml:space="preserve">assurance. The Commission would be able to interrupt payments to request additional</w:t>
      </w:r>
      <w:r>
        <w:t xml:space="preserve"> </w:t>
      </w:r>
      <w:r>
        <w:t xml:space="preserve">evidence and apply suspensions. If needed, ex-post audits could be performed and</w:t>
      </w:r>
      <w:r>
        <w:t xml:space="preserve"> </w:t>
      </w:r>
      <w:r>
        <w:t xml:space="preserve">corrective measures and potential recoveries could be applied if some milestones and</w:t>
      </w:r>
      <w:r>
        <w:t xml:space="preserve"> </w:t>
      </w:r>
      <w:r>
        <w:t xml:space="preserve">targets are not fulfilled. Technical assistance could help address the administrative</w:t>
      </w:r>
      <w:r>
        <w:t xml:space="preserve"> </w:t>
      </w:r>
      <w:r>
        <w:t xml:space="preserve">capacity challenges faced notably by regional and local authorities.</w:t>
      </w:r>
      <w:r>
        <w:t xml:space="preserve"> </w:t>
      </w:r>
      <w:r>
        <w:t xml:space="preserve">Option E: Direct management</w:t>
      </w:r>
    </w:p>
    <w:p>
      <w:pPr>
        <w:pStyle w:val="BodyText"/>
      </w:pPr>
      <w:r>
        <w:t xml:space="preserve">The Commission would oversee the implementation of programmes directly and the</w:t>
      </w:r>
      <w:r>
        <w:t xml:space="preserve"> </w:t>
      </w:r>
      <w:r>
        <w:t xml:space="preserve">management would be more centralised at the Member State level. In a performance-</w:t>
      </w:r>
      <w:r>
        <w:t xml:space="preserve"> </w:t>
      </w:r>
      <w:r>
        <w:t xml:space="preserve">based model, the Commission assesses the fulfilment of milestones and targets, based on</w:t>
      </w:r>
      <w:r>
        <w:t xml:space="preserve"> </w:t>
      </w:r>
      <w:r>
        <w:t xml:space="preserve">the relevant evidence provided by Member States in addition to management</w:t>
      </w:r>
      <w:r>
        <w:t xml:space="preserve"> </w:t>
      </w:r>
      <w:r>
        <w:t xml:space="preserve">declarations, and would carry out audits. In a cost-based model, the Commission would</w:t>
      </w:r>
      <w:r>
        <w:t xml:space="preserve"> </w:t>
      </w:r>
      <w:r>
        <w:t xml:space="preserve">check all evidence of the expenditure incurred for the implementation of measures and</w:t>
      </w:r>
      <w:r>
        <w:t xml:space="preserve"> </w:t>
      </w:r>
      <w:r>
        <w:t xml:space="preserve">conduct audits and controls to verify their legality and regularity.</w:t>
      </w:r>
      <w:r>
        <w:br/>
      </w:r>
      <w:r>
        <w:t xml:space="preserve">5.4.</w:t>
      </w:r>
      <w:r>
        <w:t xml:space="preserve"> </w:t>
      </w:r>
      <w:r>
        <w:t xml:space="preserve">Options on the scope of the plans</w:t>
      </w:r>
      <w:r>
        <w:t xml:space="preserve"> </w:t>
      </w:r>
      <w:r>
        <w:t xml:space="preserve">The effectiveness of the design options of the national plans will depend on which of the</w:t>
      </w:r>
      <w:r>
        <w:t xml:space="preserve"> </w:t>
      </w:r>
      <w:r>
        <w:t xml:space="preserve">current spending programmes is integrated in the new instrument – i.e. the extent to</w:t>
      </w:r>
      <w:r>
        <w:t xml:space="preserve"> </w:t>
      </w:r>
      <w:r>
        <w:t xml:space="preserve">which the current spending programmes would be subject to the same rules (incl. </w:t>
      </w:r>
      <w:r>
        <w:t xml:space="preserve"> </w:t>
      </w:r>
      <w:r>
        <w:t xml:space="preserve">management mode and delivery model) and included into one envelope per Member</w:t>
      </w:r>
      <w:r>
        <w:t xml:space="preserve"> </w:t>
      </w:r>
      <w:r>
        <w:t xml:space="preserve">State (the “scope” of the plans”).</w:t>
      </w:r>
    </w:p>
    <w:p>
      <w:pPr>
        <w:pStyle w:val="BodyText"/>
      </w:pPr>
      <w:r>
        <w:t xml:space="preserve">As the Political Guidelines refer to “a plan for each country linking key reforms with</w:t>
      </w:r>
      <w:r>
        <w:t xml:space="preserve"> </w:t>
      </w:r>
      <w:r>
        <w:t xml:space="preserve">investment, and focusing on our joint priorities, including promoting economic, social</w:t>
      </w:r>
      <w:r>
        <w:t xml:space="preserve"> </w:t>
      </w:r>
      <w:r>
        <w:t xml:space="preserve">and territorial cohesion” all options build on Option 1. While the focus is on those</w:t>
      </w:r>
      <w:r>
        <w:t xml:space="preserve"> </w:t>
      </w:r>
      <w:r>
        <w:t xml:space="preserve">spending programmes with nationally pre-allocated envelopes, this does not exclude that</w:t>
      </w:r>
      <w:r>
        <w:t xml:space="preserve"> </w:t>
      </w:r>
      <w:r>
        <w:t xml:space="preserve">(parts of) other spending programmes are also integrated in the plans, for instance those</w:t>
      </w:r>
      <w:r>
        <w:t xml:space="preserve"> </w:t>
      </w:r>
      <w:r>
        <w:t xml:space="preserve">with strong synergies (e.g. LIFE; food and feed strand of the Single Market Programme).</w:t>
      </w:r>
      <w:r>
        <w:t xml:space="preserve"> </w:t>
      </w:r>
      <w:r>
        <w:t xml:space="preserve">The impact assessment does not discuss whether existing (sub-streams) of programmes</w:t>
      </w:r>
      <w:r>
        <w:t xml:space="preserve"> </w:t>
      </w:r>
      <w:r>
        <w:t xml:space="preserve">are intended to be re-oriented or discontinued – but rather which EU programmes with</w:t>
      </w:r>
      <w:r>
        <w:t xml:space="preserve"> </w:t>
      </w:r>
      <w:r>
        <w:t xml:space="preserve">nationally pre-allocated envelopes could fit within the scope of the plans from a policy</w:t>
      </w:r>
      <w:r>
        <w:t xml:space="preserve"> </w:t>
      </w:r>
      <w:r>
        <w:t xml:space="preserve">perspective.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The funds currently covered by the CPR would be covered in the plans, i.e. cohesion</w:t>
      </w:r>
      <w:r>
        <w:t xml:space="preserve"> </w:t>
      </w:r>
      <w:r>
        <w:t xml:space="preserve">policy funds (ERDF, CF, JTF, ESF+), fisheries, aquaculture and maritime policy</w:t>
      </w:r>
      <w:r>
        <w:t xml:space="preserve"> </w:t>
      </w:r>
      <w:r>
        <w:t xml:space="preserve">(EMFAF) and the three home affairs funds (AMIF, BMVI, ISF). This Impact</w:t>
      </w:r>
      <w:r>
        <w:t xml:space="preserve"> </w:t>
      </w:r>
      <w:r>
        <w:t xml:space="preserve">Assessment does not discuss nor prejudge the way they would be covered. In particular,</w:t>
      </w:r>
      <w:r>
        <w:t xml:space="preserve"> </w:t>
      </w:r>
      <w:r>
        <w:t xml:space="preserve">the policy priorities, and possible concentration requirements are not assessed. The</w:t>
      </w:r>
      <w:r>
        <w:t xml:space="preserve"> </w:t>
      </w:r>
      <w:r>
        <w:t xml:space="preserve">currently off-budget Social Climate Fund (SCF) would also be brought under the</w:t>
      </w:r>
      <w:r>
        <w:t xml:space="preserve"> </w:t>
      </w:r>
      <w:r>
        <w:t xml:space="preserve">umbrella of the plans since its objectives are closely aligned with cohesion funds and the</w:t>
      </w:r>
      <w:r>
        <w:t xml:space="preserve"> </w:t>
      </w:r>
      <w:r>
        <w:t xml:space="preserve">implementation of the Fund will be based on Member States plans with characteristics</w:t>
      </w:r>
      <w:r>
        <w:t xml:space="preserve"> </w:t>
      </w:r>
      <w:r>
        <w:t xml:space="preserve">similar to those considered in this document (e.g. payments linked to the fulfilment of</w:t>
      </w:r>
      <w:r>
        <w:t xml:space="preserve"> </w:t>
      </w:r>
      <w:r>
        <w:t xml:space="preserve">objectives). The initial phase of the SCF will require a stable environment, including by</w:t>
      </w:r>
      <w:r>
        <w:t xml:space="preserve"> </w:t>
      </w:r>
      <w:r>
        <w:t xml:space="preserve">having legal certainty for Member States and beneficiaries, in order to ensure a rapid and</w:t>
      </w:r>
      <w:r>
        <w:t xml:space="preserve"> </w:t>
      </w:r>
      <w:r>
        <w:t xml:space="preserve">efficient start of implementation.</w:t>
      </w:r>
      <w:r>
        <w:br/>
      </w:r>
      <w:r>
        <w:t xml:space="preserve">Support would continue to be provided for all regions with a strong focus on the less</w:t>
      </w:r>
      <w:r>
        <w:t xml:space="preserve"> </w:t>
      </w:r>
      <w:r>
        <w:t xml:space="preserve">developed regions as well as territories with special features (e.g. outermost regions,</w:t>
      </w:r>
      <w:r>
        <w:t xml:space="preserve"> </w:t>
      </w:r>
      <w:r>
        <w:t xml:space="preserve">northern sparsely populated regions, islands, mountainous areas)30. The plans would</w:t>
      </w:r>
      <w:r>
        <w:t xml:space="preserve"> </w:t>
      </w:r>
      <w:r>
        <w:t xml:space="preserve">allow to incorporate subnational/regional and sectoral chapters into the plan – Member</w:t>
      </w:r>
      <w:r>
        <w:t xml:space="preserve"> </w:t>
      </w:r>
      <w:r>
        <w:t xml:space="preserve">States could have chapters that are only national, only regional and only sectoral or a</w:t>
      </w:r>
      <w:r>
        <w:t xml:space="preserve"> </w:t>
      </w:r>
      <w:r>
        <w:t xml:space="preserve">combination of the three. The plan would also specify the sub-national reforms and</w:t>
      </w:r>
      <w:r>
        <w:t xml:space="preserve"> </w:t>
      </w:r>
      <w:r>
        <w:t xml:space="preserve">investments and how responsibilities, as well as the following payments, are shared</w:t>
      </w:r>
    </w:p>
    <w:p>
      <w:pPr>
        <w:pStyle w:val="BodyText"/>
      </w:pPr>
      <w:r>
        <w:t xml:space="preserve">30 See Annex 9 for further analysis</w:t>
      </w:r>
    </w:p>
    <w:p>
      <w:pPr>
        <w:pStyle w:val="BodyText"/>
      </w:pPr>
      <w:r>
        <w:t xml:space="preserve">among different levels of government. Member States could choose to delegate part of</w:t>
      </w:r>
      <w:r>
        <w:t xml:space="preserve"> </w:t>
      </w:r>
      <w:r>
        <w:t xml:space="preserve">the design and implementation of supported measures to regional authorities, based on a</w:t>
      </w:r>
      <w:r>
        <w:t xml:space="preserve"> </w:t>
      </w:r>
      <w:r>
        <w:t xml:space="preserve">national framework.</w:t>
      </w:r>
    </w:p>
    <w:p>
      <w:pPr>
        <w:pStyle w:val="BodyText"/>
      </w:pPr>
      <w:r>
        <w:t xml:space="preserve">The partnership principle would remain a fundamental feature of the plans. One</w:t>
      </w:r>
      <w:r>
        <w:t xml:space="preserve"> </w:t>
      </w:r>
      <w:r>
        <w:t xml:space="preserve">coordinating committee (at national level) and, if appropriate, more monitoring</w:t>
      </w:r>
      <w:r>
        <w:t xml:space="preserve"> </w:t>
      </w:r>
      <w:r>
        <w:t xml:space="preserve">committees (at regional level and/or covering certain sectoral interventions) could be put</w:t>
      </w:r>
      <w:r>
        <w:t xml:space="preserve"> </w:t>
      </w:r>
      <w:r>
        <w:t xml:space="preserve">in place for the implementation, depending on the structure of the plan. In addition,</w:t>
      </w:r>
      <w:r>
        <w:t xml:space="preserve"> </w:t>
      </w:r>
      <w:r>
        <w:t xml:space="preserve">stakeholders would have to be more closely involved in the setting up of reform and</w:t>
      </w:r>
      <w:r>
        <w:t xml:space="preserve"> </w:t>
      </w:r>
      <w:r>
        <w:t xml:space="preserve">investment measures that are relevant to them or that are implemented at their level.</w:t>
      </w:r>
    </w:p>
    <w:p>
      <w:pPr>
        <w:pStyle w:val="BodyText"/>
      </w:pPr>
      <w:r>
        <w:t xml:space="preserve">The Common Agricultural Policy would remain self-standing with separate Member</w:t>
      </w:r>
      <w:r>
        <w:t xml:space="preserve"> </w:t>
      </w:r>
      <w:r>
        <w:t xml:space="preserve">State CAP strategic plans.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Both CAP funds aim to “to ensure a fair standard of living for the agricultural</w:t>
      </w:r>
      <w:r>
        <w:t xml:space="preserve"> </w:t>
      </w:r>
      <w:r>
        <w:t xml:space="preserve">community”, among other Treaty objectives. As part of the EAGF, the core instrument is</w:t>
      </w:r>
      <w:r>
        <w:t xml:space="preserve"> </w:t>
      </w:r>
      <w:r>
        <w:t xml:space="preserve">the basic income support for sustainability (known as BISS) which is provided to all</w:t>
      </w:r>
      <w:r>
        <w:t xml:space="preserve"> </w:t>
      </w:r>
      <w:r>
        <w:t xml:space="preserve">farmers on the basis of their eligible hectares. Complementary income support is</w:t>
      </w:r>
      <w:r>
        <w:t xml:space="preserve"> </w:t>
      </w:r>
      <w:r>
        <w:t xml:space="preserve">provided for young and small farmers, while coupled income support is targeted at</w:t>
      </w:r>
      <w:r>
        <w:t xml:space="preserve"> </w:t>
      </w:r>
      <w:r>
        <w:t xml:space="preserve">specific sectors facing competitiveness, sustainability or quality difficulties, and certain</w:t>
      </w:r>
      <w:r>
        <w:t xml:space="preserve"> </w:t>
      </w:r>
      <w:r>
        <w:t xml:space="preserve">interventions aim at strengthening the position of farmers in the value chain, mainly</w:t>
      </w:r>
      <w:r>
        <w:t xml:space="preserve"> </w:t>
      </w:r>
      <w:r>
        <w:t xml:space="preserve">through producers’ organisations and interbranch organisations. EAGF comprises also</w:t>
      </w:r>
      <w:r>
        <w:t xml:space="preserve"> </w:t>
      </w:r>
      <w:r>
        <w:t xml:space="preserve">payments for the provision of ecosystem services, the so-called eco-schemes, for annual</w:t>
      </w:r>
      <w:r>
        <w:t xml:space="preserve"> </w:t>
      </w:r>
      <w:r>
        <w:t xml:space="preserve">commitments taken up by farmers going beyond the minimum conditionality rules</w:t>
      </w:r>
      <w:r>
        <w:t xml:space="preserve"> </w:t>
      </w:r>
      <w:r>
        <w:t xml:space="preserve">(further details below) and which today covers 22% of the EAGF.</w:t>
      </w:r>
    </w:p>
    <w:p>
      <w:pPr>
        <w:pStyle w:val="BodyText"/>
      </w:pPr>
      <w:r>
        <w:t xml:space="preserve">The focus of the EAFRD includes the development of thriving rural areas, which deliver</w:t>
      </w:r>
      <w:r>
        <w:t xml:space="preserve"> </w:t>
      </w:r>
      <w:r>
        <w:t xml:space="preserve">on the needs of the agricultural community and help attracting newcomers to the sector.</w:t>
      </w:r>
      <w:r>
        <w:t xml:space="preserve"> </w:t>
      </w:r>
      <w:r>
        <w:t xml:space="preserve">As part of the EAFRD, income support is also provided for farmers located in areas</w:t>
      </w:r>
      <w:r>
        <w:t xml:space="preserve"> </w:t>
      </w:r>
      <w:r>
        <w:t xml:space="preserve">under natural or other area-specific constraints, productive and non-productive</w:t>
      </w:r>
      <w:r>
        <w:t xml:space="preserve"> </w:t>
      </w:r>
      <w:r>
        <w:t xml:space="preserve">investments, risk management tools and different types of cooperation and knowledge</w:t>
      </w:r>
      <w:r>
        <w:t xml:space="preserve"> </w:t>
      </w:r>
      <w:r>
        <w:t xml:space="preserve">exchange. The key element of EAFRD are payments for the provision of ecosystem</w:t>
      </w:r>
      <w:r>
        <w:t xml:space="preserve"> </w:t>
      </w:r>
      <w:r>
        <w:t xml:space="preserve">services, known as agri-environmental, climate related and other management</w:t>
      </w:r>
      <w:r>
        <w:t xml:space="preserve"> </w:t>
      </w:r>
      <w:r>
        <w:t xml:space="preserve">commitments (AECM). These payments are equally established based on farming area or</w:t>
      </w:r>
      <w:r>
        <w:t xml:space="preserve"> </w:t>
      </w:r>
      <w:r>
        <w:t xml:space="preserve">per animal.</w:t>
      </w:r>
    </w:p>
    <w:p>
      <w:pPr>
        <w:pStyle w:val="BodyText"/>
      </w:pPr>
      <w:r>
        <w:t xml:space="preserve">The instruments in the two funds work together to achieve the objectives of the CAP but</w:t>
      </w:r>
      <w:r>
        <w:t xml:space="preserve"> </w:t>
      </w:r>
      <w:r>
        <w:t xml:space="preserve">interventions supported by the EAFRD are mainly of a multi-annual nature and co-</w:t>
      </w:r>
      <w:r>
        <w:t xml:space="preserve"> </w:t>
      </w:r>
      <w:r>
        <w:t xml:space="preserve">financed by the EU budget while direct payments and market measures under the EAGF</w:t>
      </w:r>
      <w:r>
        <w:t xml:space="preserve"> </w:t>
      </w:r>
      <w:r>
        <w:t xml:space="preserve">are annual and solely financed by the EU budget.</w:t>
      </w:r>
    </w:p>
    <w:p>
      <w:pPr>
        <w:pStyle w:val="BodyText"/>
      </w:pPr>
      <w:r>
        <w:t xml:space="preserve">The study on funding for EU rural areas found that the EAFRD and cohesion policy</w:t>
      </w:r>
      <w:r>
        <w:t xml:space="preserve"> </w:t>
      </w:r>
      <w:r>
        <w:t xml:space="preserve">funds demonstrate strong complementarity - albeit at different scales of intervention -</w:t>
      </w:r>
      <w:r>
        <w:t xml:space="preserve"> </w:t>
      </w:r>
      <w:r>
        <w:t xml:space="preserve">especially when appropriate strategies for rural areas are in place, leading to better</w:t>
      </w:r>
      <w:r>
        <w:t xml:space="preserve"> </w:t>
      </w:r>
      <w:r>
        <w:t xml:space="preserve">synergies between the CAP, cohesion policy and other EU funds supporting rural areas.</w:t>
      </w:r>
      <w:r>
        <w:t xml:space="preserve"> </w:t>
      </w:r>
      <w:r>
        <w:t xml:space="preserve">Section 2.2.1 of the problem definition provides examples of the types of synergies</w:t>
      </w:r>
      <w:r>
        <w:t xml:space="preserve"> </w:t>
      </w:r>
      <w:r>
        <w:t xml:space="preserve">between the EAFRD and cohesion policy. Based on the above, there are two options for</w:t>
      </w:r>
      <w:r>
        <w:t xml:space="preserve"> </w:t>
      </w:r>
      <w:r>
        <w:t xml:space="preserve">the integration of the CAP within the plans, which result in different levels of synergies</w:t>
      </w:r>
      <w:r>
        <w:t xml:space="preserve"> </w:t>
      </w:r>
      <w:r>
        <w:t xml:space="preserve">and complementarities with Option 1.</w:t>
      </w:r>
    </w:p>
    <w:p>
      <w:pPr>
        <w:pStyle w:val="BodyText"/>
      </w:pPr>
      <w:r>
        <w:t xml:space="preserve">Option 2a – EAFRD within the national plans</w:t>
      </w:r>
      <w:r>
        <w:t xml:space="preserve"> </w:t>
      </w:r>
      <w:r>
        <w:t xml:space="preserve">Only the EAFRD would be integrated in the plans for each country linking key reforms</w:t>
      </w:r>
      <w:r>
        <w:t xml:space="preserve"> </w:t>
      </w:r>
      <w:r>
        <w:t xml:space="preserve">with investments. Concretely, certain elements of the objectives of the CAP would be</w:t>
      </w:r>
      <w:r>
        <w:t xml:space="preserve"> </w:t>
      </w:r>
      <w:r>
        <w:t xml:space="preserve">delivered according to the provisions governing the plans while others would be</w:t>
      </w:r>
      <w:r>
        <w:t xml:space="preserve"> </w:t>
      </w:r>
      <w:r>
        <w:t xml:space="preserve">delivered outside of the plan through the EAGF.</w:t>
      </w:r>
      <w:r>
        <w:br/>
      </w:r>
      <w:r>
        <w:t xml:space="preserve">The governance structure described in Option 1 would be compatible with the</w:t>
      </w:r>
      <w:r>
        <w:t xml:space="preserve"> </w:t>
      </w:r>
      <w:r>
        <w:t xml:space="preserve">governance of the current CAP, as it would still be possible for Member States to</w:t>
      </w:r>
      <w:r>
        <w:t xml:space="preserve"> </w:t>
      </w:r>
      <w:r>
        <w:t xml:space="preserve">delegate to regional managing authorities the EAFRD interventions envisaged in the</w:t>
      </w:r>
      <w:r>
        <w:t xml:space="preserve"> </w:t>
      </w:r>
      <w:r>
        <w:t xml:space="preserve">plans, while the national coordinating body would remain responsible for ensuring the</w:t>
      </w:r>
      <w:r>
        <w:t xml:space="preserve"> </w:t>
      </w:r>
      <w:r>
        <w:t xml:space="preserve">appropriate coordination and guaranteeing the coherence and consistency of the plans.</w:t>
      </w:r>
      <w:r>
        <w:t xml:space="preserve"> </w:t>
      </w:r>
      <w:r>
        <w:t xml:space="preserve">There could be monitoring committees set up at regional level, in addition to the central</w:t>
      </w:r>
      <w:r>
        <w:t xml:space="preserve"> </w:t>
      </w:r>
      <w:r>
        <w:t xml:space="preserve">monitoring committee set up at national level.</w:t>
      </w:r>
      <w:r>
        <w:br/>
      </w:r>
      <w:r>
        <w:t xml:space="preserve">Building on the current CAP (which is also subject to the partnership principle), the</w:t>
      </w:r>
      <w:r>
        <w:t xml:space="preserve"> </w:t>
      </w:r>
      <w:r>
        <w:t xml:space="preserve">enhanced partnership principle of Option 1 would also apply. This will guarantee the</w:t>
      </w:r>
      <w:r>
        <w:t xml:space="preserve"> </w:t>
      </w:r>
      <w:r>
        <w:t xml:space="preserve">involvement of all relevant public bodies (including competent regional and local</w:t>
      </w:r>
      <w:r>
        <w:t xml:space="preserve"> </w:t>
      </w:r>
      <w:r>
        <w:t xml:space="preserve">authorities), economic and social partners as well as relevant bodies representing civil</w:t>
      </w:r>
      <w:r>
        <w:t xml:space="preserve"> </w:t>
      </w:r>
      <w:r>
        <w:t xml:space="preserve">society in the implementation of CAP objectives.</w:t>
      </w:r>
      <w:r>
        <w:t xml:space="preserve"> </w:t>
      </w:r>
      <w:r>
        <w:t xml:space="preserve">The EAGF would continue as a self-standing fund outside the plans and would include</w:t>
      </w:r>
      <w:r>
        <w:t xml:space="preserve"> </w:t>
      </w:r>
      <w:r>
        <w:t xml:space="preserve">only the instruments of direct payments to farmers and market measures.</w:t>
      </w:r>
      <w:r>
        <w:br/>
      </w:r>
      <w:r>
        <w:t xml:space="preserve">Option 2b – CAP within the national plans</w:t>
      </w:r>
      <w:r>
        <w:t xml:space="preserve"> </w:t>
      </w:r>
      <w:r>
        <w:t xml:space="preserve">Both the EAFRD and the EAGF would be integrated in the plans. The multi-level</w:t>
      </w:r>
      <w:r>
        <w:t xml:space="preserve"> </w:t>
      </w:r>
      <w:r>
        <w:t xml:space="preserve">governance, with a strong regional dimension as outlined in Option 2a would apply, as</w:t>
      </w:r>
      <w:r>
        <w:t xml:space="preserve"> </w:t>
      </w:r>
      <w:r>
        <w:t xml:space="preserve">well as the enhanced partnership principle. In line with the nature of the CAP, specific</w:t>
      </w:r>
      <w:r>
        <w:t xml:space="preserve"> </w:t>
      </w:r>
      <w:r>
        <w:t xml:space="preserve">rules would be needed to preserve the integrity of the single market and fair competition</w:t>
      </w:r>
      <w:r>
        <w:t xml:space="preserve"> </w:t>
      </w:r>
      <w:r>
        <w:t xml:space="preserve">between farmers. Taking this into account, among other specific elements, the integration</w:t>
      </w:r>
      <w:r>
        <w:t xml:space="preserve"> </w:t>
      </w:r>
      <w:r>
        <w:t xml:space="preserve">of the CAP within the plans would be accompanied by specific policy objectives for the</w:t>
      </w:r>
      <w:r>
        <w:t xml:space="preserve"> </w:t>
      </w:r>
      <w:r>
        <w:t xml:space="preserve">CAP and specific policy requirements attached to the set of interventions to be supported</w:t>
      </w:r>
      <w:r>
        <w:t xml:space="preserve"> </w:t>
      </w:r>
      <w:r>
        <w:t xml:space="preserve">in the agricultural sector and rural areas. These interventions and rules would need to</w:t>
      </w:r>
      <w:r>
        <w:t xml:space="preserve"> </w:t>
      </w:r>
      <w:r>
        <w:t xml:space="preserve">make sure that support is targeted to farmers who need it most – with a particular</w:t>
      </w:r>
      <w:r>
        <w:t xml:space="preserve"> </w:t>
      </w:r>
      <w:r>
        <w:t xml:space="preserve">attention to the farmers in areas with natural constraints, young and new farmers, and</w:t>
      </w:r>
      <w:r>
        <w:t xml:space="preserve"> </w:t>
      </w:r>
      <w:r>
        <w:t xml:space="preserve">mixed farms, as well as those providing ecosystem services. A dedicated agricultural</w:t>
      </w:r>
      <w:r>
        <w:t xml:space="preserve"> </w:t>
      </w:r>
      <w:r>
        <w:t xml:space="preserve">chapter within the plans would allow to bring these specific elements together in a</w:t>
      </w:r>
      <w:r>
        <w:t xml:space="preserve"> </w:t>
      </w:r>
      <w:r>
        <w:t xml:space="preserve">coherent strategy for agriculture per Member State, building on the experience of the</w:t>
      </w:r>
      <w:r>
        <w:t xml:space="preserve"> </w:t>
      </w:r>
      <w:r>
        <w:t xml:space="preserve">CAP Strategic Plans. At the same time, Member States would also be able to draw on the</w:t>
      </w:r>
      <w:r>
        <w:t xml:space="preserve"> </w:t>
      </w:r>
      <w:r>
        <w:t xml:space="preserve">wider set of interventions available within the plans to achieve the CAP objectives, such</w:t>
      </w:r>
      <w:r>
        <w:t xml:space="preserve"> </w:t>
      </w:r>
      <w:r>
        <w:t xml:space="preserve">as the dedicated support for young farmers, setting – up business development alongside</w:t>
      </w:r>
      <w:r>
        <w:t xml:space="preserve"> </w:t>
      </w:r>
      <w:r>
        <w:t xml:space="preserve">interventions to improve attractiveness and living standards in rural areas, etc.</w:t>
      </w:r>
    </w:p>
    <w:p>
      <w:pPr>
        <w:pStyle w:val="BodyText"/>
      </w:pPr>
      <w:r>
        <w:t xml:space="preserve">Option 3</w:t>
      </w:r>
    </w:p>
    <w:p>
      <w:pPr>
        <w:pStyle w:val="BodyText"/>
      </w:pPr>
      <w:r>
        <w:t xml:space="preserve">The Modernisation Fund is an off-budget programme set up from 2021 to 2030. A small</w:t>
      </w:r>
      <w:r>
        <w:t xml:space="preserve"> </w:t>
      </w:r>
      <w:r>
        <w:t xml:space="preserve">percentage of the total EU ETS allowances are auctioned to the benefit of 13 lower-</w:t>
      </w:r>
      <w:r>
        <w:t xml:space="preserve"> </w:t>
      </w:r>
      <w:r>
        <w:t xml:space="preserve">income Member States and proceeds are shared between the beneficiary Member States</w:t>
      </w:r>
      <w:r>
        <w:t xml:space="preserve"> </w:t>
      </w:r>
      <w:r>
        <w:t xml:space="preserve">in shares set in the ETS Directive. The funding is used to support the modernisation of</w:t>
      </w:r>
      <w:r>
        <w:t xml:space="preserve"> </w:t>
      </w:r>
      <w:r>
        <w:t xml:space="preserve">the energy sector in line with State aid rules. From a policy perspective, these projects are</w:t>
      </w:r>
      <w:r>
        <w:t xml:space="preserve"> </w:t>
      </w:r>
      <w:r>
        <w:t xml:space="preserve">similar to investments also covered by other EU spending programmes, in particular</w:t>
      </w:r>
      <w:r>
        <w:t xml:space="preserve"> </w:t>
      </w:r>
      <w:r>
        <w:t xml:space="preserve">cohesion policy, the RRF and the SCF.</w:t>
      </w:r>
    </w:p>
    <w:p>
      <w:pPr>
        <w:pStyle w:val="BodyText"/>
      </w:pPr>
      <w:r>
        <w:t xml:space="preserve">From a budgetary point of view, the Modernisation Fund is of a very different nature</w:t>
      </w:r>
      <w:r>
        <w:t xml:space="preserve"> </w:t>
      </w:r>
      <w:r>
        <w:t xml:space="preserve">than other EU spending programmes. Member States are the driving actors of the</w:t>
      </w:r>
      <w:r>
        <w:t xml:space="preserve"> </w:t>
      </w:r>
      <w:r>
        <w:t xml:space="preserve">implementation, submitting investment proposals for the screening of the EIB or the</w:t>
      </w:r>
      <w:r>
        <w:t xml:space="preserve"> </w:t>
      </w:r>
      <w:r>
        <w:t xml:space="preserve">validation by the Investment Committee. The Commission has the obligation to adopt the</w:t>
      </w:r>
      <w:r>
        <w:t xml:space="preserve"> </w:t>
      </w:r>
      <w:r>
        <w:t xml:space="preserve">disbursement decision once an investment has been confirmed by the EIB (for priority</w:t>
      </w:r>
      <w:r>
        <w:t xml:space="preserve"> </w:t>
      </w:r>
      <w:r>
        <w:t xml:space="preserve">investments) or recommended for financing by the Investment Committee (for non-</w:t>
      </w:r>
      <w:r>
        <w:t xml:space="preserve"> </w:t>
      </w:r>
      <w:r>
        <w:t xml:space="preserve">priority investments). Disbursements are not subject to the Financial Regulation. The</w:t>
      </w:r>
      <w:r>
        <w:t xml:space="preserve"> </w:t>
      </w:r>
      <w:r>
        <w:t xml:space="preserve">Budgetary Authority has no role and the European Court of Auditors has no auditing</w:t>
      </w:r>
      <w:r>
        <w:t xml:space="preserve"> </w:t>
      </w:r>
      <w:r>
        <w:t xml:space="preserve">powers with regard to Member States’ spending. It can only audit the EIB and</w:t>
      </w:r>
      <w:r>
        <w:t xml:space="preserve"> </w:t>
      </w:r>
      <w:r>
        <w:t xml:space="preserve">Commission procedures and disbursement decisions. Unlike the other ETS-funded funds,</w:t>
      </w:r>
      <w:r>
        <w:t xml:space="preserve"> </w:t>
      </w:r>
      <w:r>
        <w:t xml:space="preserve">disbursements made under the Modernisation Fund are not subject to any rule of law</w:t>
      </w:r>
      <w:r>
        <w:t xml:space="preserve"> </w:t>
      </w:r>
      <w:r>
        <w:t xml:space="preserve">conditionality nor the Conditionality Regulation.</w:t>
      </w:r>
    </w:p>
    <w:p>
      <w:pPr>
        <w:pStyle w:val="BodyText"/>
      </w:pPr>
      <w:r>
        <w:t xml:space="preserve">Under Option 3, the Modernisation Fund would be integrated into the plans, providing</w:t>
      </w:r>
      <w:r>
        <w:t xml:space="preserve"> </w:t>
      </w:r>
      <w:r>
        <w:t xml:space="preserve">more visibility to the investments to be carried out beyond the current obligations set out</w:t>
      </w:r>
      <w:r>
        <w:t xml:space="preserve"> </w:t>
      </w:r>
      <w:r>
        <w:t xml:space="preserve">in the ETS Directive. While Member States would still be responsible for the selection of</w:t>
      </w:r>
      <w:r>
        <w:t xml:space="preserve"> </w:t>
      </w:r>
      <w:r>
        <w:t xml:space="preserve">reforms and investments they wish to support, programming would need to take into</w:t>
      </w:r>
      <w:r>
        <w:t xml:space="preserve"> </w:t>
      </w:r>
      <w:r>
        <w:t xml:space="preserve">account the steering mechanism and be subject to approval by the Commission, which</w:t>
      </w:r>
      <w:r>
        <w:t xml:space="preserve"> </w:t>
      </w:r>
      <w:r>
        <w:t xml:space="preserve">would be carried out based on the assessment framework agreed at EU level. Member</w:t>
      </w:r>
      <w:r>
        <w:t xml:space="preserve"> </w:t>
      </w:r>
      <w:r>
        <w:t xml:space="preserve">States’ spending would be subject to the same audit and control rules, delivery model,</w:t>
      </w:r>
      <w:r>
        <w:t xml:space="preserve"> </w:t>
      </w:r>
      <w:r>
        <w:t xml:space="preserve">payments rules, etc. as the rest of the plan. Finally, the spending would need to comply</w:t>
      </w:r>
      <w:r>
        <w:t xml:space="preserve"> </w:t>
      </w:r>
      <w:r>
        <w:t xml:space="preserve">with the rule of law conditionality.</w:t>
      </w:r>
    </w:p>
    <w:p>
      <w:pPr>
        <w:pStyle w:val="BodyText"/>
      </w:pPr>
      <w:r>
        <w:t xml:space="preserve">There are two options for the integration of the Modernisation Fund in the plans, which</w:t>
      </w:r>
      <w:r>
        <w:t xml:space="preserve"> </w:t>
      </w:r>
      <w:r>
        <w:t xml:space="preserve">largely depend on the outcome of the assessment of Options 1 and 2.</w:t>
      </w:r>
    </w:p>
    <w:p>
      <w:pPr>
        <w:pStyle w:val="BodyText"/>
      </w:pPr>
      <w:r>
        <w:t xml:space="preserve">• Option 3a: the Modernisation Fund would be integrated in the plans, together</w:t>
      </w:r>
      <w:r>
        <w:t xml:space="preserve"> </w:t>
      </w:r>
      <w:r>
        <w:t xml:space="preserve">with the other funds covered by the CPR and the SCF (Option 1).</w:t>
      </w:r>
    </w:p>
    <w:p>
      <w:pPr>
        <w:pStyle w:val="BodyText"/>
      </w:pPr>
      <w:r>
        <w:t xml:space="preserve">• Option 3b: the Modernisation Fund would be brought under the umbrella of the</w:t>
      </w:r>
      <w:r>
        <w:t xml:space="preserve"> </w:t>
      </w:r>
      <w:r>
        <w:t xml:space="preserve">plans, which would also cover the funds mentioned in Option 3a as well as either</w:t>
      </w:r>
      <w:r>
        <w:t xml:space="preserve"> </w:t>
      </w:r>
      <w:r>
        <w:t xml:space="preserve">the EAFRD only (Option 2a) or the EAFRD and the EAGF (Option 2b).</w:t>
      </w:r>
    </w:p>
    <w:p>
      <w:pPr>
        <w:pStyle w:val="BodyText"/>
      </w:pPr>
      <w:r>
        <w:t xml:space="preserve">5.5.</w:t>
      </w:r>
      <w:r>
        <w:t xml:space="preserve"> </w:t>
      </w:r>
      <w:r>
        <w:t xml:space="preserve">Options to support cross-border projects</w:t>
      </w:r>
      <w:r>
        <w:t xml:space="preserve"> </w:t>
      </w:r>
      <w:r>
        <w:t xml:space="preserve">Option 4 focuses on cross-border infrastructure projects in the field of transport and</w:t>
      </w:r>
      <w:r>
        <w:t xml:space="preserve"> </w:t>
      </w:r>
      <w:r>
        <w:t xml:space="preserve">energy, as currently covered under the CEF. The digital strand of CEF is assessed as part</w:t>
      </w:r>
      <w:r>
        <w:t xml:space="preserve"> </w:t>
      </w:r>
      <w:r>
        <w:t xml:space="preserve">of the impact assessment on the European Competitiveness Fund.</w:t>
      </w:r>
    </w:p>
    <w:p>
      <w:pPr>
        <w:pStyle w:val="BodyText"/>
      </w:pPr>
      <w:r>
        <w:t xml:space="preserve">Option 4a: cross-border infrastructure projects under nationally pre-allocated envelopes</w:t>
      </w:r>
      <w:r>
        <w:t xml:space="preserve"> </w:t>
      </w:r>
      <w:r>
        <w:t xml:space="preserve">The implementation of cross-border (in transport and energy) and dual-use projects on</w:t>
      </w:r>
      <w:r>
        <w:t xml:space="preserve"> </w:t>
      </w:r>
      <w:r>
        <w:t xml:space="preserve">the military mobility would be programmed and implemented within the plans. Hence,</w:t>
      </w:r>
      <w:r>
        <w:t xml:space="preserve"> </w:t>
      </w:r>
      <w:r>
        <w:t xml:space="preserve">the implementation of such projects would be done under the rules of the plans –</w:t>
      </w:r>
      <w:r>
        <w:t xml:space="preserve"> </w:t>
      </w:r>
      <w:r>
        <w:t xml:space="preserve">including shared management and a performance-based delivery model. Each Member</w:t>
      </w:r>
      <w:r>
        <w:t xml:space="preserve"> </w:t>
      </w:r>
      <w:r>
        <w:t xml:space="preserve">State would be responsible to implement the part of the cross-border section or a military</w:t>
      </w:r>
      <w:r>
        <w:t xml:space="preserve"> </w:t>
      </w:r>
      <w:r>
        <w:t xml:space="preserve">mobility project on its territory.</w:t>
      </w:r>
    </w:p>
    <w:p>
      <w:pPr>
        <w:pStyle w:val="BodyText"/>
      </w:pPr>
      <w:r>
        <w:t xml:space="preserve">Option 4b: dedicated instrument for cross-border infrastructure projects</w:t>
      </w:r>
      <w:r>
        <w:t xml:space="preserve"> </w:t>
      </w:r>
      <w:r>
        <w:t xml:space="preserve">A separate instrument would be created to provide support for the implementation of</w:t>
      </w:r>
      <w:r>
        <w:t xml:space="preserve"> </w:t>
      </w:r>
      <w:r>
        <w:t xml:space="preserve">cross-border projects (in transport and energy) and dual-use projects on the military</w:t>
      </w:r>
    </w:p>
    <w:p>
      <w:pPr>
        <w:pStyle w:val="BodyText"/>
      </w:pPr>
      <w:r>
        <w:t xml:space="preserve">mobility network. Building on the experience of the CEF, this instrument would be</w:t>
      </w:r>
      <w:r>
        <w:t xml:space="preserve"> </w:t>
      </w:r>
      <w:r>
        <w:t xml:space="preserve">directly managed with competitive calls for proposals where project promoters apply</w:t>
      </w:r>
      <w:r>
        <w:t xml:space="preserve"> </w:t>
      </w:r>
      <w:r>
        <w:t xml:space="preserve">directly for funding and selection by the Commission in a cost-based delivery model.</w:t>
      </w:r>
      <w:r>
        <w:t xml:space="preserve"> </w:t>
      </w:r>
      <w:r>
        <w:t xml:space="preserve">National projects of a cross-border relevance (e.g. national section of a TEN-T corridor</w:t>
      </w:r>
      <w:r>
        <w:t xml:space="preserve"> </w:t>
      </w:r>
      <w:r>
        <w:t xml:space="preserve">within a Member State) would be implemented through the plans.</w:t>
      </w:r>
    </w:p>
    <w:p>
      <w:pPr>
        <w:pStyle w:val="BodyText"/>
      </w:pPr>
      <w:r>
        <w:t xml:space="preserve">Since the Political Guidelines clearly state that “the European Competitiveness Fund will</w:t>
      </w:r>
      <w:r>
        <w:t xml:space="preserve"> </w:t>
      </w:r>
      <w:r>
        <w:t xml:space="preserve">support Important Projects of Common Interest (IPCEIs)”, IPCEIs will be covered in the</w:t>
      </w:r>
      <w:r>
        <w:t xml:space="preserve"> </w:t>
      </w:r>
      <w:r>
        <w:t xml:space="preserve">dedicated impact assessment – including possible links with the plans. The options rather</w:t>
      </w:r>
      <w:r>
        <w:t xml:space="preserve"> </w:t>
      </w:r>
      <w:r>
        <w:t xml:space="preserve">focus on cross-border infrastructure projects in the transport and energy sectors, noting</w:t>
      </w:r>
      <w:r>
        <w:t xml:space="preserve"> </w:t>
      </w:r>
      <w:r>
        <w:t xml:space="preserve">that other sectors (e.g. digital) are covered in the scope of the Competitiveness Fund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6.</w:t>
      </w:r>
      <w:r>
        <w:t xml:space="preserve"> </w:t>
      </w:r>
      <w:r>
        <w:t xml:space="preserve">ASSESSMENT OF THE OPTIONS RELATED TO THE DESIGN OF THE PLANS</w:t>
      </w:r>
      <w:r>
        <w:t xml:space="preserve"> </w:t>
      </w:r>
      <w:r>
        <w:t xml:space="preserve">6.1.</w:t>
      </w:r>
      <w:r>
        <w:t xml:space="preserve"> </w:t>
      </w:r>
      <w:r>
        <w:t xml:space="preserve">What are the impacts of the options?</w:t>
      </w:r>
      <w:r>
        <w:t xml:space="preserve"> </w:t>
      </w:r>
      <w:r>
        <w:t xml:space="preserve">6.1.1. Options on the delivery model</w:t>
      </w:r>
      <w:r>
        <w:t xml:space="preserve"> </w:t>
      </w:r>
      <w:r>
        <w:t xml:space="preserve">Option A: Cost-based finance model with the possibility to disburse funds based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As cost-based financing has been used for a long time, managing authorities and</w:t>
      </w:r>
      <w:r>
        <w:t xml:space="preserve"> </w:t>
      </w:r>
      <w:r>
        <w:t xml:space="preserve">beneficiaries are overall familiar with the way it works, albeit to a different extent across</w:t>
      </w:r>
      <w:r>
        <w:t xml:space="preserve"> </w:t>
      </w:r>
      <w:r>
        <w:t xml:space="preserve">Member States and programmes. This could facilitate communication and understanding,</w:t>
      </w:r>
      <w:r>
        <w:t xml:space="preserve"> </w:t>
      </w:r>
      <w:r>
        <w:t xml:space="preserve">as the actors involved would be able to build on existing practices, structures and IT</w:t>
      </w:r>
      <w:r>
        <w:t xml:space="preserve"> </w:t>
      </w:r>
      <w:r>
        <w:t xml:space="preserve">infrastructure. However, this also applies to performance-based models given the</w:t>
      </w:r>
      <w:r>
        <w:t xml:space="preserve"> </w:t>
      </w:r>
      <w:r>
        <w:t xml:space="preserve">experience gained under the RRF by Member States and beneficiaries over recent years</w:t>
      </w:r>
      <w:r>
        <w:t xml:space="preserve"> </w:t>
      </w:r>
      <w:r>
        <w:t xml:space="preserve">(which would be further strengthened with the set-up of the SCF).</w:t>
      </w:r>
      <w:r>
        <w:t xml:space="preserve"> </w:t>
      </w:r>
      <w:r>
        <w:t xml:space="preserve">In this model, however, payments from the Commission to Member States are slower,</w:t>
      </w:r>
      <w:r>
        <w:t xml:space="preserve"> </w:t>
      </w:r>
      <w:r>
        <w:t xml:space="preserve">since they only take place once expenditure has been incurred and paid and</w:t>
      </w:r>
      <w:r>
        <w:t xml:space="preserve"> </w:t>
      </w:r>
      <w:r>
        <w:t xml:space="preserve">corresponding management verifications carried out. Relying on a cost-based delivery</w:t>
      </w:r>
      <w:r>
        <w:t xml:space="preserve"> </w:t>
      </w:r>
      <w:r>
        <w:t xml:space="preserve">model would not reduce the current level of administrative costs, both for Member</w:t>
      </w:r>
      <w:r>
        <w:t xml:space="preserve"> </w:t>
      </w:r>
      <w:r>
        <w:t xml:space="preserve">States’ authorities in the verification of invoices and beneficiaries for keeping them.</w:t>
      </w:r>
      <w:r>
        <w:br/>
      </w:r>
      <w:r>
        <w:t xml:space="preserve">With a view to simplifying implementation and enhancing the focus on results, this</w:t>
      </w:r>
      <w:r>
        <w:t xml:space="preserve"> </w:t>
      </w:r>
      <w:r>
        <w:t xml:space="preserve">option would be paired with a possibly strengthened requirement to use SCOs and</w:t>
      </w:r>
      <w:r>
        <w:t xml:space="preserve"> </w:t>
      </w:r>
      <w:r>
        <w:t xml:space="preserve">encourage the use of the FNLCs disbursements to reduce the need for checks on actual</w:t>
      </w:r>
      <w:r>
        <w:t xml:space="preserve"> </w:t>
      </w:r>
      <w:r>
        <w:t xml:space="preserve">costs. SCOs would help reducing it and simplifying the process to beneficiaries.</w:t>
      </w:r>
      <w:r>
        <w:t xml:space="preserve"> </w:t>
      </w:r>
      <w:r>
        <w:t xml:space="preserve">However, the experience of Member States and regions with such schemes, as well as</w:t>
      </w:r>
      <w:r>
        <w:t xml:space="preserve"> </w:t>
      </w:r>
      <w:r>
        <w:t xml:space="preserve">beneficiaries, remains low (especially for FNLC).</w:t>
      </w:r>
      <w:r>
        <w:br/>
      </w:r>
      <w:r>
        <w:t xml:space="preserve">As the complexity of the verification process can make transactions that involve</w:t>
      </w:r>
      <w:r>
        <w:t xml:space="preserve"> </w:t>
      </w:r>
      <w:r>
        <w:t xml:space="preserve">reimbursement of actual costs more susceptible to errors, this model would not reduce</w:t>
      </w:r>
      <w:r>
        <w:t xml:space="preserve"> </w:t>
      </w:r>
      <w:r>
        <w:t xml:space="preserve">the currently high error rate of cohesion policy funds. However, the use of SCOs allows</w:t>
      </w:r>
      <w:r>
        <w:t xml:space="preserve"> </w:t>
      </w:r>
      <w:r>
        <w:t xml:space="preserve">for a more efficient and reliable approach, with lower likelihood of errors. A slow pace of</w:t>
      </w:r>
      <w:r>
        <w:t xml:space="preserve"> </w:t>
      </w:r>
      <w:r>
        <w:t xml:space="preserve">payments is, however, not an issue for all types of instruments (e.g. direct payments</w:t>
      </w:r>
      <w:r>
        <w:t xml:space="preserve"> </w:t>
      </w:r>
      <w:r>
        <w:t xml:space="preserve">under the CAP have a very high annual execution rate) and not all policies have high</w:t>
      </w:r>
      <w:r>
        <w:t xml:space="preserve"> </w:t>
      </w:r>
      <w:r>
        <w:t xml:space="preserve">error rates (e.g. the CAP).</w:t>
      </w:r>
    </w:p>
    <w:p>
      <w:pPr>
        <w:pStyle w:val="BodyText"/>
      </w:pPr>
      <w:r>
        <w:t xml:space="preserve">Under a cost-based delivery mode, incentivising reforms could only be based on enabling</w:t>
      </w:r>
      <w:r>
        <w:t xml:space="preserve"> </w:t>
      </w:r>
      <w:r>
        <w:t xml:space="preserve">conditions and financial support for reforms only on effective costs of their</w:t>
      </w:r>
      <w:r>
        <w:t xml:space="preserve"> </w:t>
      </w:r>
      <w:r>
        <w:t xml:space="preserve">implementation which would be a constraint and could involve more complexities. The</w:t>
      </w:r>
      <w:r>
        <w:t xml:space="preserve"> </w:t>
      </w:r>
      <w:r>
        <w:t xml:space="preserve">costs of reforms are often difficult to quantify, and it is often the political costs rather</w:t>
      </w:r>
      <w:r>
        <w:t xml:space="preserve"> </w:t>
      </w:r>
      <w:r>
        <w:t xml:space="preserve">than the implementation cost that makes their adoption difficult. While the current</w:t>
      </w:r>
      <w:r>
        <w:t xml:space="preserve"> </w:t>
      </w:r>
      <w:r>
        <w:t xml:space="preserve">system of enabling conditions has helped to ensure the right framework conditions for</w:t>
      </w:r>
      <w:r>
        <w:t xml:space="preserve"> </w:t>
      </w:r>
      <w:r>
        <w:t xml:space="preserve">investments, their completion would only grant access to funding and not trigger</w:t>
      </w:r>
      <w:r>
        <w:t xml:space="preserve"> </w:t>
      </w:r>
      <w:r>
        <w:t xml:space="preserve">payments. Yet, experience shows that the incentive to carry out reforms is significantly</w:t>
      </w:r>
      <w:r>
        <w:t xml:space="preserve"> </w:t>
      </w:r>
      <w:r>
        <w:t xml:space="preserve">stronger if the reforms are tailor-made (as opposed to minimum conditions identical to</w:t>
      </w:r>
      <w:r>
        <w:t xml:space="preserve"> </w:t>
      </w:r>
      <w:r>
        <w:t xml:space="preserve">all) and can trigger payments.</w:t>
      </w:r>
      <w:r>
        <w:t xml:space="preserve"> </w:t>
      </w:r>
      <w:r>
        <w:t xml:space="preserve">Option B: Delivery against pre-agreed milestones and targets</w:t>
      </w:r>
      <w:r>
        <w:t xml:space="preserve"> </w:t>
      </w:r>
      <w:r>
        <w:t xml:space="preserve">The focus here is on achieving tangible results captured by specific milestones and</w:t>
      </w:r>
      <w:r>
        <w:t xml:space="preserve"> </w:t>
      </w:r>
      <w:r>
        <w:t xml:space="preserve">targets, rather than submitting detailed claims for reimbursement. This aspect may result</w:t>
      </w:r>
      <w:r>
        <w:t xml:space="preserve"> </w:t>
      </w:r>
      <w:r>
        <w:t xml:space="preserve">in better communication opportunities for the wider public, as it would be easier to</w:t>
      </w:r>
      <w:r>
        <w:t xml:space="preserve"> </w:t>
      </w:r>
      <w:r>
        <w:t xml:space="preserve">communicate on the results achieved with EU funding by relying on the milestones and</w:t>
      </w:r>
      <w:r>
        <w:t xml:space="preserve"> </w:t>
      </w:r>
      <w:r>
        <w:t xml:space="preserve">targets completed (rather than when only invoices are available at hand). A clear</w:t>
      </w:r>
      <w:r>
        <w:t xml:space="preserve"> </w:t>
      </w:r>
      <w:r>
        <w:t xml:space="preserve">performance orientation would also increase the policy alignment to EU priorities, as this</w:t>
      </w:r>
      <w:r>
        <w:t xml:space="preserve"> </w:t>
      </w:r>
      <w:r>
        <w:t xml:space="preserve">could be ensured at the moment of the design and payment, provided that the right</w:t>
      </w:r>
      <w:r>
        <w:t xml:space="preserve"> </w:t>
      </w:r>
      <w:r>
        <w:t xml:space="preserve">safeguards are established, including to avoid over-reliance on input and process-oriented</w:t>
      </w:r>
      <w:r>
        <w:t xml:space="preserve"> </w:t>
      </w:r>
      <w:r>
        <w:t xml:space="preserve">indicators that might not capture the quality of the outcomes achieved. This model</w:t>
      </w:r>
      <w:r>
        <w:t xml:space="preserve"> </w:t>
      </w:r>
      <w:r>
        <w:t xml:space="preserve">requires strong ex-ante checks as well as a clear definition of milestones and targets.</w:t>
      </w:r>
      <w:r>
        <w:br/>
      </w:r>
      <w:r>
        <w:t xml:space="preserve">Programming based solely on negotiated outputs and/or results would likely represent an</w:t>
      </w:r>
      <w:r>
        <w:t xml:space="preserve"> </w:t>
      </w:r>
      <w:r>
        <w:t xml:space="preserve">administratively burdensome process, (as experienced in the RRF or with FNLC schemes</w:t>
      </w:r>
      <w:r>
        <w:t xml:space="preserve"> </w:t>
      </w:r>
      <w:r>
        <w:t xml:space="preserve">under cohesion policy funds31), in particular in view of the at times complex exercise of</w:t>
      </w:r>
      <w:r>
        <w:t xml:space="preserve"> </w:t>
      </w:r>
      <w:r>
        <w:t xml:space="preserve">estimating the costs of envisaged interventions ex-ante. However, this would only be a</w:t>
      </w:r>
      <w:r>
        <w:t xml:space="preserve"> </w:t>
      </w:r>
      <w:r>
        <w:t xml:space="preserve">one-off process. Furthermore, Member States’s authorities have already acquired a</w:t>
      </w:r>
      <w:r>
        <w:t xml:space="preserve"> </w:t>
      </w:r>
      <w:r>
        <w:t xml:space="preserve">significant amount of experience in such delivery models, which would reduce entry</w:t>
      </w:r>
      <w:r>
        <w:t xml:space="preserve"> </w:t>
      </w:r>
      <w:r>
        <w:t xml:space="preserve">costs. The use of standardised milestones/targets and – whenever possible – standardised</w:t>
      </w:r>
      <w:r>
        <w:t xml:space="preserve"> </w:t>
      </w:r>
      <w:r>
        <w:t xml:space="preserve">costs may help in this context to improve consistency and comparability. In addition,</w:t>
      </w:r>
      <w:r>
        <w:t xml:space="preserve"> </w:t>
      </w:r>
      <w:r>
        <w:t xml:space="preserve">more extensive use of technical assistance could be considered in the future to support</w:t>
      </w:r>
      <w:r>
        <w:t xml:space="preserve"> </w:t>
      </w:r>
      <w:r>
        <w:t xml:space="preserve">Member States – whenever relevant – in the ex-ante costing exercise.</w:t>
      </w:r>
      <w:r>
        <w:br/>
      </w:r>
      <w:r>
        <w:t xml:space="preserve">On the other hand, under such a system, funds are likely to be disbursed more rapidly to</w:t>
      </w:r>
      <w:r>
        <w:t xml:space="preserve"> </w:t>
      </w:r>
      <w:r>
        <w:t xml:space="preserve">Member States, especially since such a delivery model allows to pay for the completion</w:t>
      </w:r>
      <w:r>
        <w:t xml:space="preserve"> </w:t>
      </w:r>
      <w:r>
        <w:t xml:space="preserve">of preparatory and intermediate implementation steps of the supported reforms or</w:t>
      </w:r>
      <w:r>
        <w:t xml:space="preserve"> </w:t>
      </w:r>
      <w:r>
        <w:t xml:space="preserve">investments. However, the speed of disbursements would ultimately depend on the</w:t>
      </w:r>
      <w:r>
        <w:t xml:space="preserve"> </w:t>
      </w:r>
      <w:r>
        <w:t xml:space="preserve">Member State’s capacity to fulfil on time specific milestones and targets linked to policy</w:t>
      </w:r>
      <w:r>
        <w:t xml:space="preserve"> </w:t>
      </w:r>
      <w:r>
        <w:t xml:space="preserve">interventions (incl. reforms) and investments.</w:t>
      </w:r>
      <w:r>
        <w:t xml:space="preserve"> </w:t>
      </w:r>
      <w:r>
        <w:t xml:space="preserve">This model would provide more incentives for Member States to carry out reforms. As</w:t>
      </w:r>
      <w:r>
        <w:t xml:space="preserve"> </w:t>
      </w:r>
      <w:r>
        <w:t xml:space="preserve">shown by the mid-term evaluation of the RRF, linking reforms and investment under a</w:t>
      </w:r>
      <w:r>
        <w:t xml:space="preserve"> </w:t>
      </w:r>
      <w:r>
        <w:t xml:space="preserve">performance-based delivery model provides effective incentives for Member States to</w:t>
      </w:r>
      <w:r>
        <w:t xml:space="preserve"> </w:t>
      </w:r>
      <w:r>
        <w:t xml:space="preserve">deliver on reforms, which do not necessarily come with (financial) costs and hence do</w:t>
      </w:r>
      <w:r>
        <w:t xml:space="preserve"> </w:t>
      </w:r>
      <w:r>
        <w:t xml:space="preserve">not fit so well under a cost-based delivery model. Linking investments with reforms</w:t>
      </w:r>
      <w:r>
        <w:t xml:space="preserve"> </w:t>
      </w:r>
      <w:r>
        <w:t xml:space="preserve">would increase the overall impact of the EU budget – as opposed to funding only</w:t>
      </w:r>
    </w:p>
    <w:p>
      <w:pPr>
        <w:pStyle w:val="BodyText"/>
      </w:pPr>
      <w:r>
        <w:t xml:space="preserve">31 Mid-term evaluation of ESF+</w:t>
      </w:r>
    </w:p>
    <w:p>
      <w:pPr>
        <w:pStyle w:val="BodyText"/>
      </w:pPr>
      <w:r>
        <w:t xml:space="preserve">investments. Such a model is also compatible with interventions with stable outputs to be</w:t>
      </w:r>
      <w:r>
        <w:t xml:space="preserve"> </w:t>
      </w:r>
      <w:r>
        <w:t xml:space="preserve">delivered over time without the need to set out ex-ante a precise target to achieve; for</w:t>
      </w:r>
      <w:r>
        <w:t xml:space="preserve"> </w:t>
      </w:r>
      <w:r>
        <w:t xml:space="preserve">example, CAP interventions relying on a given value per hectare set out in the plan with</w:t>
      </w:r>
      <w:r>
        <w:t xml:space="preserve"> </w:t>
      </w:r>
      <w:r>
        <w:t xml:space="preserve">payments based on achieved outputs.</w:t>
      </w:r>
      <w:r>
        <w:br/>
      </w:r>
      <w:r>
        <w:t xml:space="preserve">In terms of assurance, such a model requires somewhat different capacities for</w:t>
      </w:r>
      <w:r>
        <w:t xml:space="preserve"> </w:t>
      </w:r>
      <w:r>
        <w:t xml:space="preserve">verification and audit compared to a cost-based model under Option A. While it would</w:t>
      </w:r>
      <w:r>
        <w:t xml:space="preserve"> </w:t>
      </w:r>
      <w:r>
        <w:t xml:space="preserve">imply initial adjustment costs for Member States, this could be mitigated by actions to</w:t>
      </w:r>
      <w:r>
        <w:t xml:space="preserve"> </w:t>
      </w:r>
      <w:r>
        <w:t xml:space="preserve">enhance administrative capacity as well as with technical assistance and support.</w:t>
      </w:r>
      <w:r>
        <w:t xml:space="preserve"> </w:t>
      </w:r>
      <w:r>
        <w:t xml:space="preserve">Member States will also be able to build on the experience gained by national</w:t>
      </w:r>
      <w:r>
        <w:t xml:space="preserve"> </w:t>
      </w:r>
      <w:r>
        <w:t xml:space="preserve">implementing and audit authorities under the RRF. A lower administrative burden for</w:t>
      </w:r>
      <w:r>
        <w:t xml:space="preserve"> </w:t>
      </w:r>
      <w:r>
        <w:t xml:space="preserve">(final) beneficiaries could be expected at the implementation phase (while preparations</w:t>
      </w:r>
      <w:r>
        <w:t xml:space="preserve"> </w:t>
      </w:r>
      <w:r>
        <w:t xml:space="preserve">would be more resource intensive), provided this model is also replicated at national and</w:t>
      </w:r>
      <w:r>
        <w:t xml:space="preserve"> </w:t>
      </w:r>
      <w:r>
        <w:t xml:space="preserve">regional level, but this has largely not been the case until now. The use of FNLC by</w:t>
      </w:r>
      <w:r>
        <w:t xml:space="preserve"> </w:t>
      </w:r>
      <w:r>
        <w:t xml:space="preserve">Member States with their own beneficiaries could, in this regard, be further promoted to</w:t>
      </w:r>
      <w:r>
        <w:t xml:space="preserve"> </w:t>
      </w:r>
      <w:r>
        <w:t xml:space="preserve">ensure consistency and avoid duplicating reporting requirements.</w:t>
      </w:r>
      <w:r>
        <w:t xml:space="preserve"> </w:t>
      </w:r>
      <w:r>
        <w:t xml:space="preserve">Given the timeframe of implementation of the plans (linked to the duration of the MFF),</w:t>
      </w:r>
      <w:r>
        <w:t xml:space="preserve"> </w:t>
      </w:r>
      <w:r>
        <w:t xml:space="preserve">milestones and targets would most often be based on outputs and results, rather than</w:t>
      </w:r>
      <w:r>
        <w:t xml:space="preserve"> </w:t>
      </w:r>
      <w:r>
        <w:t xml:space="preserve">impacts. This being said, a focus on outputs and results rather than invoices would</w:t>
      </w:r>
      <w:r>
        <w:t xml:space="preserve"> </w:t>
      </w:r>
      <w:r>
        <w:t xml:space="preserve">considerably improve the performance orientation of nationally pre-allocated envelopes.</w:t>
      </w:r>
      <w:r>
        <w:t xml:space="preserve"> </w:t>
      </w:r>
      <w:r>
        <w:t xml:space="preserve">Furthermore, the Performance Regulation – which will monitor the implementation of</w:t>
      </w:r>
      <w:r>
        <w:t xml:space="preserve"> </w:t>
      </w:r>
      <w:r>
        <w:t xml:space="preserve">the plans – will provide an extensive number of harmonized output and result indicators</w:t>
      </w:r>
      <w:r>
        <w:t xml:space="preserve"> </w:t>
      </w:r>
      <w:r>
        <w:t xml:space="preserve">which will already considerably improve performance monitoring while reducing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Option C: Hybrid model</w:t>
      </w:r>
      <w:r>
        <w:t xml:space="preserve"> </w:t>
      </w:r>
      <w:r>
        <w:t xml:space="preserve">Option C also implies a system where payments are made only upon fulfilment of</w:t>
      </w:r>
      <w:r>
        <w:t xml:space="preserve"> </w:t>
      </w:r>
      <w:r>
        <w:t xml:space="preserve">milestones and targets, following the same principles as outlined under option B.</w:t>
      </w:r>
      <w:r>
        <w:t xml:space="preserve"> </w:t>
      </w:r>
      <w:r>
        <w:t xml:space="preserve">However, it would also allow for payments based on expenditure incurred in cases where</w:t>
      </w:r>
      <w:r>
        <w:t xml:space="preserve"> </w:t>
      </w:r>
      <w:r>
        <w:t xml:space="preserve">it is more difficult to estimate the costs ex ante or are subject to change (e.g., major</w:t>
      </w:r>
      <w:r>
        <w:t xml:space="preserve"> </w:t>
      </w:r>
      <w:r>
        <w:t xml:space="preserve">infrastructure or public procurements projects where agreeing in advance on the level of</w:t>
      </w:r>
      <w:r>
        <w:t xml:space="preserve"> </w:t>
      </w:r>
      <w:r>
        <w:t xml:space="preserve">EU support could lead to overcompensation and/or to the distortion of offers by the</w:t>
      </w:r>
      <w:r>
        <w:t xml:space="preserve"> </w:t>
      </w:r>
      <w:r>
        <w:t xml:space="preserve">bidders as they know in advance what the promoter is ready to pay).</w:t>
      </w:r>
      <w:r>
        <w:br/>
      </w:r>
      <w:r>
        <w:t xml:space="preserve">Similarly to option B, this hybrid model allows for disbursement upon meeting</w:t>
      </w:r>
      <w:r>
        <w:t xml:space="preserve"> </w:t>
      </w:r>
      <w:r>
        <w:t xml:space="preserve">milestones and targets or fulfilment of reforms, an overall rapid disbursement of funds</w:t>
      </w:r>
      <w:r>
        <w:t xml:space="preserve"> </w:t>
      </w:r>
      <w:r>
        <w:t xml:space="preserve">and lower administrative burden for beneficiaries related to the submission of</w:t>
      </w:r>
      <w:r>
        <w:t xml:space="preserve"> </w:t>
      </w:r>
      <w:r>
        <w:t xml:space="preserve">reimbursement claims. Therefore, this dual approach would allow upholding the</w:t>
      </w:r>
      <w:r>
        <w:t xml:space="preserve"> </w:t>
      </w:r>
      <w:r>
        <w:t xml:space="preserve">performance orientation of the EU budget.</w:t>
      </w:r>
      <w:r>
        <w:br/>
      </w:r>
      <w:r>
        <w:t xml:space="preserve">While the transition to a predominantly performance-based system not linked to costs</w:t>
      </w:r>
      <w:r>
        <w:t xml:space="preserve"> </w:t>
      </w:r>
      <w:r>
        <w:t xml:space="preserve">will entail initial adjustment costs for Member States, this option provides a balance</w:t>
      </w:r>
      <w:r>
        <w:t xml:space="preserve"> </w:t>
      </w:r>
      <w:r>
        <w:t xml:space="preserve">between performance adherence and flexibility to address the different policies’ needs</w:t>
      </w:r>
      <w:r>
        <w:t xml:space="preserve"> </w:t>
      </w:r>
      <w:r>
        <w:t xml:space="preserve">and diverse challenges. Enabling real costs for a limited number of specific cases could</w:t>
      </w:r>
      <w:r>
        <w:t xml:space="preserve"> </w:t>
      </w:r>
      <w:r>
        <w:t xml:space="preserve">be considered to reduce complex cost estimates, thus reducing uncertainty and</w:t>
      </w:r>
      <w:r>
        <w:t xml:space="preserve"> </w:t>
      </w:r>
      <w:r>
        <w:t xml:space="preserve">minimising risks of uncertainty related to cost estimates.</w:t>
      </w:r>
      <w:r>
        <w:br/>
      </w:r>
      <w:r>
        <w:t xml:space="preserve">However, this option would also imply that a duplication of payment, assurance and</w:t>
      </w:r>
      <w:r>
        <w:t xml:space="preserve"> </w:t>
      </w:r>
      <w:r>
        <w:t xml:space="preserve">reporting systems which would increase administrative burden. The combination of cost-</w:t>
      </w:r>
      <w:r>
        <w:t xml:space="preserve"> </w:t>
      </w:r>
      <w:r>
        <w:t xml:space="preserve">based and non–cost-based delivery models also introduces additional complexity for</w:t>
      </w:r>
    </w:p>
    <w:p>
      <w:pPr>
        <w:pStyle w:val="BodyText"/>
      </w:pPr>
      <w:r>
        <w:t xml:space="preserve">Member States, a criticism voiced in the context of the new delivery model of the CAP</w:t>
      </w:r>
      <w:r>
        <w:t xml:space="preserve"> </w:t>
      </w:r>
      <w:r>
        <w:t xml:space="preserve">and the RRF mid-term evaluation. It would also be difficult to delineate which (types of)</w:t>
      </w:r>
      <w:r>
        <w:t xml:space="preserve"> </w:t>
      </w:r>
      <w:r>
        <w:t xml:space="preserve">investments could justify payments based on incurred expenditure. For example, the RRF</w:t>
      </w:r>
      <w:r>
        <w:t xml:space="preserve"> </w:t>
      </w:r>
      <w:r>
        <w:t xml:space="preserve">has shown that it is possible to apply a non-cost-based delivery model to infrastructure</w:t>
      </w:r>
      <w:r>
        <w:t xml:space="preserve"> </w:t>
      </w:r>
      <w:r>
        <w:t xml:space="preserve">projects. More extensive use of technical assistance could be considered in the future to</w:t>
      </w:r>
      <w:r>
        <w:t xml:space="preserve"> </w:t>
      </w:r>
      <w:r>
        <w:t xml:space="preserve">support Member States – whenever relevant – in the ex-ante costing of complex projects.</w:t>
      </w:r>
      <w:r>
        <w:t xml:space="preserve"> </w:t>
      </w:r>
      <w:r>
        <w:t xml:space="preserve">Quantification of the impacts of the delivery model (see Annex 11)</w:t>
      </w:r>
      <w:r>
        <w:t xml:space="preserve"> </w:t>
      </w:r>
      <w:r>
        <w:t xml:space="preserve">The RHOMOLO model (Barbero et al., 202432) was used to simulate the impact of</w:t>
      </w:r>
      <w:r>
        <w:t xml:space="preserve"> </w:t>
      </w:r>
      <w:r>
        <w:t xml:space="preserve">cohesion policy interventions for the period 2021–2027 for all three options on the</w:t>
      </w:r>
      <w:r>
        <w:t xml:space="preserve"> </w:t>
      </w:r>
      <w:r>
        <w:t xml:space="preserve">delivery model (see Annex 11 for the more detailed analysis). The analysis showed that</w:t>
      </w:r>
      <w:r>
        <w:t xml:space="preserve"> </w:t>
      </w:r>
      <w:r>
        <w:t xml:space="preserve">the 15-year cumulative GDP multiplier for Option B is 29.5% higher than for Option A;</w:t>
      </w:r>
      <w:r>
        <w:t xml:space="preserve"> </w:t>
      </w:r>
      <w:r>
        <w:t xml:space="preserve">70% of this difference is due to frontloading investment (since a performance-based</w:t>
      </w:r>
      <w:r>
        <w:t xml:space="preserve"> </w:t>
      </w:r>
      <w:r>
        <w:t xml:space="preserve">delivery model allows to pay for the achievement of interim milestones and targets) and</w:t>
      </w:r>
      <w:r>
        <w:t xml:space="preserve"> </w:t>
      </w:r>
      <w:r>
        <w:t xml:space="preserve">the remaining 30% is due to additional supply-side effects of 10% (due to the focus on</w:t>
      </w:r>
      <w:r>
        <w:t xml:space="preserve"> </w:t>
      </w:r>
      <w:r>
        <w:t xml:space="preserve">results rather than spending). The 15-year cumulative GDP multiplier of Option C is</w:t>
      </w:r>
      <w:r>
        <w:t xml:space="preserve"> </w:t>
      </w:r>
      <w:r>
        <w:t xml:space="preserve">19.5% higher than that of Option A, with 79% of this difference being attributable to</w:t>
      </w:r>
      <w:r>
        <w:t xml:space="preserve"> </w:t>
      </w:r>
      <w:r>
        <w:t xml:space="preserve">frontloading investment and the remaining 21% to the additional 5% supply-side effects.</w:t>
      </w:r>
      <w:r>
        <w:t xml:space="preserve"> </w:t>
      </w:r>
      <w:r>
        <w:t xml:space="preserve">Therefore, the frontloading investments under a performance-based delivery model</w:t>
      </w:r>
      <w:r>
        <w:t xml:space="preserve"> </w:t>
      </w:r>
      <w:r>
        <w:t xml:space="preserve">means the benefits to GDP of the interventions start to materialise earlier, leading to</w:t>
      </w:r>
      <w:r>
        <w:t xml:space="preserve"> </w:t>
      </w:r>
      <w:r>
        <w:t xml:space="preserve">larger cumulative GDP gains over time. Furthermore, larger supply-side effects lead to</w:t>
      </w:r>
      <w:r>
        <w:t xml:space="preserve"> </w:t>
      </w:r>
      <w:r>
        <w:t xml:space="preserve">higher GDP multipliers.</w:t>
      </w:r>
      <w:r>
        <w:t xml:space="preserve"> </w:t>
      </w:r>
      <w:r>
        <w:t xml:space="preserve">6.1.2. Options on the management mode</w:t>
      </w:r>
      <w:r>
        <w:t xml:space="preserve"> </w:t>
      </w:r>
      <w:r>
        <w:t xml:space="preserve">Option D: Shared management</w:t>
      </w:r>
      <w:r>
        <w:t xml:space="preserve"> </w:t>
      </w:r>
      <w:r>
        <w:t xml:space="preserve">As concerns cohesion policy, the CAP, the CFP and also home affairs policy, Member</w:t>
      </w:r>
      <w:r>
        <w:t xml:space="preserve"> </w:t>
      </w:r>
      <w:r>
        <w:t xml:space="preserve">States, regions and beneficiaries have a lot of experience with shared management. They</w:t>
      </w:r>
      <w:r>
        <w:t xml:space="preserve"> </w:t>
      </w:r>
      <w:r>
        <w:t xml:space="preserve">have processes in place that have become well-established over the many years that these</w:t>
      </w:r>
      <w:r>
        <w:t xml:space="preserve"> </w:t>
      </w:r>
      <w:r>
        <w:t xml:space="preserve">EU policies have existed. Through its decentralised nature, responsibilities are spread</w:t>
      </w:r>
      <w:r>
        <w:t xml:space="preserve"> </w:t>
      </w:r>
      <w:r>
        <w:t xml:space="preserve">across different actors, which may make implementation less of a burden for one single</w:t>
      </w:r>
      <w:r>
        <w:t xml:space="preserve"> </w:t>
      </w:r>
      <w:r>
        <w:t xml:space="preserve">entity. This also allows for local and regional knowledge, needs and experiences to</w:t>
      </w:r>
      <w:r>
        <w:t xml:space="preserve"> </w:t>
      </w:r>
      <w:r>
        <w:t xml:space="preserve">feature more easily, including when it comes to faster adaptation to local circumstances.</w:t>
      </w:r>
      <w:r>
        <w:t xml:space="preserve"> </w:t>
      </w:r>
      <w:r>
        <w:t xml:space="preserve">This is especially true concerning the involvement of stakeholders. A shared-</w:t>
      </w:r>
      <w:r>
        <w:t xml:space="preserve"> </w:t>
      </w:r>
      <w:r>
        <w:t xml:space="preserve">management system also allows for building the institutional and administrative capacity</w:t>
      </w:r>
      <w:r>
        <w:t xml:space="preserve"> </w:t>
      </w:r>
      <w:r>
        <w:t xml:space="preserve">at the local and regional level. Lastly, because of the shared responsibilities, ownership</w:t>
      </w:r>
      <w:r>
        <w:t xml:space="preserve"> </w:t>
      </w:r>
      <w:r>
        <w:t xml:space="preserve">of Member States and regions is greater, ultimately making the design, adoption and</w:t>
      </w:r>
      <w:r>
        <w:t xml:space="preserve"> </w:t>
      </w:r>
      <w:r>
        <w:t xml:space="preserve">implementation of reforms (as well as investments) more sustainable.</w:t>
      </w:r>
      <w:r>
        <w:t xml:space="preserve"> </w:t>
      </w:r>
      <w:r>
        <w:t xml:space="preserve">Under a model with payments against pre-agreed objectives, shared management would</w:t>
      </w:r>
      <w:r>
        <w:t xml:space="preserve"> </w:t>
      </w:r>
      <w:r>
        <w:t xml:space="preserve">mean that the assessment of whether milestones and targets have been met is the</w:t>
      </w:r>
      <w:r>
        <w:t xml:space="preserve"> </w:t>
      </w:r>
      <w:r>
        <w:t xml:space="preserve">responsibility of Member States. Since Member States authorities have not had this kind</w:t>
      </w:r>
      <w:r>
        <w:t xml:space="preserve"> </w:t>
      </w:r>
      <w:r>
        <w:t xml:space="preserve">of assessment responsibility on such a large scale before, the learning curve will be steep</w:t>
      </w:r>
    </w:p>
    <w:p>
      <w:pPr>
        <w:pStyle w:val="BodyText"/>
      </w:pPr>
      <w:r>
        <w:t xml:space="preserve">32 Barbero, J., Christou, T., Crucitti, F., García Rodríguez, A., Lazarou, N.J., Monfort, P., and Salotti, S.</w:t>
      </w:r>
      <w:r>
        <w:t xml:space="preserve"> </w:t>
      </w:r>
      <w:r>
        <w:t xml:space="preserve">(2024). A spatial macroeconomic analysis of the equity-efficiency trade-off of the European cohesion</w:t>
      </w:r>
      <w:r>
        <w:t xml:space="preserve"> </w:t>
      </w:r>
      <w:r>
        <w:t xml:space="preserve">policy. Spatial Economic Analysis 19(3), 394-410.</w:t>
      </w:r>
    </w:p>
    <w:p>
      <w:pPr>
        <w:pStyle w:val="BodyText"/>
      </w:pPr>
      <w:r>
        <w:t xml:space="preserve">for all authorities involved. Member States would need to have appropriate management</w:t>
      </w:r>
      <w:r>
        <w:t xml:space="preserve"> </w:t>
      </w:r>
      <w:r>
        <w:t xml:space="preserve">and control framework in place to implement their plans, the necessary capacity and</w:t>
      </w:r>
      <w:r>
        <w:t xml:space="preserve"> </w:t>
      </w:r>
      <w:r>
        <w:t xml:space="preserve">guidance to conduct such assessments and take appropriate and timely action to remedy</w:t>
      </w:r>
      <w:r>
        <w:t xml:space="preserve"> </w:t>
      </w:r>
      <w:r>
        <w:t xml:space="preserve">deficiencies. In the absence of such frameworks, this approach could lead to</w:t>
      </w:r>
      <w:r>
        <w:t xml:space="preserve"> </w:t>
      </w:r>
      <w:r>
        <w:t xml:space="preserve">inconsistency and an uneven playing field across Member States. To mitigate that risk,</w:t>
      </w:r>
      <w:r>
        <w:t xml:space="preserve"> </w:t>
      </w:r>
      <w:r>
        <w:t xml:space="preserve">dedicated measures to support better governance and capacity building could also be</w:t>
      </w:r>
      <w:r>
        <w:t xml:space="preserve"> </w:t>
      </w:r>
      <w:r>
        <w:t xml:space="preserve">included in the plans from the outset, where relevant, or introduced later during</w:t>
      </w:r>
      <w:r>
        <w:t xml:space="preserve"> </w:t>
      </w:r>
      <w:r>
        <w:t xml:space="preserve">implementation if specific difficulties arise and to ensure consistency and a level-playing</w:t>
      </w:r>
      <w:r>
        <w:t xml:space="preserve"> </w:t>
      </w:r>
      <w:r>
        <w:t xml:space="preserve">field across Member States. Since the quality of knowledge of local needs does not</w:t>
      </w:r>
      <w:r>
        <w:t xml:space="preserve"> </w:t>
      </w:r>
      <w:r>
        <w:t xml:space="preserve">depend only on the formal involvement of local actors but on the data available, efforts</w:t>
      </w:r>
      <w:r>
        <w:t xml:space="preserve"> </w:t>
      </w:r>
      <w:r>
        <w:t xml:space="preserve">should be done to ensure a high-quality data-driven needs assessment drives the</w:t>
      </w:r>
      <w:r>
        <w:t xml:space="preserve"> </w:t>
      </w:r>
      <w:r>
        <w:t xml:space="preserve">programming and implementation of the plans.</w:t>
      </w:r>
      <w:r>
        <w:br/>
      </w:r>
      <w:r>
        <w:t xml:space="preserve">Another disadvantage of this option relates to reducing direct Commission steer and</w:t>
      </w:r>
      <w:r>
        <w:t xml:space="preserve"> </w:t>
      </w:r>
      <w:r>
        <w:t xml:space="preserve">controls which could be mitigated by the negotiating process, the governance and rules</w:t>
      </w:r>
      <w:r>
        <w:t xml:space="preserve"> </w:t>
      </w:r>
      <w:r>
        <w:t xml:space="preserve">set in plans, as well as regular system audits that would enable the Commission to check</w:t>
      </w:r>
      <w:r>
        <w:t xml:space="preserve"> </w:t>
      </w:r>
      <w:r>
        <w:t xml:space="preserve">the robustness and reliability of national audit and control procedures. As under current</w:t>
      </w:r>
      <w:r>
        <w:t xml:space="preserve"> </w:t>
      </w:r>
      <w:r>
        <w:t xml:space="preserve">programmes (e.g., cohesion), the Commission would in any case retain the possibility to</w:t>
      </w:r>
      <w:r>
        <w:t xml:space="preserve"> </w:t>
      </w:r>
      <w:r>
        <w:t xml:space="preserve">react and take action whenever needed to ensure Member States comply with their</w:t>
      </w:r>
      <w:r>
        <w:t xml:space="preserve"> </w:t>
      </w:r>
      <w:r>
        <w:t xml:space="preserve">obligations throughout implementation. (ex post).</w:t>
      </w:r>
      <w:r>
        <w:t xml:space="preserve"> </w:t>
      </w:r>
      <w:r>
        <w:t xml:space="preserve">Option E: Direct management</w:t>
      </w:r>
      <w:r>
        <w:br/>
      </w:r>
      <w:r>
        <w:t xml:space="preserve">Through the RRF, both Member States and Commission have gained experience with</w:t>
      </w:r>
      <w:r>
        <w:t xml:space="preserve"> </w:t>
      </w:r>
      <w:r>
        <w:t xml:space="preserve">direct management at a larger scale in the context of nationally pre-allocated envelopes.</w:t>
      </w:r>
      <w:r>
        <w:t xml:space="preserve"> </w:t>
      </w:r>
      <w:r>
        <w:t xml:space="preserve">However, processes are still not as well-established as in shared management.</w:t>
      </w:r>
      <w:r>
        <w:t xml:space="preserve"> </w:t>
      </w:r>
      <w:r>
        <w:t xml:space="preserve">Furthermore, many Member States relied on the existing structures for the</w:t>
      </w:r>
      <w:r>
        <w:t xml:space="preserve"> </w:t>
      </w:r>
      <w:r>
        <w:t xml:space="preserve">implementation of shared management funds to implement the RRF. Because of the</w:t>
      </w:r>
      <w:r>
        <w:t xml:space="preserve"> </w:t>
      </w:r>
      <w:r>
        <w:t xml:space="preserve">centralised nature and payment system, the Commission can exercise more direct control</w:t>
      </w:r>
      <w:r>
        <w:t xml:space="preserve"> </w:t>
      </w:r>
      <w:r>
        <w:t xml:space="preserve">over the implementation of the funds. However, more centralised direct management</w:t>
      </w:r>
      <w:r>
        <w:t xml:space="preserve"> </w:t>
      </w:r>
      <w:r>
        <w:t xml:space="preserve">might generally lack local knowledge and experiences, making adaptation to local (and</w:t>
      </w:r>
      <w:r>
        <w:t xml:space="preserve"> </w:t>
      </w:r>
      <w:r>
        <w:t xml:space="preserve">possibly changing) needs more difficult and less flexible. Centralised direct management</w:t>
      </w:r>
      <w:r>
        <w:t xml:space="preserve"> </w:t>
      </w:r>
      <w:r>
        <w:t xml:space="preserve">also does not support national/regional/local ownership to the extent that shared</w:t>
      </w:r>
      <w:r>
        <w:t xml:space="preserve"> </w:t>
      </w:r>
      <w:r>
        <w:t xml:space="preserve">management does.</w:t>
      </w:r>
      <w:r>
        <w:br/>
      </w:r>
      <w:r>
        <w:t xml:space="preserve">6.2.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SO1 – Ensuring coherence between EU priorities, national and regional actions</w:t>
      </w:r>
      <w:r>
        <w:t xml:space="preserve"> </w:t>
      </w:r>
      <w:r>
        <w:t xml:space="preserve">The assessment of the options on the management mode shows that shared</w:t>
      </w:r>
      <w:r>
        <w:t xml:space="preserve"> </w:t>
      </w:r>
      <w:r>
        <w:t xml:space="preserve">management (Option D) would best cater for the multi-level governance and strong</w:t>
      </w:r>
      <w:r>
        <w:t xml:space="preserve"> </w:t>
      </w:r>
      <w:r>
        <w:t xml:space="preserve">regional dimension of the plans. Regions know their needs best and are best placed to</w:t>
      </w:r>
      <w:r>
        <w:t xml:space="preserve"> </w:t>
      </w:r>
      <w:r>
        <w:t xml:space="preserve">implement the projects in their territoriesEvery territory has its own specific needs and</w:t>
      </w:r>
      <w:r>
        <w:t xml:space="preserve"> </w:t>
      </w:r>
      <w:r>
        <w:t xml:space="preserve">knows best how to address them – with some needing to invest more in education and</w:t>
      </w:r>
      <w:r>
        <w:t xml:space="preserve"> </w:t>
      </w:r>
      <w:r>
        <w:t xml:space="preserve">skills, while others in need of improving the management of their external borders.</w:t>
      </w:r>
      <w:r>
        <w:t xml:space="preserve"> </w:t>
      </w:r>
      <w:r>
        <w:t xml:space="preserve">Shared management would ensure that the plans are tailored to the specific needs of</w:t>
      </w:r>
      <w:r>
        <w:t xml:space="preserve"> </w:t>
      </w:r>
      <w:r>
        <w:t xml:space="preserve">Member States and regions and help enhance ownership of the reforms and investments.</w:t>
      </w:r>
      <w:r>
        <w:t xml:space="preserve"> </w:t>
      </w:r>
      <w:r>
        <w:t xml:space="preserve">In turn, this would help to deliver more efficiently on the policy objectives set at EU</w:t>
      </w:r>
      <w:r>
        <w:t xml:space="preserve"> </w:t>
      </w:r>
      <w:r>
        <w:t xml:space="preserve">level. On the other hand, while under direct management, the Commission would</w:t>
      </w:r>
      <w:r>
        <w:t xml:space="preserve"> </w:t>
      </w:r>
      <w:r>
        <w:t xml:space="preserve">exercise more control over implementation and can ensure better alignment with EU</w:t>
      </w:r>
    </w:p>
    <w:p>
      <w:pPr>
        <w:pStyle w:val="BodyText"/>
      </w:pPr>
      <w:r>
        <w:t xml:space="preserve">priorities, the lack of local and regional knowledge and expertise as well as more limited</w:t>
      </w:r>
      <w:r>
        <w:t xml:space="preserve"> </w:t>
      </w:r>
      <w:r>
        <w:t xml:space="preserve">ownership of local/regional bodies could lead to incoherence between EU priorities and</w:t>
      </w:r>
      <w:r>
        <w:t xml:space="preserve"> </w:t>
      </w:r>
      <w:r>
        <w:t xml:space="preserve">local and regional actions. Hence, national/regional/local ownership under shared</w:t>
      </w:r>
      <w:r>
        <w:t xml:space="preserve"> </w:t>
      </w:r>
      <w:r>
        <w:t xml:space="preserve">management would increase the success and impact of EU funds compared to direct</w:t>
      </w:r>
      <w:r>
        <w:t xml:space="preserve"> </w:t>
      </w:r>
      <w:r>
        <w:t xml:space="preserve">management.</w:t>
      </w:r>
      <w:r>
        <w:t xml:space="preserve"> </w:t>
      </w:r>
      <w:r>
        <w:t xml:space="preserve">As for the delivery model, Option B would ensure better coherence, value for money</w:t>
      </w:r>
      <w:r>
        <w:t xml:space="preserve"> </w:t>
      </w:r>
      <w:r>
        <w:t xml:space="preserve">and accountability compared to a cost-based delivery model (Option A). Option B</w:t>
      </w:r>
      <w:r>
        <w:t xml:space="preserve"> </w:t>
      </w:r>
      <w:r>
        <w:t xml:space="preserve">increases the focus on concrete outcomes of expenditure and its contribution to</w:t>
      </w:r>
      <w:r>
        <w:t xml:space="preserve"> </w:t>
      </w:r>
      <w:r>
        <w:t xml:space="preserve">economic, social and environmental objectives. The specific results to be achieved would</w:t>
      </w:r>
      <w:r>
        <w:t xml:space="preserve"> </w:t>
      </w:r>
      <w:r>
        <w:t xml:space="preserve">be set out clearly in advance, enhancing Member States’ and stakeholders’ ability to plan</w:t>
      </w:r>
      <w:r>
        <w:t xml:space="preserve"> </w:t>
      </w:r>
      <w:r>
        <w:t xml:space="preserve">ahead, and thereby ensuring coherence with national and regional actions. Furthermore,</w:t>
      </w:r>
      <w:r>
        <w:t xml:space="preserve"> </w:t>
      </w:r>
      <w:r>
        <w:t xml:space="preserve">providing financial support upon the fulfilment of milestones and targets would provide</w:t>
      </w:r>
      <w:r>
        <w:t xml:space="preserve"> </w:t>
      </w:r>
      <w:r>
        <w:t xml:space="preserve">incentives to deliver on the actual implementation of agreed measures. It would be</w:t>
      </w:r>
      <w:r>
        <w:t xml:space="preserve"> </w:t>
      </w:r>
      <w:r>
        <w:t xml:space="preserve">important to establish meaningful performance milestones and targets, as their quality is</w:t>
      </w:r>
      <w:r>
        <w:t xml:space="preserve"> </w:t>
      </w:r>
      <w:r>
        <w:t xml:space="preserve">a prerequisite for the success of a performance-based delivery model.</w:t>
      </w:r>
      <w:r>
        <w:t xml:space="preserve"> </w:t>
      </w:r>
      <w:r>
        <w:t xml:space="preserve">Option B would provide a simpler framework for having reforms at Member States</w:t>
      </w:r>
      <w:r>
        <w:t xml:space="preserve"> </w:t>
      </w:r>
      <w:r>
        <w:t xml:space="preserve">level than under Options A and C, which moreover have the potential to further</w:t>
      </w:r>
      <w:r>
        <w:t xml:space="preserve"> </w:t>
      </w:r>
      <w:r>
        <w:t xml:space="preserve">enhance coherence between EU and national/regional/local activities by ensuring that the</w:t>
      </w:r>
      <w:r>
        <w:t xml:space="preserve"> </w:t>
      </w:r>
      <w:r>
        <w:t xml:space="preserve">necessary framework conditions for the implementation of EU priorities and</w:t>
      </w:r>
      <w:r>
        <w:t xml:space="preserve"> </w:t>
      </w:r>
      <w:r>
        <w:t xml:space="preserve">national/regional/local investments are in place</w:t>
      </w:r>
      <w:r>
        <w:br/>
      </w:r>
      <w:r>
        <w:t xml:space="preserve">SO2 – Creating a simple and cost-effective framework delivering on EU priorities</w:t>
      </w:r>
      <w:r>
        <w:t xml:space="preserve"> </w:t>
      </w:r>
      <w:r>
        <w:t xml:space="preserve">The assessment of the options on the management mode show that relying on</w:t>
      </w:r>
      <w:r>
        <w:t xml:space="preserve"> </w:t>
      </w:r>
      <w:r>
        <w:t xml:space="preserve">shared management for the plans (Option D) would ensure simplicity for Member</w:t>
      </w:r>
      <w:r>
        <w:t xml:space="preserve"> </w:t>
      </w:r>
      <w:r>
        <w:t xml:space="preserve">States and regions and reduce administrative costs. Member States’ and regional</w:t>
      </w:r>
      <w:r>
        <w:t xml:space="preserve"> </w:t>
      </w:r>
      <w:r>
        <w:t xml:space="preserve">authorities could build on the existing management and control structures and</w:t>
      </w:r>
      <w:r>
        <w:t xml:space="preserve"> </w:t>
      </w:r>
      <w:r>
        <w:t xml:space="preserve">arrangements for the management of EU funds with nationally pre-allocated envelopes.</w:t>
      </w:r>
      <w:r>
        <w:t xml:space="preserve"> </w:t>
      </w:r>
      <w:r>
        <w:t xml:space="preserve">While Member States have developed implementation structures for the RRF</w:t>
      </w:r>
      <w:r>
        <w:t xml:space="preserve"> </w:t>
      </w:r>
      <w:r>
        <w:t xml:space="preserve">(implemented under direct management), these were often the same structures used for</w:t>
      </w:r>
      <w:r>
        <w:t xml:space="preserve"> </w:t>
      </w:r>
      <w:r>
        <w:t xml:space="preserve">the implementation of shared management funds such as cohesion. Adjustment costs for</w:t>
      </w:r>
      <w:r>
        <w:t xml:space="preserve"> </w:t>
      </w:r>
      <w:r>
        <w:t xml:space="preserve">Member States’ authorities would therefore be lower under shared management</w:t>
      </w:r>
      <w:r>
        <w:t xml:space="preserve"> </w:t>
      </w:r>
      <w:r>
        <w:t xml:space="preserve">compared to direct management – except for the still-to-be-implemented SCF, where the</w:t>
      </w:r>
      <w:r>
        <w:t xml:space="preserve"> </w:t>
      </w:r>
      <w:r>
        <w:t xml:space="preserve">integration into the plans would entail changes to the management mode rules.</w:t>
      </w:r>
      <w:r>
        <w:br/>
      </w:r>
      <w:r>
        <w:t xml:space="preserve">As for the delivery model, Option B would likely imply some adjustment costs for</w:t>
      </w:r>
      <w:r>
        <w:t xml:space="preserve"> </w:t>
      </w:r>
      <w:r>
        <w:t xml:space="preserve">national and regional authorities. Setting up a solid performance framework, based on</w:t>
      </w:r>
      <w:r>
        <w:t xml:space="preserve"> </w:t>
      </w:r>
      <w:r>
        <w:t xml:space="preserve">reliable, high-quality data, can create costs for Member States’ authorities, beneficiaries</w:t>
      </w:r>
      <w:r>
        <w:t xml:space="preserve"> </w:t>
      </w:r>
      <w:r>
        <w:t xml:space="preserve">and the Commission. These would however be one-off entry costs and could be mitigated</w:t>
      </w:r>
      <w:r>
        <w:t xml:space="preserve"> </w:t>
      </w:r>
      <w:r>
        <w:t xml:space="preserve">given that Member States’ authorities have already acquired experience with such</w:t>
      </w:r>
      <w:r>
        <w:t xml:space="preserve"> </w:t>
      </w:r>
      <w:r>
        <w:t xml:space="preserve">delivery model and through the provision of technical assistance. Conversely, while</w:t>
      </w:r>
      <w:r>
        <w:t xml:space="preserve"> </w:t>
      </w:r>
      <w:r>
        <w:t xml:space="preserve">relying on a cost-based delivery model would reduce adjustment costs for Member</w:t>
      </w:r>
      <w:r>
        <w:t xml:space="preserve"> </w:t>
      </w:r>
      <w:r>
        <w:t xml:space="preserve">States, given the high levels of familiarity with such a system, it would not address the</w:t>
      </w:r>
      <w:r>
        <w:t xml:space="preserve"> </w:t>
      </w:r>
      <w:r>
        <w:t xml:space="preserve">high administrative costs involved in the verification of invoices, as well as issues related</w:t>
      </w:r>
      <w:r>
        <w:t xml:space="preserve"> </w:t>
      </w:r>
      <w:r>
        <w:t xml:space="preserve">to being more prone to errors under cohesion policy funds. A hybrid system (Option C)</w:t>
      </w:r>
      <w:r>
        <w:t xml:space="preserve"> </w:t>
      </w:r>
      <w:r>
        <w:t xml:space="preserve">would result in a duplication of payment and assurance systems and hence higher</w:t>
      </w:r>
      <w:r>
        <w:t xml:space="preserve"> </w:t>
      </w:r>
      <w:r>
        <w:t xml:space="preserve">administrative costs for Member States’ authorities.</w:t>
      </w:r>
      <w:r>
        <w:br/>
      </w:r>
      <w:r>
        <w:t xml:space="preserve">SO3 – Meeting both long-term policy goals and emerging policy priorities</w:t>
      </w:r>
    </w:p>
    <w:p>
      <w:pPr>
        <w:pStyle w:val="BodyText"/>
      </w:pPr>
      <w:r>
        <w:t xml:space="preserve">The assessment of the options shows that flexibility can be achieved both under a</w:t>
      </w:r>
      <w:r>
        <w:t xml:space="preserve"> </w:t>
      </w:r>
      <w:r>
        <w:t xml:space="preserve">cost-based and a performance-based delivery model. Flexibility very much depends</w:t>
      </w:r>
      <w:r>
        <w:t xml:space="preserve"> </w:t>
      </w:r>
      <w:r>
        <w:t xml:space="preserve">on the legal requirements linked to programming (e.g. whether money is earmarked to</w:t>
      </w:r>
      <w:r>
        <w:t xml:space="preserve"> </w:t>
      </w:r>
      <w:r>
        <w:t xml:space="preserve">certain priorities, if there are any reserves, what are the requirements regarding the</w:t>
      </w:r>
      <w:r>
        <w:t xml:space="preserve"> </w:t>
      </w:r>
      <w:r>
        <w:t xml:space="preserve">amendments of the programmes or conditions for payment). Such rules can be designed</w:t>
      </w:r>
      <w:r>
        <w:t xml:space="preserve"> </w:t>
      </w:r>
      <w:r>
        <w:t xml:space="preserve">in a more flexible or stricter way which does not depend on the delivery model as such.</w:t>
      </w:r>
      <w:r>
        <w:br/>
      </w:r>
      <w:r>
        <w:t xml:space="preserve">The same applies when comparing shared and direct management mode. The</w:t>
      </w:r>
      <w:r>
        <w:t xml:space="preserve"> </w:t>
      </w:r>
      <w:r>
        <w:t xml:space="preserve">experience from the current programming period shows that both in case of the RRF and</w:t>
      </w:r>
      <w:r>
        <w:t xml:space="preserve"> </w:t>
      </w:r>
      <w:r>
        <w:t xml:space="preserve">cohesion policy, many rules that were introduced did not allow for achieving the level of</w:t>
      </w:r>
      <w:r>
        <w:t xml:space="preserve"> </w:t>
      </w:r>
      <w:r>
        <w:t xml:space="preserve">flexibility that is required for the challenges faced by all EU policies. This being said,</w:t>
      </w:r>
      <w:r>
        <w:t xml:space="preserve"> </w:t>
      </w:r>
      <w:r>
        <w:t xml:space="preserve">shared management could ensure that priorities emerging at regional/local level can be</w:t>
      </w:r>
      <w:r>
        <w:t xml:space="preserve"> </w:t>
      </w:r>
      <w:r>
        <w:t xml:space="preserve">addressed more effectively (provided the right rules are in place).</w:t>
      </w:r>
      <w:r>
        <w:t xml:space="preserve"> </w:t>
      </w:r>
      <w:r>
        <w:t xml:space="preserve">Figure 3. Summary of the effectiveness of the options on the design of the plans –</w:t>
      </w:r>
      <w:r>
        <w:t xml:space="preserve"> </w:t>
      </w:r>
      <w:r>
        <w:t xml:space="preserve">qualitative assessment (from “+” less effective to “+++” most effective)</w:t>
      </w:r>
    </w:p>
    <w:p>
      <w:pPr>
        <w:pStyle w:val="BodyText"/>
      </w:pPr>
      <w:r>
        <w:t xml:space="preserve">Delivery model</w:t>
      </w:r>
      <w:r>
        <w:t xml:space="preserve"> </w:t>
      </w:r>
      <w:r>
        <w:t xml:space="preserve">Management mode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br/>
      </w:r>
      <w:r>
        <w:t xml:space="preserve">Cost-based Performance-</w:t>
      </w:r>
      <w:r>
        <w:t xml:space="preserve"> </w:t>
      </w:r>
      <w:r>
        <w:t xml:space="preserve">based</w:t>
      </w:r>
      <w:r>
        <w:br/>
      </w:r>
      <w:r>
        <w:t xml:space="preserve">Combination</w:t>
      </w:r>
      <w:r>
        <w:t xml:space="preserve"> </w:t>
      </w:r>
      <w:r>
        <w:t xml:space="preserve">cost/performance</w:t>
      </w:r>
      <w:r>
        <w:t xml:space="preserve"> </w:t>
      </w:r>
      <w:r>
        <w:t xml:space="preserve">Shared</w:t>
      </w:r>
      <w:r>
        <w:br/>
      </w:r>
      <w:r>
        <w:t xml:space="preserve">Direct</w:t>
      </w:r>
      <w:r>
        <w:br/>
      </w:r>
      <w:r>
        <w:t xml:space="preserve">SO1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SO2</w:t>
      </w:r>
      <w:r>
        <w:br/>
      </w:r>
      <w:r>
        <w:t xml:space="preserve">+</w:t>
      </w:r>
      <w:r>
        <w:br/>
      </w:r>
      <w:r>
        <w:t xml:space="preserve">+++</w:t>
      </w:r>
      <w:r>
        <w:t xml:space="preserve"> </w:t>
      </w:r>
      <w:r>
        <w:t xml:space="preserve">++</w:t>
      </w:r>
      <w:r>
        <w:br/>
      </w:r>
      <w:r>
        <w:t xml:space="preserve">+++</w:t>
      </w:r>
      <w:r>
        <w:t xml:space="preserve"> </w:t>
      </w:r>
      <w:r>
        <w:t xml:space="preserve">++</w:t>
      </w:r>
      <w:r>
        <w:br/>
      </w:r>
      <w:r>
        <w:t xml:space="preserve">SO3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Internal coherence assesses how the different elements of the plans would work</w:t>
      </w:r>
      <w:r>
        <w:t xml:space="preserve"> </w:t>
      </w:r>
      <w:r>
        <w:t xml:space="preserve">together. This would be achieved by applying the same delivery model and management</w:t>
      </w:r>
      <w:r>
        <w:t xml:space="preserve"> </w:t>
      </w:r>
      <w:r>
        <w:t xml:space="preserve">mode to the entire plan. Bringing the different funds under the same roof would facilitate</w:t>
      </w:r>
      <w:r>
        <w:t xml:space="preserve"> </w:t>
      </w:r>
      <w:r>
        <w:t xml:space="preserve">further synergies both from a policy and administrative point of view. For example,</w:t>
      </w:r>
      <w:r>
        <w:t xml:space="preserve"> </w:t>
      </w:r>
      <w:r>
        <w:t xml:space="preserve">applying the same delivery model to all measures supported by the plans would allow to</w:t>
      </w:r>
      <w:r>
        <w:t xml:space="preserve"> </w:t>
      </w:r>
      <w:r>
        <w:t xml:space="preserve">more easily track and report on the overall implementation of the plans, while more</w:t>
      </w:r>
      <w:r>
        <w:t xml:space="preserve"> </w:t>
      </w:r>
      <w:r>
        <w:t xml:space="preserve">easily assessing the risk of double funding. Relying on the same shared management</w:t>
      </w:r>
      <w:r>
        <w:t xml:space="preserve"> </w:t>
      </w:r>
      <w:r>
        <w:t xml:space="preserve">structure would remove overlaps and allow to better exploit the synergies between policy</w:t>
      </w:r>
      <w:r>
        <w:t xml:space="preserve"> </w:t>
      </w:r>
      <w:r>
        <w:t xml:space="preserve">areas covered by the plans.</w:t>
      </w:r>
      <w:r>
        <w:t xml:space="preserve"> </w:t>
      </w:r>
      <w:r>
        <w:t xml:space="preserve">As for external coherence, it looks at how the plans would work with other instruments</w:t>
      </w:r>
      <w:r>
        <w:t xml:space="preserve"> </w:t>
      </w:r>
      <w:r>
        <w:t xml:space="preserve">in the EU budget, as well as national/regional funding and private investments. Moving</w:t>
      </w:r>
      <w:r>
        <w:t xml:space="preserve"> </w:t>
      </w:r>
      <w:r>
        <w:t xml:space="preserve">towards a fully performance-based delivery model would mirror the efforts also done by</w:t>
      </w:r>
      <w:r>
        <w:t xml:space="preserve"> </w:t>
      </w:r>
      <w:r>
        <w:t xml:space="preserve">other EU spending programmes to apply a stronger focus on performance. This can be</w:t>
      </w:r>
      <w:r>
        <w:t xml:space="preserve"> </w:t>
      </w:r>
      <w:r>
        <w:t xml:space="preserve">seen in external action funding (e.g. Ukraine Facility; Western Balkans Facility) but also</w:t>
      </w:r>
      <w:r>
        <w:t xml:space="preserve"> </w:t>
      </w:r>
      <w:r>
        <w:t xml:space="preserve">in EU programmes without nationally pre-allocated envelopes, where the use of</w:t>
      </w:r>
      <w:r>
        <w:t xml:space="preserve"> </w:t>
      </w:r>
      <w:r>
        <w:t xml:space="preserve">performance-based forms of funding has increased over time (e.g. Horizon Europe,</w:t>
      </w:r>
      <w:r>
        <w:t xml:space="preserve"> </w:t>
      </w:r>
      <w:r>
        <w:t xml:space="preserve">Erasmus+). Applying a performance-based delivery model to the plans would therefore</w:t>
      </w:r>
      <w:r>
        <w:t xml:space="preserve"> </w:t>
      </w:r>
      <w:r>
        <w:t xml:space="preserve">reduce the fragmentation of the EU budget into different programmes with different</w:t>
      </w:r>
      <w:r>
        <w:t xml:space="preserve"> </w:t>
      </w:r>
      <w:r>
        <w:t xml:space="preserve">delivery models. At the same time, it would be important to ensure that the risk of double</w:t>
      </w:r>
      <w:r>
        <w:t xml:space="preserve"> </w:t>
      </w:r>
      <w:r>
        <w:t xml:space="preserve">funding can be easily assessed, given that the concept of double-funding is a cost-based</w:t>
      </w:r>
      <w:r>
        <w:t xml:space="preserve"> </w:t>
      </w:r>
      <w:r>
        <w:t xml:space="preserve">concept which is difficult to apply to a performance-based delivery model. Under the</w:t>
      </w:r>
      <w:r>
        <w:t xml:space="preserve"> </w:t>
      </w:r>
      <w:r>
        <w:t xml:space="preserve">next MFF, the plans will contribute to bolstering EU Competitiveness under the pre-</w:t>
      </w:r>
      <w:r>
        <w:t xml:space="preserve"> </w:t>
      </w:r>
      <w:r>
        <w:t xml:space="preserve">allocated envelope, through notably the promotion of economic, social and territorial</w:t>
      </w:r>
    </w:p>
    <w:p>
      <w:pPr>
        <w:pStyle w:val="BodyText"/>
      </w:pPr>
      <w:r>
        <w:t xml:space="preserve">cohesion with regions at its centre, and complement investments at EU level under the</w:t>
      </w:r>
      <w:r>
        <w:t xml:space="preserve"> </w:t>
      </w:r>
      <w:r>
        <w:t xml:space="preserve">European Competitiveness Fund.</w:t>
      </w:r>
      <w:r>
        <w:t xml:space="preserve"> </w:t>
      </w:r>
      <w:r>
        <w:t xml:space="preserve">Finally, experience shows that having different programmes with different management</w:t>
      </w:r>
      <w:r>
        <w:t xml:space="preserve"> </w:t>
      </w:r>
      <w:r>
        <w:t xml:space="preserve">modes does not undermine the coherence between EU spending programmes. It would be</w:t>
      </w:r>
      <w:r>
        <w:t xml:space="preserve"> </w:t>
      </w:r>
      <w:r>
        <w:t xml:space="preserve">important to align the rules of spending programmes to be able to exploit the synergies</w:t>
      </w:r>
      <w:r>
        <w:t xml:space="preserve"> </w:t>
      </w:r>
      <w:r>
        <w:t xml:space="preserve">between them (e.g. rules on cumulative funding) and avoid inconsistencies (e.g. different</w:t>
      </w:r>
      <w:r>
        <w:t xml:space="preserve"> </w:t>
      </w:r>
      <w:r>
        <w:t xml:space="preserve">level of assurance).</w:t>
      </w:r>
      <w:r>
        <w:br/>
      </w:r>
      <w:r>
        <w:t xml:space="preserve">6.3.</w:t>
      </w:r>
      <w:r>
        <w:t xml:space="preserve"> </w:t>
      </w:r>
      <w:r>
        <w:t xml:space="preserve">Preferred option for the design of the plans</w:t>
      </w:r>
      <w:r>
        <w:t xml:space="preserve"> </w:t>
      </w:r>
      <w:r>
        <w:t xml:space="preserve">In light of the above, the preferred option for the design of the plans is a delivery model</w:t>
      </w:r>
      <w:r>
        <w:t xml:space="preserve"> </w:t>
      </w:r>
      <w:r>
        <w:t xml:space="preserve">against pre-agreed objectives (Option B of the delivery model), under shared</w:t>
      </w:r>
      <w:r>
        <w:t xml:space="preserve"> </w:t>
      </w:r>
      <w:r>
        <w:t xml:space="preserve">management (Option D of the management mode). This preferred option will be taken</w:t>
      </w:r>
      <w:r>
        <w:t xml:space="preserve"> </w:t>
      </w:r>
      <w:r>
        <w:t xml:space="preserve">into account when assessing the options related to the scope of the plans in section 7.</w:t>
      </w:r>
      <w:r>
        <w:t xml:space="preserve"> </w:t>
      </w:r>
      <w:r>
        <w:t xml:space="preserve">7.</w:t>
      </w:r>
      <w:r>
        <w:t xml:space="preserve"> </w:t>
      </w:r>
      <w:r>
        <w:t xml:space="preserve">ASSESSMENT OF THE OPTIONS RELATED TO THE SCOPE OF THE PLANS</w:t>
      </w:r>
      <w:r>
        <w:t xml:space="preserve"> </w:t>
      </w:r>
      <w:r>
        <w:t xml:space="preserve">7.1.</w:t>
      </w:r>
      <w:r>
        <w:t xml:space="preserve"> </w:t>
      </w:r>
      <w:r>
        <w:t xml:space="preserve">What are the impacts of the options?</w:t>
      </w:r>
      <w:r>
        <w:t xml:space="preserve"> </w:t>
      </w:r>
      <w:r>
        <w:t xml:space="preserve">Option 1 (cohesion policy funds; EMFAF; home funds; SCF)</w:t>
      </w:r>
    </w:p>
    <w:p>
      <w:pPr>
        <w:pStyle w:val="BodyText"/>
      </w:pPr>
      <w:r>
        <w:t xml:space="preserve">The plans would ensure better consistency between different policy priorities.</w:t>
      </w:r>
      <w:r>
        <w:t xml:space="preserve"> </w:t>
      </w:r>
      <w:r>
        <w:t xml:space="preserve">Policies are mutually dependent and need to be closely coordinated, in concert with all</w:t>
      </w:r>
      <w:r>
        <w:t xml:space="preserve"> </w:t>
      </w:r>
      <w:r>
        <w:t xml:space="preserve">competent authorities. For example, linking cohesion policy with home affairs under one</w:t>
      </w:r>
      <w:r>
        <w:t xml:space="preserve"> </w:t>
      </w:r>
      <w:r>
        <w:t xml:space="preserve">plan could ensure a better integration of asylum seekers into local communities,</w:t>
      </w:r>
      <w:r>
        <w:t xml:space="preserve"> </w:t>
      </w:r>
      <w:r>
        <w:t xml:space="preserve">including in the labour market, while a closer link between cohesion and maritime and</w:t>
      </w:r>
      <w:r>
        <w:t xml:space="preserve"> </w:t>
      </w:r>
      <w:r>
        <w:t xml:space="preserve">fisheries policy could also help stimulate economic activities, such as tourism and</w:t>
      </w:r>
      <w:r>
        <w:t xml:space="preserve"> </w:t>
      </w:r>
      <w:r>
        <w:t xml:space="preserve">shipping, creating jobs and improving livelihoods in coastal regions. Likewise, the plans</w:t>
      </w:r>
      <w:r>
        <w:t xml:space="preserve"> </w:t>
      </w:r>
      <w:r>
        <w:t xml:space="preserve">would allow to better exploit the synergies that exist between the SCF and cohesion – for</w:t>
      </w:r>
      <w:r>
        <w:t xml:space="preserve"> </w:t>
      </w:r>
      <w:r>
        <w:t xml:space="preserve">instance, on skills or providing trainings targeting vulnerable households on energy</w:t>
      </w:r>
      <w:r>
        <w:t xml:space="preserve"> </w:t>
      </w:r>
      <w:r>
        <w:t xml:space="preserve">efficiency. This would go in line with the recommendations of the high-level expert</w:t>
      </w:r>
      <w:r>
        <w:t xml:space="preserve"> </w:t>
      </w:r>
      <w:r>
        <w:t xml:space="preserve">group on the future of cohesion policy, which found that “cohesion is far too important to</w:t>
      </w:r>
      <w:r>
        <w:t xml:space="preserve"> </w:t>
      </w:r>
      <w:r>
        <w:t xml:space="preserve">be left to cohesion policy alone; it should operate in concert with other EU and national</w:t>
      </w:r>
      <w:r>
        <w:t xml:space="preserve"> </w:t>
      </w:r>
      <w:r>
        <w:t xml:space="preserve">policies, as these are mutually dependent and must work together to reach their</w:t>
      </w:r>
      <w:r>
        <w:t xml:space="preserve"> </w:t>
      </w:r>
      <w:r>
        <w:t xml:space="preserve">collective goals. Economic, social and territorial cohesion cannot be achieved without</w:t>
      </w:r>
      <w:r>
        <w:t xml:space="preserve"> </w:t>
      </w:r>
      <w:r>
        <w:t xml:space="preserve">other policies taking into account their uneven territorial impact”.</w:t>
      </w:r>
    </w:p>
    <w:p>
      <w:pPr>
        <w:pStyle w:val="BodyText"/>
      </w:pPr>
      <w:r>
        <w:t xml:space="preserve">Support would be provided to all regions regardless of their level of development</w:t>
      </w:r>
      <w:r>
        <w:t xml:space="preserve"> </w:t>
      </w:r>
      <w:r>
        <w:t xml:space="preserve">with particular attention to less developed ones. New priorities and challenges are</w:t>
      </w:r>
      <w:r>
        <w:t xml:space="preserve"> </w:t>
      </w:r>
      <w:r>
        <w:t xml:space="preserve">relevant to various degrees for all regions as well as all Member States, even for those</w:t>
      </w:r>
      <w:r>
        <w:t xml:space="preserve"> </w:t>
      </w:r>
      <w:r>
        <w:t xml:space="preserve">with a higher level of development. Other challenges, such as the demographic transition,</w:t>
      </w:r>
      <w:r>
        <w:t xml:space="preserve"> </w:t>
      </w:r>
      <w:r>
        <w:t xml:space="preserve">access to essential services, the loss of social and human capital, and pockets of poverty</w:t>
      </w:r>
      <w:r>
        <w:t xml:space="preserve"> </w:t>
      </w:r>
      <w:r>
        <w:t xml:space="preserve">or increasing climate or security risks, may also require a specific territorial focus,</w:t>
      </w:r>
      <w:r>
        <w:t xml:space="preserve"> </w:t>
      </w:r>
      <w:r>
        <w:t xml:space="preserve">irrespective of the categories of regions where the supported territories are located and</w:t>
      </w:r>
      <w:r>
        <w:t xml:space="preserve"> </w:t>
      </w:r>
      <w:r>
        <w:t xml:space="preserve">targeting the sub-regional level too. This would help in achieving impacts comparable to</w:t>
      </w:r>
      <w:r>
        <w:t xml:space="preserve"> </w:t>
      </w:r>
      <w:r>
        <w:t xml:space="preserve">current analytical results (see Annex 9 for a detailed analysis).</w:t>
      </w:r>
      <w:r>
        <w:br/>
      </w:r>
      <w:r>
        <w:t xml:space="preserve">Furthermore, the plans would retain a strong regional and territorial dimension,</w:t>
      </w:r>
      <w:r>
        <w:t xml:space="preserve"> </w:t>
      </w:r>
      <w:r>
        <w:t xml:space="preserve">that closely involves regional and local authorities in the design and implementation</w:t>
      </w:r>
      <w:r>
        <w:t xml:space="preserve"> </w:t>
      </w:r>
      <w:r>
        <w:t xml:space="preserve">of cohesion and sectoral policies and supports regional/local ownership in line with</w:t>
      </w:r>
    </w:p>
    <w:p>
      <w:pPr>
        <w:pStyle w:val="BodyText"/>
      </w:pPr>
      <w:r>
        <w:t xml:space="preserve">current practices, including the possibility to interact directly with the Commission</w:t>
      </w:r>
      <w:r>
        <w:t xml:space="preserve"> </w:t>
      </w:r>
      <w:r>
        <w:t xml:space="preserve">services. Indeed, the set of challenges faced by regions call for enhancing the place-</w:t>
      </w:r>
      <w:r>
        <w:t xml:space="preserve"> </w:t>
      </w:r>
      <w:r>
        <w:t xml:space="preserve">based dimension of cohesion policy. By including a fully-fledged governance structure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regional/subnational/sectoral</w:t>
      </w:r>
      <w:r>
        <w:t xml:space="preserve"> </w:t>
      </w:r>
      <w:r>
        <w:t xml:space="preserve">level</w:t>
      </w:r>
      <w:r>
        <w:t xml:space="preserve"> </w:t>
      </w:r>
      <w:r>
        <w:t xml:space="preserve">and</w:t>
      </w:r>
      <w:r>
        <w:t xml:space="preserve"> </w:t>
      </w:r>
      <w:r>
        <w:t xml:space="preserve">allowing</w:t>
      </w:r>
      <w:r>
        <w:t xml:space="preserve"> </w:t>
      </w:r>
      <w:r>
        <w:t xml:space="preserve">to</w:t>
      </w:r>
      <w:r>
        <w:t xml:space="preserve"> </w:t>
      </w:r>
      <w:r>
        <w:t xml:space="preserve">incorporate</w:t>
      </w:r>
      <w:r>
        <w:t xml:space="preserve"> </w:t>
      </w:r>
      <w:r>
        <w:t xml:space="preserve">subnational/regional and sectoral chapters into the plans, the latter would ensure that</w:t>
      </w:r>
      <w:r>
        <w:t xml:space="preserve"> </w:t>
      </w:r>
      <w:r>
        <w:t xml:space="preserve">support is focused on the specific needs of each Member State and its regions and</w:t>
      </w:r>
      <w:r>
        <w:t xml:space="preserve"> </w:t>
      </w:r>
      <w:r>
        <w:t xml:space="preserve">sectors, while being consistent with EU priorities. Considering the broad experience in</w:t>
      </w:r>
      <w:r>
        <w:t xml:space="preserve"> </w:t>
      </w:r>
      <w:r>
        <w:t xml:space="preserve">the programming and management of EU funds of regions and local authorities, as well</w:t>
      </w:r>
      <w:r>
        <w:t xml:space="preserve"> </w:t>
      </w:r>
      <w:r>
        <w:t xml:space="preserve">as the lessons learnt from the CAP – which also caters for a strong involvement of</w:t>
      </w:r>
      <w:r>
        <w:t xml:space="preserve"> </w:t>
      </w:r>
      <w:r>
        <w:t xml:space="preserve">regional managing authorities within a national strategic plan – having sub-national</w:t>
      </w:r>
      <w:r>
        <w:t xml:space="preserve"> </w:t>
      </w:r>
      <w:r>
        <w:t xml:space="preserve">chapters would not bring additional burden or reduce flexibility but would rather ensure</w:t>
      </w:r>
      <w:r>
        <w:t xml:space="preserve"> </w:t>
      </w:r>
      <w:r>
        <w:t xml:space="preserve">that the plans deliver most efficiently on our joint policy objectives. Concretely, reforms</w:t>
      </w:r>
      <w:r>
        <w:t xml:space="preserve"> </w:t>
      </w:r>
      <w:r>
        <w:t xml:space="preserve">and investments would be tailored to the challenges of regions and territories with</w:t>
      </w:r>
      <w:r>
        <w:t xml:space="preserve"> </w:t>
      </w:r>
      <w:r>
        <w:t xml:space="preserve">different development profiles (trapped, with specific transition needs, with very low</w:t>
      </w:r>
      <w:r>
        <w:t xml:space="preserve"> </w:t>
      </w:r>
      <w:r>
        <w:t xml:space="preserve">development levels, with different levels of administrative capacity, etc.), while</w:t>
      </w:r>
      <w:r>
        <w:t xml:space="preserve"> </w:t>
      </w:r>
      <w:r>
        <w:t xml:space="preserve">delivering on EU priorities. Overall, the strong regional dimension of the plans would</w:t>
      </w:r>
      <w:r>
        <w:t xml:space="preserve"> </w:t>
      </w:r>
      <w:r>
        <w:t xml:space="preserve">fulfil the Political Guidelines’ call for a strengthened cohesion and growth policy with</w:t>
      </w:r>
      <w:r>
        <w:t xml:space="preserve"> </w:t>
      </w:r>
      <w:r>
        <w:t xml:space="preserve">regions at the centre, designed in partnership with national, regional and local authorities.</w:t>
      </w:r>
      <w:r>
        <w:br/>
      </w:r>
      <w:r>
        <w:t xml:space="preserve">The plans are also expected to significantly enhance the EU’s competitiveness by</w:t>
      </w:r>
      <w:r>
        <w:t xml:space="preserve"> </w:t>
      </w:r>
      <w:r>
        <w:t xml:space="preserve">removing long-standing regulatory barriers at the national or regional levels and</w:t>
      </w:r>
      <w:r>
        <w:t xml:space="preserve"> </w:t>
      </w:r>
      <w:r>
        <w:t xml:space="preserve">create an environment more conducive to investment. With high levels of public debt</w:t>
      </w:r>
      <w:r>
        <w:t xml:space="preserve"> </w:t>
      </w:r>
      <w:r>
        <w:t xml:space="preserve">and relatively low growth prospects, Member States and regions need to make a more</w:t>
      </w:r>
      <w:r>
        <w:t xml:space="preserve"> </w:t>
      </w:r>
      <w:r>
        <w:t xml:space="preserve">efficient use of budgetary resources to increase productivity, enhance economic growth</w:t>
      </w:r>
      <w:r>
        <w:t xml:space="preserve"> </w:t>
      </w:r>
      <w:r>
        <w:t xml:space="preserve">and create jobs. Structural reforms, including at subnational level, can drive the green</w:t>
      </w:r>
      <w:r>
        <w:t xml:space="preserve"> </w:t>
      </w:r>
      <w:r>
        <w:t xml:space="preserve">and digital transitions, convergence of Member States and regions, and improve the</w:t>
      </w:r>
      <w:r>
        <w:t xml:space="preserve"> </w:t>
      </w:r>
      <w:r>
        <w:t xml:space="preserve">functioning of governance, labour, and product and services markets as well as justice</w:t>
      </w:r>
      <w:r>
        <w:t xml:space="preserve"> </w:t>
      </w:r>
      <w:r>
        <w:t xml:space="preserve">and social protection systems. In the medium to long run, they increase the mobility and</w:t>
      </w:r>
      <w:r>
        <w:t xml:space="preserve"> </w:t>
      </w:r>
      <w:r>
        <w:t xml:space="preserve">efficient use of production factors, thus raising productivity and the economy’s aggregate</w:t>
      </w:r>
      <w:r>
        <w:t xml:space="preserve"> </w:t>
      </w:r>
      <w:r>
        <w:t xml:space="preserve">output. By accelerating growth, structural reforms can, in turn, both reduce concerns</w:t>
      </w:r>
      <w:r>
        <w:t xml:space="preserve"> </w:t>
      </w:r>
      <w:r>
        <w:t xml:space="preserve">about the potential short-term growth costs of ambitious reforms and create fiscal space</w:t>
      </w:r>
      <w:r>
        <w:t xml:space="preserve"> </w:t>
      </w:r>
      <w:r>
        <w:t xml:space="preserve">to implement them. Moreover, structural reforms can stimulate private sector investment</w:t>
      </w:r>
      <w:r>
        <w:t xml:space="preserve"> </w:t>
      </w:r>
      <w:r>
        <w:t xml:space="preserve">by improving the business environment, facilitating the reallocation of resources to more</w:t>
      </w:r>
      <w:r>
        <w:t xml:space="preserve"> </w:t>
      </w:r>
      <w:r>
        <w:t xml:space="preserve">sustainable activities.</w:t>
      </w:r>
    </w:p>
    <w:p>
      <w:pPr>
        <w:pStyle w:val="BodyText"/>
      </w:pPr>
      <w:r>
        <w:t xml:space="preserve">The plans would give Member States the necessary incentive to engage in an</w:t>
      </w:r>
      <w:r>
        <w:t xml:space="preserve"> </w:t>
      </w:r>
      <w:r>
        <w:t xml:space="preserve">ambitious reform agenda. For example, the plans could include reforms related to</w:t>
      </w:r>
      <w:r>
        <w:t xml:space="preserve"> </w:t>
      </w:r>
      <w:r>
        <w:t xml:space="preserve">lifting barriers in the internal market, competitiveness reforms or procurement reforms.</w:t>
      </w:r>
      <w:r>
        <w:t xml:space="preserve"> </w:t>
      </w:r>
      <w:r>
        <w:t xml:space="preserve">They could also be used to support Member States and regions in the implementation of</w:t>
      </w:r>
      <w:r>
        <w:t xml:space="preserve"> </w:t>
      </w:r>
      <w:r>
        <w:t xml:space="preserve">key EU policy priorities, such as the European Pillar of Social Rights, the Pact on</w:t>
      </w:r>
      <w:r>
        <w:t xml:space="preserve"> </w:t>
      </w:r>
      <w:r>
        <w:t xml:space="preserve">Migration and Asylum or the European Green Deal. Even if not directly related to</w:t>
      </w:r>
      <w:r>
        <w:t xml:space="preserve"> </w:t>
      </w:r>
      <w:r>
        <w:t xml:space="preserve">investments included in the plans, the reforms supported would improve the effectiveness</w:t>
      </w:r>
      <w:r>
        <w:t xml:space="preserve"> </w:t>
      </w:r>
      <w:r>
        <w:t xml:space="preserve">of EU funds as they concern Member States’ structural reforms where implementation</w:t>
      </w:r>
      <w:r>
        <w:t xml:space="preserve"> </w:t>
      </w:r>
      <w:r>
        <w:t xml:space="preserve">would benefit the implementation of investments across the board.</w:t>
      </w:r>
    </w:p>
    <w:p>
      <w:pPr>
        <w:pStyle w:val="BodyText"/>
      </w:pPr>
      <w:r>
        <w:t xml:space="preserve">In contrast with the current enabling conditions in cohesion policy which are the</w:t>
      </w:r>
      <w:r>
        <w:t xml:space="preserve"> </w:t>
      </w:r>
      <w:r>
        <w:t xml:space="preserve">same for all Member States, reforms would be tailored to a specific national or</w:t>
      </w:r>
      <w:r>
        <w:t xml:space="preserve"> </w:t>
      </w:r>
      <w:r>
        <w:t xml:space="preserve">subnational context. Indeed, Member States have different political, economic, social</w:t>
      </w:r>
      <w:r>
        <w:t xml:space="preserve"> </w:t>
      </w:r>
      <w:r>
        <w:t xml:space="preserve">and sustainability contexts, but they all face similar challenges. Reform needs can also</w:t>
      </w:r>
      <w:r>
        <w:t xml:space="preserve"> </w:t>
      </w:r>
      <w:r>
        <w:t xml:space="preserve">exist at the subnational level, especially where regional and local authorities have</w:t>
      </w:r>
      <w:r>
        <w:t xml:space="preserve"> </w:t>
      </w:r>
      <w:r>
        <w:t xml:space="preserve">significant competencies. At the same time, the steering mechanism at EU level would</w:t>
      </w:r>
    </w:p>
    <w:p>
      <w:pPr>
        <w:pStyle w:val="BodyText"/>
      </w:pPr>
      <w:r>
        <w:t xml:space="preserve">ensure that reform priorities are aligned with EU priorities and undertaken across</w:t>
      </w:r>
      <w:r>
        <w:t xml:space="preserve"> </w:t>
      </w:r>
      <w:r>
        <w:t xml:space="preserve">Member States in a coherent but tailored way. By design, the plans would effectively</w:t>
      </w:r>
      <w:r>
        <w:t xml:space="preserve"> </w:t>
      </w:r>
      <w:r>
        <w:t xml:space="preserve">align EU funding with key EU priorities, including the promotion of economic, social</w:t>
      </w:r>
      <w:r>
        <w:t xml:space="preserve"> </w:t>
      </w:r>
      <w:r>
        <w:t xml:space="preserve">and territorial cohesion, while increasing policy coherence between the EU and the</w:t>
      </w:r>
      <w:r>
        <w:t xml:space="preserve"> </w:t>
      </w:r>
      <w:r>
        <w:t xml:space="preserve">national, regional and local level.</w:t>
      </w:r>
    </w:p>
    <w:p>
      <w:pPr>
        <w:pStyle w:val="BodyText"/>
      </w:pPr>
      <w:r>
        <w:t xml:space="preserve">This closer link between EU funding and EU policy priorities would enhance the EU</w:t>
      </w:r>
      <w:r>
        <w:t xml:space="preserve"> </w:t>
      </w:r>
      <w:r>
        <w:t xml:space="preserve">added value of the plans. The steering mechanism would identify those investments and</w:t>
      </w:r>
      <w:r>
        <w:t xml:space="preserve"> </w:t>
      </w:r>
      <w:r>
        <w:t xml:space="preserve">reforms that contribute to goals that cannot be achieved as effectively by individual</w:t>
      </w:r>
      <w:r>
        <w:t xml:space="preserve"> </w:t>
      </w:r>
      <w:r>
        <w:t xml:space="preserve">Member States acting alone. As a result, higher support can be expected under the plans</w:t>
      </w:r>
      <w:r>
        <w:t xml:space="preserve"> </w:t>
      </w:r>
      <w:r>
        <w:t xml:space="preserve">than is currently the case under nationally pre-allocated envelopes for projects with a</w:t>
      </w:r>
      <w:r>
        <w:t xml:space="preserve"> </w:t>
      </w:r>
      <w:r>
        <w:t xml:space="preserve">high EU added-value, such as cross-border (e.g. cooperation projects between Member</w:t>
      </w:r>
      <w:r>
        <w:t xml:space="preserve"> </w:t>
      </w:r>
      <w:r>
        <w:t xml:space="preserve">States’ authorities) and multi-country projects (e.g. Important Projects of Common</w:t>
      </w:r>
      <w:r>
        <w:t xml:space="preserve"> </w:t>
      </w:r>
      <w:r>
        <w:t xml:space="preserve">European Interest). This being said, the delivery of more complex cross-border projects</w:t>
      </w:r>
      <w:r>
        <w:t xml:space="preserve"> </w:t>
      </w:r>
      <w:r>
        <w:t xml:space="preserve">such as infrastructure projects connecting two Member States would continue to require a</w:t>
      </w:r>
      <w:r>
        <w:t xml:space="preserve"> </w:t>
      </w:r>
      <w:r>
        <w:t xml:space="preserve">special delivery system. This is further elaborated in the section on the impacts of the</w:t>
      </w:r>
      <w:r>
        <w:t xml:space="preserve"> </w:t>
      </w:r>
      <w:r>
        <w:t xml:space="preserve">options on cross-border.</w:t>
      </w:r>
    </w:p>
    <w:p>
      <w:pPr>
        <w:pStyle w:val="BodyText"/>
      </w:pPr>
      <w:r>
        <w:t xml:space="preserve">Having a plan per Member State with a broad eligibility scope and a single set of</w:t>
      </w:r>
      <w:r>
        <w:t xml:space="preserve"> </w:t>
      </w:r>
      <w:r>
        <w:t xml:space="preserve">rules is expected to provide more clarity on funding opportunities and in turn</w:t>
      </w:r>
      <w:r>
        <w:t xml:space="preserve"> </w:t>
      </w:r>
      <w:r>
        <w:t xml:space="preserve">facilitate access to funding of EU businesses and project promoters, including local</w:t>
      </w:r>
      <w:r>
        <w:t xml:space="preserve"> </w:t>
      </w:r>
      <w:r>
        <w:t xml:space="preserve">authorities. The new simplified system would rationalize the approval mechanisms and</w:t>
      </w:r>
      <w:r>
        <w:t xml:space="preserve"> </w:t>
      </w:r>
      <w:r>
        <w:t xml:space="preserve">harmonize the regulatory landscape – whether on audit, eligibility, collection of data,</w:t>
      </w:r>
      <w:r>
        <w:t xml:space="preserve"> </w:t>
      </w:r>
      <w:r>
        <w:t xml:space="preserve">visibility or reporting rules - by providing beneficiaries and programme authorities a</w:t>
      </w:r>
      <w:r>
        <w:t xml:space="preserve"> </w:t>
      </w:r>
      <w:r>
        <w:t xml:space="preserve">simpler and fully aligned regulatory framework across policies. These benefits are</w:t>
      </w:r>
      <w:r>
        <w:t xml:space="preserve"> </w:t>
      </w:r>
      <w:r>
        <w:t xml:space="preserve">expected to be larger for SMEs, which often have limited resources compared to larger</w:t>
      </w:r>
      <w:r>
        <w:t xml:space="preserve"> </w:t>
      </w:r>
      <w:r>
        <w:t xml:space="preserve">companies to navigate complex, heterogeneous programme-specific rules. Increased</w:t>
      </w:r>
      <w:r>
        <w:t xml:space="preserve"> </w:t>
      </w:r>
      <w:r>
        <w:t xml:space="preserve">flexibility will allow to faster address new challenges that will appear during the</w:t>
      </w:r>
      <w:r>
        <w:t xml:space="preserve"> </w:t>
      </w:r>
      <w:r>
        <w:t xml:space="preserve">implementation, by reducing the number of changes to the applicable rules and</w:t>
      </w:r>
      <w:r>
        <w:t xml:space="preserve"> </w:t>
      </w:r>
      <w:r>
        <w:t xml:space="preserve">requirements set out in the basic act. This should reduce the administrative burden at all</w:t>
      </w:r>
      <w:r>
        <w:t xml:space="preserve"> </w:t>
      </w:r>
      <w:r>
        <w:t xml:space="preserve">levels of the implementation system – beneficiaries, implementing bodies and the EU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The plans would be implemented ensuring value for money and improving the</w:t>
      </w:r>
      <w:r>
        <w:t xml:space="preserve"> </w:t>
      </w:r>
      <w:r>
        <w:t xml:space="preserve">results on the ground through a performance-based delivery model. Payments</w:t>
      </w:r>
      <w:r>
        <w:t xml:space="preserve"> </w:t>
      </w:r>
      <w:r>
        <w:t xml:space="preserve">against the fulfilment of investment and reform objectives (rather than the reimbursement</w:t>
      </w:r>
      <w:r>
        <w:t xml:space="preserve"> </w:t>
      </w:r>
      <w:r>
        <w:t xml:space="preserve">of eligible costs) would allow to speed up disbursements and increase the efficiency of</w:t>
      </w:r>
      <w:r>
        <w:t xml:space="preserve"> </w:t>
      </w:r>
      <w:r>
        <w:t xml:space="preserve">EU spending to achieve more results with the existing resources. This would allow to</w:t>
      </w:r>
      <w:r>
        <w:t xml:space="preserve"> </w:t>
      </w:r>
      <w:r>
        <w:t xml:space="preserve">strengthen the performance dimension of the EU budget in the policy areas currently</w:t>
      </w:r>
      <w:r>
        <w:t xml:space="preserve"> </w:t>
      </w:r>
      <w:r>
        <w:t xml:space="preserve">supported by the funds that would be integrated into the plans as part of Option 1. This</w:t>
      </w:r>
      <w:r>
        <w:t xml:space="preserve"> </w:t>
      </w:r>
      <w:r>
        <w:t xml:space="preserve">would be in line with the calls from the Council to reflect on how to make cohesion</w:t>
      </w:r>
      <w:r>
        <w:t xml:space="preserve"> </w:t>
      </w:r>
      <w:r>
        <w:t xml:space="preserve">policy more performance-based with a view to enhancing its efficiency, building on its</w:t>
      </w:r>
      <w:r>
        <w:t xml:space="preserve"> </w:t>
      </w:r>
      <w:r>
        <w:t xml:space="preserve">own experiences as well as lessons learned from other EU instruments.33</w:t>
      </w:r>
    </w:p>
    <w:p>
      <w:pPr>
        <w:pStyle w:val="BodyText"/>
      </w:pPr>
      <w:r>
        <w:t xml:space="preserve">Under such an option, the CAP would remain outside of the plans. This would ensure</w:t>
      </w:r>
      <w:r>
        <w:t xml:space="preserve"> </w:t>
      </w:r>
      <w:r>
        <w:t xml:space="preserve">continuity with the current model of the CAP Strategic Plans building on the expertise</w:t>
      </w:r>
      <w:r>
        <w:t xml:space="preserve"> </w:t>
      </w:r>
      <w:r>
        <w:t xml:space="preserve">gained so far by Member States with the implementation of the CAP Strategic Plans. At</w:t>
      </w:r>
    </w:p>
    <w:p>
      <w:pPr>
        <w:pStyle w:val="BodyText"/>
      </w:pPr>
      <w:r>
        <w:t xml:space="preserve">33 Council conclusions on the Communication on the 9th Cohesion Report, 5 June 2024.</w:t>
      </w:r>
    </w:p>
    <w:p>
      <w:pPr>
        <w:pStyle w:val="BodyText"/>
      </w:pPr>
      <w:r>
        <w:t xml:space="preserve">the same time, it would also allow for manageable changes and for outlining</w:t>
      </w:r>
      <w:r>
        <w:t xml:space="preserve"> </w:t>
      </w:r>
      <w:r>
        <w:t xml:space="preserve">responsibilities both at the EU and national level and towards the final beneficiaries with</w:t>
      </w:r>
      <w:r>
        <w:t xml:space="preserve"> </w:t>
      </w:r>
      <w:r>
        <w:t xml:space="preserve">a focus on generating further simplification. Combining targeted direct income support</w:t>
      </w:r>
      <w:r>
        <w:t xml:space="preserve"> </w:t>
      </w:r>
      <w:r>
        <w:t xml:space="preserve">with on-farm investments, knowledge exchange and investments in rural areas (such as</w:t>
      </w:r>
      <w:r>
        <w:t xml:space="preserve"> </w:t>
      </w:r>
      <w:r>
        <w:t xml:space="preserve">business start-ups) can maximise the impact of EU spending to foster farm</w:t>
      </w:r>
      <w:r>
        <w:t xml:space="preserve"> </w:t>
      </w:r>
      <w:r>
        <w:t xml:space="preserve">entrepreneurship and generational renewal. The integration of the interventions to</w:t>
      </w:r>
      <w:r>
        <w:t xml:space="preserve"> </w:t>
      </w:r>
      <w:r>
        <w:t xml:space="preserve">support the provision of ecosystem services also contributes to simplify the</w:t>
      </w:r>
      <w:r>
        <w:t xml:space="preserve"> </w:t>
      </w:r>
      <w:r>
        <w:t xml:space="preserve">administrative requirements associated to these interventions and can also facilitate the</w:t>
      </w:r>
      <w:r>
        <w:t xml:space="preserve"> </w:t>
      </w:r>
      <w:r>
        <w:t xml:space="preserve">fulfillment of the environmental and climate objectives.</w:t>
      </w:r>
    </w:p>
    <w:p>
      <w:pPr>
        <w:pStyle w:val="BodyText"/>
      </w:pPr>
      <w:r>
        <w:t xml:space="preserve">While a one fund approach for the future CAP would allow to ensure some</w:t>
      </w:r>
      <w:r>
        <w:t xml:space="preserve"> </w:t>
      </w:r>
      <w:r>
        <w:t xml:space="preserve">continuity while addressing agricultural challenges in a more targeted way, this</w:t>
      </w:r>
      <w:r>
        <w:t xml:space="preserve"> </w:t>
      </w:r>
      <w:r>
        <w:t xml:space="preserve">would come with a more limited possibility to address emerging or unforeseen needs</w:t>
      </w:r>
      <w:r>
        <w:t xml:space="preserve"> </w:t>
      </w:r>
      <w:r>
        <w:t xml:space="preserve">and changing priorities. Irrespective of the options and given the specificities of the</w:t>
      </w:r>
      <w:r>
        <w:t xml:space="preserve"> </w:t>
      </w:r>
      <w:r>
        <w:t xml:space="preserve">CAP (regular payments made to 9 million farmers altogether), budgetary predictability</w:t>
      </w:r>
      <w:r>
        <w:t xml:space="preserve"> </w:t>
      </w:r>
      <w:r>
        <w:t xml:space="preserve">for the CAP will be essential.</w:t>
      </w:r>
    </w:p>
    <w:p>
      <w:pPr>
        <w:pStyle w:val="BodyText"/>
      </w:pPr>
      <w:r>
        <w:t xml:space="preserve">Under this option, as well as under option 2, there would be the possibility to have</w:t>
      </w:r>
      <w:r>
        <w:t xml:space="preserve"> </w:t>
      </w:r>
      <w:r>
        <w:t xml:space="preserve">additional harmonization of some key horizontal aspects of policy design as part of</w:t>
      </w:r>
      <w:r>
        <w:t xml:space="preserve"> </w:t>
      </w:r>
      <w:r>
        <w:t xml:space="preserve">the future MFF (e.g., monitoring, performance, audit and control systems, the broader</w:t>
      </w:r>
      <w:r>
        <w:t xml:space="preserve"> </w:t>
      </w:r>
      <w:r>
        <w:t xml:space="preserve">conditionality system). This would create synergies in terms of administrative procedures</w:t>
      </w:r>
      <w:r>
        <w:t xml:space="preserve"> </w:t>
      </w:r>
      <w:r>
        <w:t xml:space="preserve">for Member States, thereby reducing costs.</w:t>
      </w:r>
    </w:p>
    <w:p>
      <w:pPr>
        <w:pStyle w:val="BodyText"/>
      </w:pPr>
      <w:r>
        <w:t xml:space="preserve">Option 2 (CAP)</w:t>
      </w:r>
    </w:p>
    <w:p>
      <w:pPr>
        <w:pStyle w:val="BodyText"/>
      </w:pPr>
      <w:r>
        <w:t xml:space="preserve">With one CAP Strategic Plan per Member State, the CAP is already the closest to</w:t>
      </w:r>
      <w:r>
        <w:t xml:space="preserve"> </w:t>
      </w:r>
      <w:r>
        <w:t xml:space="preserve">the plans in terms of design. The CAP Strategic Plans have marked a major change in</w:t>
      </w:r>
      <w:r>
        <w:t xml:space="preserve"> </w:t>
      </w:r>
      <w:r>
        <w:t xml:space="preserve">the way the CAP budget is programmed and spent, bringing increased flexibility and</w:t>
      </w:r>
      <w:r>
        <w:t xml:space="preserve"> </w:t>
      </w:r>
      <w:r>
        <w:t xml:space="preserve">responsibility to Member States in addressing regional and local specificities and needs</w:t>
      </w:r>
      <w:r>
        <w:t xml:space="preserve"> </w:t>
      </w:r>
      <w:r>
        <w:t xml:space="preserve">within a set of common EU rules and objectives. As such, the CAP Strategic Plans have</w:t>
      </w:r>
      <w:r>
        <w:t xml:space="preserve"> </w:t>
      </w:r>
      <w:r>
        <w:t xml:space="preserve">shown that the move to single programming per Member State is feasible and an</w:t>
      </w:r>
      <w:r>
        <w:t xml:space="preserve"> </w:t>
      </w:r>
      <w:r>
        <w:t xml:space="preserve">appropriate tool to deliver on the CAP objectives.</w:t>
      </w:r>
    </w:p>
    <w:p>
      <w:pPr>
        <w:pStyle w:val="BodyText"/>
      </w:pPr>
      <w:r>
        <w:t xml:space="preserve">The plans would build on the strengths of the CAP Strategic Plans – in particular</w:t>
      </w:r>
      <w:r>
        <w:t xml:space="preserve"> </w:t>
      </w:r>
      <w:r>
        <w:t xml:space="preserve">its governance structure. The multi-level governance and strong regional dimension of</w:t>
      </w:r>
      <w:r>
        <w:t xml:space="preserve"> </w:t>
      </w:r>
      <w:r>
        <w:t xml:space="preserve">the plans would go in line with the current governance of the CAP, which allows for</w:t>
      </w:r>
      <w:r>
        <w:t xml:space="preserve"> </w:t>
      </w:r>
      <w:r>
        <w:t xml:space="preserve">regional managing authorities to be responsible for the implementation of the regional</w:t>
      </w:r>
      <w:r>
        <w:t xml:space="preserve"> </w:t>
      </w:r>
      <w:r>
        <w:t xml:space="preserve">interventions envisaged in the plans, while the national managing authority remains</w:t>
      </w:r>
      <w:r>
        <w:t xml:space="preserve"> </w:t>
      </w:r>
      <w:r>
        <w:t xml:space="preserve">responsible for ensuring the appropriate coordination and guaranteeing coherence and</w:t>
      </w:r>
      <w:r>
        <w:t xml:space="preserve"> </w:t>
      </w:r>
      <w:r>
        <w:t xml:space="preserve">consistency. This would ensure continuity and predictability for Member States’s</w:t>
      </w:r>
      <w:r>
        <w:t xml:space="preserve"> </w:t>
      </w:r>
      <w:r>
        <w:t xml:space="preserve">authorities implementing CAP and farmers alike, thereby reducing the need for the</w:t>
      </w:r>
      <w:r>
        <w:t xml:space="preserve"> </w:t>
      </w:r>
      <w:r>
        <w:t xml:space="preserve">respective Member States’ authorities to have to adjust their administrative system again</w:t>
      </w:r>
      <w:r>
        <w:t xml:space="preserve"> </w:t>
      </w:r>
      <w:r>
        <w:t xml:space="preserve">(after the big changes required for the CAP 2023-2027). While the complexity of</w:t>
      </w:r>
      <w:r>
        <w:t xml:space="preserve"> </w:t>
      </w:r>
      <w:r>
        <w:t xml:space="preserve">devising a comprehensive national plan (as well as any later amendments) covering many</w:t>
      </w:r>
      <w:r>
        <w:t xml:space="preserve"> </w:t>
      </w:r>
      <w:r>
        <w:t xml:space="preserve">different policy domains would require accrued efforts for national administrations, this</w:t>
      </w:r>
      <w:r>
        <w:t xml:space="preserve"> </w:t>
      </w:r>
      <w:r>
        <w:t xml:space="preserve">would not undermine the coherent approach towards the CAP since the approval of the</w:t>
      </w:r>
      <w:r>
        <w:t xml:space="preserve"> </w:t>
      </w:r>
      <w:r>
        <w:t xml:space="preserve">plans (and any future amendment) would need to address all objectives in a</w:t>
      </w:r>
      <w:r>
        <w:t xml:space="preserve"> </w:t>
      </w:r>
      <w:r>
        <w:t xml:space="preserve">comprehensive and balanced manner.</w:t>
      </w:r>
    </w:p>
    <w:p>
      <w:pPr>
        <w:pStyle w:val="BodyText"/>
      </w:pPr>
      <w:r>
        <w:t xml:space="preserve">From a budgetary standpoint, the main advantage in bringing the CAP within the</w:t>
      </w:r>
      <w:r>
        <w:t xml:space="preserve"> </w:t>
      </w:r>
      <w:r>
        <w:t xml:space="preserve">plans would be to apply the same rules to all funds under shared management,</w:t>
      </w:r>
    </w:p>
    <w:p>
      <w:pPr>
        <w:pStyle w:val="BodyText"/>
      </w:pPr>
      <w:r>
        <w:t xml:space="preserve">while addressing some specificities for the CAP to preserve the single market and</w:t>
      </w:r>
      <w:r>
        <w:t xml:space="preserve"> </w:t>
      </w:r>
      <w:r>
        <w:t xml:space="preserve">fair competition between farmers. This would mean using the same delivery model</w:t>
      </w:r>
      <w:r>
        <w:t xml:space="preserve"> </w:t>
      </w:r>
      <w:r>
        <w:t xml:space="preserve">with common rules allowing for technical specificities on programming, payments or</w:t>
      </w:r>
      <w:r>
        <w:t xml:space="preserve"> </w:t>
      </w:r>
      <w:r>
        <w:t xml:space="preserve">requirements regarding management and control systems and protecting the financial</w:t>
      </w:r>
      <w:r>
        <w:t xml:space="preserve"> </w:t>
      </w:r>
      <w:r>
        <w:t xml:space="preserve">interests of the Union, including the requirements for farmers or companies in agri-food</w:t>
      </w:r>
      <w:r>
        <w:t xml:space="preserve"> </w:t>
      </w:r>
      <w:r>
        <w:t xml:space="preserve">sector. Already now farmers or rural communities and other rural stakeholders may be at</w:t>
      </w:r>
      <w:r>
        <w:t xml:space="preserve"> </w:t>
      </w:r>
      <w:r>
        <w:t xml:space="preserve">the same time beneficiaries of both the CAP and cohesion policy funds. Bringing the</w:t>
      </w:r>
      <w:r>
        <w:t xml:space="preserve"> </w:t>
      </w:r>
      <w:r>
        <w:t xml:space="preserve">CAP under the plans would allow them to implement their projects under a unified audit</w:t>
      </w:r>
      <w:r>
        <w:t xml:space="preserve"> </w:t>
      </w:r>
      <w:r>
        <w:t xml:space="preserve">and control system, thereby reducing the complexity and administrative burden linked to</w:t>
      </w:r>
      <w:r>
        <w:t xml:space="preserve"> </w:t>
      </w:r>
      <w:r>
        <w:t xml:space="preserve">operating under two parallel systems, while also lowering potential risks of errors, audit</w:t>
      </w:r>
      <w:r>
        <w:t xml:space="preserve"> </w:t>
      </w:r>
      <w:r>
        <w:t xml:space="preserve">duplications and double funding.</w:t>
      </w:r>
    </w:p>
    <w:p>
      <w:pPr>
        <w:pStyle w:val="BodyText"/>
      </w:pPr>
      <w:r>
        <w:t xml:space="preserve">Bringing the whole CAP under the umbrella of the plans would be an opportunity</w:t>
      </w:r>
      <w:r>
        <w:t xml:space="preserve"> </w:t>
      </w:r>
      <w:r>
        <w:t xml:space="preserve">to further improve the delivery model of the CAP. While payments are still mainly</w:t>
      </w:r>
      <w:r>
        <w:t xml:space="preserve"> </w:t>
      </w:r>
      <w:r>
        <w:t xml:space="preserve">made based on incurred costs, new performance indicators have been introduced to</w:t>
      </w:r>
      <w:r>
        <w:t xml:space="preserve"> </w:t>
      </w:r>
      <w:r>
        <w:t xml:space="preserve">monitor the progress of implementation. This dual system leads to burdensome reporting</w:t>
      </w:r>
      <w:r>
        <w:t xml:space="preserve"> </w:t>
      </w:r>
      <w:r>
        <w:t xml:space="preserve">requirements. Instead, the future CAP could generate stronger results with less reporting</w:t>
      </w:r>
      <w:r>
        <w:t xml:space="preserve"> </w:t>
      </w:r>
      <w:r>
        <w:t xml:space="preserve">requirements by moving towards performance-based payments. The report on Strategic</w:t>
      </w:r>
      <w:r>
        <w:t xml:space="preserve"> </w:t>
      </w:r>
      <w:r>
        <w:t xml:space="preserve">Dialogue on the future of EU agriculture takes the example of the eco-schemes, a</w:t>
      </w:r>
      <w:r>
        <w:t xml:space="preserve"> </w:t>
      </w:r>
      <w:r>
        <w:t xml:space="preserve">mechanism to trigger greener practices by farmers, to call for linking payments to the</w:t>
      </w:r>
      <w:r>
        <w:t xml:space="preserve"> </w:t>
      </w:r>
      <w:r>
        <w:t xml:space="preserve">fulfilment of quantifiable outputs to provide more meaningful incentives and flexibility</w:t>
      </w:r>
      <w:r>
        <w:t xml:space="preserve"> </w:t>
      </w:r>
      <w:r>
        <w:t xml:space="preserve">to farmers.</w:t>
      </w:r>
    </w:p>
    <w:p>
      <w:pPr>
        <w:pStyle w:val="BodyText"/>
      </w:pPr>
      <w:r>
        <w:t xml:space="preserve">From a policy standpoint, bringing the CAP into the plans may enable the use of the</w:t>
      </w:r>
      <w:r>
        <w:t xml:space="preserve"> </w:t>
      </w:r>
      <w:r>
        <w:t xml:space="preserve">EU budget as a catalyst for triggering important reforms to address long-standing</w:t>
      </w:r>
      <w:r>
        <w:t xml:space="preserve"> </w:t>
      </w:r>
      <w:r>
        <w:t xml:space="preserve">challenges in the farming sector and rural areas in general where CAP tools are not</w:t>
      </w:r>
      <w:r>
        <w:t xml:space="preserve"> </w:t>
      </w:r>
      <w:r>
        <w:t xml:space="preserve">fit for purpose. The Vision for Agriculture and Food underscores the need for reforms,</w:t>
      </w:r>
      <w:r>
        <w:t xml:space="preserve"> </w:t>
      </w:r>
      <w:r>
        <w:t xml:space="preserve">from generational renewal to strengthening farmers’ position in the food value chain. For</w:t>
      </w:r>
      <w:r>
        <w:t xml:space="preserve"> </w:t>
      </w:r>
      <w:r>
        <w:t xml:space="preserve">instance, tackling the main entry barriers for farmers – such as access to land and access</w:t>
      </w:r>
      <w:r>
        <w:t xml:space="preserve"> </w:t>
      </w:r>
      <w:r>
        <w:t xml:space="preserve">to capital – requires reforms at national level. Other areas of reforms concern skills for</w:t>
      </w:r>
      <w:r>
        <w:t xml:space="preserve"> </w:t>
      </w:r>
      <w:r>
        <w:t xml:space="preserve">better career opportunities, better availability and access to essential services and broader</w:t>
      </w:r>
      <w:r>
        <w:t xml:space="preserve"> </w:t>
      </w:r>
      <w:r>
        <w:t xml:space="preserve">digital connectivity, better living and working conditions, gender equality and social</w:t>
      </w:r>
      <w:r>
        <w:t xml:space="preserve"> </w:t>
      </w:r>
      <w:r>
        <w:t xml:space="preserve">inclusion, as well climate mitigation and adaptation and environmental protection. By</w:t>
      </w:r>
      <w:r>
        <w:t xml:space="preserve"> </w:t>
      </w:r>
      <w:r>
        <w:t xml:space="preserve">strategically linking reforms with investments, the plans could become a catalyst for</w:t>
      </w:r>
      <w:r>
        <w:t xml:space="preserve"> </w:t>
      </w:r>
      <w:r>
        <w:t xml:space="preserve">triggering those reforms that will strengthen the attractiveness, competitiveness and</w:t>
      </w:r>
      <w:r>
        <w:t xml:space="preserve"> </w:t>
      </w:r>
      <w:r>
        <w:t xml:space="preserve">resilience of the agricultural sector and rural areas, in line with the priorities of the Vision</w:t>
      </w:r>
      <w:r>
        <w:t xml:space="preserve"> </w:t>
      </w:r>
      <w:r>
        <w:t xml:space="preserve">on Agriculture and Food.</w:t>
      </w:r>
    </w:p>
    <w:p>
      <w:pPr>
        <w:pStyle w:val="BodyText"/>
      </w:pPr>
      <w:r>
        <w:t xml:space="preserve">At the same time, linking disbursement with pre-set milestones and targets in the</w:t>
      </w:r>
      <w:r>
        <w:t xml:space="preserve"> </w:t>
      </w:r>
      <w:r>
        <w:t xml:space="preserve">area of reforms could compromise the regularity of EU disbursements and finally</w:t>
      </w:r>
      <w:r>
        <w:t xml:space="preserve"> </w:t>
      </w:r>
      <w:r>
        <w:t xml:space="preserve">the stability of support given to farmers. This would in particular be of concern for all</w:t>
      </w:r>
      <w:r>
        <w:t xml:space="preserve"> </w:t>
      </w:r>
      <w:r>
        <w:t xml:space="preserve">instruments directly supporting farm income (e.g., direct payments,) on which farmers</w:t>
      </w:r>
      <w:r>
        <w:t xml:space="preserve"> </w:t>
      </w:r>
      <w:r>
        <w:t xml:space="preserve">directly rely for their livelihood. It would therefore require introducing specific rules to</w:t>
      </w:r>
      <w:r>
        <w:t xml:space="preserve"> </w:t>
      </w:r>
      <w:r>
        <w:t xml:space="preserve">protect the interest of final beneficiaries.</w:t>
      </w:r>
    </w:p>
    <w:p>
      <w:pPr>
        <w:pStyle w:val="BodyText"/>
      </w:pPr>
      <w:r>
        <w:t xml:space="preserve">The plans would also allow Member States to better exploit the complementarities</w:t>
      </w:r>
      <w:r>
        <w:t xml:space="preserve"> </w:t>
      </w:r>
      <w:r>
        <w:t xml:space="preserve">that exist between cohesion policy and rural development in the CAP. This would</w:t>
      </w:r>
      <w:r>
        <w:t xml:space="preserve"> </w:t>
      </w:r>
      <w:r>
        <w:t xml:space="preserve">allow Member States to provide a more effective and comprehensive support to rural</w:t>
      </w:r>
      <w:r>
        <w:t xml:space="preserve"> </w:t>
      </w:r>
      <w:r>
        <w:t xml:space="preserve">areas. As the Vision for Agriculture and Food puts it, the contribution of Cohesion Policy</w:t>
      </w:r>
      <w:r>
        <w:t xml:space="preserve"> </w:t>
      </w:r>
      <w:r>
        <w:t xml:space="preserve">to the economic diversification and the provision of infrastructure and associated services</w:t>
      </w:r>
    </w:p>
    <w:p>
      <w:pPr>
        <w:pStyle w:val="BodyText"/>
      </w:pPr>
      <w:r>
        <w:t xml:space="preserve">can play a greater role to help rural areas to remain attractive places to live for farmers,</w:t>
      </w:r>
      <w:r>
        <w:t xml:space="preserve"> </w:t>
      </w:r>
      <w:r>
        <w:t xml:space="preserve">their families and other rural inhabitants, as well as stimulate tourism.</w:t>
      </w:r>
    </w:p>
    <w:p>
      <w:pPr>
        <w:pStyle w:val="BodyText"/>
      </w:pPr>
      <w:r>
        <w:t xml:space="preserve">Nevertheless, in order to fulfil the CAP policy objectives, to preserve the integrity of the</w:t>
      </w:r>
      <w:r>
        <w:t xml:space="preserve"> </w:t>
      </w:r>
      <w:r>
        <w:t xml:space="preserve">single market, and ensure fair competition between farmers, to ensure the stability and</w:t>
      </w:r>
      <w:r>
        <w:t xml:space="preserve"> </w:t>
      </w:r>
      <w:r>
        <w:t xml:space="preserve">predictability of support farmers need, the full integration of the CAP (Option 2b) would</w:t>
      </w:r>
      <w:r>
        <w:t xml:space="preserve"> </w:t>
      </w:r>
      <w:r>
        <w:t xml:space="preserve">require the introduction of specific rules to accommodate the delivery of instruments</w:t>
      </w:r>
      <w:r>
        <w:t xml:space="preserve"> </w:t>
      </w:r>
      <w:r>
        <w:t xml:space="preserve">directly supporting farm income (including direct payments,) on which farmers rely for</w:t>
      </w:r>
      <w:r>
        <w:t xml:space="preserve"> </w:t>
      </w:r>
      <w:r>
        <w:t xml:space="preserve">their livelihood.</w:t>
      </w:r>
    </w:p>
    <w:p>
      <w:pPr>
        <w:pStyle w:val="BodyText"/>
      </w:pPr>
      <w:r>
        <w:t xml:space="preserve">Integrating only the EAFRD into the Plans (option 2a) would mean a step backwards</w:t>
      </w:r>
      <w:r>
        <w:t xml:space="preserve"> </w:t>
      </w:r>
      <w:r>
        <w:t xml:space="preserve">from the current CAP Strategic Plans (where both Pillars of the CAP have been brought</w:t>
      </w:r>
      <w:r>
        <w:t xml:space="preserve"> </w:t>
      </w:r>
      <w:r>
        <w:t xml:space="preserve">under a single umbrella) and strategic planning approach. It would only partially help</w:t>
      </w:r>
      <w:r>
        <w:t xml:space="preserve"> </w:t>
      </w:r>
      <w:r>
        <w:t xml:space="preserve">better exploit the synergies with other EU policies such as cohesion, which are important</w:t>
      </w:r>
      <w:r>
        <w:t xml:space="preserve"> </w:t>
      </w:r>
      <w:r>
        <w:t xml:space="preserve">for the development of thriving rural areas as only a limited share of EAFRD budget is</w:t>
      </w:r>
      <w:r>
        <w:t xml:space="preserve"> </w:t>
      </w:r>
      <w:r>
        <w:t xml:space="preserve">addressing the wider needs of rural areas beyond the farming sector. From the</w:t>
      </w:r>
      <w:r>
        <w:t xml:space="preserve"> </w:t>
      </w:r>
      <w:r>
        <w:t xml:space="preserve">administrative point of view, Member States would need to work with two different</w:t>
      </w:r>
      <w:r>
        <w:t xml:space="preserve"> </w:t>
      </w:r>
      <w:r>
        <w:t xml:space="preserve">programming instruments and delivery structures, one under the plan and one under the</w:t>
      </w:r>
      <w:r>
        <w:t xml:space="preserve"> </w:t>
      </w:r>
      <w:r>
        <w:t xml:space="preserve">current EAGF. While this could come with increased administrative costs, the latter</w:t>
      </w:r>
      <w:r>
        <w:t xml:space="preserve"> </w:t>
      </w:r>
      <w:r>
        <w:t xml:space="preserve">would be mitigated considering that the plans would build on the current CAP</w:t>
      </w:r>
      <w:r>
        <w:t xml:space="preserve"> </w:t>
      </w:r>
      <w:r>
        <w:t xml:space="preserve">governance structure (which is particularly relevant for the EAFRD).</w:t>
      </w:r>
    </w:p>
    <w:p>
      <w:pPr>
        <w:pStyle w:val="BodyText"/>
      </w:pPr>
      <w:r>
        <w:t xml:space="preserve">The interventions to be financed under both Pillars would need to be carefully</w:t>
      </w:r>
      <w:r>
        <w:t xml:space="preserve"> </w:t>
      </w:r>
      <w:r>
        <w:t xml:space="preserve">designed to avoid overlaps. For example, this would concern interventions linked to</w:t>
      </w:r>
      <w:r>
        <w:t xml:space="preserve"> </w:t>
      </w:r>
      <w:r>
        <w:t xml:space="preserve">supporting young farmers (which can currently receive complementary income support</w:t>
      </w:r>
      <w:r>
        <w:t xml:space="preserve"> </w:t>
      </w:r>
      <w:r>
        <w:t xml:space="preserve">under EAGF and start-up aid under EAFRD) as well as environmental measures (where</w:t>
      </w:r>
      <w:r>
        <w:t xml:space="preserve"> </w:t>
      </w:r>
      <w:r>
        <w:t xml:space="preserve">farmers can receive complementary payments for eco-schemes in the EAGF and can also</w:t>
      </w:r>
      <w:r>
        <w:t xml:space="preserve"> </w:t>
      </w:r>
      <w:r>
        <w:t xml:space="preserve">apply for multiannual environmental projects under EAFRD). This would be crucial to</w:t>
      </w:r>
      <w:r>
        <w:t xml:space="preserve"> </w:t>
      </w:r>
      <w:r>
        <w:t xml:space="preserve">avoid that all the efforts carried out in the current programming period to increase the</w:t>
      </w:r>
      <w:r>
        <w:t xml:space="preserve"> </w:t>
      </w:r>
      <w:r>
        <w:t xml:space="preserve">complementarities among different CAP tools would be negatively affected and ensure a</w:t>
      </w:r>
      <w:r>
        <w:t xml:space="preserve"> </w:t>
      </w:r>
      <w:r>
        <w:t xml:space="preserve">more efficient use of EU funding.</w:t>
      </w:r>
    </w:p>
    <w:p>
      <w:pPr>
        <w:pStyle w:val="BodyText"/>
      </w:pPr>
      <w:r>
        <w:t xml:space="preserve">Option 3 (Modernisation Fund)</w:t>
      </w:r>
    </w:p>
    <w:p>
      <w:pPr>
        <w:pStyle w:val="BodyText"/>
      </w:pPr>
      <w:r>
        <w:t xml:space="preserve">Integrating the Modernisation Fund into the plans and, by extension, into the EU</w:t>
      </w:r>
      <w:r>
        <w:t xml:space="preserve"> </w:t>
      </w:r>
      <w:r>
        <w:t xml:space="preserve">budget financial architecture would fundamentally alter its set-up and operation,</w:t>
      </w:r>
      <w:r>
        <w:t xml:space="preserve"> </w:t>
      </w:r>
      <w:r>
        <w:t xml:space="preserve">simplifying the EU’s financial landscape. A single coordinating framework would</w:t>
      </w:r>
      <w:r>
        <w:t xml:space="preserve"> </w:t>
      </w:r>
      <w:r>
        <w:t xml:space="preserve">address the overlaps that currently exist between the Modernisation Fund and other EU</w:t>
      </w:r>
      <w:r>
        <w:t xml:space="preserve"> </w:t>
      </w:r>
      <w:r>
        <w:t xml:space="preserve">spending programmes, such as cohesion policy, ensuring a more efficient use of EU</w:t>
      </w:r>
      <w:r>
        <w:t xml:space="preserve"> </w:t>
      </w:r>
      <w:r>
        <w:t xml:space="preserve">funds, while facilitating access to funding by project promoters. Furthermore, the link</w:t>
      </w:r>
      <w:r>
        <w:t xml:space="preserve"> </w:t>
      </w:r>
      <w:r>
        <w:t xml:space="preserve">between reforms and investments would help maximise the value of every euro spent</w:t>
      </w:r>
      <w:r>
        <w:t xml:space="preserve"> </w:t>
      </w:r>
      <w:r>
        <w:t xml:space="preserve">through nationally pre-allocated envelopes (as explained earlier for Option 1).</w:t>
      </w:r>
    </w:p>
    <w:p>
      <w:pPr>
        <w:pStyle w:val="BodyText"/>
      </w:pPr>
      <w:r>
        <w:t xml:space="preserve">It would make applicable existing budgetary safeguards concerning audit and</w:t>
      </w:r>
      <w:r>
        <w:t xml:space="preserve"> </w:t>
      </w:r>
      <w:r>
        <w:t xml:space="preserve">control systems. As highlighted by the European Court of Auditors34, the Modernisation</w:t>
      </w:r>
    </w:p>
    <w:p>
      <w:pPr>
        <w:pStyle w:val="BodyText"/>
      </w:pPr>
      <w:r>
        <w:t xml:space="preserve">34 ECA Special report 05/2023: “The EU’s financial landscape: A patchwork construction requiring further</w:t>
      </w:r>
      <w:r>
        <w:t xml:space="preserve"> </w:t>
      </w:r>
      <w:r>
        <w:t xml:space="preserve">simplification and accountability”.</w:t>
      </w:r>
    </w:p>
    <w:p>
      <w:pPr>
        <w:pStyle w:val="BodyText"/>
      </w:pPr>
      <w:r>
        <w:t xml:space="preserve">Fund is currently managed completely outside the EU budget, with no oversight by the</w:t>
      </w:r>
      <w:r>
        <w:t xml:space="preserve"> </w:t>
      </w:r>
      <w:r>
        <w:t xml:space="preserve">European budgetary authority and European Court of Auditors. This poses challenges in</w:t>
      </w:r>
      <w:r>
        <w:t xml:space="preserve"> </w:t>
      </w:r>
      <w:r>
        <w:t xml:space="preserve">terms of accountability and sound financial management, especially given the significant</w:t>
      </w:r>
      <w:r>
        <w:t xml:space="preserve"> </w:t>
      </w:r>
      <w:r>
        <w:t xml:space="preserve">size of the instrument. Integrating the Modernisation Fund within the next MFF and the</w:t>
      </w:r>
      <w:r>
        <w:t xml:space="preserve"> </w:t>
      </w:r>
      <w:r>
        <w:t xml:space="preserve">future plans would ensure that supported projects are subject to the same democratic</w:t>
      </w:r>
      <w:r>
        <w:t xml:space="preserve"> </w:t>
      </w:r>
      <w:r>
        <w:t xml:space="preserve">scrutiny and financial safeguards as other nationally pre-allocated envelopes, in terms of</w:t>
      </w:r>
      <w:r>
        <w:t xml:space="preserve"> </w:t>
      </w:r>
      <w:r>
        <w:t xml:space="preserve">transparency, performance monitoring and protection against fraud, corruption and</w:t>
      </w:r>
      <w:r>
        <w:t xml:space="preserve"> </w:t>
      </w:r>
      <w:r>
        <w:t xml:space="preserve">conflicts of interests.</w:t>
      </w:r>
    </w:p>
    <w:p>
      <w:pPr>
        <w:pStyle w:val="BodyText"/>
      </w:pPr>
      <w:r>
        <w:t xml:space="preserve">Most importantly, it would also ensure the respect of the rule of law. As an off-</w:t>
      </w:r>
      <w:r>
        <w:t xml:space="preserve"> </w:t>
      </w:r>
      <w:r>
        <w:t xml:space="preserve">budget programme, the Modernisation Fund is not currently subject to any rule of law</w:t>
      </w:r>
      <w:r>
        <w:t xml:space="preserve"> </w:t>
      </w:r>
      <w:r>
        <w:t xml:space="preserve">conditionality nor the Conditionality Regulation – which is different from other ETS</w:t>
      </w:r>
      <w:r>
        <w:t xml:space="preserve"> </w:t>
      </w:r>
      <w:r>
        <w:t xml:space="preserve">instruments. This allows Member States to continue receiving funding even in case of</w:t>
      </w:r>
      <w:r>
        <w:t xml:space="preserve"> </w:t>
      </w:r>
      <w:r>
        <w:t xml:space="preserve">breaches of the principles of the rule of law. Alongside the Conditionality Regulation,</w:t>
      </w:r>
      <w:r>
        <w:t xml:space="preserve"> </w:t>
      </w:r>
      <w:r>
        <w:t xml:space="preserve">which will continue to apply as a complementary instrument, the next MFF will provide</w:t>
      </w:r>
      <w:r>
        <w:t xml:space="preserve"> </w:t>
      </w:r>
      <w:r>
        <w:t xml:space="preserve">for a streamlined and harmonised conditionality system for all EU funds allocated to</w:t>
      </w:r>
      <w:r>
        <w:t xml:space="preserve"> </w:t>
      </w:r>
      <w:r>
        <w:t xml:space="preserve">Member States. Integrating the Modernisation Fund into the future plan would, in this</w:t>
      </w:r>
      <w:r>
        <w:t xml:space="preserve"> </w:t>
      </w:r>
      <w:r>
        <w:t xml:space="preserve">respect, address existing double standards and enhance the overall coherence of EU</w:t>
      </w:r>
      <w:r>
        <w:t xml:space="preserve"> </w:t>
      </w:r>
      <w:r>
        <w:t xml:space="preserve">action. This would go in line with the rationale of the Political Guidelines, which</w:t>
      </w:r>
      <w:r>
        <w:t xml:space="preserve"> </w:t>
      </w:r>
      <w:r>
        <w:t xml:space="preserve">strongly underscore that the respect of the rule of law is a must for EU funds.</w:t>
      </w:r>
    </w:p>
    <w:p>
      <w:pPr>
        <w:pStyle w:val="BodyText"/>
      </w:pPr>
      <w:r>
        <w:t xml:space="preserve">The main risks of the Modernisation Fund’s integration into the plans could be a</w:t>
      </w:r>
      <w:r>
        <w:t xml:space="preserve"> </w:t>
      </w:r>
      <w:r>
        <w:t xml:space="preserve">loss of the targeted focus, a risk of reallocation and the adjustment costs of Member</w:t>
      </w:r>
      <w:r>
        <w:t xml:space="preserve"> </w:t>
      </w:r>
      <w:r>
        <w:t xml:space="preserve">States. It would be essential to preserve the targeted focus of the Modernisation Fund for</w:t>
      </w:r>
      <w:r>
        <w:t xml:space="preserve"> </w:t>
      </w:r>
      <w:r>
        <w:t xml:space="preserve">specific Member States. In this regard, integration into the plans could broaden the</w:t>
      </w:r>
      <w:r>
        <w:t xml:space="preserve"> </w:t>
      </w:r>
      <w:r>
        <w:t xml:space="preserve">toolbox available for the much-needed modernisation of the energy sector in lower</w:t>
      </w:r>
      <w:r>
        <w:t xml:space="preserve"> </w:t>
      </w:r>
      <w:r>
        <w:t xml:space="preserve">income Member States, as these would be able to more easily exploit synergies with</w:t>
      </w:r>
      <w:r>
        <w:t xml:space="preserve"> </w:t>
      </w:r>
      <w:r>
        <w:t xml:space="preserve">other policy areas (e.g. cohesion policy) and support the completion of investments with</w:t>
      </w:r>
      <w:r>
        <w:t xml:space="preserve"> </w:t>
      </w:r>
      <w:r>
        <w:t xml:space="preserve">reforms in the energy sector. Likewise, stability and predictability of funding for the</w:t>
      </w:r>
      <w:r>
        <w:t xml:space="preserve"> </w:t>
      </w:r>
      <w:r>
        <w:t xml:space="preserve">energy transition would need to be ensured in a context of a single national envelope.</w:t>
      </w:r>
      <w:r>
        <w:t xml:space="preserve"> </w:t>
      </w:r>
      <w:r>
        <w:t xml:space="preserve">The Commission would need to ensure that all objectives of the Modernisation Fund are</w:t>
      </w:r>
      <w:r>
        <w:t xml:space="preserve"> </w:t>
      </w:r>
      <w:r>
        <w:t xml:space="preserve">fulfilled in a comprehensive manner as part of the plans. A performance-based delivery</w:t>
      </w:r>
      <w:r>
        <w:t xml:space="preserve"> </w:t>
      </w:r>
      <w:r>
        <w:t xml:space="preserve">model, with clear milestones and targets set from the outset, would also allow to track</w:t>
      </w:r>
      <w:r>
        <w:t xml:space="preserve"> </w:t>
      </w:r>
      <w:r>
        <w:t xml:space="preserve">outcomes and ensure the auction proceeds are used effectively towards their intended</w:t>
      </w:r>
      <w:r>
        <w:t xml:space="preserve"> </w:t>
      </w:r>
      <w:r>
        <w:t xml:space="preserve">purpose. Finally, Member States would need to move away from ad hoc investment</w:t>
      </w:r>
      <w:r>
        <w:t xml:space="preserve"> </w:t>
      </w:r>
      <w:r>
        <w:t xml:space="preserve">proposals to implementing reforms and investments under the single plans. While this</w:t>
      </w:r>
      <w:r>
        <w:t xml:space="preserve"> </w:t>
      </w:r>
      <w:r>
        <w:t xml:space="preserve">could mean losing a degree of flexibility compared to the status quo and increasing</w:t>
      </w:r>
      <w:r>
        <w:t xml:space="preserve"> </w:t>
      </w:r>
      <w:r>
        <w:t xml:space="preserve">administrative complexity, this would be mitigated by a performance-based delivery</w:t>
      </w:r>
      <w:r>
        <w:t xml:space="preserve"> </w:t>
      </w:r>
      <w:r>
        <w:t xml:space="preserve">model (allowing faster disbursements than under a cost-based delivery model) as well as</w:t>
      </w:r>
      <w:r>
        <w:t xml:space="preserve"> </w:t>
      </w:r>
      <w:r>
        <w:t xml:space="preserve">swift amendment procedures of the plans.</w:t>
      </w:r>
    </w:p>
    <w:p>
      <w:pPr>
        <w:pStyle w:val="BodyText"/>
      </w:pPr>
      <w:r>
        <w:t xml:space="preserve">Impacts on administrative costs of the options on the scope</w:t>
      </w:r>
      <w:r>
        <w:t xml:space="preserve"> </w:t>
      </w:r>
      <w:r>
        <w:t xml:space="preserve">In the absence of a dedicated analysis of costs, the quantitative analysis is based on the</w:t>
      </w:r>
      <w:r>
        <w:t xml:space="preserve"> </w:t>
      </w:r>
      <w:r>
        <w:t xml:space="preserve">data of the second interim report on the assessment of the administrative costs and</w:t>
      </w:r>
      <w:r>
        <w:t xml:space="preserve"> </w:t>
      </w:r>
      <w:r>
        <w:t xml:space="preserve">administrative burden in the management of the CPR funds 2021-2027. Annex 10</w:t>
      </w:r>
      <w:r>
        <w:t xml:space="preserve"> </w:t>
      </w:r>
      <w:r>
        <w:t xml:space="preserve">provides a more detailed explanation of the approach taken.</w:t>
      </w:r>
    </w:p>
    <w:p>
      <w:pPr>
        <w:pStyle w:val="BodyText"/>
      </w:pPr>
      <w:r>
        <w:t xml:space="preserve">A reduction factor is applied to Options 1 and 2, reflecting the expected simplification</w:t>
      </w:r>
      <w:r>
        <w:t xml:space="preserve"> </w:t>
      </w:r>
      <w:r>
        <w:t xml:space="preserve">from integrating the concerned spending programmes into the plans which follow the</w:t>
      </w:r>
      <w:r>
        <w:t xml:space="preserve"> </w:t>
      </w:r>
      <w:r>
        <w:t xml:space="preserve">same rules (e.g. delivery model; management mode; financial management, etc.). The</w:t>
      </w:r>
      <w:r>
        <w:t xml:space="preserve"> </w:t>
      </w:r>
      <w:r>
        <w:t xml:space="preserve">reduction factor varies between Options:</w:t>
      </w:r>
    </w:p>
    <w:p>
      <w:pPr>
        <w:pStyle w:val="Compact"/>
        <w:numPr>
          <w:ilvl w:val="0"/>
          <w:numId w:val="1002"/>
        </w:numPr>
      </w:pPr>
      <w:r>
        <w:t xml:space="preserve">It is higher for Option 1 (50%) considering the similarities that already exist</w:t>
      </w:r>
      <w:r>
        <w:t xml:space="preserve"> </w:t>
      </w:r>
      <w:r>
        <w:t xml:space="preserve">between these funds which are covered by the CPR;</w:t>
      </w:r>
    </w:p>
    <w:p>
      <w:pPr>
        <w:pStyle w:val="Compact"/>
        <w:numPr>
          <w:ilvl w:val="0"/>
          <w:numId w:val="1002"/>
        </w:numPr>
      </w:pPr>
      <w:r>
        <w:t xml:space="preserve">Option 2a also assumes a 40% reduction factor given the similarities that already</w:t>
      </w:r>
      <w:r>
        <w:t xml:space="preserve"> </w:t>
      </w:r>
      <w:r>
        <w:t xml:space="preserve">exist between Pillar II of the CAP and cohesion policy.</w:t>
      </w:r>
    </w:p>
    <w:p>
      <w:pPr>
        <w:pStyle w:val="Compact"/>
        <w:numPr>
          <w:ilvl w:val="0"/>
          <w:numId w:val="1002"/>
        </w:numPr>
      </w:pPr>
      <w:r>
        <w:t xml:space="preserve">Option 2b assumes a 30% reduction factor, considering the need to cater for the</w:t>
      </w:r>
      <w:r>
        <w:t xml:space="preserve"> </w:t>
      </w:r>
      <w:r>
        <w:t xml:space="preserve">specificities of direct payments.</w:t>
      </w:r>
    </w:p>
    <w:p>
      <w:pPr>
        <w:pStyle w:val="FirstParagraph"/>
      </w:pPr>
      <w:r>
        <w:t xml:space="preserve">Setting a reduction factor is inherently difficult and represents a methodological</w:t>
      </w:r>
      <w:r>
        <w:t xml:space="preserve"> </w:t>
      </w:r>
      <w:r>
        <w:t xml:space="preserve">assumption. However, these factors rely on the existing data, in particular the fact that the</w:t>
      </w:r>
      <w:r>
        <w:t xml:space="preserve"> </w:t>
      </w:r>
      <w:r>
        <w:t xml:space="preserve">differences that exist per fund within the CPR have large differences between</w:t>
      </w:r>
      <w:r>
        <w:t xml:space="preserve"> </w:t>
      </w:r>
      <w:r>
        <w:t xml:space="preserve">themselves, showing the potential for simplification: EUR 37 968 per EUR million spent</w:t>
      </w:r>
      <w:r>
        <w:t xml:space="preserve"> </w:t>
      </w:r>
      <w:r>
        <w:t xml:space="preserve">for the total CPR funds vs EUR 18 625 per EUR million spent for the ESF+, the lowest</w:t>
      </w:r>
      <w:r>
        <w:t xml:space="preserve"> </w:t>
      </w:r>
      <w:r>
        <w:t xml:space="preserve">figure for a fund in the category (a reduction factor of around 50%). While the ESF+ has</w:t>
      </w:r>
      <w:r>
        <w:t xml:space="preserve"> </w:t>
      </w:r>
      <w:r>
        <w:t xml:space="preserve">a much stronger homogeneity in terms of interventions than other funds (e.g. ERDF), this</w:t>
      </w:r>
      <w:r>
        <w:t xml:space="preserve"> </w:t>
      </w:r>
      <w:r>
        <w:t xml:space="preserve">does not seem to be the driving factor behind the lower administrative costs since other</w:t>
      </w:r>
      <w:r>
        <w:t xml:space="preserve"> </w:t>
      </w:r>
      <w:r>
        <w:t xml:space="preserve">funds with a reduced scope (e.g. home funds) also report high administrative costs.</w:t>
      </w:r>
    </w:p>
    <w:p>
      <w:pPr>
        <w:pStyle w:val="BodyText"/>
      </w:pPr>
      <w:r>
        <w:t xml:space="preserve">To make sure these reduction factors are as realistic as possible, they are not based on the</w:t>
      </w:r>
      <w:r>
        <w:t xml:space="preserve"> </w:t>
      </w:r>
      <w:r>
        <w:t xml:space="preserve">figures calculated in the RRF mid-term evaluations as the methodologies were not</w:t>
      </w:r>
      <w:r>
        <w:t xml:space="preserve"> </w:t>
      </w:r>
      <w:r>
        <w:t xml:space="preserve">equivalent (CPR funds set at EUR 37,968 per EUR million spent and RRF with EUR</w:t>
      </w:r>
      <w:r>
        <w:t xml:space="preserve"> </w:t>
      </w:r>
      <w:r>
        <w:t xml:space="preserve">2,500 per EUR million spent) and because the future plans will continue to rely on a</w:t>
      </w:r>
      <w:r>
        <w:t xml:space="preserve"> </w:t>
      </w:r>
      <w:r>
        <w:t xml:space="preserve">multi-level governance structure and shared management.</w:t>
      </w:r>
    </w:p>
    <w:p>
      <w:pPr>
        <w:pStyle w:val="BodyText"/>
      </w:pPr>
      <w:r>
        <w:t xml:space="preserve">Estimates</w:t>
      </w:r>
      <w:r>
        <w:t xml:space="preserve"> </w:t>
      </w:r>
      <w:r>
        <w:t xml:space="preserve">Option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per million EUR spent</w:t>
      </w:r>
      <w:r>
        <w:t xml:space="preserve"> </w:t>
      </w:r>
      <w:r>
        <w:t xml:space="preserve">Status quo</w:t>
      </w:r>
      <w:r>
        <w:t xml:space="preserve"> </w:t>
      </w:r>
      <w:r>
        <w:t xml:space="preserve">37,968</w:t>
      </w:r>
      <w:r>
        <w:t xml:space="preserve"> </w:t>
      </w:r>
      <w:r>
        <w:t xml:space="preserve">Option 1</w:t>
      </w:r>
      <w:r>
        <w:t xml:space="preserve"> </w:t>
      </w:r>
      <w:r>
        <w:t xml:space="preserve">18,984</w:t>
      </w:r>
      <w:r>
        <w:t xml:space="preserve"> </w:t>
      </w:r>
      <w:r>
        <w:t xml:space="preserve">Option 2a</w:t>
      </w:r>
      <w:r>
        <w:t xml:space="preserve"> </w:t>
      </w:r>
      <w:r>
        <w:t xml:space="preserve">22,781</w:t>
      </w:r>
      <w:r>
        <w:t xml:space="preserve"> </w:t>
      </w:r>
      <w:r>
        <w:t xml:space="preserve">Option 2b</w:t>
      </w:r>
      <w:r>
        <w:t xml:space="preserve"> </w:t>
      </w:r>
      <w:r>
        <w:t xml:space="preserve">26,578</w:t>
      </w:r>
    </w:p>
    <w:p>
      <w:pPr>
        <w:pStyle w:val="BodyText"/>
      </w:pPr>
      <w:r>
        <w:t xml:space="preserve">From the above, it seems that both Option 1 and Option 2 would significantly reduce</w:t>
      </w:r>
      <w:r>
        <w:t xml:space="preserve"> </w:t>
      </w:r>
      <w:r>
        <w:t xml:space="preserve">administrative costs for Member States compared to the status quo. Options 1 and 2a</w:t>
      </w:r>
      <w:r>
        <w:t xml:space="preserve"> </w:t>
      </w:r>
      <w:r>
        <w:t xml:space="preserve">would bring the biggest reduction, followed by Option 2b.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SO1 – Ensuring coherence between EU priorities, national and regional actions.</w:t>
      </w:r>
    </w:p>
    <w:p>
      <w:pPr>
        <w:pStyle w:val="BodyText"/>
      </w:pPr>
      <w:r>
        <w:t xml:space="preserve">A plan per Member State would ensure more coherent, coordinated programming</w:t>
      </w:r>
      <w:r>
        <w:t xml:space="preserve"> </w:t>
      </w:r>
      <w:r>
        <w:t xml:space="preserve">of pre-allocated envelopes, reflecting the different needs at national and regional</w:t>
      </w:r>
      <w:r>
        <w:t xml:space="preserve"> </w:t>
      </w:r>
      <w:r>
        <w:t xml:space="preserve">level while ensuring support for EU priorities identified in the steering mechanism.</w:t>
      </w:r>
      <w:r>
        <w:t xml:space="preserve"> </w:t>
      </w:r>
      <w:r>
        <w:t xml:space="preserve">All options would not only reinforce policy coherence across all governance levels,</w:t>
      </w:r>
      <w:r>
        <w:t xml:space="preserve"> </w:t>
      </w:r>
      <w:r>
        <w:t xml:space="preserve">through a dual system driving the programming of the plans:</w:t>
      </w:r>
    </w:p>
    <w:p>
      <w:pPr>
        <w:pStyle w:val="BodyText"/>
      </w:pPr>
      <w:r>
        <w:t xml:space="preserve">➢ With common objectives set at EU level for all Member States and regions;</w:t>
      </w:r>
      <w:r>
        <w:t xml:space="preserve"> </w:t>
      </w:r>
      <w:r>
        <w:t xml:space="preserve">➢ A steering mechanism to address national and regional challenges, relying on the</w:t>
      </w:r>
      <w:r>
        <w:t xml:space="preserve"> </w:t>
      </w:r>
      <w:r>
        <w:t xml:space="preserve">country-specific recommendations of the European Semester as well as other</w:t>
      </w:r>
      <w:r>
        <w:t xml:space="preserve"> </w:t>
      </w:r>
      <w:r>
        <w:t xml:space="preserve">recommendations and documents relevant for the policy areas covered by the</w:t>
      </w:r>
      <w:r>
        <w:t xml:space="preserve"> </w:t>
      </w:r>
      <w:r>
        <w:t xml:space="preserve">plans – including in the field of agriculture, migration and security, etc.</w:t>
      </w:r>
    </w:p>
    <w:p>
      <w:pPr>
        <w:pStyle w:val="BodyText"/>
      </w:pPr>
      <w:r>
        <w:t xml:space="preserve">Furthermore, through the strategic link between reforms and investments, all options</w:t>
      </w:r>
      <w:r>
        <w:t xml:space="preserve"> </w:t>
      </w:r>
      <w:r>
        <w:t xml:space="preserve">would ultimately increase the EU’s competitiveness by fostering an investment climate</w:t>
      </w:r>
      <w:r>
        <w:t xml:space="preserve"> </w:t>
      </w:r>
      <w:r>
        <w:t xml:space="preserve">that supports innovation and resilience. This would also be in line with the ambition set</w:t>
      </w:r>
      <w:r>
        <w:t xml:space="preserve"> </w:t>
      </w:r>
      <w:r>
        <w:t xml:space="preserve">in the Competitiveness Compass35, which calls for action on horizontal enablers, such as</w:t>
      </w:r>
      <w:r>
        <w:t xml:space="preserve"> </w:t>
      </w:r>
      <w:r>
        <w:t xml:space="preserve">removing barriers to the single market as well as simplifying the regulatory environment</w:t>
      </w:r>
      <w:r>
        <w:t xml:space="preserve"> </w:t>
      </w:r>
      <w:r>
        <w:t xml:space="preserve">through a refocused EU budget.</w:t>
      </w:r>
      <w:r>
        <w:t xml:space="preserve"> </w:t>
      </w:r>
      <w:r>
        <w:t xml:space="preserve">Option 1 would already significantly contribute to aligning EU funding with key EU</w:t>
      </w:r>
      <w:r>
        <w:t xml:space="preserve"> </w:t>
      </w:r>
      <w:r>
        <w:t xml:space="preserve">priorities, including the promotion of economic, social and territorial cohesion, while</w:t>
      </w:r>
      <w:r>
        <w:t xml:space="preserve"> </w:t>
      </w:r>
      <w:r>
        <w:t xml:space="preserve">tailoring further EU interventions to Member States’ and regional specific needs. This</w:t>
      </w:r>
      <w:r>
        <w:t xml:space="preserve"> </w:t>
      </w:r>
      <w:r>
        <w:t xml:space="preserve">close link between the steering mechanism and the plans would ensure that the latter</w:t>
      </w:r>
      <w:r>
        <w:t xml:space="preserve"> </w:t>
      </w:r>
      <w:r>
        <w:t xml:space="preserve">support investments and reforms with a strong EU added value.</w:t>
      </w:r>
    </w:p>
    <w:p>
      <w:pPr>
        <w:pStyle w:val="BodyText"/>
      </w:pPr>
      <w:r>
        <w:t xml:space="preserve">Option 2 would reinforce policy coherence even more as bringing the CAP under the</w:t>
      </w:r>
      <w:r>
        <w:t xml:space="preserve"> </w:t>
      </w:r>
      <w:r>
        <w:t xml:space="preserve">umbrella of the plans would allow Member States to have further possibility to contribute</w:t>
      </w:r>
      <w:r>
        <w:t xml:space="preserve"> </w:t>
      </w:r>
      <w:r>
        <w:t xml:space="preserve">(via the EAFRD in Option 2a, or the whole set of CAP instruments under Option 2b) to</w:t>
      </w:r>
      <w:r>
        <w:t xml:space="preserve"> </w:t>
      </w:r>
      <w:r>
        <w:t xml:space="preserve">overarching EU priorities such as food security and natural protection, and social and</w:t>
      </w:r>
      <w:r>
        <w:t xml:space="preserve"> </w:t>
      </w:r>
      <w:r>
        <w:t xml:space="preserve">territorial cohesion. While option 2a would reduce the internal coherence of the CAP</w:t>
      </w:r>
      <w:r>
        <w:t xml:space="preserve"> </w:t>
      </w:r>
      <w:r>
        <w:t xml:space="preserve">(which would be ensured under 2b, in both cases, the CAP would continue to maintain a</w:t>
      </w:r>
      <w:r>
        <w:t xml:space="preserve"> </w:t>
      </w:r>
      <w:r>
        <w:t xml:space="preserve">strong focus on specific policy objectives that respond to the challenges of the</w:t>
      </w:r>
      <w:r>
        <w:t xml:space="preserve"> </w:t>
      </w:r>
      <w:r>
        <w:t xml:space="preserve">agricultural sector and rural areas and the orientations outlined by the Vision on</w:t>
      </w:r>
      <w:r>
        <w:t xml:space="preserve"> </w:t>
      </w:r>
      <w:r>
        <w:t xml:space="preserve">Agriculture and Food. Option 2 would also contribute to the Vision’s aim of a better</w:t>
      </w:r>
      <w:r>
        <w:t xml:space="preserve"> </w:t>
      </w:r>
      <w:r>
        <w:t xml:space="preserve">alignment between national and EU policies.</w:t>
      </w:r>
    </w:p>
    <w:p>
      <w:pPr>
        <w:pStyle w:val="BodyText"/>
      </w:pPr>
      <w:r>
        <w:t xml:space="preserve">Finally, with a scope similar to cohesion policy funding, the integration of the</w:t>
      </w:r>
      <w:r>
        <w:t xml:space="preserve"> </w:t>
      </w:r>
      <w:r>
        <w:t xml:space="preserve">Modernisation Fund (Option 3) would further contribute to enhancing the policy</w:t>
      </w:r>
      <w:r>
        <w:t xml:space="preserve"> </w:t>
      </w:r>
      <w:r>
        <w:t xml:space="preserve">coherence of the plans – with Option 3b providing more benefits than Option 3a.</w:t>
      </w:r>
    </w:p>
    <w:p>
      <w:pPr>
        <w:pStyle w:val="BodyText"/>
      </w:pPr>
      <w:r>
        <w:t xml:space="preserve">SO2 – Creating a simple and cost-effective framework delivering on EU priorities.</w:t>
      </w:r>
    </w:p>
    <w:p>
      <w:pPr>
        <w:pStyle w:val="BodyText"/>
      </w:pPr>
      <w:r>
        <w:t xml:space="preserve">All options are expected to reduce the administrative costs for Member States and</w:t>
      </w:r>
      <w:r>
        <w:t xml:space="preserve"> </w:t>
      </w:r>
      <w:r>
        <w:t xml:space="preserve">regions, albeit to different extents. Option 1 would reduce the number of programmes</w:t>
      </w:r>
      <w:r>
        <w:t xml:space="preserve"> </w:t>
      </w:r>
      <w:r>
        <w:t xml:space="preserve">from more than 400 to a plan for each Member State. The move towards single-step</w:t>
      </w:r>
      <w:r>
        <w:t xml:space="preserve"> </w:t>
      </w:r>
      <w:r>
        <w:t xml:space="preserve">programming in cohesion policy, based on a single set of rules, is also expected to reduce</w:t>
      </w:r>
      <w:r>
        <w:t xml:space="preserve"> </w:t>
      </w:r>
      <w:r>
        <w:t xml:space="preserve">delays in the start of programmes, without prejudice to a strong multi-level governance</w:t>
      </w:r>
      <w:r>
        <w:t xml:space="preserve"> </w:t>
      </w:r>
      <w:r>
        <w:t xml:space="preserve">and regional dimension of the plans. Rather, it would combine the strengths of cohesion</w:t>
      </w:r>
      <w:r>
        <w:t xml:space="preserve"> </w:t>
      </w:r>
      <w:r>
        <w:t xml:space="preserve">policy and the RRF and build on existing structures to reduce adjustment costs for</w:t>
      </w:r>
      <w:r>
        <w:t xml:space="preserve"> </w:t>
      </w:r>
      <w:r>
        <w:t xml:space="preserve">Member States. This would ensure EU funds address real needs and create a sense of</w:t>
      </w:r>
      <w:r>
        <w:t xml:space="preserve"> </w:t>
      </w:r>
      <w:r>
        <w:t xml:space="preserve">common ownership among the partners involved.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https://commission.europa.eu/document/download/10017eb1-4722-4333-add2-</w:t>
      </w:r>
      <w:r>
        <w:t xml:space="preserve"> </w:t>
      </w:r>
      <w:r>
        <w:t xml:space="preserve">e0ed18105a34_en</w:t>
      </w:r>
    </w:p>
    <w:p>
      <w:pPr>
        <w:pStyle w:val="BodyText"/>
      </w:pPr>
      <w:r>
        <w:t xml:space="preserve">Option 2a is expected to bring some further simplification compared to Option 1, when</w:t>
      </w:r>
      <w:r>
        <w:t xml:space="preserve"> </w:t>
      </w:r>
      <w:r>
        <w:t xml:space="preserve">considering the similarities that exist between the CAP and the CPR. From the</w:t>
      </w:r>
      <w:r>
        <w:t xml:space="preserve"> </w:t>
      </w:r>
      <w:r>
        <w:t xml:space="preserve">administrative point of view, however, Member States would need to work with two</w:t>
      </w:r>
      <w:r>
        <w:t xml:space="preserve"> </w:t>
      </w:r>
      <w:r>
        <w:t xml:space="preserve">different programming instruments and delivery structures for the CAP, one under the</w:t>
      </w:r>
      <w:r>
        <w:t xml:space="preserve"> </w:t>
      </w:r>
      <w:r>
        <w:t xml:space="preserve">plan and one under the current EAGF. While this could entail administrative costs for</w:t>
      </w:r>
      <w:r>
        <w:t xml:space="preserve"> </w:t>
      </w:r>
      <w:r>
        <w:t xml:space="preserve">Member States, the latter would be mitigated by the administrative cost reductions that</w:t>
      </w:r>
      <w:r>
        <w:t xml:space="preserve"> </w:t>
      </w:r>
      <w:r>
        <w:t xml:space="preserve">would be brought by the design of the plans (e.g. performance-based delivery;</w:t>
      </w:r>
      <w:r>
        <w:t xml:space="preserve"> </w:t>
      </w:r>
      <w:r>
        <w:t xml:space="preserve">governance structure building on the CAP governance). To reduce the risk of</w:t>
      </w:r>
      <w:r>
        <w:t xml:space="preserve"> </w:t>
      </w:r>
      <w:r>
        <w:t xml:space="preserve">fragmentation, interventions supported under the plans and the EAGF (which would</w:t>
      </w:r>
      <w:r>
        <w:t xml:space="preserve"> </w:t>
      </w:r>
      <w:r>
        <w:t xml:space="preserve">remain separate) would need to be carefully designed.</w:t>
      </w:r>
    </w:p>
    <w:p>
      <w:pPr>
        <w:pStyle w:val="BodyText"/>
      </w:pPr>
      <w:r>
        <w:t xml:space="preserve">While Option 2b would also bring additional simplification compared to the status quo,</w:t>
      </w:r>
      <w:r>
        <w:t xml:space="preserve"> </w:t>
      </w:r>
      <w:r>
        <w:t xml:space="preserve">administrative arrangements would require the introduction of specific rules under the</w:t>
      </w:r>
      <w:r>
        <w:t xml:space="preserve"> </w:t>
      </w:r>
      <w:r>
        <w:t xml:space="preserve">plans to preserve the integrity of the single market and fair competition between farmers.</w:t>
      </w:r>
      <w:r>
        <w:t xml:space="preserve"> </w:t>
      </w:r>
      <w:r>
        <w:t xml:space="preserve">Direct payments to farmers as well as market measures where technically applicable</w:t>
      </w:r>
      <w:r>
        <w:t xml:space="preserve"> </w:t>
      </w:r>
      <w:r>
        <w:t xml:space="preserve">would be subject to the same rules as the rest of the plan (e.g. same audit and control</w:t>
      </w:r>
      <w:r>
        <w:t xml:space="preserve"> </w:t>
      </w:r>
      <w:r>
        <w:t xml:space="preserve">rules; payment rules; delivery model). Funding intended for direct income support would</w:t>
      </w:r>
      <w:r>
        <w:t xml:space="preserve"> </w:t>
      </w:r>
      <w:r>
        <w:t xml:space="preserve">however have to follow different rules to preserve the specific nature of the CAP support,</w:t>
      </w:r>
      <w:r>
        <w:t xml:space="preserve"> </w:t>
      </w:r>
      <w:r>
        <w:t xml:space="preserve">in particular to ensure the regularity of EU disbursements and finally the stability of</w:t>
      </w:r>
      <w:r>
        <w:t xml:space="preserve"> </w:t>
      </w:r>
      <w:r>
        <w:t xml:space="preserve">support given to farmers. Under Option 2b, it is likely that some administrative</w:t>
      </w:r>
      <w:r>
        <w:t xml:space="preserve"> </w:t>
      </w:r>
      <w:r>
        <w:t xml:space="preserve">adjustments would be needed at Member State level (planning and payment authorities).</w:t>
      </w:r>
      <w:r>
        <w:t xml:space="preserve"> </w:t>
      </w:r>
      <w:r>
        <w:t xml:space="preserve">In addition, the complexity of devising a comprehensive national plan (as well as any</w:t>
      </w:r>
      <w:r>
        <w:t xml:space="preserve"> </w:t>
      </w:r>
      <w:r>
        <w:t xml:space="preserve">later amendments) covering all policy domains would require accrued efforts for national</w:t>
      </w:r>
      <w:r>
        <w:t xml:space="preserve"> </w:t>
      </w:r>
      <w:r>
        <w:t xml:space="preserve">administrations. However, this option would ensure a higher coherence of EU spending</w:t>
      </w:r>
      <w:r>
        <w:t xml:space="preserve"> </w:t>
      </w:r>
      <w:r>
        <w:t xml:space="preserve">against the CAP objectives than 2a.</w:t>
      </w:r>
    </w:p>
    <w:p>
      <w:pPr>
        <w:pStyle w:val="BodyText"/>
      </w:pPr>
      <w:r>
        <w:t xml:space="preserve">The integration of the Modernisation Fund into the plans (Option 3) is likely to bring</w:t>
      </w:r>
      <w:r>
        <w:t xml:space="preserve"> </w:t>
      </w:r>
      <w:r>
        <w:t xml:space="preserve">additional complexity and administrative costs to Member States. However, this would</w:t>
      </w:r>
      <w:r>
        <w:t xml:space="preserve"> </w:t>
      </w:r>
      <w:r>
        <w:t xml:space="preserve">need to be balanced against the gains that would stem from the increased protection of</w:t>
      </w:r>
      <w:r>
        <w:t xml:space="preserve"> </w:t>
      </w:r>
      <w:r>
        <w:t xml:space="preserve">the EU’s financial interests following the integration of the Modernisation Fund into the</w:t>
      </w:r>
      <w:r>
        <w:t xml:space="preserve"> </w:t>
      </w:r>
      <w:r>
        <w:t xml:space="preserve">plans, and the simplification of the EU’s financial landscape, in line with the Political</w:t>
      </w:r>
      <w:r>
        <w:t xml:space="preserve"> </w:t>
      </w:r>
      <w:r>
        <w:t xml:space="preserve">Guidelines.</w:t>
      </w:r>
    </w:p>
    <w:p>
      <w:pPr>
        <w:pStyle w:val="BodyText"/>
      </w:pPr>
      <w:r>
        <w:t xml:space="preserve">Finally, having a plan per Member State with a broad eligibility scope and a single set of</w:t>
      </w:r>
      <w:r>
        <w:t xml:space="preserve"> </w:t>
      </w:r>
      <w:r>
        <w:t xml:space="preserve">rules (established in one regulation) is expected to provide more clarity on funding</w:t>
      </w:r>
      <w:r>
        <w:t xml:space="preserve"> </w:t>
      </w:r>
      <w:r>
        <w:t xml:space="preserve">opportunities and in turn facilitate access to funding of EU businesses (including SMEs)</w:t>
      </w:r>
      <w:r>
        <w:t xml:space="preserve"> </w:t>
      </w:r>
      <w:r>
        <w:t xml:space="preserve">and project promoters. The benefits are expected to be higher for Option 3 (integration</w:t>
      </w:r>
      <w:r>
        <w:t xml:space="preserve"> </w:t>
      </w:r>
      <w:r>
        <w:t xml:space="preserve">of the Modernisation Fund) compared to Options 1 and 2.</w:t>
      </w:r>
    </w:p>
    <w:p>
      <w:pPr>
        <w:pStyle w:val="BodyText"/>
      </w:pPr>
      <w:r>
        <w:t xml:space="preserve">SO3 – Meeting both long-term policy goals and emerging policy priorities.</w:t>
      </w:r>
    </w:p>
    <w:p>
      <w:pPr>
        <w:pStyle w:val="BodyText"/>
      </w:pPr>
      <w:r>
        <w:t xml:space="preserve">Single national envelopes would ensure the efficient and flexible allocation of</w:t>
      </w:r>
      <w:r>
        <w:t xml:space="preserve"> </w:t>
      </w:r>
      <w:r>
        <w:t xml:space="preserve">funding across policies areas, allowing Member States to address new policy priorities</w:t>
      </w:r>
      <w:r>
        <w:t xml:space="preserve"> </w:t>
      </w:r>
      <w:r>
        <w:t xml:space="preserve">such as defence, while improving the coherence with other EU policies. They would also</w:t>
      </w:r>
      <w:r>
        <w:t xml:space="preserve"> </w:t>
      </w:r>
      <w:r>
        <w:t xml:space="preserve">make it easier to reallocate resources to respond to unforeseen challenges or shifting</w:t>
      </w:r>
      <w:r>
        <w:t xml:space="preserve"> </w:t>
      </w:r>
      <w:r>
        <w:t xml:space="preserve">policy needs without needing to re-open the legislative framework.</w:t>
      </w:r>
    </w:p>
    <w:p>
      <w:pPr>
        <w:pStyle w:val="BodyText"/>
      </w:pPr>
      <w:r>
        <w:t xml:space="preserve">Option 1 would allow Member States to more flexibly design a more comprehensive</w:t>
      </w:r>
      <w:r>
        <w:t xml:space="preserve"> </w:t>
      </w:r>
      <w:r>
        <w:t xml:space="preserve">plan, tailored to the challenges they face. For example, Member States at the EU’s</w:t>
      </w:r>
      <w:r>
        <w:t xml:space="preserve"> </w:t>
      </w:r>
      <w:r>
        <w:t xml:space="preserve">external borders could dedicate a larger share of their envelopes to address</w:t>
      </w:r>
    </w:p>
    <w:p>
      <w:pPr>
        <w:pStyle w:val="BodyText"/>
      </w:pPr>
      <w:r>
        <w:t xml:space="preserve">migratory/security challenges, without undermining the delivery of other objectives such</w:t>
      </w:r>
      <w:r>
        <w:t xml:space="preserve"> </w:t>
      </w:r>
      <w:r>
        <w:t xml:space="preserve">as cohesion policy, considering that home affairs interventions also help reducing</w:t>
      </w:r>
      <w:r>
        <w:t xml:space="preserve"> </w:t>
      </w:r>
      <w:r>
        <w:t xml:space="preserve">economic, territorial and social disparities (for e.g. between those regions under higher</w:t>
      </w:r>
      <w:r>
        <w:t xml:space="preserve"> </w:t>
      </w:r>
      <w:r>
        <w:t xml:space="preserve">pressure at the borders of the EU and others). Before approving the plans, and any</w:t>
      </w:r>
      <w:r>
        <w:t xml:space="preserve"> </w:t>
      </w:r>
      <w:r>
        <w:t xml:space="preserve">subsequent amendments, the Commission would check that Member States have</w:t>
      </w:r>
      <w:r>
        <w:t xml:space="preserve"> </w:t>
      </w:r>
      <w:r>
        <w:t xml:space="preserve">addressed all relevant objectives.</w:t>
      </w:r>
    </w:p>
    <w:p>
      <w:pPr>
        <w:pStyle w:val="BodyText"/>
      </w:pPr>
      <w:r>
        <w:t xml:space="preserve">Option 2 would add further flexibility of nationally pre-allocated envelopes albeit to a</w:t>
      </w:r>
      <w:r>
        <w:t xml:space="preserve"> </w:t>
      </w:r>
      <w:r>
        <w:t xml:space="preserve">different extent. Under Option 2a, Member States would be able to better exploit the</w:t>
      </w:r>
      <w:r>
        <w:t xml:space="preserve"> </w:t>
      </w:r>
      <w:r>
        <w:t xml:space="preserve">synergies that exist between support through some tools of the EAFRD to rural areas</w:t>
      </w:r>
      <w:r>
        <w:t xml:space="preserve"> </w:t>
      </w:r>
      <w:r>
        <w:t xml:space="preserve">beyond farming and cohesion policy to support the development and attractiveness of</w:t>
      </w:r>
      <w:r>
        <w:t xml:space="preserve"> </w:t>
      </w:r>
      <w:r>
        <w:t xml:space="preserve">rural areas, but to the detriment of synergies within the CAP (between first and second</w:t>
      </w:r>
      <w:r>
        <w:t xml:space="preserve"> </w:t>
      </w:r>
      <w:r>
        <w:t xml:space="preserve">pillar) which are also very important for the farming community. Under Option 2b,</w:t>
      </w:r>
      <w:r>
        <w:t xml:space="preserve"> </w:t>
      </w:r>
      <w:r>
        <w:t xml:space="preserve">Member States would have at hand an even wider range of tools to deliver on the CAP</w:t>
      </w:r>
      <w:r>
        <w:t xml:space="preserve"> </w:t>
      </w:r>
      <w:r>
        <w:t xml:space="preserve">objectives. At the same time, to ensure the integrity of the single market and preserve fair</w:t>
      </w:r>
      <w:r>
        <w:t xml:space="preserve"> </w:t>
      </w:r>
      <w:r>
        <w:t xml:space="preserve">competition between farmers, the integration of the CAP into the plans would need to be</w:t>
      </w:r>
      <w:r>
        <w:t xml:space="preserve"> </w:t>
      </w:r>
      <w:r>
        <w:t xml:space="preserve">accompanied by specific rules.</w:t>
      </w:r>
    </w:p>
    <w:p>
      <w:pPr>
        <w:pStyle w:val="BodyText"/>
      </w:pPr>
      <w:r>
        <w:t xml:space="preserve">Finally, the integration of the Modernisation Fund (Option 3) would further contribute to</w:t>
      </w:r>
      <w:r>
        <w:t xml:space="preserve"> </w:t>
      </w:r>
      <w:r>
        <w:t xml:space="preserve">enhancing the efficiency and flexibility of nationally pre-allocated envelopes – with</w:t>
      </w:r>
      <w:r>
        <w:t xml:space="preserve"> </w:t>
      </w:r>
      <w:r>
        <w:t xml:space="preserve">Option 3b providing more benefits than Option 3a.</w:t>
      </w:r>
    </w:p>
    <w:p>
      <w:pPr>
        <w:pStyle w:val="BodyText"/>
      </w:pPr>
      <w:r>
        <w:t xml:space="preserve">Figure 4. Summary of the effectiveness of the options on the scope – qualitative</w:t>
      </w:r>
      <w:r>
        <w:t xml:space="preserve"> </w:t>
      </w:r>
      <w:r>
        <w:t xml:space="preserve">assessment (from “+” less effective to “++++” most effective)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SO1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SO2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All three options would contribute to reducing overlaps between EU spending</w:t>
      </w:r>
      <w:r>
        <w:t xml:space="preserve"> </w:t>
      </w:r>
      <w:r>
        <w:t xml:space="preserve">programmes, hence ensuring a more coherent use of EU funding. Option 1 would</w:t>
      </w:r>
      <w:r>
        <w:t xml:space="preserve"> </w:t>
      </w:r>
      <w:r>
        <w:t xml:space="preserve">allow to ensure better policy coherence across cohesion policy funds, the SCF, HOME</w:t>
      </w:r>
      <w:r>
        <w:t xml:space="preserve"> </w:t>
      </w:r>
      <w:r>
        <w:t xml:space="preserve">funds and EMFAF. This could lead to a more impactful EU budget spending to address</w:t>
      </w:r>
      <w:r>
        <w:t xml:space="preserve"> </w:t>
      </w:r>
      <w:r>
        <w:t xml:space="preserve">important challenges, such as boosting the EU’s competitiveness. Option 2a would take</w:t>
      </w:r>
      <w:r>
        <w:t xml:space="preserve"> </w:t>
      </w:r>
      <w:r>
        <w:t xml:space="preserve">this further, by also tackling the limited overlaps that exist in the EU budget’s support to</w:t>
      </w:r>
      <w:r>
        <w:t xml:space="preserve"> </w:t>
      </w:r>
      <w:r>
        <w:t xml:space="preserve">rural areas (beyond farming) – mainly, between the EAFRD and cohesion policy funds –</w:t>
      </w:r>
      <w:r>
        <w:t xml:space="preserve"> </w:t>
      </w:r>
      <w:r>
        <w:t xml:space="preserve">and hence provide a more integrated and comprehensive support to rural areas. While</w:t>
      </w:r>
      <w:r>
        <w:t xml:space="preserve"> </w:t>
      </w:r>
      <w:r>
        <w:t xml:space="preserve">option 2a would reduce the internal coherence of the CAP while bringing some synergies</w:t>
      </w:r>
      <w:r>
        <w:t xml:space="preserve"> </w:t>
      </w:r>
      <w:r>
        <w:t xml:space="preserve">with cohesion, Option 2b would bring additional coherence to CAP spending while</w:t>
      </w:r>
      <w:r>
        <w:t xml:space="preserve"> </w:t>
      </w:r>
      <w:r>
        <w:t xml:space="preserve">ensuring more synergies with other policies. Finally, the integration of the Modernisation</w:t>
      </w:r>
      <w:r>
        <w:t xml:space="preserve"> </w:t>
      </w:r>
      <w:r>
        <w:t xml:space="preserve">Fund (Option 3) would reduce the overlaps that currently exist with cohesion policy.</w:t>
      </w:r>
    </w:p>
    <w:p>
      <w:pPr>
        <w:pStyle w:val="BodyText"/>
      </w:pPr>
      <w:r>
        <w:t xml:space="preserve">The steering mechanism would also ensure coherence between the plans and other EU</w:t>
      </w:r>
      <w:r>
        <w:t xml:space="preserve"> </w:t>
      </w:r>
      <w:r>
        <w:t xml:space="preserve">spending programmes, such as the European Competitiveness Fund, the Global Europe</w:t>
      </w:r>
      <w:r>
        <w:t xml:space="preserve"> </w:t>
      </w:r>
      <w:r>
        <w:t xml:space="preserve">Fund or a dedicated instrument for cross-border projects in the energy and transport</w:t>
      </w:r>
      <w:r>
        <w:t xml:space="preserve"> </w:t>
      </w:r>
      <w:r>
        <w:t xml:space="preserve">sector. For example, the European Competitiveness Fund could provide advisory support</w:t>
      </w:r>
      <w:r>
        <w:t xml:space="preserve"> </w:t>
      </w:r>
      <w:r>
        <w:t xml:space="preserve">for the setting up of IPCEIs, which could be financed through the national envelopes. As</w:t>
      </w:r>
      <w:r>
        <w:t xml:space="preserve"> </w:t>
      </w:r>
      <w:r>
        <w:t xml:space="preserve">for the Global Europe Fund, the plans will provide support to tackle migration, security</w:t>
      </w:r>
      <w:r>
        <w:t xml:space="preserve"> </w:t>
      </w:r>
      <w:r>
        <w:t xml:space="preserve">or cross border cooperation in conjunction with the priorities financed in neighbouring</w:t>
      </w:r>
      <w:r>
        <w:t xml:space="preserve"> </w:t>
      </w:r>
      <w:r>
        <w:t xml:space="preserve">countries. Regarding transport, Member States could use their plans to invest in national</w:t>
      </w:r>
      <w:r>
        <w:t xml:space="preserve"> </w:t>
      </w:r>
      <w:r>
        <w:t xml:space="preserve">sections of the TEN-T, complementing the cross-border links financed by a dedicated</w:t>
      </w:r>
      <w:r>
        <w:t xml:space="preserve"> </w:t>
      </w:r>
      <w:r>
        <w:t xml:space="preserve">instrument for cross-border projects.</w:t>
      </w:r>
    </w:p>
    <w:p>
      <w:pPr>
        <w:pStyle w:val="BodyText"/>
      </w:pPr>
      <w:r>
        <w:t xml:space="preserve">At the same time, having a simplified framework for nationally pre-allocated envelopes</w:t>
      </w:r>
      <w:r>
        <w:t xml:space="preserve"> </w:t>
      </w:r>
      <w:r>
        <w:t xml:space="preserve">should allow to better exploit synergies with other instruments of the EU budget,</w:t>
      </w:r>
      <w:r>
        <w:t xml:space="preserve"> </w:t>
      </w:r>
      <w:r>
        <w:t xml:space="preserve">including the European Competitiveness Fund. Both instruments would include rules</w:t>
      </w:r>
      <w:r>
        <w:t xml:space="preserve"> </w:t>
      </w:r>
      <w:r>
        <w:t xml:space="preserve">allowing to capitalise on such synergies (e.g. rules on the use of cumulative funding).</w:t>
      </w:r>
      <w:r>
        <w:t xml:space="preserve"> </w:t>
      </w:r>
      <w:r>
        <w:t xml:space="preserve">Looking beyond the EU budget, having a plan per Member State could facilitate</w:t>
      </w:r>
      <w:r>
        <w:t xml:space="preserve"> </w:t>
      </w:r>
      <w:r>
        <w:t xml:space="preserve">consistency with national or regional sources of funding, thereby maximising the value of</w:t>
      </w:r>
      <w:r>
        <w:t xml:space="preserve"> </w:t>
      </w:r>
      <w:r>
        <w:t xml:space="preserve">every euro spent in the EU budget. Finally, combining different funds under one single</w:t>
      </w:r>
      <w:r>
        <w:t xml:space="preserve"> </w:t>
      </w:r>
      <w:r>
        <w:t xml:space="preserve">envelope should increase the leveraging effect of the EU budget, helping to mobilise</w:t>
      </w:r>
      <w:r>
        <w:t xml:space="preserve"> </w:t>
      </w:r>
      <w:r>
        <w:t xml:space="preserve">private investment.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Options to support cross-border projects</w:t>
      </w:r>
      <w:r>
        <w:t xml:space="preserve"> </w:t>
      </w:r>
      <w:r>
        <w:t xml:space="preserve">Under Option 4a (cross-border projects within the plans), the closer link between</w:t>
      </w:r>
      <w:r>
        <w:t xml:space="preserve"> </w:t>
      </w:r>
      <w:r>
        <w:t xml:space="preserve">EU funding and policy priorities of the plans would enhance their cross-border</w:t>
      </w:r>
      <w:r>
        <w:t xml:space="preserve"> </w:t>
      </w:r>
      <w:r>
        <w:t xml:space="preserve">dimension. The steering mechanism would identify cross-border projects with a high EU</w:t>
      </w:r>
      <w:r>
        <w:t xml:space="preserve"> </w:t>
      </w:r>
      <w:r>
        <w:t xml:space="preserve">added-value. As a result, one can expect higher support under the plans for both cross-</w:t>
      </w:r>
      <w:r>
        <w:t xml:space="preserve"> </w:t>
      </w:r>
      <w:r>
        <w:t xml:space="preserve">border projects and for national projects of high EU relevance than is currently the case</w:t>
      </w:r>
      <w:r>
        <w:t xml:space="preserve"> </w:t>
      </w:r>
      <w:r>
        <w:t xml:space="preserve">under nationally pre-allocated envelopes for cross-border projects.</w:t>
      </w:r>
    </w:p>
    <w:p>
      <w:pPr>
        <w:pStyle w:val="BodyText"/>
      </w:pPr>
      <w:r>
        <w:t xml:space="preserve">However, the implementation of cross-border infrastructure projects through the</w:t>
      </w:r>
      <w:r>
        <w:t xml:space="preserve"> </w:t>
      </w:r>
      <w:r>
        <w:t xml:space="preserve">plans would be more complex and costly for both Member States’ authorities and</w:t>
      </w:r>
      <w:r>
        <w:t xml:space="preserve"> </w:t>
      </w:r>
      <w:r>
        <w:t xml:space="preserve">project promoters. For the Member States to align their investment agendas with those</w:t>
      </w:r>
      <w:r>
        <w:t xml:space="preserve"> </w:t>
      </w:r>
      <w:r>
        <w:t xml:space="preserve">of neighbouring countries would be a lengthy process, both during the initial plan</w:t>
      </w:r>
      <w:r>
        <w:t xml:space="preserve"> </w:t>
      </w:r>
      <w:r>
        <w:t xml:space="preserve">negotiations and in case of amendments. Germany for instance would have to coordinate</w:t>
      </w:r>
      <w:r>
        <w:t xml:space="preserve"> </w:t>
      </w:r>
      <w:r>
        <w:t xml:space="preserve">its national plan with eight neighbouring Member States; Hungary with five. In cases</w:t>
      </w:r>
      <w:r>
        <w:t xml:space="preserve"> </w:t>
      </w:r>
      <w:r>
        <w:t xml:space="preserve">where the process is delayed in one or more Member States, this may cause knock-on</w:t>
      </w:r>
      <w:r>
        <w:t xml:space="preserve"> </w:t>
      </w:r>
      <w:r>
        <w:t xml:space="preserve">delays. While the Commission could support these coordination efforts – both during the</w:t>
      </w:r>
      <w:r>
        <w:t xml:space="preserve"> </w:t>
      </w:r>
      <w:r>
        <w:t xml:space="preserve">negotiations and through the provision of technical assistance via the plans –, the burden</w:t>
      </w:r>
      <w:r>
        <w:t xml:space="preserve"> </w:t>
      </w:r>
      <w:r>
        <w:t xml:space="preserve">for Member States’ authorities and would remain significant. Similarly, this option could</w:t>
      </w:r>
      <w:r>
        <w:t xml:space="preserve"> </w:t>
      </w:r>
      <w:r>
        <w:t xml:space="preserve">also significantly increase the administrative burden for project promoters, who would</w:t>
      </w:r>
      <w:r>
        <w:t xml:space="preserve"> </w:t>
      </w:r>
      <w:r>
        <w:t xml:space="preserve">need to implement their cross-border projects under several national plans and report</w:t>
      </w:r>
      <w:r>
        <w:t xml:space="preserve"> </w:t>
      </w:r>
      <w:r>
        <w:t xml:space="preserve">within separate reporting and audit schemes (one per Member State).</w:t>
      </w:r>
      <w:r>
        <w:br/>
      </w:r>
      <w:r>
        <w:t xml:space="preserve">This being said, the plans could cater for complementary investments to cross-</w:t>
      </w:r>
      <w:r>
        <w:t xml:space="preserve"> </w:t>
      </w:r>
      <w:r>
        <w:t xml:space="preserve">border sections and to projects of high EU relevance. These could include sections of</w:t>
      </w:r>
      <w:r>
        <w:t xml:space="preserve"> </w:t>
      </w:r>
      <w:r>
        <w:t xml:space="preserve">national interest on the trans-European networks as well as certain energy projects, such</w:t>
      </w:r>
      <w:r>
        <w:t xml:space="preserve"> </w:t>
      </w:r>
      <w:r>
        <w:t xml:space="preserve">as national grid reinforcements that support cross-border interconnections. Since these</w:t>
      </w:r>
      <w:r>
        <w:t xml:space="preserve"> </w:t>
      </w:r>
      <w:r>
        <w:t xml:space="preserve">projects would be carried out within the territory of a single Member State, their</w:t>
      </w:r>
      <w:r>
        <w:t xml:space="preserve"> </w:t>
      </w:r>
      <w:r>
        <w:t xml:space="preserve">implementation would not entail the additional costs mentioned above for cross-border</w:t>
      </w:r>
      <w:r>
        <w:t xml:space="preserve"> </w:t>
      </w:r>
      <w:r>
        <w:t xml:space="preserve">projects involving more than one Member State. These envelopes could also be very</w:t>
      </w:r>
    </w:p>
    <w:p>
      <w:pPr>
        <w:pStyle w:val="BodyText"/>
      </w:pPr>
      <w:r>
        <w:t xml:space="preserve">relevant when combined with Union funding in the context of cross-border renewable</w:t>
      </w:r>
      <w:r>
        <w:t xml:space="preserve"> </w:t>
      </w:r>
      <w:r>
        <w:t xml:space="preserve">energy auctions that are centrally managed (auction-as-a-service model).</w:t>
      </w:r>
      <w:r>
        <w:t xml:space="preserve"> </w:t>
      </w:r>
      <w:r>
        <w:t xml:space="preserve">Under Option 4b (separate instrument) directly managed EU support would ensure</w:t>
      </w:r>
      <w:r>
        <w:t xml:space="preserve"> </w:t>
      </w:r>
      <w:r>
        <w:t xml:space="preserve">the predictability and stability needed by complex cross-border projects. Awarding</w:t>
      </w:r>
      <w:r>
        <w:t xml:space="preserve"> </w:t>
      </w:r>
      <w:r>
        <w:t xml:space="preserve">funding directly at EU level would allow to maintain the long-term political commitment</w:t>
      </w:r>
      <w:r>
        <w:t xml:space="preserve"> </w:t>
      </w:r>
      <w:r>
        <w:t xml:space="preserve">to strategic projects, to create sufficient certainty, predictability and stability for other</w:t>
      </w:r>
      <w:r>
        <w:t xml:space="preserve"> </w:t>
      </w:r>
      <w:r>
        <w:t xml:space="preserve">investors. Direct management would also facilitate a coordinated implementation of</w:t>
      </w:r>
      <w:r>
        <w:t xml:space="preserve"> </w:t>
      </w:r>
      <w:r>
        <w:t xml:space="preserve">military mobility projects to facilitate the seamless and rapid transport of troops and</w:t>
      </w:r>
      <w:r>
        <w:t xml:space="preserve"> </w:t>
      </w:r>
      <w:r>
        <w:t xml:space="preserve">military equipment across the EU.</w:t>
      </w:r>
    </w:p>
    <w:p>
      <w:pPr>
        <w:pStyle w:val="BodyText"/>
      </w:pPr>
      <w:r>
        <w:t xml:space="preserve">The competitive allocation of grants in a phased approach under direct</w:t>
      </w:r>
      <w:r>
        <w:t xml:space="preserve"> </w:t>
      </w:r>
      <w:r>
        <w:t xml:space="preserve">management, while ensuring predictability of funding, allows to focus on the most</w:t>
      </w:r>
      <w:r>
        <w:t xml:space="preserve"> </w:t>
      </w:r>
      <w:r>
        <w:t xml:space="preserve">mature (phases of) projects. Furthermore, in case of significant delays during</w:t>
      </w:r>
      <w:r>
        <w:t xml:space="preserve"> </w:t>
      </w:r>
      <w:r>
        <w:t xml:space="preserve">implementation or if the project costs are lower than initially anticipated (for instance</w:t>
      </w:r>
      <w:r>
        <w:t xml:space="preserve"> </w:t>
      </w:r>
      <w:r>
        <w:t xml:space="preserve">through successful public procurement procedures), it would be important to allow to</w:t>
      </w:r>
      <w:r>
        <w:t xml:space="preserve"> </w:t>
      </w:r>
      <w:r>
        <w:t xml:space="preserve">free the amounts not used by beneficiaries in order to re-allocate them to other projects.</w:t>
      </w:r>
      <w:r>
        <w:t xml:space="preserve"> </w:t>
      </w:r>
      <w:r>
        <w:t xml:space="preserve">The “use it or lose it” principle of the CEF has ensured that funds are optimised within</w:t>
      </w:r>
      <w:r>
        <w:t xml:space="preserve"> </w:t>
      </w:r>
      <w:r>
        <w:t xml:space="preserve">the programme and are reallocated to other projects offering best EU added value. For</w:t>
      </w:r>
      <w:r>
        <w:t xml:space="preserve"> </w:t>
      </w:r>
      <w:r>
        <w:t xml:space="preserve">CEF 2014-2020, the “use it or lose it” approach will allow to increase programme</w:t>
      </w:r>
      <w:r>
        <w:t xml:space="preserve"> </w:t>
      </w:r>
      <w:r>
        <w:t xml:space="preserve">absorption from about 80% to 90% based on current estimates.</w:t>
      </w:r>
      <w:r>
        <w:t xml:space="preserve"> </w:t>
      </w:r>
      <w:r>
        <w:t xml:space="preserve">Direct management of complex cross-border projects would also reduce</w:t>
      </w:r>
      <w:r>
        <w:t xml:space="preserve"> </w:t>
      </w:r>
      <w:r>
        <w:t xml:space="preserve">administrative costs for Member States’ authorities. The overall cost of direct</w:t>
      </w:r>
      <w:r>
        <w:t xml:space="preserve"> </w:t>
      </w:r>
      <w:r>
        <w:t xml:space="preserve">management is also low thanks to economies of scale under a cost-based delivery</w:t>
      </w:r>
      <w:r>
        <w:t xml:space="preserve"> </w:t>
      </w:r>
      <w:r>
        <w:t xml:space="preserve">model.36 This is confirmed by the high productivity ratio of an average of EUR 25</w:t>
      </w:r>
      <w:r>
        <w:t xml:space="preserve"> </w:t>
      </w:r>
      <w:r>
        <w:t xml:space="preserve">million per full-time equivalent annually. This covers the entire lifecycle of programme</w:t>
      </w:r>
      <w:r>
        <w:t xml:space="preserve"> </w:t>
      </w:r>
      <w:r>
        <w:t xml:space="preserve">management from the publication of the call until audit, including feedback to policy and</w:t>
      </w:r>
      <w:r>
        <w:t xml:space="preserve"> </w:t>
      </w:r>
      <w:r>
        <w:t xml:space="preserve">reporting. In terms of cost-efficiency, the direct management of cross-border projects in</w:t>
      </w:r>
      <w:r>
        <w:t xml:space="preserve"> </w:t>
      </w:r>
      <w:r>
        <w:t xml:space="preserve">transport and energy represents 0.39% of the EU funds over the 2021-2027 period</w:t>
      </w:r>
      <w:r>
        <w:t xml:space="preserve"> </w:t>
      </w:r>
      <w:r>
        <w:t xml:space="preserve">including all coordination and management costs incurred in the Commission37.</w:t>
      </w:r>
      <w:r>
        <w:br/>
      </w:r>
      <w:r>
        <w:t xml:space="preserve">This option would however require efforts to ensure consistency with the transport and</w:t>
      </w:r>
      <w:r>
        <w:t xml:space="preserve"> </w:t>
      </w:r>
      <w:r>
        <w:t xml:space="preserve">energy investments that would be included in the plans. To avoid overlaps and</w:t>
      </w:r>
      <w:r>
        <w:t xml:space="preserve"> </w:t>
      </w:r>
      <w:r>
        <w:t xml:space="preserve">complexity, it would be important to define a clear scope – both for this separate</w:t>
      </w:r>
      <w:r>
        <w:t xml:space="preserve"> </w:t>
      </w:r>
      <w:r>
        <w:t xml:space="preserve">instrument and other EU spending programmes (in particular, the plans and the European</w:t>
      </w:r>
      <w:r>
        <w:t xml:space="preserve"> </w:t>
      </w:r>
      <w:r>
        <w:t xml:space="preserve">Competitiveness Fund). The option would also severe the link with reforms that would</w:t>
      </w:r>
      <w:r>
        <w:t xml:space="preserve"> </w:t>
      </w:r>
      <w:r>
        <w:t xml:space="preserve">nonetheless be important for the completion of cross-border infrastructure investments</w:t>
      </w:r>
      <w:r>
        <w:t xml:space="preserve"> </w:t>
      </w:r>
      <w:r>
        <w:t xml:space="preserve">(e.g. public procurement).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This initiative will be monitored through the performance framework for the post-2027</w:t>
      </w:r>
      <w:r>
        <w:t xml:space="preserve"> </w:t>
      </w:r>
      <w:r>
        <w:t xml:space="preserve">budget, which is examined in a separate impact assessment. The performance framework</w:t>
      </w:r>
    </w:p>
    <w:p>
      <w:pPr>
        <w:pStyle w:val="BodyText"/>
      </w:pPr>
      <w:r>
        <w:t xml:space="preserve">36 For the CEF I programme (2014-2020), see also the Mid-term evaluation of the Connecting Europe</w:t>
      </w:r>
      <w:r>
        <w:t xml:space="preserve"> </w:t>
      </w:r>
      <w:r>
        <w:t xml:space="preserve">Facility (CEF) - SWD(2018) 44 final/2.</w:t>
      </w:r>
      <w:r>
        <w:t xml:space="preserve"> </w:t>
      </w:r>
      <w:r>
        <w:t xml:space="preserve">37 Source: Commission Staff Working Document: Cost-benefit analysis for the delegation of the</w:t>
      </w:r>
      <w:r>
        <w:t xml:space="preserve"> </w:t>
      </w:r>
      <w:r>
        <w:t xml:space="preserve">management of the 2021-2027 EU programmes to executive agencies, SWD(2021)20 final of 12.02.2021</w:t>
      </w:r>
    </w:p>
    <w:p>
      <w:pPr>
        <w:pStyle w:val="BodyText"/>
      </w:pPr>
      <w:r>
        <w:t xml:space="preserve">provides for an implementation report during the implementation phase of the</w:t>
      </w:r>
      <w:r>
        <w:t xml:space="preserve"> </w:t>
      </w:r>
      <w:r>
        <w:t xml:space="preserve">programme, as well as a retrospective evaluation to be carried out in accordance with</w:t>
      </w:r>
      <w:r>
        <w:t xml:space="preserve"> </w:t>
      </w:r>
      <w:r>
        <w:t xml:space="preserve">Article 34(3) of Regulation (EU, Euratom) 2024/2509. The evaluation shall be conducted</w:t>
      </w:r>
      <w:r>
        <w:t xml:space="preserve"> </w:t>
      </w:r>
      <w:r>
        <w:t xml:space="preserve">in accordance with the Commission’s Better Regulation Guidelines and will be based on</w:t>
      </w:r>
      <w:r>
        <w:t xml:space="preserve"> </w:t>
      </w:r>
      <w:r>
        <w:t xml:space="preserve">indicators relevant to the objectives of the programme.</w:t>
      </w:r>
      <w:r>
        <w:t xml:space="preserve"> </w:t>
      </w:r>
      <w:r>
        <w:t xml:space="preserve">The Performance Regulation will provide ca. 900 performance output and result</w:t>
      </w:r>
      <w:r>
        <w:t xml:space="preserve"> </w:t>
      </w:r>
      <w:r>
        <w:t xml:space="preserve">indicators that will enable to monitor the performance of the budget. The list of</w:t>
      </w:r>
      <w:r>
        <w:t xml:space="preserve"> </w:t>
      </w:r>
      <w:r>
        <w:t xml:space="preserve">performance indicators will be structured around a number of policy areas – such as</w:t>
      </w:r>
      <w:r>
        <w:t xml:space="preserve"> </w:t>
      </w:r>
      <w:r>
        <w:t xml:space="preserve">energy, housing and infrastructure, environment and climate, agriculture, fisheries – and</w:t>
      </w:r>
      <w:r>
        <w:t xml:space="preserve"> </w:t>
      </w:r>
      <w:r>
        <w:t xml:space="preserve">related intervention fields expected to be funded by the EU budget, including the national</w:t>
      </w:r>
      <w:r>
        <w:t xml:space="preserve"> </w:t>
      </w:r>
      <w:r>
        <w:t xml:space="preserve">and regional partnership plans. This list of indicators will enable to monitor the</w:t>
      </w:r>
      <w:r>
        <w:t xml:space="preserve"> </w:t>
      </w:r>
      <w:r>
        <w:t xml:space="preserve">performance of the Fund against outputs and results vis-à-vis the specific objectives set</w:t>
      </w:r>
      <w:r>
        <w:t xml:space="preserve"> </w:t>
      </w:r>
      <w:r>
        <w:t xml:space="preserve">in the national and regional partnership plans regulation. The list of performance</w:t>
      </w:r>
      <w:r>
        <w:t xml:space="preserve"> </w:t>
      </w:r>
      <w:r>
        <w:t xml:space="preserve">indicators will be structured around a number of policy areas and related intervention</w:t>
      </w:r>
      <w:r>
        <w:t xml:space="preserve"> </w:t>
      </w:r>
      <w:r>
        <w:t xml:space="preserve">fields expected to be funded by the EU budget, including the national and regional</w:t>
      </w:r>
      <w:r>
        <w:t xml:space="preserve"> </w:t>
      </w:r>
      <w:r>
        <w:t xml:space="preserve">partnership plans.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DGs are DG REGIO, DG EMPL, DG AGRI, DG MARE, DG HOME, DG</w:t>
      </w:r>
      <w:r>
        <w:t xml:space="preserve"> </w:t>
      </w:r>
      <w:r>
        <w:t xml:space="preserve">MOVE.</w:t>
      </w:r>
      <w:r>
        <w:t xml:space="preserve"> </w:t>
      </w:r>
      <w:r>
        <w:t xml:space="preserve">There is no DECIDE reference number. The proposals for the post-2027 Multiannual</w:t>
      </w:r>
      <w:r>
        <w:t xml:space="preserve"> </w:t>
      </w:r>
      <w:r>
        <w:t xml:space="preserve">Financial Framework are listed as Item 44 in Annex I of the Commission Work</w:t>
      </w:r>
      <w:r>
        <w:t xml:space="preserve"> </w:t>
      </w:r>
      <w:r>
        <w:t xml:space="preserve">Programme 2025, under the headline “Delivering together and preparing our Union for</w:t>
      </w:r>
      <w:r>
        <w:t xml:space="preserve"> </w:t>
      </w:r>
      <w:r>
        <w:t xml:space="preserve">the future”.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Given the time constraints, no call for evidence was published for this initiative.</w:t>
      </w:r>
      <w:r>
        <w:t xml:space="preserve"> </w:t>
      </w:r>
      <w:r>
        <w:t xml:space="preserve">This impact assessment was coordinated by an Inter-Service Steering Group (ISSG),</w:t>
      </w:r>
      <w:r>
        <w:t xml:space="preserve"> </w:t>
      </w:r>
      <w:r>
        <w:t xml:space="preserve">involving the following Commission services: Secretariat-General (SG); Legal Service</w:t>
      </w:r>
      <w:r>
        <w:t xml:space="preserve"> </w:t>
      </w:r>
      <w:r>
        <w:t xml:space="preserve">(SJ); Directorate-General for Agriculture and Rural Development (AGRI); Directorate-</w:t>
      </w:r>
      <w:r>
        <w:t xml:space="preserve"> </w:t>
      </w:r>
      <w:r>
        <w:t xml:space="preserve">General for Budget (BUDG); Directorate-General for Climate Action (CLIMA);</w:t>
      </w:r>
      <w:r>
        <w:t xml:space="preserve"> </w:t>
      </w:r>
      <w:r>
        <w:t xml:space="preserve">Directorate-General for Competition (COMP); Directorate-General for Communications</w:t>
      </w:r>
      <w:r>
        <w:t xml:space="preserve"> </w:t>
      </w:r>
      <w:r>
        <w:t xml:space="preserve">Networks, Content and Technology (CNECT); Directorate-General for Education,</w:t>
      </w:r>
      <w:r>
        <w:t xml:space="preserve"> </w:t>
      </w:r>
      <w:r>
        <w:t xml:space="preserve">Youth, Sport and Culture (EAC); Directorate-General for Economic and Financial</w:t>
      </w:r>
      <w:r>
        <w:t xml:space="preserve"> </w:t>
      </w:r>
      <w:r>
        <w:t xml:space="preserve">Affairs (ECFIN); Directorate-General for Employment, Social Affairs and Inclusion</w:t>
      </w:r>
      <w:r>
        <w:t xml:space="preserve"> </w:t>
      </w:r>
      <w:r>
        <w:t xml:space="preserve">(EMPL); Directorate-General for Energy (ENER); Directorate-General for Environment</w:t>
      </w:r>
      <w:r>
        <w:t xml:space="preserve"> </w:t>
      </w:r>
      <w:r>
        <w:t xml:space="preserve">(ENV); Eurostat (ESTAT); Directorate-General for Migration and Home Affairs</w:t>
      </w:r>
      <w:r>
        <w:t xml:space="preserve"> </w:t>
      </w:r>
      <w:r>
        <w:t xml:space="preserve">(HOME); Directorate-General for International Partnerships (INTPA); Joint Research</w:t>
      </w:r>
      <w:r>
        <w:t xml:space="preserve"> </w:t>
      </w:r>
      <w:r>
        <w:t xml:space="preserve">Centre (JRC); Directorate-General for Justice and Consumers (JUST); Directorate-</w:t>
      </w:r>
      <w:r>
        <w:t xml:space="preserve"> </w:t>
      </w:r>
      <w:r>
        <w:t xml:space="preserve">General for Maritime Affairs and Fisheries (MARE); Directorate-General for Mobility</w:t>
      </w:r>
      <w:r>
        <w:t xml:space="preserve"> </w:t>
      </w:r>
      <w:r>
        <w:t xml:space="preserve">and Transport (MOVE); Directorate-General for Regional and Urban Policy (REGIO);</w:t>
      </w:r>
      <w:r>
        <w:t xml:space="preserve"> </w:t>
      </w:r>
      <w:r>
        <w:t xml:space="preserve">Directorate-General for Health and Food Safety (SANTE), Reform and Investment Task</w:t>
      </w:r>
      <w:r>
        <w:t xml:space="preserve"> </w:t>
      </w:r>
      <w:r>
        <w:t xml:space="preserve">Force (SG REFORM).</w:t>
      </w:r>
      <w:r>
        <w:t xml:space="preserve"> </w:t>
      </w:r>
      <w:r>
        <w:t xml:space="preserve">The Inter-Service Steering Group met four times in 2025: on 23 January, 7 February, 21</w:t>
      </w:r>
      <w:r>
        <w:t xml:space="preserve"> </w:t>
      </w:r>
      <w:r>
        <w:t xml:space="preserve">March, 23 April. It was consulted throughout the different steps of the impact assessment</w:t>
      </w:r>
      <w:r>
        <w:t xml:space="preserve"> </w:t>
      </w:r>
      <w:r>
        <w:t xml:space="preserve">process; notably on the questionnaire for the open public consultation and the draft 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report was submitted to the RSB on 7 July 2025. The RSB opinion was</w:t>
      </w:r>
      <w:r>
        <w:t xml:space="preserve"> </w:t>
      </w:r>
      <w:r>
        <w:t xml:space="preserve">received on 10 July 2025, where the Board decided, exceptionally, to issue an Opinion</w:t>
      </w:r>
      <w:r>
        <w:t xml:space="preserve"> </w:t>
      </w:r>
      <w:r>
        <w:t xml:space="preserve">without qualification.</w:t>
      </w:r>
      <w:r>
        <w:t xml:space="preserve"> </w:t>
      </w:r>
      <w:r>
        <w:t xml:space="preserve">The recommendations of the Board were taken into account as outlined in this table.</w:t>
      </w:r>
      <w:r>
        <w:t xml:space="preserve"> </w:t>
      </w:r>
      <w:r>
        <w:t xml:space="preserve">Key issue and recommendation</w:t>
      </w:r>
      <w:r>
        <w:t xml:space="preserve"> </w:t>
      </w:r>
      <w:r>
        <w:t xml:space="preserve">Changes to the impact assessment report</w:t>
      </w:r>
      <w:r>
        <w:t xml:space="preserve"> </w:t>
      </w:r>
      <w:r>
        <w:t xml:space="preserve">On scope: The report should</w:t>
      </w:r>
      <w:r>
        <w:t xml:space="preserve"> </w:t>
      </w:r>
      <w:r>
        <w:t xml:space="preserve">better cover policy substance in</w:t>
      </w:r>
      <w:r>
        <w:t xml:space="preserve"> </w:t>
      </w:r>
      <w:r>
        <w:t xml:space="preserve">the context, problem definition</w:t>
      </w:r>
      <w:r>
        <w:t xml:space="preserve"> </w:t>
      </w:r>
      <w:r>
        <w:t xml:space="preserve">The policy context of the impact assessment was</w:t>
      </w:r>
      <w:r>
        <w:t xml:space="preserve"> </w:t>
      </w:r>
      <w:r>
        <w:t xml:space="preserve">clarified in the introduction, in particular to</w:t>
      </w:r>
      <w:r>
        <w:t xml:space="preserve"> </w:t>
      </w:r>
      <w:r>
        <w:t xml:space="preserve">demonstrate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multiannual</w:t>
      </w:r>
      <w:r>
        <w:t xml:space="preserve"> </w:t>
      </w:r>
      <w:r>
        <w:t xml:space="preserve">financial</w:t>
      </w:r>
    </w:p>
    <w:p>
      <w:pPr>
        <w:pStyle w:val="BodyText"/>
      </w:pPr>
      <w:r>
        <w:t xml:space="preserve">and objectives, beyond covering</w:t>
      </w:r>
      <w:r>
        <w:t xml:space="preserve"> </w:t>
      </w:r>
      <w:r>
        <w:t xml:space="preserve">the financial architecture.</w:t>
      </w:r>
      <w:r>
        <w:t xml:space="preserve"> </w:t>
      </w:r>
      <w:r>
        <w:t xml:space="preserve">framework is an opportunity to facilitate the delivery</w:t>
      </w:r>
      <w:r>
        <w:t xml:space="preserve"> </w:t>
      </w:r>
      <w:r>
        <w:t xml:space="preserve">of the policy objectives of the EU and its Member</w:t>
      </w:r>
      <w:r>
        <w:t xml:space="preserve"> </w:t>
      </w:r>
      <w:r>
        <w:t xml:space="preserve">States, by ensuring a closer alignment with the</w:t>
      </w:r>
      <w:r>
        <w:t xml:space="preserve"> </w:t>
      </w:r>
      <w:r>
        <w:t xml:space="preserve">financial architecture of the EU budget.</w:t>
      </w:r>
      <w:r>
        <w:t xml:space="preserve"> </w:t>
      </w:r>
      <w:r>
        <w:t xml:space="preserve">The scope of the impact assessment was clarified in</w:t>
      </w:r>
      <w:r>
        <w:t xml:space="preserve"> </w:t>
      </w:r>
      <w:r>
        <w:t xml:space="preserve">the introduction, including regarding the 3 HOME</w:t>
      </w:r>
      <w:r>
        <w:t xml:space="preserve"> </w:t>
      </w:r>
      <w:r>
        <w:t xml:space="preserve">funds, CEF and LIFE programmes.</w:t>
      </w:r>
      <w:r>
        <w:t xml:space="preserve"> </w:t>
      </w:r>
      <w:r>
        <w:t xml:space="preserve">The summary of options was revised to reflect</w:t>
      </w:r>
      <w:r>
        <w:t xml:space="preserve"> </w:t>
      </w:r>
      <w:r>
        <w:t xml:space="preserve">adequately the role of cross-border projects in the</w:t>
      </w:r>
      <w:r>
        <w:t xml:space="preserve"> </w:t>
      </w:r>
      <w:r>
        <w:t xml:space="preserve">intervention logic.</w:t>
      </w:r>
      <w:r>
        <w:t xml:space="preserve"> </w:t>
      </w:r>
      <w:r>
        <w:t xml:space="preserve">On problems and on the use of</w:t>
      </w:r>
      <w:r>
        <w:t xml:space="preserve"> </w:t>
      </w:r>
      <w:r>
        <w:t xml:space="preserve">evaluations: The identification of</w:t>
      </w:r>
      <w:r>
        <w:t xml:space="preserve"> </w:t>
      </w:r>
      <w:r>
        <w:t xml:space="preserve">problem drivers and problems are</w:t>
      </w:r>
      <w:r>
        <w:t xml:space="preserve"> </w:t>
      </w:r>
      <w:r>
        <w:t xml:space="preserve">not sufficiently supported by</w:t>
      </w:r>
      <w:r>
        <w:t xml:space="preserve"> </w:t>
      </w:r>
      <w:r>
        <w:t xml:space="preserve">evidence.</w:t>
      </w:r>
      <w:r>
        <w:t xml:space="preserve"> </w:t>
      </w:r>
      <w:r>
        <w:t xml:space="preserve">More developed analysis was included in the</w:t>
      </w:r>
      <w:r>
        <w:t xml:space="preserve"> </w:t>
      </w:r>
      <w:r>
        <w:t xml:space="preserve">problem definition, notably on the link between</w:t>
      </w:r>
      <w:r>
        <w:t xml:space="preserve"> </w:t>
      </w:r>
      <w:r>
        <w:t xml:space="preserve">reforms and investments (Problem 4), the limited</w:t>
      </w:r>
      <w:r>
        <w:t xml:space="preserve"> </w:t>
      </w:r>
      <w:r>
        <w:t xml:space="preserve">uptake of financial instruments (Problem 1), the low</w:t>
      </w:r>
      <w:r>
        <w:t xml:space="preserve"> </w:t>
      </w:r>
      <w:r>
        <w:t xml:space="preserve">uptake of cross-border problems (Problem Driver 7)</w:t>
      </w:r>
      <w:r>
        <w:t xml:space="preserve"> </w:t>
      </w:r>
      <w:r>
        <w:t xml:space="preserve">and the need for quality data at regional/local level</w:t>
      </w:r>
      <w:r>
        <w:t xml:space="preserve"> </w:t>
      </w:r>
      <w:r>
        <w:t xml:space="preserve">to ensure meaningful involvement at the subnational</w:t>
      </w:r>
      <w:r>
        <w:t xml:space="preserve"> </w:t>
      </w:r>
      <w:r>
        <w:t xml:space="preserve">level (Problem Driver 4).</w:t>
      </w:r>
    </w:p>
    <w:p>
      <w:pPr>
        <w:pStyle w:val="BodyText"/>
      </w:pPr>
      <w:r>
        <w:t xml:space="preserve">On the intervention logic and</w:t>
      </w:r>
      <w:r>
        <w:t xml:space="preserve"> </w:t>
      </w:r>
      <w:r>
        <w:t xml:space="preserve">objectives: The report should</w:t>
      </w:r>
      <w:r>
        <w:t xml:space="preserve"> </w:t>
      </w:r>
      <w:r>
        <w:t xml:space="preserve">establish a clear link between the</w:t>
      </w:r>
      <w:r>
        <w:t xml:space="preserve"> </w:t>
      </w:r>
      <w:r>
        <w:t xml:space="preserve">specific objectives, the problems</w:t>
      </w:r>
      <w:r>
        <w:t xml:space="preserve"> </w:t>
      </w:r>
      <w:r>
        <w:t xml:space="preserve">and the problem drivers [and their</w:t>
      </w:r>
      <w:r>
        <w:t xml:space="preserve"> </w:t>
      </w:r>
      <w:r>
        <w:t xml:space="preserve">relation to the Performance and</w:t>
      </w:r>
      <w:r>
        <w:t xml:space="preserve"> </w:t>
      </w:r>
      <w:r>
        <w:t xml:space="preserve">Monitoring Framework.</w:t>
      </w:r>
      <w:r>
        <w:t xml:space="preserve"> </w:t>
      </w:r>
      <w:r>
        <w:t xml:space="preserve">The report clarified the link between the problems,</w:t>
      </w:r>
      <w:r>
        <w:t xml:space="preserve"> </w:t>
      </w:r>
      <w:r>
        <w:t xml:space="preserve">problem drivers and objectives (Section 4.2).</w:t>
      </w:r>
      <w:r>
        <w:t xml:space="preserve"> </w:t>
      </w:r>
      <w:r>
        <w:t xml:space="preserve">The link with the Performance Regulation was</w:t>
      </w:r>
      <w:r>
        <w:t xml:space="preserve"> </w:t>
      </w:r>
      <w:r>
        <w:t xml:space="preserve">clarified.</w:t>
      </w:r>
    </w:p>
    <w:p>
      <w:pPr>
        <w:pStyle w:val="BodyText"/>
      </w:pPr>
      <w:r>
        <w:t xml:space="preserve">On options: The report does not</w:t>
      </w:r>
      <w:r>
        <w:t xml:space="preserve"> </w:t>
      </w:r>
      <w:r>
        <w:t xml:space="preserve">adequately identify the full range</w:t>
      </w:r>
      <w:r>
        <w:t xml:space="preserve"> </w:t>
      </w:r>
      <w:r>
        <w:t xml:space="preserve">of options to address all the</w:t>
      </w:r>
      <w:r>
        <w:t xml:space="preserve"> </w:t>
      </w:r>
      <w:r>
        <w:t xml:space="preserve">problem drivers.</w:t>
      </w:r>
      <w:r>
        <w:t xml:space="preserve"> </w:t>
      </w:r>
      <w:r>
        <w:t xml:space="preserve">The presentation of choices was more closely linked</w:t>
      </w:r>
      <w:r>
        <w:t xml:space="preserve"> </w:t>
      </w:r>
      <w:r>
        <w:t xml:space="preserve">to the policy challenges facing the various policies</w:t>
      </w:r>
      <w:r>
        <w:t xml:space="preserve"> </w:t>
      </w:r>
      <w:r>
        <w:t xml:space="preserve">and sectors.</w:t>
      </w:r>
      <w:r>
        <w:t xml:space="preserve"> </w:t>
      </w:r>
      <w:r>
        <w:t xml:space="preserve">A description of the main elements of the common</w:t>
      </w:r>
      <w:r>
        <w:t xml:space="preserve"> </w:t>
      </w:r>
      <w:r>
        <w:t xml:space="preserve">set of rules for the Plans was included.</w:t>
      </w:r>
      <w:r>
        <w:t xml:space="preserve"> </w:t>
      </w:r>
      <w:r>
        <w:t xml:space="preserve">On the options on the scope, the report clarified that</w:t>
      </w:r>
      <w:r>
        <w:t xml:space="preserve"> </w:t>
      </w:r>
      <w:r>
        <w:t xml:space="preserve">it does not aim to discuss whether existing (sub-</w:t>
      </w:r>
      <w:r>
        <w:t xml:space="preserve"> </w:t>
      </w:r>
      <w:r>
        <w:t xml:space="preserve">streams) of programmes are intended to be re-</w:t>
      </w:r>
      <w:r>
        <w:t xml:space="preserve"> </w:t>
      </w:r>
      <w:r>
        <w:t xml:space="preserve">oriented or discontinued but rather to assess whether</w:t>
      </w:r>
      <w:r>
        <w:t xml:space="preserve"> </w:t>
      </w:r>
      <w:r>
        <w:t xml:space="preserve">they could fit within the scope of the plans from a</w:t>
      </w:r>
      <w:r>
        <w:t xml:space="preserve"> </w:t>
      </w:r>
      <w:r>
        <w:t xml:space="preserve">policy perspective. Additional clarifications were</w:t>
      </w:r>
      <w:r>
        <w:t xml:space="preserve"> </w:t>
      </w:r>
      <w:r>
        <w:t xml:space="preserve">introduced regarding the digital strand of CEF,</w:t>
      </w:r>
      <w:r>
        <w:t xml:space="preserve"> </w:t>
      </w:r>
      <w:r>
        <w:t xml:space="preserve">which is covered in the impact assessment for the</w:t>
      </w:r>
      <w:r>
        <w:t xml:space="preserve"> </w:t>
      </w:r>
      <w:r>
        <w:t xml:space="preserve">European Competitiveness Fund.</w:t>
      </w:r>
      <w:r>
        <w:t xml:space="preserve"> </w:t>
      </w:r>
      <w:r>
        <w:t xml:space="preserve">On the comparison of options and</w:t>
      </w:r>
      <w:r>
        <w:t xml:space="preserve"> </w:t>
      </w:r>
      <w:r>
        <w:t xml:space="preserve">cost-benefit analysis: The report</w:t>
      </w:r>
      <w:r>
        <w:t xml:space="preserve"> </w:t>
      </w:r>
      <w:r>
        <w:t xml:space="preserve">does not adequately assess the</w:t>
      </w:r>
      <w:r>
        <w:t xml:space="preserve"> </w:t>
      </w:r>
      <w:r>
        <w:t xml:space="preserve">The analysis was revised in line with the Board’s</w:t>
      </w:r>
      <w:r>
        <w:t xml:space="preserve"> </w:t>
      </w:r>
      <w:r>
        <w:t xml:space="preserve">recommendations.</w:t>
      </w:r>
    </w:p>
    <w:p>
      <w:pPr>
        <w:pStyle w:val="BodyText"/>
      </w:pPr>
      <w:r>
        <w:t xml:space="preserve">costs and benefits of the options.</w:t>
      </w:r>
      <w:r>
        <w:t xml:space="preserve"> </w:t>
      </w:r>
      <w:r>
        <w:t xml:space="preserve">Efficiency is not sufficiently</w:t>
      </w:r>
      <w:r>
        <w:t xml:space="preserve"> </w:t>
      </w:r>
      <w:r>
        <w:t xml:space="preserve">considered in the comparison of</w:t>
      </w:r>
      <w:r>
        <w:t xml:space="preserve"> </w:t>
      </w:r>
      <w:r>
        <w:t xml:space="preserve">the options.</w:t>
      </w:r>
      <w:r>
        <w:t xml:space="preserve"> </w:t>
      </w:r>
      <w:r>
        <w:t xml:space="preserve">In particular, regarding the impacts of the options on</w:t>
      </w:r>
      <w:r>
        <w:t xml:space="preserve"> </w:t>
      </w:r>
      <w:r>
        <w:t xml:space="preserve">the delivery model, the report further elaborated on</w:t>
      </w:r>
      <w:r>
        <w:t xml:space="preserve"> </w:t>
      </w:r>
      <w:r>
        <w:t xml:space="preserve">the analysis of shared management, in particular</w:t>
      </w:r>
      <w:r>
        <w:t xml:space="preserve"> </w:t>
      </w:r>
      <w:r>
        <w:t xml:space="preserve">with regards to securing meaningful involvement of</w:t>
      </w:r>
      <w:r>
        <w:t xml:space="preserve"> </w:t>
      </w:r>
      <w:r>
        <w:t xml:space="preserve">regional and local authorities and reducing burden.</w:t>
      </w:r>
      <w:r>
        <w:t xml:space="preserve"> </w:t>
      </w:r>
      <w:r>
        <w:t xml:space="preserve">The report also acknowledged the limits in relying</w:t>
      </w:r>
      <w:r>
        <w:t xml:space="preserve"> </w:t>
      </w:r>
      <w:r>
        <w:t xml:space="preserve">on result indicators considering the timeframe of the</w:t>
      </w:r>
      <w:r>
        <w:t xml:space="preserve"> </w:t>
      </w:r>
      <w:r>
        <w:t xml:space="preserve">plans and explained how these limitations could be</w:t>
      </w:r>
      <w:r>
        <w:t xml:space="preserve"> </w:t>
      </w:r>
      <w:r>
        <w:t xml:space="preserve">mitigated.</w:t>
      </w:r>
      <w:r>
        <w:t xml:space="preserve"> </w:t>
      </w:r>
      <w:r>
        <w:t xml:space="preserve">The report elaborated on the links between internal</w:t>
      </w:r>
      <w:r>
        <w:t xml:space="preserve"> </w:t>
      </w:r>
      <w:r>
        <w:t xml:space="preserve">coherence and applying the same delivery model and</w:t>
      </w:r>
      <w:r>
        <w:t xml:space="preserve"> </w:t>
      </w:r>
      <w:r>
        <w:t xml:space="preserve">management mode to the plans.</w:t>
      </w:r>
      <w:r>
        <w:t xml:space="preserve"> </w:t>
      </w:r>
      <w:r>
        <w:t xml:space="preserve">On coherence: The report does</w:t>
      </w:r>
      <w:r>
        <w:t xml:space="preserve"> </w:t>
      </w:r>
      <w:r>
        <w:t xml:space="preserve">not sufficiently specify how the</w:t>
      </w:r>
      <w:r>
        <w:t xml:space="preserve"> </w:t>
      </w:r>
      <w:r>
        <w:t xml:space="preserve">funds</w:t>
      </w:r>
      <w:r>
        <w:t xml:space="preserve"> </w:t>
      </w:r>
      <w:r>
        <w:t xml:space="preserve">with</w:t>
      </w:r>
      <w:r>
        <w:t xml:space="preserve"> </w:t>
      </w:r>
      <w:r>
        <w:t xml:space="preserve">nationally</w:t>
      </w:r>
      <w:r>
        <w:t xml:space="preserve"> </w:t>
      </w:r>
      <w:r>
        <w:t xml:space="preserve">pre-</w:t>
      </w:r>
      <w:r>
        <w:t xml:space="preserve"> </w:t>
      </w:r>
      <w:r>
        <w:t xml:space="preserve">allocated envelopes link with</w:t>
      </w:r>
      <w:r>
        <w:t xml:space="preserve"> </w:t>
      </w:r>
      <w:r>
        <w:t xml:space="preserve">other parts of the post-2027 MFF,</w:t>
      </w:r>
      <w:r>
        <w:t xml:space="preserve"> </w:t>
      </w:r>
      <w:r>
        <w:t xml:space="preserve">like the Competitiveness Fund,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External</w:t>
      </w:r>
      <w:r>
        <w:t xml:space="preserve"> </w:t>
      </w:r>
      <w:r>
        <w:t xml:space="preserve">Action.</w:t>
      </w:r>
      <w:r>
        <w:t xml:space="preserve"> </w:t>
      </w:r>
      <w:r>
        <w:t xml:space="preserve">The report further specified how the funds with</w:t>
      </w:r>
      <w:r>
        <w:t xml:space="preserve"> </w:t>
      </w:r>
      <w:r>
        <w:t xml:space="preserve">nationally pre-allocated envelopes link with other</w:t>
      </w:r>
      <w:r>
        <w:t xml:space="preserve"> </w:t>
      </w:r>
      <w:r>
        <w:t xml:space="preserve">funding instruments of the post-2027 MFF – notably</w:t>
      </w:r>
      <w:r>
        <w:t xml:space="preserve"> </w:t>
      </w:r>
      <w:r>
        <w:t xml:space="preserve">the European Competitiveness Fund, the Connecting</w:t>
      </w:r>
      <w:r>
        <w:t xml:space="preserve"> </w:t>
      </w:r>
      <w:r>
        <w:t xml:space="preserve">Europe Facility and the Global Europe Fund.</w:t>
      </w:r>
      <w:r>
        <w:t xml:space="preserve"> </w:t>
      </w:r>
      <w:r>
        <w:t xml:space="preserve">On governance: The report 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governance mechanisms.</w:t>
      </w:r>
      <w:r>
        <w:t xml:space="preserve"> </w:t>
      </w:r>
      <w:r>
        <w:t xml:space="preserve">The report explained how alignment between the EU</w:t>
      </w:r>
      <w:r>
        <w:t xml:space="preserve"> </w:t>
      </w:r>
      <w:r>
        <w:t xml:space="preserve">priorities and Member States’ individual priorities</w:t>
      </w:r>
      <w:r>
        <w:t xml:space="preserve"> </w:t>
      </w:r>
      <w:r>
        <w:t xml:space="preserve">would be achieved through the dual system driving</w:t>
      </w:r>
      <w:r>
        <w:t xml:space="preserve"> </w:t>
      </w:r>
      <w:r>
        <w:t xml:space="preserve">the programming of the plans.</w:t>
      </w:r>
      <w:r>
        <w:t xml:space="preserve"> </w:t>
      </w:r>
      <w:r>
        <w:t xml:space="preserve">The report clarified that the governance and set-up</w:t>
      </w:r>
      <w:r>
        <w:t xml:space="preserve"> </w:t>
      </w:r>
      <w:r>
        <w:t xml:space="preserve">of the steering mechanism is not within the remit of</w:t>
      </w:r>
      <w:r>
        <w:t xml:space="preserve"> </w:t>
      </w:r>
      <w:r>
        <w:t xml:space="preserve">this impact assessment.</w:t>
      </w:r>
      <w:r>
        <w:t xml:space="preserve"> </w:t>
      </w:r>
      <w:r>
        <w:t xml:space="preserve">On</w:t>
      </w:r>
      <w:r>
        <w:t xml:space="preserve"> </w:t>
      </w:r>
      <w:r>
        <w:t xml:space="preserve">future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evaluation: The report is not clear</w:t>
      </w:r>
      <w:r>
        <w:t xml:space="preserve"> </w:t>
      </w:r>
      <w:r>
        <w:t xml:space="preserve">what monitoring and evaluation</w:t>
      </w:r>
      <w:r>
        <w:t xml:space="preserve"> </w:t>
      </w:r>
      <w:r>
        <w:t xml:space="preserve">arrangements will be put in place</w:t>
      </w:r>
      <w:r>
        <w:t xml:space="preserve"> </w:t>
      </w:r>
      <w:r>
        <w:t xml:space="preserve">to measure the achievement of the</w:t>
      </w:r>
      <w:r>
        <w:t xml:space="preserve"> </w:t>
      </w:r>
      <w:r>
        <w:t xml:space="preserve">objectives.</w:t>
      </w:r>
      <w:r>
        <w:t xml:space="preserve"> </w:t>
      </w:r>
      <w:r>
        <w:t xml:space="preserve">The report clarified the monitoring and evaluation</w:t>
      </w:r>
      <w:r>
        <w:t xml:space="preserve"> </w:t>
      </w:r>
      <w:r>
        <w:t xml:space="preserve">arrangements of this initiative, in line with the</w:t>
      </w:r>
      <w:r>
        <w:t xml:space="preserve"> </w:t>
      </w:r>
      <w:r>
        <w:t xml:space="preserve">Performance Regulation.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sources. This includes:</w:t>
      </w:r>
      <w:r>
        <w:t xml:space="preserve"> </w:t>
      </w:r>
      <w:r>
        <w:t xml:space="preserve">• 9th report on economic, social and territorial cohesion;</w:t>
      </w:r>
      <w:r>
        <w:br/>
      </w:r>
      <w:r>
        <w:t xml:space="preserve">• The mid-term evaluation of the Recovery and Resilience Facility;</w:t>
      </w:r>
      <w:r>
        <w:t xml:space="preserve"> </w:t>
      </w:r>
      <w:r>
        <w:t xml:space="preserve">• Report of the Strategic Dialogue on the future of EU agriculture;</w:t>
      </w:r>
      <w:r>
        <w:t xml:space="preserve"> </w:t>
      </w:r>
      <w:r>
        <w:t xml:space="preserve">• Spending review for the 2021-2027 multiannual financial framework;</w:t>
      </w:r>
      <w:r>
        <w:t xml:space="preserve"> </w:t>
      </w:r>
      <w:r>
        <w:t xml:space="preserve">• Ex post evaluation of the 2014-2020 cohesion policy;</w:t>
      </w:r>
      <w:r>
        <w:t xml:space="preserve"> </w:t>
      </w:r>
      <w:r>
        <w:t xml:space="preserve">• ESF+ mid-term evaluation [ongoing];</w:t>
      </w:r>
    </w:p>
    <w:p>
      <w:pPr>
        <w:pStyle w:val="FirstParagraph"/>
      </w:pPr>
      <w:r>
        <w:t xml:space="preserve">• Mid-term evaluation of the ERDF, CF, JTF [ongoing];</w:t>
      </w:r>
      <w:r>
        <w:t xml:space="preserve"> </w:t>
      </w:r>
      <w:r>
        <w:t xml:space="preserve">• Study on the assessment of the administrative costs and administrative burden in</w:t>
      </w:r>
      <w:r>
        <w:t xml:space="preserve"> </w:t>
      </w:r>
      <w:r>
        <w:t xml:space="preserve">the management of the CPR funds 2021-2027 [ongoing];</w:t>
      </w:r>
      <w:r>
        <w:t xml:space="preserve"> </w:t>
      </w:r>
      <w:r>
        <w:t xml:space="preserve">• Study on the new delivery model of the CAP [ongoing];</w:t>
      </w:r>
      <w:r>
        <w:t xml:space="preserve"> </w:t>
      </w:r>
      <w:r>
        <w:t xml:space="preserve">• Study on simplification and administrative burden for farmers and other</w:t>
      </w:r>
      <w:r>
        <w:t xml:space="preserve"> </w:t>
      </w:r>
      <w:r>
        <w:t xml:space="preserve">beneficiaries under the CAP, published on 14 May</w:t>
      </w:r>
      <w:r>
        <w:t xml:space="preserve"> </w:t>
      </w:r>
      <w:r>
        <w:t xml:space="preserve">• Mario Draghi’s report on the future of EU competitiveness;</w:t>
      </w:r>
      <w:r>
        <w:t xml:space="preserve"> </w:t>
      </w:r>
      <w:r>
        <w:t xml:space="preserve">• Enrico Letta’s report on the future of the Single Market;</w:t>
      </w:r>
      <w:r>
        <w:t xml:space="preserve"> </w:t>
      </w:r>
      <w:r>
        <w:t xml:space="preserve">• Niinistö Report on Strengthening Europe’s Civilian and Military Preparedness</w:t>
      </w:r>
      <w:r>
        <w:t xml:space="preserve"> </w:t>
      </w:r>
      <w:r>
        <w:t xml:space="preserve">and Readiness</w:t>
      </w:r>
      <w:r>
        <w:t xml:space="preserve"> </w:t>
      </w:r>
      <w:r>
        <w:t xml:space="preserve">• Commission Communication on a Competitive Compass for the EU;</w:t>
      </w:r>
      <w:r>
        <w:t xml:space="preserve"> </w:t>
      </w:r>
      <w:r>
        <w:t xml:space="preserve">• The open public consultation, carried out between 12 February 2025 and 6 May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Overview of the stakeholder consultation activities </w:t>
      </w:r>
      <w:r>
        <w:br/>
      </w:r>
      <w:r>
        <w:t xml:space="preserve">The Commission undertook different activities to engage stakeholders and gather their</w:t>
      </w:r>
      <w:r>
        <w:t xml:space="preserve"> </w:t>
      </w:r>
      <w:r>
        <w:t xml:space="preserve">views to inform this impact assessment. The following activities have taken place or are</w:t>
      </w:r>
      <w:r>
        <w:t xml:space="preserve"> </w:t>
      </w:r>
      <w:r>
        <w:t xml:space="preserve">planned, including workshops and ongoing studies: </w:t>
      </w:r>
      <w:r>
        <w:br/>
      </w:r>
      <w:r>
        <w:t xml:space="preserve">•</w:t>
      </w:r>
      <w:r>
        <w:t xml:space="preserve"> </w:t>
      </w:r>
      <w:r>
        <w:t xml:space="preserve">Public consultation – running from 12 February to 7 May 2025 (midnight</w:t>
      </w:r>
      <w:r>
        <w:t xml:space="preserve"> </w:t>
      </w:r>
      <w:r>
        <w:t xml:space="preserve">Central European Time).</w:t>
      </w:r>
      <w:r>
        <w:br/>
      </w:r>
      <w:r>
        <w:t xml:space="preserve">•</w:t>
      </w:r>
      <w:r>
        <w:t xml:space="preserve"> </w:t>
      </w:r>
      <w:r>
        <w:t xml:space="preserve">Citizens’ panel on the next European budget: From March to May 2025, the</w:t>
      </w:r>
      <w:r>
        <w:t xml:space="preserve"> </w:t>
      </w:r>
      <w:r>
        <w:t xml:space="preserve">Commission organised a Citizens’ Panel on a New European Budget as a way for</w:t>
      </w:r>
      <w:r>
        <w:t xml:space="preserve"> </w:t>
      </w:r>
      <w:r>
        <w:t xml:space="preserve">citizens to engage with EU institutions and have their say on the EU</w:t>
      </w:r>
      <w:r>
        <w:t xml:space="preserve"> </w:t>
      </w:r>
      <w:r>
        <w:t xml:space="preserve">policymaking process. The event included three sessions gathering 150 randomly</w:t>
      </w:r>
      <w:r>
        <w:t xml:space="preserve"> </w:t>
      </w:r>
      <w:r>
        <w:t xml:space="preserve">selected citizens to help the EU decide how to spend its money in the future,</w:t>
      </w:r>
      <w:r>
        <w:t xml:space="preserve"> </w:t>
      </w:r>
      <w:r>
        <w:t xml:space="preserve">including an in-person session from 28-30 March, a second online session (April</w:t>
      </w:r>
      <w:r>
        <w:t xml:space="preserve"> </w:t>
      </w:r>
      <w:r>
        <w:t xml:space="preserve">25-27), and a third and final session in Brussels (May 16-18), where 2 volunteers</w:t>
      </w:r>
      <w:r>
        <w:t xml:space="preserve"> </w:t>
      </w:r>
      <w:r>
        <w:t xml:space="preserve">officially handed over their recommendations to the Commissioner for Budget,</w:t>
      </w:r>
      <w:r>
        <w:t xml:space="preserve"> </w:t>
      </w:r>
      <w:r>
        <w:t xml:space="preserve">Anti-Fraud and Public Administration. The participants, coming from all 27 EU</w:t>
      </w:r>
      <w:r>
        <w:t xml:space="preserve"> </w:t>
      </w:r>
      <w:r>
        <w:t xml:space="preserve">countries and representing the EU’s diversity, reflected on where the EU Budget</w:t>
      </w:r>
      <w:r>
        <w:t xml:space="preserve"> </w:t>
      </w:r>
      <w:r>
        <w:t xml:space="preserve">could bring the most added-value to Europeans. In parallel, the Citizens’</w:t>
      </w:r>
      <w:r>
        <w:t xml:space="preserve"> </w:t>
      </w:r>
      <w:r>
        <w:t xml:space="preserve">Engagement Platform, an online discussion forum, enabled additional</w:t>
      </w:r>
      <w:r>
        <w:t xml:space="preserve"> </w:t>
      </w:r>
      <w:r>
        <w:t xml:space="preserve">contributions from the general public.  </w:t>
      </w:r>
      <w:r>
        <w:br/>
      </w:r>
      <w:r>
        <w:t xml:space="preserve">•</w:t>
      </w:r>
      <w:r>
        <w:t xml:space="preserve"> </w:t>
      </w:r>
      <w:r>
        <w:t xml:space="preserve">Annual Budget Conference: The event on 20 and 21 May 2025 brought together</w:t>
      </w:r>
      <w:r>
        <w:t xml:space="preserve"> </w:t>
      </w:r>
      <w:r>
        <w:t xml:space="preserve">high-level speakers – European and global policymakers, researchers,</w:t>
      </w:r>
      <w:r>
        <w:t xml:space="preserve"> </w:t>
      </w:r>
      <w:r>
        <w:t xml:space="preserve">representatives of think tanks, civil society and businesses leaders – to debate a</w:t>
      </w:r>
      <w:r>
        <w:t xml:space="preserve"> </w:t>
      </w:r>
      <w:r>
        <w:t xml:space="preserve">broad range of topical questions on the next long-term budget.   </w:t>
      </w:r>
      <w:r>
        <w:br/>
      </w:r>
      <w:r>
        <w:t xml:space="preserve">•</w:t>
      </w:r>
      <w:r>
        <w:t xml:space="preserve"> </w:t>
      </w:r>
      <w:r>
        <w:t xml:space="preserve">Tour d’Europe: During the first half of 2025, Commissioner for Budget, Anti-</w:t>
      </w:r>
      <w:r>
        <w:t xml:space="preserve"> </w:t>
      </w:r>
      <w:r>
        <w:t xml:space="preserve">Fraud and Public Administration, Piotr Serafin, travelled across the EU to consult</w:t>
      </w:r>
      <w:r>
        <w:t xml:space="preserve"> </w:t>
      </w:r>
      <w:r>
        <w:t xml:space="preserve">decision-makers, regions, citizens, businesses and other relevant stakeholders on</w:t>
      </w:r>
      <w:r>
        <w:t xml:space="preserve"> </w:t>
      </w:r>
      <w:r>
        <w:t xml:space="preserve">the EU budget. These trips featured visits of many EU-funded projects in diverse</w:t>
      </w:r>
      <w:r>
        <w:t xml:space="preserve"> </w:t>
      </w:r>
      <w:r>
        <w:t xml:space="preserve">fields – from education to research, defence to agriculture and more.</w:t>
      </w:r>
      <w:r>
        <w:br/>
      </w:r>
      <w:r>
        <w:t xml:space="preserve">•</w:t>
      </w:r>
      <w:r>
        <w:t xml:space="preserve"> </w:t>
      </w:r>
      <w:r>
        <w:t xml:space="preserve">In January 2023, the Commission established the Group of high-level specialists</w:t>
      </w:r>
      <w:r>
        <w:t xml:space="preserve"> </w:t>
      </w:r>
      <w:r>
        <w:t xml:space="preserve">on the Future of Cohesion Policy, whose work significantly contributed to the</w:t>
      </w:r>
      <w:r>
        <w:t xml:space="preserve"> </w:t>
      </w:r>
      <w:r>
        <w:t xml:space="preserve">reflections on the future of cohesion policy, and which handed recommendations</w:t>
      </w:r>
      <w:r>
        <w:t xml:space="preserve"> </w:t>
      </w:r>
      <w:r>
        <w:t xml:space="preserve">to inform the policy’s future direction.</w:t>
      </w:r>
      <w:r>
        <w:br/>
      </w:r>
      <w:r>
        <w:t xml:space="preserve">•</w:t>
      </w:r>
      <w:r>
        <w:t xml:space="preserve"> </w:t>
      </w:r>
      <w:r>
        <w:t xml:space="preserve">Position papers: Stakeholders have been sharing their position papers with the</w:t>
      </w:r>
      <w:r>
        <w:t xml:space="preserve"> </w:t>
      </w:r>
      <w:r>
        <w:t xml:space="preserve">Commission throughout the last years, which the Commission used to inform the</w:t>
      </w:r>
      <w:r>
        <w:t xml:space="preserve"> </w:t>
      </w:r>
      <w:r>
        <w:t xml:space="preserve">policy-making of the future of cohesion policy.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In June 2024, the Commission launched a preparatory study on the future EU</w:t>
      </w:r>
      <w:r>
        <w:t xml:space="preserve"> </w:t>
      </w:r>
      <w:r>
        <w:t xml:space="preserve">funding in the areas of employment, skills and social inclusion, entailing</w:t>
      </w:r>
      <w:r>
        <w:t xml:space="preserve"> </w:t>
      </w:r>
      <w:r>
        <w:t xml:space="preserve">extensive targeted stakeholder consultations and a survey.</w:t>
      </w:r>
      <w:r>
        <w:br/>
      </w:r>
      <w:r>
        <w:t xml:space="preserve">•</w:t>
      </w:r>
      <w:r>
        <w:t xml:space="preserve"> </w:t>
      </w:r>
      <w:r>
        <w:t xml:space="preserve">The Commission also conducted several consultation activities to gather</w:t>
      </w:r>
      <w:r>
        <w:t xml:space="preserve"> </w:t>
      </w:r>
      <w:r>
        <w:t xml:space="preserve">stakeholder views on the CAP post 2027.</w:t>
      </w:r>
      <w:r>
        <w:br/>
      </w:r>
      <w:r>
        <w:t xml:space="preserve">2. Summary of the open public consultation</w:t>
      </w:r>
      <w:r>
        <w:br/>
      </w:r>
      <w:r>
        <w:t xml:space="preserve">The public consultation’s questionnaire was based on both closed and open questions,</w:t>
      </w:r>
      <w:r>
        <w:t xml:space="preserve"> </w:t>
      </w:r>
      <w:r>
        <w:t xml:space="preserve">addressing policy challenges, obstacles to budget implementation, the effectiveness of</w:t>
      </w:r>
      <w:r>
        <w:t xml:space="preserve"> </w:t>
      </w:r>
      <w:r>
        <w:t xml:space="preserve">current EU policies across various funding areas, and potential measures to improve the</w:t>
      </w:r>
      <w:r>
        <w:t xml:space="preserve"> </w:t>
      </w:r>
      <w:r>
        <w:t xml:space="preserve">efficiency and effectiveness of the EU budget. The questionnaire also included targeted</w:t>
      </w:r>
      <w:r>
        <w:t xml:space="preserve"> </w:t>
      </w:r>
      <w:r>
        <w:t xml:space="preserve">questions on the continued support of all regions and communities, effective stakeholder</w:t>
      </w:r>
      <w:r>
        <w:t xml:space="preserve"> </w:t>
      </w:r>
      <w:r>
        <w:t xml:space="preserve">involvement and administrative and institutional capacity. Finally, stakeholders had the</w:t>
      </w:r>
      <w:r>
        <w:t xml:space="preserve"> </w:t>
      </w:r>
      <w:r>
        <w:t xml:space="preserve">opportunity to submit additional documents. An external contractor (EY Advisory</w:t>
      </w:r>
      <w:r>
        <w:t xml:space="preserve"> </w:t>
      </w:r>
      <w:r>
        <w:t xml:space="preserve">S.p.A.) helped process and analyse the stakeholder replies to this public consultation. For</w:t>
      </w:r>
      <w:r>
        <w:t xml:space="preserve"> </w:t>
      </w:r>
      <w:r>
        <w:t xml:space="preserve">the analysis, both quantitative and qualitative methods were used to ensure a</w:t>
      </w:r>
      <w:r>
        <w:t xml:space="preserve"> </w:t>
      </w:r>
      <w:r>
        <w:t xml:space="preserve">comprehensive and systematic interpretation of the survey responses. </w:t>
      </w:r>
      <w:r>
        <w:br/>
      </w:r>
      <w:r>
        <w:t xml:space="preserve">The Public Consultation received 2501 replies (1) and 613 position papers. The highest</w:t>
      </w:r>
      <w:r>
        <w:t xml:space="preserve"> </w:t>
      </w:r>
      <w:r>
        <w:t xml:space="preserve">number of replies (17% of replies) comes from Romania followed by Germany (16%),</w:t>
      </w:r>
      <w:r>
        <w:t xml:space="preserve"> </w:t>
      </w:r>
      <w:r>
        <w:t xml:space="preserve">Belgium (8.3%), Poland (7.9%), France (7.6%) and Italy (6.7%). Member States with the</w:t>
      </w:r>
      <w:r>
        <w:t xml:space="preserve"> </w:t>
      </w:r>
      <w:r>
        <w:t xml:space="preserve">lowest number of replies are Cyprus, Malta and Ireland. Among the respondents, around </w:t>
      </w:r>
      <w:r>
        <w:t xml:space="preserve"> </w:t>
      </w:r>
      <w:r>
        <w:t xml:space="preserve">34.5% are public authorities, of which local authorities account for around 35%. EU</w:t>
      </w:r>
      <w:r>
        <w:t xml:space="preserve"> </w:t>
      </w:r>
      <w:r>
        <w:t xml:space="preserve">citizens make up 26.2%. NGOs (12.3%), academic/research institutions (6.8%),</w:t>
      </w:r>
      <w:r>
        <w:t xml:space="preserve"> </w:t>
      </w:r>
      <w:r>
        <w:t xml:space="preserve">companies/businesses (5.3%) and business associations (4.6%) are also represented.</w:t>
      </w:r>
      <w:r>
        <w:t xml:space="preserve"> </w:t>
      </w:r>
      <w:r>
        <w:t xml:space="preserve">Replies from non-EU citizens, trade unions, and environmental organisations are less</w:t>
      </w:r>
      <w:r>
        <w:t xml:space="preserve"> </w:t>
      </w:r>
      <w:r>
        <w:t xml:space="preserve">numerous, with a rate of less than 1% of the replies each. Most replying organisations,</w:t>
      </w:r>
      <w:r>
        <w:t xml:space="preserve"> </w:t>
      </w:r>
      <w:r>
        <w:t xml:space="preserve">close to half of the sample (47%), have more than 250 employees. Additionally, 38.3%</w:t>
      </w:r>
      <w:r>
        <w:t xml:space="preserve"> </w:t>
      </w:r>
      <w:r>
        <w:t xml:space="preserve">are medium or small sized, with between 50 and 250 employees. Finally, around 15%</w:t>
      </w:r>
      <w:r>
        <w:t xml:space="preserve"> </w:t>
      </w:r>
      <w:r>
        <w:t xml:space="preserve">have fewer than 10 employees. Overrepresentation of specific countries was considered</w:t>
      </w:r>
      <w:r>
        <w:t xml:space="preserve"> </w:t>
      </w:r>
      <w:r>
        <w:t xml:space="preserve">when interpreting findings; the analysis ensured that diverse perspectives from less-</w:t>
      </w:r>
      <w:r>
        <w:t xml:space="preserve"> </w:t>
      </w:r>
      <w:r>
        <w:t xml:space="preserve">represented stakeholder types and countries were given equal analytical weight and</w:t>
      </w:r>
      <w:r>
        <w:t xml:space="preserve"> </w:t>
      </w:r>
      <w:r>
        <w:t xml:space="preserve">proportionately reflected in the conclusions. </w:t>
      </w:r>
      <w:r>
        <w:br/>
      </w:r>
      <w:r>
        <w:t xml:space="preserve">Main conclusions</w:t>
      </w:r>
      <w:r>
        <w:br/>
      </w:r>
      <w:r>
        <w:t xml:space="preserve">There is broad agreement across stakeholders on the need for simplification,</w:t>
      </w:r>
      <w:r>
        <w:t xml:space="preserve"> </w:t>
      </w:r>
      <w:r>
        <w:t xml:space="preserve">greater flexibility, and support for all regions based on their specific needs.</w:t>
      </w:r>
      <w:r>
        <w:t xml:space="preserve"> </w:t>
      </w:r>
      <w:r>
        <w:t xml:space="preserve">However, interpretations of these themes may vary depending on the stakeholder type. </w:t>
      </w:r>
      <w:r>
        <w:br/>
      </w:r>
      <w:r>
        <w:t xml:space="preserve">Simplification and flexibility are the most frequently cited enablers of a more</w:t>
      </w:r>
      <w:r>
        <w:t xml:space="preserve"> </w:t>
      </w:r>
      <w:r>
        <w:t xml:space="preserve">effective and efficient EU budget. Across virtually all questions, stakeholders called for</w:t>
      </w:r>
      <w:r>
        <w:t xml:space="preserve"> </w:t>
      </w:r>
      <w:r>
        <w:t xml:space="preserve">fewer, clearer and simpler rules (supported “to a large extent” by 75.7% of respondents),</w:t>
      </w:r>
      <w:r>
        <w:t xml:space="preserve"> </w:t>
      </w:r>
      <w:r>
        <w:t xml:space="preserve">and for greater flexibility to tailor funding instruments to local needs and to react to</w:t>
      </w:r>
      <w:r>
        <w:t xml:space="preserve"> </w:t>
      </w:r>
      <w:r>
        <w:t xml:space="preserve">crises and emerging needs (supported “to a large extent” by 44.4% of respondents). This</w:t>
      </w:r>
    </w:p>
    <w:p>
      <w:pPr>
        <w:pStyle w:val="BodyText"/>
      </w:pPr>
      <w:r>
        <w:t xml:space="preserve">is particularly emphasised by public authorities, trade unions and businesses, with similar</w:t>
      </w:r>
      <w:r>
        <w:t xml:space="preserve"> </w:t>
      </w:r>
      <w:r>
        <w:t xml:space="preserve">support among citizens, and public authorities’ respondents too (35 and 38%</w:t>
      </w:r>
      <w:r>
        <w:t xml:space="preserve"> </w:t>
      </w:r>
      <w:r>
        <w:t xml:space="preserve">respectively). Nonetheless, calls for simplified access to funding and streamlining</w:t>
      </w:r>
      <w:r>
        <w:t xml:space="preserve"> </w:t>
      </w:r>
      <w:r>
        <w:t xml:space="preserve">programme management were voiced across all types of stakeholders. Smaller</w:t>
      </w:r>
      <w:r>
        <w:t xml:space="preserve"> </w:t>
      </w:r>
      <w:r>
        <w:t xml:space="preserve">municipalities, SMEs, NGOs, and grassroots actors were identified as particularly</w:t>
      </w:r>
      <w:r>
        <w:t xml:space="preserve"> </w:t>
      </w:r>
      <w:r>
        <w:t xml:space="preserve">affected by the complexity of EU funds. Suggestions linked to this theme included the</w:t>
      </w:r>
      <w:r>
        <w:t xml:space="preserve"> </w:t>
      </w:r>
      <w:r>
        <w:t xml:space="preserve">following: </w:t>
      </w:r>
      <w:r>
        <w:br/>
      </w:r>
      <w:r>
        <w:t xml:space="preserve">For simplification: </w:t>
      </w:r>
      <w:r>
        <w:br/>
      </w:r>
      <w:r>
        <w:t xml:space="preserve">•</w:t>
      </w:r>
      <w:r>
        <w:t xml:space="preserve"> </w:t>
      </w:r>
      <w:r>
        <w:t xml:space="preserve">Introducing fewer, clearer and more harmonised rules across instruments, </w:t>
      </w:r>
      <w:r>
        <w:br/>
      </w:r>
      <w:r>
        <w:t xml:space="preserve">•</w:t>
      </w:r>
      <w:r>
        <w:t xml:space="preserve"> </w:t>
      </w:r>
      <w:r>
        <w:t xml:space="preserve">Expanding the use of simplified cost options and reducing verification layers,</w:t>
      </w:r>
      <w:r>
        <w:t xml:space="preserve"> </w:t>
      </w:r>
      <w:r>
        <w:t xml:space="preserve">and  </w:t>
      </w:r>
      <w:r>
        <w:br/>
      </w:r>
      <w:r>
        <w:t xml:space="preserve">•</w:t>
      </w:r>
      <w:r>
        <w:t xml:space="preserve"> </w:t>
      </w:r>
      <w:r>
        <w:t xml:space="preserve">Deploying digital tools for application, reporting and monitoring processes,</w:t>
      </w:r>
      <w:r>
        <w:t xml:space="preserve"> </w:t>
      </w:r>
      <w:r>
        <w:t xml:space="preserve">including for example one-stop shops and a unified digital portal for applicants. </w:t>
      </w:r>
      <w:r>
        <w:br/>
      </w:r>
      <w:r>
        <w:t xml:space="preserve">For flexibility: </w:t>
      </w:r>
      <w:r>
        <w:br/>
      </w:r>
      <w:r>
        <w:t xml:space="preserve">•</w:t>
      </w:r>
      <w:r>
        <w:t xml:space="preserve"> </w:t>
      </w:r>
      <w:r>
        <w:t xml:space="preserve">Increasing the ability to reallocate funds across objectives and programmes, </w:t>
      </w:r>
      <w:r>
        <w:br/>
      </w:r>
      <w:r>
        <w:t xml:space="preserve">•</w:t>
      </w:r>
      <w:r>
        <w:t xml:space="preserve"> </w:t>
      </w:r>
      <w:r>
        <w:t xml:space="preserve">Embedding adaptive programming mechanisms to respond to crises or transitions,</w:t>
      </w:r>
      <w:r>
        <w:t xml:space="preserve"> </w:t>
      </w:r>
      <w:r>
        <w:t xml:space="preserve">and  </w:t>
      </w:r>
      <w:r>
        <w:br/>
      </w:r>
      <w:r>
        <w:t xml:space="preserve">•</w:t>
      </w:r>
      <w:r>
        <w:t xml:space="preserve"> </w:t>
      </w:r>
      <w:r>
        <w:t xml:space="preserve">Providing longer planning horizons with stable, predictable rules. </w:t>
      </w:r>
      <w:r>
        <w:br/>
      </w:r>
      <w:r>
        <w:t xml:space="preserve">The need for enhancing administrative capacity is a recurrent observation. Limited</w:t>
      </w:r>
      <w:r>
        <w:t xml:space="preserve"> </w:t>
      </w:r>
      <w:r>
        <w:t xml:space="preserve">capacity at all levels is viewed as a key obstacle to fund absorption and effectiveness.</w:t>
      </w:r>
      <w:r>
        <w:t xml:space="preserve"> </w:t>
      </w:r>
      <w:r>
        <w:t xml:space="preserve">A majority of respondents emphasised the need for tailored training, long-term support</w:t>
      </w:r>
      <w:r>
        <w:t xml:space="preserve"> </w:t>
      </w:r>
      <w:r>
        <w:t xml:space="preserve">for local administrations, and investment in public sector skills aligned with digital,</w:t>
      </w:r>
      <w:r>
        <w:t xml:space="preserve"> </w:t>
      </w:r>
      <w:r>
        <w:t xml:space="preserve">green, and inclusive transitions. Calls to reduce administrative burdens were widespread,</w:t>
      </w:r>
      <w:r>
        <w:t xml:space="preserve"> </w:t>
      </w:r>
      <w:r>
        <w:t xml:space="preserve">particularly from SMEs, NGOs and regional governments. Key takeaways linked to this</w:t>
      </w:r>
      <w:r>
        <w:t xml:space="preserve"> </w:t>
      </w:r>
      <w:r>
        <w:t xml:space="preserve">theme included: </w:t>
      </w:r>
      <w:r>
        <w:br/>
      </w:r>
      <w:r>
        <w:t xml:space="preserve">•</w:t>
      </w:r>
      <w:r>
        <w:t xml:space="preserve"> </w:t>
      </w:r>
      <w:r>
        <w:t xml:space="preserve">Investing in tailored training and technical assistance for public officials, </w:t>
      </w:r>
      <w:r>
        <w:br/>
      </w:r>
      <w:r>
        <w:t xml:space="preserve">•</w:t>
      </w:r>
      <w:r>
        <w:t xml:space="preserve"> </w:t>
      </w:r>
      <w:r>
        <w:t xml:space="preserve">Supporting international exchange schemes and communities of practice, and </w:t>
      </w:r>
      <w:r>
        <w:br/>
      </w:r>
      <w:r>
        <w:t xml:space="preserve">•</w:t>
      </w:r>
      <w:r>
        <w:t xml:space="preserve"> </w:t>
      </w:r>
      <w:r>
        <w:t xml:space="preserve">Improving sustainability and predictability of capacity-building efforts. </w:t>
      </w:r>
      <w:r>
        <w:br/>
      </w:r>
      <w:r>
        <w:t xml:space="preserve">Addressing structural disparities, including persisting social, economic, regional</w:t>
      </w:r>
      <w:r>
        <w:t xml:space="preserve"> </w:t>
      </w:r>
      <w:r>
        <w:t xml:space="preserve">and territorial disparities, remains a top concern. This includes addressing both</w:t>
      </w:r>
      <w:r>
        <w:t xml:space="preserve"> </w:t>
      </w:r>
      <w:r>
        <w:t xml:space="preserve">territorial disparities and social exclusion. Stakeholders - particularly NGOs and regional</w:t>
      </w:r>
      <w:r>
        <w:t xml:space="preserve"> </w:t>
      </w:r>
      <w:r>
        <w:t xml:space="preserve">authorities - emphasised the need to reduce intra- and inter-regional inequalities,</w:t>
      </w:r>
      <w:r>
        <w:t xml:space="preserve"> </w:t>
      </w:r>
      <w:r>
        <w:t xml:space="preserve">including disparities in access to services, employment, education, and housing for</w:t>
      </w:r>
      <w:r>
        <w:t xml:space="preserve"> </w:t>
      </w:r>
      <w:r>
        <w:t xml:space="preserve">vulnerable groups. EU citizens also pointed to the importance of ensuring that EU</w:t>
      </w:r>
      <w:r>
        <w:t xml:space="preserve"> </w:t>
      </w:r>
      <w:r>
        <w:t xml:space="preserve">funding supports people in structurally disadvantaged areas, such as the long-term</w:t>
      </w:r>
      <w:r>
        <w:t xml:space="preserve"> </w:t>
      </w:r>
      <w:r>
        <w:t xml:space="preserve">unemployed, youth, migrants, and ageing populations. The majority of respondents</w:t>
      </w:r>
    </w:p>
    <w:p>
      <w:pPr>
        <w:pStyle w:val="BodyText"/>
      </w:pPr>
      <w:r>
        <w:t xml:space="preserve">converged around the view that support should be based on context-specific needs. A few</w:t>
      </w:r>
      <w:r>
        <w:t xml:space="preserve"> </w:t>
      </w:r>
      <w:r>
        <w:t xml:space="preserve">of the suggestions linked to this theme included: </w:t>
      </w:r>
      <w:r>
        <w:br/>
      </w:r>
      <w:r>
        <w:t xml:space="preserve">•</w:t>
      </w:r>
      <w:r>
        <w:t xml:space="preserve"> </w:t>
      </w:r>
      <w:r>
        <w:t xml:space="preserve">Targeting support based on needs and challenges, </w:t>
      </w:r>
      <w:r>
        <w:br/>
      </w:r>
      <w:r>
        <w:t xml:space="preserve">•</w:t>
      </w:r>
      <w:r>
        <w:t xml:space="preserve"> </w:t>
      </w:r>
      <w:r>
        <w:t xml:space="preserve">Maintaining place-based approaches to address regional challenges, and  </w:t>
      </w:r>
      <w:r>
        <w:br/>
      </w:r>
      <w:r>
        <w:t xml:space="preserve">•</w:t>
      </w:r>
      <w:r>
        <w:t xml:space="preserve"> </w:t>
      </w:r>
      <w:r>
        <w:t xml:space="preserve">Strengthening support for lagging regions and structurally disadvantaged areas. </w:t>
      </w:r>
      <w:r>
        <w:br/>
      </w:r>
      <w:r>
        <w:t xml:space="preserve">Enhancing multilevel governance and stakeholder participation also emerged as a</w:t>
      </w:r>
      <w:r>
        <w:t xml:space="preserve"> </w:t>
      </w:r>
      <w:r>
        <w:t xml:space="preserve">clear priority. Respondents advocated for deeper and earlier involvement of regional</w:t>
      </w:r>
      <w:r>
        <w:t xml:space="preserve"> </w:t>
      </w:r>
      <w:r>
        <w:t xml:space="preserve">and local authorities, civil society organisations, SMEs and citizens in the design and</w:t>
      </w:r>
      <w:r>
        <w:t xml:space="preserve"> </w:t>
      </w:r>
      <w:r>
        <w:t xml:space="preserve">delivery of EU funding (reported by 50.4% of responses). This includes the systematic</w:t>
      </w:r>
      <w:r>
        <w:t xml:space="preserve"> </w:t>
      </w:r>
      <w:r>
        <w:t xml:space="preserve">use of participatory tools and co-creation processes, reflecting strong support for the</w:t>
      </w:r>
      <w:r>
        <w:t xml:space="preserve"> </w:t>
      </w:r>
      <w:r>
        <w:t xml:space="preserve">partnership principle. In particular, NGOs and trade unions advocated for stronger</w:t>
      </w:r>
      <w:r>
        <w:t xml:space="preserve"> </w:t>
      </w:r>
      <w:r>
        <w:t xml:space="preserve">participation in governance, calling for recognition as co-creators of EU programmes, not</w:t>
      </w:r>
      <w:r>
        <w:t xml:space="preserve"> </w:t>
      </w:r>
      <w:r>
        <w:t xml:space="preserve">just implementers. Public authorities and businesses, while supportive of stakeholder</w:t>
      </w:r>
      <w:r>
        <w:t xml:space="preserve"> </w:t>
      </w:r>
      <w:r>
        <w:t xml:space="preserve">involvement, tended to favour more structured consultation mechanisms rather than</w:t>
      </w:r>
      <w:r>
        <w:t xml:space="preserve"> </w:t>
      </w:r>
      <w:r>
        <w:t xml:space="preserve">opening formal governance roles to civil society actors. Some saw expanded</w:t>
      </w:r>
      <w:r>
        <w:t xml:space="preserve"> </w:t>
      </w:r>
      <w:r>
        <w:t xml:space="preserve">participation as potentially slowing decision-making or complicating accountability</w:t>
      </w:r>
      <w:r>
        <w:t xml:space="preserve"> </w:t>
      </w:r>
      <w:r>
        <w:t xml:space="preserve">frameworks. The main suggestions linked to this theme included: </w:t>
      </w:r>
      <w:r>
        <w:br/>
      </w:r>
      <w:r>
        <w:t xml:space="preserve">•</w:t>
      </w:r>
      <w:r>
        <w:t xml:space="preserve"> </w:t>
      </w:r>
      <w:r>
        <w:t xml:space="preserve">Systematising the involvement of local and regional authorities in programming, </w:t>
      </w:r>
      <w:r>
        <w:br/>
      </w:r>
      <w:r>
        <w:t xml:space="preserve">•</w:t>
      </w:r>
      <w:r>
        <w:t xml:space="preserve"> </w:t>
      </w:r>
      <w:r>
        <w:t xml:space="preserve">Expanding co-creation processes, participatory budgeting and feedback loops,</w:t>
      </w:r>
      <w:r>
        <w:t xml:space="preserve"> </w:t>
      </w:r>
      <w:r>
        <w:t xml:space="preserve">and </w:t>
      </w:r>
      <w:r>
        <w:br/>
      </w:r>
      <w:r>
        <w:t xml:space="preserve">•</w:t>
      </w:r>
      <w:r>
        <w:t xml:space="preserve"> </w:t>
      </w:r>
      <w:r>
        <w:t xml:space="preserve">Enhancing visibility and recognition of civil society and SMEs as co-creators. </w:t>
      </w:r>
      <w:r>
        <w:br/>
      </w:r>
      <w:r>
        <w:t xml:space="preserve">Additionally, other cross-cutting priorities emerged across stakeholder groups and</w:t>
      </w:r>
      <w:r>
        <w:t xml:space="preserve"> </w:t>
      </w:r>
      <w:r>
        <w:t xml:space="preserve">Member States. These included the need to:  </w:t>
      </w:r>
      <w:r>
        <w:br/>
      </w:r>
      <w:r>
        <w:t xml:space="preserve">•</w:t>
      </w:r>
      <w:r>
        <w:t xml:space="preserve"> </w:t>
      </w:r>
      <w:r>
        <w:t xml:space="preserve">increase transparency, communication, and accessibility of funding (in particular</w:t>
      </w:r>
      <w:r>
        <w:t xml:space="preserve"> </w:t>
      </w:r>
      <w:r>
        <w:t xml:space="preserve">through centralised portals and simplified guidance), </w:t>
      </w:r>
      <w:r>
        <w:br/>
      </w:r>
      <w:r>
        <w:t xml:space="preserve">•</w:t>
      </w:r>
      <w:r>
        <w:t xml:space="preserve"> </w:t>
      </w:r>
      <w:r>
        <w:t xml:space="preserve">maximise impact through stronger performance orientation, flexibility and</w:t>
      </w:r>
      <w:r>
        <w:t xml:space="preserve"> </w:t>
      </w:r>
      <w:r>
        <w:t xml:space="preserve">territorial tailoring,  </w:t>
      </w:r>
      <w:r>
        <w:br/>
      </w:r>
      <w:r>
        <w:t xml:space="preserve">•</w:t>
      </w:r>
      <w:r>
        <w:t xml:space="preserve"> </w:t>
      </w:r>
      <w:r>
        <w:t xml:space="preserve">foster inclusive and participatory governance to enhance legitimacy, ownership,</w:t>
      </w:r>
      <w:r>
        <w:t xml:space="preserve"> </w:t>
      </w:r>
      <w:r>
        <w:t xml:space="preserve">and local impact, and </w:t>
      </w:r>
      <w:r>
        <w:br/>
      </w:r>
      <w:r>
        <w:t xml:space="preserve">•</w:t>
      </w:r>
      <w:r>
        <w:t xml:space="preserve"> </w:t>
      </w:r>
      <w:r>
        <w:t xml:space="preserve">improve coherence across instruments and ensure alignment with national</w:t>
      </w:r>
      <w:r>
        <w:t xml:space="preserve"> </w:t>
      </w:r>
      <w:r>
        <w:t xml:space="preserve">reforms through partnership-based planning and – whenever appropriate –</w:t>
      </w:r>
      <w:r>
        <w:t xml:space="preserve"> </w:t>
      </w:r>
      <w:r>
        <w:t xml:space="preserve">regionalised implementation.  </w:t>
      </w:r>
      <w:r>
        <w:br/>
      </w:r>
      <w:r>
        <w:t xml:space="preserve">Stakeholders also provided their views on the most pressing policy challenges to be</w:t>
      </w:r>
      <w:r>
        <w:t xml:space="preserve"> </w:t>
      </w:r>
      <w:r>
        <w:t xml:space="preserve">addressed in the future, and support for the green and digital transitions,</w:t>
      </w:r>
      <w:r>
        <w:t xml:space="preserve"> </w:t>
      </w:r>
      <w:r>
        <w:t xml:space="preserve">addressing social and regional disparities and ensuring a fair and stable access to</w:t>
      </w:r>
      <w:r>
        <w:t xml:space="preserve"> </w:t>
      </w:r>
      <w:r>
        <w:t xml:space="preserve">energy supply were identified as key priorities for future investment. Climate change</w:t>
      </w:r>
    </w:p>
    <w:p>
      <w:pPr>
        <w:pStyle w:val="BodyText"/>
      </w:pPr>
      <w:r>
        <w:t xml:space="preserve">emerged as the most pressing challenge (deemed “very important” by 58.2% of</w:t>
      </w:r>
      <w:r>
        <w:t xml:space="preserve"> </w:t>
      </w:r>
      <w:r>
        <w:t xml:space="preserve">respondents), especially for academia, NGOs and citizens. Respondents also emphasised</w:t>
      </w:r>
      <w:r>
        <w:t xml:space="preserve"> </w:t>
      </w:r>
      <w:r>
        <w:t xml:space="preserve">the need to upskill public administrations and to strengthen regional capacities for green</w:t>
      </w:r>
      <w:r>
        <w:t xml:space="preserve"> </w:t>
      </w:r>
      <w:r>
        <w:t xml:space="preserve">and digital transformation. Stakeholders stressed the importance of policies that promote</w:t>
      </w:r>
      <w:r>
        <w:t xml:space="preserve"> </w:t>
      </w:r>
      <w:r>
        <w:t xml:space="preserve">innovation and address the digital divide, particularly for SMEs and rural areas, as well</w:t>
      </w:r>
      <w:r>
        <w:t xml:space="preserve"> </w:t>
      </w:r>
      <w:r>
        <w:t xml:space="preserve">as the digitalisation of the public administration, services and justice systems.</w:t>
      </w:r>
      <w:r>
        <w:t xml:space="preserve"> </w:t>
      </w:r>
      <w:r>
        <w:t xml:space="preserve">Contributions also underline the need to better align cohesion policy with strategic EU-</w:t>
      </w:r>
      <w:r>
        <w:t xml:space="preserve"> </w:t>
      </w:r>
      <w:r>
        <w:t xml:space="preserve">level goals, particularly the green and digital transitions and inclusiveness. In the same</w:t>
      </w:r>
      <w:r>
        <w:t xml:space="preserve"> </w:t>
      </w:r>
      <w:r>
        <w:t xml:space="preserve">question, the other challenges most frequently identified as very important by the</w:t>
      </w:r>
      <w:r>
        <w:t xml:space="preserve"> </w:t>
      </w:r>
      <w:r>
        <w:t xml:space="preserve">majority of respondents were: “securing an affordable, sustainable and secure energy</w:t>
      </w:r>
      <w:r>
        <w:t xml:space="preserve"> </w:t>
      </w:r>
      <w:r>
        <w:t xml:space="preserve">supply” (51% of the total respondents) and persisting social, economic, regional and</w:t>
      </w:r>
      <w:r>
        <w:t xml:space="preserve"> </w:t>
      </w:r>
      <w:r>
        <w:t xml:space="preserve">territorial disparities” (50.3% of respondents, 49% of the public authorities and 52% of</w:t>
      </w:r>
      <w:r>
        <w:t xml:space="preserve"> </w:t>
      </w:r>
      <w:r>
        <w:t xml:space="preserve">the EU citizens replying to the consultation). The security and price of energy supplies</w:t>
      </w:r>
      <w:r>
        <w:t xml:space="preserve"> </w:t>
      </w:r>
      <w:r>
        <w:t xml:space="preserve">was flagged as a source of significant concern for businesses and for citizens, with 86.5%</w:t>
      </w:r>
      <w:r>
        <w:t xml:space="preserve"> </w:t>
      </w:r>
      <w:r>
        <w:t xml:space="preserve">and 84% of these, respectively, considering this challenge as very important or</w:t>
      </w:r>
      <w:r>
        <w:t xml:space="preserve"> </w:t>
      </w:r>
      <w:r>
        <w:t xml:space="preserve">important. </w:t>
      </w:r>
      <w:r>
        <w:br/>
      </w:r>
      <w:r>
        <w:t xml:space="preserve">Suggestions linked to the green and digital transformation included: </w:t>
      </w:r>
      <w:r>
        <w:br/>
      </w:r>
      <w:r>
        <w:t xml:space="preserve">•</w:t>
      </w:r>
      <w:r>
        <w:t xml:space="preserve"> </w:t>
      </w:r>
      <w:r>
        <w:t xml:space="preserve">Investing in regional green and digital infrastructure and innovation ecosystems, </w:t>
      </w:r>
      <w:r>
        <w:br/>
      </w:r>
      <w:r>
        <w:t xml:space="preserve">•</w:t>
      </w:r>
      <w:r>
        <w:t xml:space="preserve"> </w:t>
      </w:r>
      <w:r>
        <w:t xml:space="preserve">Upskilling and reskilling public administrations and workforce, and </w:t>
      </w:r>
      <w:r>
        <w:br/>
      </w:r>
      <w:r>
        <w:t xml:space="preserve">•</w:t>
      </w:r>
      <w:r>
        <w:t xml:space="preserve"> </w:t>
      </w:r>
      <w:r>
        <w:t xml:space="preserve">Mainstreaming green and digital priorities across all EU funding instruments. </w:t>
      </w:r>
      <w:r>
        <w:br/>
      </w:r>
      <w:r>
        <w:t xml:space="preserve">Respondents, in particular trade unions, business associations and public authorities,</w:t>
      </w:r>
      <w:r>
        <w:t xml:space="preserve"> </w:t>
      </w:r>
      <w:r>
        <w:t xml:space="preserve">highlighted “labour and skills shortages, the need for upskilling and reskilling, and the</w:t>
      </w:r>
      <w:r>
        <w:t xml:space="preserve"> </w:t>
      </w:r>
      <w:r>
        <w:t xml:space="preserve">unpreparedness of education and training systems for the 21st century” as very important</w:t>
      </w:r>
      <w:r>
        <w:t xml:space="preserve"> </w:t>
      </w:r>
      <w:r>
        <w:t xml:space="preserve">challenges (considered “very important” by 49.2% of the total respondents). By</w:t>
      </w:r>
      <w:r>
        <w:t xml:space="preserve"> </w:t>
      </w:r>
      <w:r>
        <w:t xml:space="preserve">stakeholder group replying to the consultation, this was considered very important by</w:t>
      </w:r>
      <w:r>
        <w:t xml:space="preserve"> </w:t>
      </w:r>
      <w:r>
        <w:t xml:space="preserve">54% of the businesses associations, 51.56% of the public authorities and 46.3% of the</w:t>
      </w:r>
      <w:r>
        <w:t xml:space="preserve"> </w:t>
      </w:r>
      <w:r>
        <w:t xml:space="preserve">EU citizens. Issues of equality and inclusion were also often raised in open-ended</w:t>
      </w:r>
      <w:r>
        <w:t xml:space="preserve"> </w:t>
      </w:r>
      <w:r>
        <w:t xml:space="preserve">questions inviting respondents to elaborate on policy challenges. NGOs and EU citizens</w:t>
      </w:r>
      <w:r>
        <w:t xml:space="preserve"> </w:t>
      </w:r>
      <w:r>
        <w:t xml:space="preserve">emphasised the importance of aligning EU policies with the European Pillar of Social</w:t>
      </w:r>
      <w:r>
        <w:t xml:space="preserve"> </w:t>
      </w:r>
      <w:r>
        <w:t xml:space="preserve">Rights (EPSR) and ensuring the rights of persons with disabilities. Migration and asylum</w:t>
      </w:r>
      <w:r>
        <w:t xml:space="preserve"> </w:t>
      </w:r>
      <w:r>
        <w:t xml:space="preserve">management were also highlighted, particularly the need to address labour shortages by</w:t>
      </w:r>
      <w:r>
        <w:t xml:space="preserve"> </w:t>
      </w:r>
      <w:r>
        <w:t xml:space="preserve">supporting training and integration for migrants and asylum seekers.  </w:t>
      </w:r>
      <w:r>
        <w:br/>
      </w:r>
      <w:r>
        <w:t xml:space="preserve">Moreover, stakeholders shared their views on other specific obstacles to the EU</w:t>
      </w:r>
      <w:r>
        <w:t xml:space="preserve"> </w:t>
      </w:r>
      <w:r>
        <w:t xml:space="preserve">budget achieving its objectives, with more than half of respondents considering the</w:t>
      </w:r>
      <w:r>
        <w:t xml:space="preserve"> </w:t>
      </w:r>
      <w:r>
        <w:t xml:space="preserve">following as influencing “somewhat” or “to a large extent”:  </w:t>
      </w:r>
      <w:r>
        <w:br/>
      </w:r>
      <w:r>
        <w:t xml:space="preserve">•</w:t>
      </w:r>
      <w:r>
        <w:t xml:space="preserve"> </w:t>
      </w:r>
      <w:r>
        <w:t xml:space="preserve">overly complicated governance and distribution of funds (78% of the public</w:t>
      </w:r>
      <w:r>
        <w:t xml:space="preserve"> </w:t>
      </w:r>
      <w:r>
        <w:t xml:space="preserve">authorities replying to the consultation, 77% of the EU citizens and 77% of the</w:t>
      </w:r>
      <w:r>
        <w:t xml:space="preserve"> </w:t>
      </w:r>
      <w:r>
        <w:t xml:space="preserve">businesses</w:t>
      </w:r>
      <w:r>
        <w:t xml:space="preserve"> </w:t>
      </w:r>
      <w:r>
        <w:t xml:space="preserve">associations,</w:t>
      </w:r>
      <w:r>
        <w:t xml:space="preserve"> </w:t>
      </w:r>
      <w:r>
        <w:t xml:space="preserve">showing</w:t>
      </w:r>
      <w:r>
        <w:t xml:space="preserve"> </w:t>
      </w:r>
      <w:r>
        <w:t xml:space="preserve">the</w:t>
      </w:r>
      <w:r>
        <w:t xml:space="preserve"> </w:t>
      </w:r>
      <w:r>
        <w:t xml:space="preserve">homogeneous</w:t>
      </w:r>
      <w:r>
        <w:t xml:space="preserve"> </w:t>
      </w:r>
      <w:r>
        <w:t xml:space="preserve">perception</w:t>
      </w:r>
      <w:r>
        <w:t xml:space="preserve"> </w:t>
      </w:r>
      <w:r>
        <w:t xml:space="preserve">among</w:t>
      </w:r>
      <w:r>
        <w:t xml:space="preserve"> </w:t>
      </w:r>
      <w:r>
        <w:t xml:space="preserve">stakeholders).  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lack of consistency and effectiveness to deliver on EU policy priorities</w:t>
      </w:r>
      <w:r>
        <w:t xml:space="preserve"> </w:t>
      </w:r>
      <w:r>
        <w:t xml:space="preserve">(considered as an obstacle by 54.5% of respondents, more predominantly among</w:t>
      </w:r>
      <w:r>
        <w:t xml:space="preserve"> </w:t>
      </w:r>
      <w:r>
        <w:t xml:space="preserve">EU citizens and business associations, with 60% and 58% of them, and by 50% of</w:t>
      </w:r>
      <w:r>
        <w:t xml:space="preserve"> </w:t>
      </w:r>
      <w:r>
        <w:t xml:space="preserve">the public authorities), and </w:t>
      </w:r>
      <w:r>
        <w:br/>
      </w:r>
      <w:r>
        <w:t xml:space="preserve">•</w:t>
      </w:r>
      <w:r>
        <w:t xml:space="preserve"> </w:t>
      </w:r>
      <w:r>
        <w:t xml:space="preserve">national regulatory environments rendering EU funding less effective (considered</w:t>
      </w:r>
      <w:r>
        <w:t xml:space="preserve"> </w:t>
      </w:r>
      <w:r>
        <w:t xml:space="preserve">by 55% of respondents, with predominance among public authorities, 62.5% of</w:t>
      </w:r>
      <w:r>
        <w:t xml:space="preserve"> </w:t>
      </w:r>
      <w:r>
        <w:t xml:space="preserve">them, followed by 56% of the business associations, and 53% of the EU citizens</w:t>
      </w:r>
      <w:r>
        <w:t xml:space="preserve"> </w:t>
      </w:r>
      <w:r>
        <w:t xml:space="preserve">replying). </w:t>
      </w:r>
      <w:r>
        <w:br/>
      </w:r>
      <w:r>
        <w:t xml:space="preserve">Additional obstacles were similarly highlighted by stakeholders. with more than 45% of</w:t>
      </w:r>
      <w:r>
        <w:t xml:space="preserve"> </w:t>
      </w:r>
      <w:r>
        <w:t xml:space="preserve">stakeholders indicating the insufficient focus on achieving results, the insufficient</w:t>
      </w:r>
      <w:r>
        <w:t xml:space="preserve"> </w:t>
      </w:r>
      <w:r>
        <w:t xml:space="preserve">alignment with national policies, the insufficient focus on projects with the highest EU</w:t>
      </w:r>
      <w:r>
        <w:t xml:space="preserve"> </w:t>
      </w:r>
      <w:r>
        <w:t xml:space="preserve">added value, and the low absorption of funds and insufficient number of high-quality</w:t>
      </w:r>
      <w:r>
        <w:t xml:space="preserve"> </w:t>
      </w:r>
      <w:r>
        <w:t xml:space="preserve">projects as obstacles to some or to a large extent. An insufficient focus on achieving</w:t>
      </w:r>
      <w:r>
        <w:t xml:space="preserve"> </w:t>
      </w:r>
      <w:r>
        <w:t xml:space="preserve">results was more predominantly seen “somewhat” and “to a large extent” as an obstacle</w:t>
      </w:r>
      <w:r>
        <w:t xml:space="preserve"> </w:t>
      </w:r>
      <w:r>
        <w:t xml:space="preserve">among the citizens replying to the consultation (53.8% of them) followed by businesses</w:t>
      </w:r>
      <w:r>
        <w:t xml:space="preserve"> </w:t>
      </w:r>
      <w:r>
        <w:t xml:space="preserve">associations (48.6%) and public authorities (49% of them). Other main obstacles raised</w:t>
      </w:r>
      <w:r>
        <w:t xml:space="preserve"> </w:t>
      </w:r>
      <w:r>
        <w:t xml:space="preserve">in open text fields included bureaucracy and administrative burdens (by 64 open replies),</w:t>
      </w:r>
      <w:r>
        <w:t xml:space="preserve"> </w:t>
      </w:r>
      <w:r>
        <w:t xml:space="preserve">inadequate involvement of local and regional actors in the governance of EU funding,</w:t>
      </w:r>
      <w:r>
        <w:t xml:space="preserve"> </w:t>
      </w:r>
      <w:r>
        <w:t xml:space="preserve">often leading to a misalignment of projects with local needs (mentioned in 51 open</w:t>
      </w:r>
      <w:r>
        <w:t xml:space="preserve"> </w:t>
      </w:r>
      <w:r>
        <w:t xml:space="preserve">replies), and a lack of flexibility and adaptability in the design and execution of EU</w:t>
      </w:r>
      <w:r>
        <w:t xml:space="preserve"> </w:t>
      </w:r>
      <w:r>
        <w:t xml:space="preserve">funding instruments (mentioned in 29 replies). Furthermore, a lack of continuity in EU-</w:t>
      </w:r>
      <w:r>
        <w:t xml:space="preserve"> </w:t>
      </w:r>
      <w:r>
        <w:t xml:space="preserve">funded projects was highlighted as a barrier to the EU budget’s ability to achieve its</w:t>
      </w:r>
      <w:r>
        <w:t xml:space="preserve"> </w:t>
      </w:r>
      <w:r>
        <w:t xml:space="preserve">objectives. </w:t>
      </w:r>
      <w:r>
        <w:br/>
      </w:r>
      <w:r>
        <w:t xml:space="preserve">In their open contributions and position papers, stakeholders indicated the importance of</w:t>
      </w:r>
      <w:r>
        <w:t xml:space="preserve"> </w:t>
      </w:r>
      <w:r>
        <w:t xml:space="preserve">maintaining cohesion policy as a dedicated and autonomous pillar of the EU budget post-</w:t>
      </w:r>
      <w:r>
        <w:t xml:space="preserve"> </w:t>
      </w:r>
      <w:r>
        <w:t xml:space="preserve">2027. At the same time, they clearly emphasised the need for simplification and</w:t>
      </w:r>
      <w:r>
        <w:t xml:space="preserve"> </w:t>
      </w:r>
      <w:r>
        <w:t xml:space="preserve">improved access to EU funding and pointed to reducing fragmentation of EU funding and</w:t>
      </w:r>
      <w:r>
        <w:t xml:space="preserve"> </w:t>
      </w:r>
      <w:r>
        <w:t xml:space="preserve">rules through harmonisation, alignment and streamlining of instruments and timelines;</w:t>
      </w:r>
      <w:r>
        <w:t xml:space="preserve"> </w:t>
      </w:r>
      <w:r>
        <w:t xml:space="preserve">ensuring coherence between EU priorities and national/regional/local reforms; or</w:t>
      </w:r>
      <w:r>
        <w:t xml:space="preserve"> </w:t>
      </w:r>
      <w:r>
        <w:t xml:space="preserve">targeting the support where it can generate the greatest impact. At the same time,</w:t>
      </w:r>
      <w:r>
        <w:t xml:space="preserve"> </w:t>
      </w:r>
      <w:r>
        <w:t xml:space="preserve">proposals for centralising access to EU funds received a more mixed response. Several</w:t>
      </w:r>
      <w:r>
        <w:t xml:space="preserve"> </w:t>
      </w:r>
      <w:r>
        <w:t xml:space="preserve">contributions also underlined the need for improving coordination between authorities,</w:t>
      </w:r>
      <w:r>
        <w:t xml:space="preserve"> </w:t>
      </w:r>
      <w:r>
        <w:t xml:space="preserve">including coordination across governance levels and institutions, and respondents called</w:t>
      </w:r>
      <w:r>
        <w:t xml:space="preserve"> </w:t>
      </w:r>
      <w:r>
        <w:t xml:space="preserve">for more inclusive and participatory policymaking that reflects the needs of all societal</w:t>
      </w:r>
      <w:r>
        <w:t xml:space="preserve"> </w:t>
      </w:r>
      <w:r>
        <w:t xml:space="preserve">groups at all stages of the policy cycle and for the active involvement of regional and</w:t>
      </w:r>
      <w:r>
        <w:t xml:space="preserve"> </w:t>
      </w:r>
      <w:r>
        <w:t xml:space="preserve">local authorities in designing, managing and implementing EU funding programmes. </w:t>
      </w:r>
      <w:r>
        <w:br/>
      </w:r>
      <w:r>
        <w:t xml:space="preserve">Overall, the public consultation findings point to a broad consensus on the</w:t>
      </w:r>
      <w:r>
        <w:t xml:space="preserve"> </w:t>
      </w:r>
      <w:r>
        <w:t xml:space="preserve">importance of maintaining the principles of partnership, subsidiarity and cohesion,</w:t>
      </w:r>
      <w:r>
        <w:t xml:space="preserve"> </w:t>
      </w:r>
      <w:r>
        <w:t xml:space="preserve">while adapting the EU budget to be more accessible, responsive, impactful and</w:t>
      </w:r>
      <w:r>
        <w:t xml:space="preserve"> </w:t>
      </w:r>
      <w:r>
        <w:t xml:space="preserve">better aligned with long-term transformation needs. Views among citizens and</w:t>
      </w:r>
      <w:r>
        <w:t xml:space="preserve"> </w:t>
      </w:r>
      <w:r>
        <w:t xml:space="preserve">public authorities are similar, reinforcing the challenges perceived and the policy</w:t>
      </w:r>
      <w:r>
        <w:t xml:space="preserve"> </w:t>
      </w:r>
      <w:r>
        <w:t xml:space="preserve">priorities. </w:t>
      </w:r>
    </w:p>
    <w:p>
      <w:pPr>
        <w:pStyle w:val="Compact"/>
        <w:numPr>
          <w:ilvl w:val="0"/>
          <w:numId w:val="1004"/>
        </w:numPr>
      </w:pPr>
      <w:r>
        <w:t xml:space="preserve">Main takeaways from the Citizens’ Panel on the next EU budget</w:t>
      </w:r>
      <w:r>
        <w:br/>
      </w:r>
      <w:r>
        <w:t xml:space="preserve">On 16-18 May 2025, the third and final session of the European Citizens’ Panel on the</w:t>
      </w:r>
      <w:r>
        <w:t xml:space="preserve"> </w:t>
      </w:r>
      <w:r>
        <w:t xml:space="preserve">new EU long-term budget took place in Brussels. A group of 150 randomly selected</w:t>
      </w:r>
      <w:r>
        <w:t xml:space="preserve"> </w:t>
      </w:r>
      <w:r>
        <w:t xml:space="preserve">citizens from all 27 EU Member States were given the opportunity to share their ideas for</w:t>
      </w:r>
      <w:r>
        <w:t xml:space="preserve"> </w:t>
      </w:r>
      <w:r>
        <w:t xml:space="preserve">a sustainable and flexible long-term EU budget. This diverse panel discussed which</w:t>
      </w:r>
      <w:r>
        <w:t xml:space="preserve"> </w:t>
      </w:r>
      <w:r>
        <w:t xml:space="preserve">priorities and actions bring the most added value to Europeans through the EU Budget.</w:t>
      </w:r>
      <w:r>
        <w:t xml:space="preserve"> </w:t>
      </w:r>
      <w:r>
        <w:t xml:space="preserve">The panellists agreed on a final set of 22 recommendations to the European</w:t>
      </w:r>
      <w:r>
        <w:t xml:space="preserve"> </w:t>
      </w:r>
      <w:r>
        <w:t xml:space="preserve">Commission, as well as 11 guiding recommendations that function as key principles</w:t>
      </w:r>
      <w:r>
        <w:t xml:space="preserve"> </w:t>
      </w:r>
      <w:r>
        <w:t xml:space="preserve">to guide the European Commissioner for Budget, Anti-Fraud and Public Administration.</w:t>
      </w:r>
      <w:r>
        <w:t xml:space="preserve"> </w:t>
      </w:r>
      <w:r>
        <w:t xml:space="preserve">Commissioner Serafin was given these recommendations during the last day of the</w:t>
      </w:r>
      <w:r>
        <w:t xml:space="preserve"> </w:t>
      </w:r>
      <w:r>
        <w:t xml:space="preserve">panel. </w:t>
      </w:r>
      <w:r>
        <w:br/>
      </w:r>
      <w:r>
        <w:t xml:space="preserve">The 11 guiding recommendations ask the EU to consider a strong future-ready EU</w:t>
      </w:r>
      <w:r>
        <w:t xml:space="preserve"> </w:t>
      </w:r>
      <w:r>
        <w:t xml:space="preserve">budget which: </w:t>
      </w:r>
      <w:r>
        <w:br/>
      </w:r>
      <w:r>
        <w:t xml:space="preserve">•</w:t>
      </w:r>
      <w:r>
        <w:t xml:space="preserve"> </w:t>
      </w:r>
      <w:r>
        <w:t xml:space="preserve">Strengthens our shared values by promoting and reinforcing common</w:t>
      </w:r>
      <w:r>
        <w:t xml:space="preserve"> </w:t>
      </w:r>
      <w:r>
        <w:t xml:space="preserve">principles and beliefs to unite the European community and safeguard the EU</w:t>
      </w:r>
      <w:r>
        <w:t xml:space="preserve"> </w:t>
      </w:r>
      <w:r>
        <w:t xml:space="preserve">project. </w:t>
      </w:r>
      <w:r>
        <w:br/>
      </w:r>
      <w:r>
        <w:t xml:space="preserve">•</w:t>
      </w:r>
      <w:r>
        <w:t xml:space="preserve"> </w:t>
      </w:r>
      <w:r>
        <w:t xml:space="preserve">Ensures solidarity between Member States by fostering mutual support and</w:t>
      </w:r>
      <w:r>
        <w:t xml:space="preserve"> </w:t>
      </w:r>
      <w:r>
        <w:t xml:space="preserve">cooperation to address common challenges and promote collective well-being. </w:t>
      </w:r>
      <w:r>
        <w:br/>
      </w:r>
      <w:r>
        <w:t xml:space="preserve">•</w:t>
      </w:r>
      <w:r>
        <w:t xml:space="preserve"> </w:t>
      </w:r>
      <w:r>
        <w:t xml:space="preserve">Reduces inequalities by addressing disparities within and between Member</w:t>
      </w:r>
      <w:r>
        <w:t xml:space="preserve"> </w:t>
      </w:r>
      <w:r>
        <w:t xml:space="preserve">States, with special attention to more vulnerable groups. </w:t>
      </w:r>
      <w:r>
        <w:br/>
      </w:r>
      <w:r>
        <w:t xml:space="preserve">•</w:t>
      </w:r>
      <w:r>
        <w:t xml:space="preserve"> </w:t>
      </w:r>
      <w:r>
        <w:t xml:space="preserve">Considers the environmental and climate impact by prioritising sustainability</w:t>
      </w:r>
      <w:r>
        <w:t xml:space="preserve"> </w:t>
      </w:r>
      <w:r>
        <w:t xml:space="preserve">and the protection of the ecosystems and their biodiversity, while taking into</w:t>
      </w:r>
      <w:r>
        <w:t xml:space="preserve"> </w:t>
      </w:r>
      <w:r>
        <w:t xml:space="preserve">account the different needs of European regions. </w:t>
      </w:r>
      <w:r>
        <w:br/>
      </w:r>
      <w:r>
        <w:t xml:space="preserve">•</w:t>
      </w:r>
      <w:r>
        <w:t xml:space="preserve"> </w:t>
      </w:r>
      <w:r>
        <w:t xml:space="preserve">Strengthens competitiveness of the economic sector across Member States by</w:t>
      </w:r>
      <w:r>
        <w:t xml:space="preserve"> </w:t>
      </w:r>
      <w:r>
        <w:t xml:space="preserve">allowing each Member State to allocate funds based on their specific needs. </w:t>
      </w:r>
      <w:r>
        <w:br/>
      </w:r>
      <w:r>
        <w:t xml:space="preserve">•</w:t>
      </w:r>
      <w:r>
        <w:t xml:space="preserve"> </w:t>
      </w:r>
      <w:r>
        <w:t xml:space="preserve">Enables swift and flexible action by ensuring the EU can respond quickly to</w:t>
      </w:r>
      <w:r>
        <w:t xml:space="preserve"> </w:t>
      </w:r>
      <w:r>
        <w:t xml:space="preserve">urgent challenges, unforeseen needs, as well as to opportunities, while</w:t>
      </w:r>
      <w:r>
        <w:t xml:space="preserve"> </w:t>
      </w:r>
      <w:r>
        <w:t xml:space="preserve">maintaining long-term focus. </w:t>
      </w:r>
      <w:r>
        <w:br/>
      </w:r>
      <w:r>
        <w:t xml:space="preserve">•</w:t>
      </w:r>
      <w:r>
        <w:t xml:space="preserve"> </w:t>
      </w:r>
      <w:r>
        <w:t xml:space="preserve">Ensures transparency and accountability at all levels by providing clear</w:t>
      </w:r>
      <w:r>
        <w:t xml:space="preserve"> </w:t>
      </w:r>
      <w:r>
        <w:t xml:space="preserve">information on investment criteria, spending, and impact, to prevent corruption</w:t>
      </w:r>
      <w:r>
        <w:t xml:space="preserve"> </w:t>
      </w:r>
      <w:r>
        <w:t xml:space="preserve">and misuse of EU funds. </w:t>
      </w:r>
      <w:r>
        <w:br/>
      </w:r>
      <w:r>
        <w:t xml:space="preserve">•</w:t>
      </w:r>
      <w:r>
        <w:t xml:space="preserve"> </w:t>
      </w:r>
      <w:r>
        <w:t xml:space="preserve">Promotes decentralisation with strong and transparent oversight by tailoring</w:t>
      </w:r>
      <w:r>
        <w:t xml:space="preserve"> </w:t>
      </w:r>
      <w:r>
        <w:t xml:space="preserve">policies to regional needs while ensuring robust EU-level control to avoid abuse. </w:t>
      </w:r>
      <w:r>
        <w:br/>
      </w:r>
      <w:r>
        <w:t xml:space="preserve">•</w:t>
      </w:r>
      <w:r>
        <w:t xml:space="preserve"> </w:t>
      </w:r>
      <w:r>
        <w:t xml:space="preserve">Improves communication and citizen engagement by making EU actions more</w:t>
      </w:r>
      <w:r>
        <w:t xml:space="preserve"> </w:t>
      </w:r>
      <w:r>
        <w:t xml:space="preserve">visible and understandable, actively involving citizens in decisions and reflecting</w:t>
      </w:r>
      <w:r>
        <w:t xml:space="preserve"> </w:t>
      </w:r>
      <w:r>
        <w:t xml:space="preserve">their needs in the budget. The EU should also promote its projects and wins more</w:t>
      </w:r>
      <w:r>
        <w:t xml:space="preserve"> </w:t>
      </w:r>
      <w:r>
        <w:t xml:space="preserve">openly. </w:t>
      </w:r>
    </w:p>
    <w:p>
      <w:pPr>
        <w:pStyle w:val="FirstParagraph"/>
      </w:pPr>
      <w:r>
        <w:t xml:space="preserve">•</w:t>
      </w:r>
      <w:r>
        <w:t xml:space="preserve"> </w:t>
      </w:r>
      <w:r>
        <w:t xml:space="preserve">Ensuring that the needs and interests of the European Union, its Member</w:t>
      </w:r>
      <w:r>
        <w:t xml:space="preserve"> </w:t>
      </w:r>
      <w:r>
        <w:t xml:space="preserve">States and its citizens are met. Internal stability and prosperity should be</w:t>
      </w:r>
      <w:r>
        <w:t xml:space="preserve"> </w:t>
      </w:r>
      <w:r>
        <w:t xml:space="preserve">considered while also extending support to non-EU countries. </w:t>
      </w:r>
      <w:r>
        <w:br/>
      </w:r>
      <w:r>
        <w:t xml:space="preserve">•</w:t>
      </w:r>
      <w:r>
        <w:t xml:space="preserve"> </w:t>
      </w:r>
      <w:r>
        <w:t xml:space="preserve">Guarantees feasibility, efficiency, and maximised impact by ensuring projects</w:t>
      </w:r>
      <w:r>
        <w:t xml:space="preserve"> </w:t>
      </w:r>
      <w:r>
        <w:t xml:space="preserve">are realistic, cost-effective, and benefit as many citizens and Member States as</w:t>
      </w:r>
      <w:r>
        <w:t xml:space="preserve"> </w:t>
      </w:r>
      <w:r>
        <w:t xml:space="preserve">possible, with clearly defined goals and measurable outcomes. </w:t>
      </w:r>
      <w:r>
        <w:br/>
      </w:r>
      <w:r>
        <w:t xml:space="preserve">The 22 final recommendations encourage the new European budget to focus on: </w:t>
      </w:r>
      <w:r>
        <w:br/>
      </w:r>
      <w:r>
        <w:t xml:space="preserve">•</w:t>
      </w:r>
      <w:r>
        <w:t xml:space="preserve"> </w:t>
      </w:r>
      <w:r>
        <w:t xml:space="preserve">Ensuring environmental protection and economic success at the same time. </w:t>
      </w:r>
      <w:r>
        <w:br/>
      </w:r>
      <w:r>
        <w:t xml:space="preserve">•</w:t>
      </w:r>
      <w:r>
        <w:t xml:space="preserve"> </w:t>
      </w:r>
      <w:r>
        <w:t xml:space="preserve">Protecting nature and natural resources through environmental education and</w:t>
      </w:r>
      <w:r>
        <w:t xml:space="preserve"> </w:t>
      </w:r>
      <w:r>
        <w:t xml:space="preserve">other measures. </w:t>
      </w:r>
      <w:r>
        <w:br/>
      </w:r>
      <w:r>
        <w:t xml:space="preserve">•</w:t>
      </w:r>
      <w:r>
        <w:t xml:space="preserve"> </w:t>
      </w:r>
      <w:r>
        <w:t xml:space="preserve">Reducing regional disparities through the expansion of essential infrastructures</w:t>
      </w:r>
      <w:r>
        <w:t xml:space="preserve"> </w:t>
      </w:r>
      <w:r>
        <w:t xml:space="preserve">and services. </w:t>
      </w:r>
      <w:r>
        <w:br/>
      </w:r>
      <w:r>
        <w:t xml:space="preserve">•</w:t>
      </w:r>
      <w:r>
        <w:t xml:space="preserve"> </w:t>
      </w:r>
      <w:r>
        <w:t xml:space="preserve">A future in the countryside: Combating rural exodus through education, jobs, and</w:t>
      </w:r>
      <w:r>
        <w:t xml:space="preserve"> </w:t>
      </w:r>
      <w:r>
        <w:t xml:space="preserve">housing. </w:t>
      </w:r>
      <w:r>
        <w:br/>
      </w:r>
      <w:r>
        <w:t xml:space="preserve">•</w:t>
      </w:r>
      <w:r>
        <w:t xml:space="preserve"> </w:t>
      </w:r>
      <w:r>
        <w:t xml:space="preserve">Meaningful and sustainable inclusion of migrants and refugees for a stronger</w:t>
      </w:r>
      <w:r>
        <w:t xml:space="preserve"> </w:t>
      </w:r>
      <w:r>
        <w:t xml:space="preserve">Europe. </w:t>
      </w:r>
      <w:r>
        <w:br/>
      </w:r>
      <w:r>
        <w:t xml:space="preserve">•</w:t>
      </w:r>
      <w:r>
        <w:t xml:space="preserve"> </w:t>
      </w:r>
      <w:r>
        <w:t xml:space="preserve">Budget support for equal access to healthcare, medicine production, and cross-</w:t>
      </w:r>
      <w:r>
        <w:t xml:space="preserve"> </w:t>
      </w:r>
      <w:r>
        <w:t xml:space="preserve">border care in the EU. </w:t>
      </w:r>
      <w:r>
        <w:br/>
      </w:r>
      <w:r>
        <w:t xml:space="preserve">•</w:t>
      </w:r>
      <w:r>
        <w:t xml:space="preserve"> </w:t>
      </w:r>
      <w:r>
        <w:t xml:space="preserve">Supporting mental health for all age groups through integrated EU budget</w:t>
      </w:r>
      <w:r>
        <w:t xml:space="preserve"> </w:t>
      </w:r>
      <w:r>
        <w:t xml:space="preserve">actions. </w:t>
      </w:r>
      <w:r>
        <w:br/>
      </w:r>
      <w:r>
        <w:t xml:space="preserve">•</w:t>
      </w:r>
      <w:r>
        <w:t xml:space="preserve"> </w:t>
      </w:r>
      <w:r>
        <w:t xml:space="preserve">A strong and secure EU against digital threats. </w:t>
      </w:r>
      <w:r>
        <w:br/>
      </w:r>
      <w:r>
        <w:t xml:space="preserve">•</w:t>
      </w:r>
      <w:r>
        <w:t xml:space="preserve"> </w:t>
      </w:r>
      <w:r>
        <w:t xml:space="preserve">A more independent EU in the field of defence. </w:t>
      </w:r>
      <w:r>
        <w:br/>
      </w:r>
      <w:r>
        <w:t xml:space="preserve">•</w:t>
      </w:r>
      <w:r>
        <w:t xml:space="preserve"> </w:t>
      </w:r>
      <w:r>
        <w:t xml:space="preserve">Ensuring that all young people have the opportunity to enter the labour market</w:t>
      </w:r>
      <w:r>
        <w:t xml:space="preserve"> </w:t>
      </w:r>
      <w:r>
        <w:t xml:space="preserve">under fair and decent working conditions. </w:t>
      </w:r>
      <w:r>
        <w:br/>
      </w:r>
      <w:r>
        <w:t xml:space="preserve">•</w:t>
      </w:r>
      <w:r>
        <w:t xml:space="preserve"> </w:t>
      </w:r>
      <w:r>
        <w:t xml:space="preserve">Supporting the development of small and medium-sized enterprises (SMEs) and</w:t>
      </w:r>
      <w:r>
        <w:t xml:space="preserve"> </w:t>
      </w:r>
      <w:r>
        <w:t xml:space="preserve">start-ups. </w:t>
      </w:r>
      <w:r>
        <w:br/>
      </w:r>
      <w:r>
        <w:t xml:space="preserve">•</w:t>
      </w:r>
      <w:r>
        <w:t xml:space="preserve"> </w:t>
      </w:r>
      <w:r>
        <w:t xml:space="preserve">Strengthening the food system by making large food companies more sustainable</w:t>
      </w:r>
      <w:r>
        <w:t xml:space="preserve"> </w:t>
      </w:r>
      <w:r>
        <w:t xml:space="preserve">and support small producers. </w:t>
      </w:r>
      <w:r>
        <w:br/>
      </w:r>
      <w:r>
        <w:t xml:space="preserve">•</w:t>
      </w:r>
      <w:r>
        <w:t xml:space="preserve"> </w:t>
      </w:r>
      <w:r>
        <w:t xml:space="preserve">Empowering people in using digital technologies, including AI. </w:t>
      </w:r>
      <w:r>
        <w:br/>
      </w:r>
      <w:r>
        <w:t xml:space="preserve">•</w:t>
      </w:r>
      <w:r>
        <w:t xml:space="preserve"> </w:t>
      </w:r>
      <w:r>
        <w:t xml:space="preserve">Sovereignty of the EU in digital technologies. </w:t>
      </w:r>
      <w:r>
        <w:br/>
      </w:r>
      <w:r>
        <w:t xml:space="preserve">•</w:t>
      </w:r>
      <w:r>
        <w:t xml:space="preserve"> </w:t>
      </w:r>
      <w:r>
        <w:t xml:space="preserve">Promoting inclusive, high-quality education for all through targeted EU support. </w:t>
      </w:r>
      <w:r>
        <w:br/>
      </w:r>
      <w:r>
        <w:t xml:space="preserve">•</w:t>
      </w:r>
      <w:r>
        <w:t xml:space="preserve"> </w:t>
      </w:r>
      <w:r>
        <w:t xml:space="preserve">Fostering a common European identity through education and awareness. 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simplification, harmonization and digitalisation of administrative procedures</w:t>
      </w:r>
      <w:r>
        <w:t xml:space="preserve"> </w:t>
      </w:r>
      <w:r>
        <w:t xml:space="preserve">across Member States. </w:t>
      </w:r>
      <w:r>
        <w:br/>
      </w:r>
      <w:r>
        <w:t xml:space="preserve">•</w:t>
      </w:r>
      <w:r>
        <w:t xml:space="preserve"> </w:t>
      </w:r>
      <w:r>
        <w:t xml:space="preserve">Building stronger connections between citizens and EU for a better tomorrow. </w:t>
      </w:r>
      <w:r>
        <w:br/>
      </w:r>
      <w:r>
        <w:t xml:space="preserve">•</w:t>
      </w:r>
      <w:r>
        <w:t xml:space="preserve"> </w:t>
      </w:r>
      <w:r>
        <w:t xml:space="preserve">Developing renewable energy to secure our energy sovereignty. </w:t>
      </w:r>
      <w:r>
        <w:br/>
      </w:r>
      <w:r>
        <w:t xml:space="preserve">•</w:t>
      </w:r>
      <w:r>
        <w:t xml:space="preserve"> </w:t>
      </w:r>
      <w:r>
        <w:t xml:space="preserve">Strategic strength: Europe’s industrial response to global disruption. </w:t>
      </w:r>
      <w:r>
        <w:br/>
      </w:r>
      <w:r>
        <w:t xml:space="preserve">•</w:t>
      </w:r>
      <w:r>
        <w:t xml:space="preserve"> </w:t>
      </w:r>
      <w:r>
        <w:t xml:space="preserve">Strengthening EU diplomatic alignment via shared values </w:t>
      </w:r>
      <w:r>
        <w:br/>
      </w:r>
      <w:r>
        <w:t xml:space="preserve">•</w:t>
      </w:r>
      <w:r>
        <w:t xml:space="preserve"> </w:t>
      </w:r>
      <w:r>
        <w:t xml:space="preserve">A holistic diplomatic EU plan  </w:t>
      </w:r>
    </w:p>
    <w:p>
      <w:pPr>
        <w:pStyle w:val="Compact"/>
        <w:numPr>
          <w:ilvl w:val="0"/>
          <w:numId w:val="1005"/>
        </w:numPr>
      </w:pPr>
      <w:r>
        <w:t xml:space="preserve">Other stakeholder consultation activities</w:t>
      </w:r>
      <w:r>
        <w:br/>
      </w:r>
      <w:r>
        <w:t xml:space="preserve">A number of other consultation activities were carried out to gather stakeholder views</w:t>
      </w:r>
      <w:r>
        <w:t xml:space="preserve"> </w:t>
      </w:r>
      <w:r>
        <w:t xml:space="preserve">and inputs on specific topics and funds covered in this Impact Assessment. </w:t>
      </w:r>
      <w:r>
        <w:br/>
      </w:r>
      <w:r>
        <w:t xml:space="preserve">For instance, following the publication of the 8th Cohesion Report and its announcement</w:t>
      </w:r>
      <w:r>
        <w:t xml:space="preserve"> </w:t>
      </w:r>
      <w:r>
        <w:t xml:space="preserve">at the Cohesion Forum in March 2022, the Commission set up a group of high-level</w:t>
      </w:r>
      <w:r>
        <w:t xml:space="preserve"> </w:t>
      </w:r>
      <w:r>
        <w:t xml:space="preserve">specialists on the future of cohesion policy, composed of representatives of academia,</w:t>
      </w:r>
      <w:r>
        <w:t xml:space="preserve"> </w:t>
      </w:r>
      <w:r>
        <w:t xml:space="preserve">national, regional and local politicians, socio-economic partners and representatives of</w:t>
      </w:r>
      <w:r>
        <w:t xml:space="preserve"> </w:t>
      </w:r>
      <w:r>
        <w:t xml:space="preserve">civil society. The group published the report ‘Forging a sustainable future together:</w:t>
      </w:r>
      <w:r>
        <w:t xml:space="preserve"> </w:t>
      </w:r>
      <w:r>
        <w:t xml:space="preserve">Cohesion for a competitive and inclusive Europe’ (2). According to the report, Cohesion</w:t>
      </w:r>
      <w:r>
        <w:t xml:space="preserve"> </w:t>
      </w:r>
      <w:r>
        <w:t xml:space="preserve">Policy must move from being a</w:t>
      </w:r>
      <w:r>
        <w:t xml:space="preserve"> </w:t>
      </w:r>
      <w:r>
        <w:t xml:space="preserve">‘support’</w:t>
      </w:r>
      <w:r>
        <w:t xml:space="preserve"> </w:t>
      </w:r>
      <w:r>
        <w:t xml:space="preserve">mechanism to a central driver of growth, jobs,</w:t>
      </w:r>
      <w:r>
        <w:t xml:space="preserve"> </w:t>
      </w:r>
      <w:r>
        <w:t xml:space="preserve">equality, and opportunities, particularly in vulnerable areas, as well as human capital</w:t>
      </w:r>
      <w:r>
        <w:t xml:space="preserve"> </w:t>
      </w:r>
      <w:r>
        <w:t xml:space="preserve">development and better institutions. Doing this involves balancing the focus on results</w:t>
      </w:r>
      <w:r>
        <w:t xml:space="preserve"> </w:t>
      </w:r>
      <w:r>
        <w:t xml:space="preserve">and performance with the need for flexibility, adaptability and the capacity to respond to</w:t>
      </w:r>
      <w:r>
        <w:t xml:space="preserve"> </w:t>
      </w:r>
      <w:r>
        <w:t xml:space="preserve">current challenges without compromising its foundational goals. To enhance</w:t>
      </w:r>
      <w:r>
        <w:t xml:space="preserve"> </w:t>
      </w:r>
      <w:r>
        <w:t xml:space="preserve">effectiveness, the report recognises the need to foster synergies between Cohesion Policy,</w:t>
      </w:r>
      <w:r>
        <w:t xml:space="preserve"> </w:t>
      </w:r>
      <w:r>
        <w:t xml:space="preserve">other EU policies, and Member State initiatives.  </w:t>
      </w:r>
      <w:r>
        <w:br/>
      </w:r>
      <w:r>
        <w:t xml:space="preserve">In addition, through the ESF+ Committee, a drafting committee was established in</w:t>
      </w:r>
      <w:r>
        <w:t xml:space="preserve"> </w:t>
      </w:r>
      <w:r>
        <w:t xml:space="preserve">February 2024 to issue an opinion on technical items regarding the future of the ESF (3). </w:t>
      </w:r>
      <w:r>
        <w:br/>
      </w:r>
      <w:r>
        <w:t xml:space="preserve">Consultation activities related to future EU funding in the areas of employment, skills</w:t>
      </w:r>
      <w:r>
        <w:t xml:space="preserve"> </w:t>
      </w:r>
      <w:r>
        <w:t xml:space="preserve">and social inclusion </w:t>
      </w:r>
      <w:r>
        <w:br/>
      </w:r>
      <w:r>
        <w:t xml:space="preserve">The Commission commissioned a preparatory study on the future EU funding in the</w:t>
      </w:r>
      <w:r>
        <w:t xml:space="preserve"> </w:t>
      </w:r>
      <w:r>
        <w:t xml:space="preserve">areas of employment, skills and social inclusion. Parts of this study were targeted</w:t>
      </w:r>
      <w:r>
        <w:t xml:space="preserve"> </w:t>
      </w:r>
      <w:r>
        <w:t xml:space="preserve">stakeholder consultations. A total of 285 stakeholders were interviewed, representing 197</w:t>
      </w:r>
      <w:r>
        <w:t xml:space="preserve"> </w:t>
      </w:r>
      <w:r>
        <w:t xml:space="preserve">different organisations based in all EU Member States. Additionally, a survey was</w:t>
      </w:r>
      <w:r>
        <w:t xml:space="preserve"> </w:t>
      </w:r>
      <w:r>
        <w:t xml:space="preserve">launched with 81 responses, and 4 focus groups were organised. The main policy</w:t>
      </w:r>
      <w:r>
        <w:t xml:space="preserve"> </w:t>
      </w:r>
      <w:r>
        <w:t xml:space="preserve">challenges identified in the mentioned areas included unemployment of vulnerable</w:t>
      </w:r>
      <w:r>
        <w:t xml:space="preserve"> </w:t>
      </w:r>
      <w:r>
        <w:t xml:space="preserve">groups (incl. youth), barriers in accessing essential services (incl. housing), and the need</w:t>
      </w:r>
      <w:r>
        <w:t xml:space="preserve"> </w:t>
      </w:r>
      <w:r>
        <w:t xml:space="preserve">of upskilling and reskilling the workforce. Stakeholders identified the following areas</w:t>
      </w:r>
      <w:r>
        <w:t xml:space="preserve"> </w:t>
      </w:r>
      <w:r>
        <w:t xml:space="preserve">that deserve attention as far as EU funds in the areas of employment, skills and social</w:t>
      </w:r>
    </w:p>
    <w:p>
      <w:pPr>
        <w:pStyle w:val="FirstParagraph"/>
      </w:pPr>
      <w:r>
        <w:t xml:space="preserve">inclusion are concerned: administrative complexity, persistent barriers for vulnerable</w:t>
      </w:r>
      <w:r>
        <w:t xml:space="preserve"> </w:t>
      </w:r>
      <w:r>
        <w:t xml:space="preserve">groups in accessing funding, a rigid programming architecture, a limited focus on results,</w:t>
      </w:r>
      <w:r>
        <w:t xml:space="preserve"> </w:t>
      </w:r>
      <w:r>
        <w:t xml:space="preserve">the sustainability of interventions and limited involvement of local actors.  </w:t>
      </w:r>
      <w:r>
        <w:br/>
      </w:r>
      <w:r>
        <w:t xml:space="preserve">In their suggestions for future EU funding in the mentioned areas, stakeholders</w:t>
      </w:r>
      <w:r>
        <w:t xml:space="preserve"> </w:t>
      </w:r>
      <w:r>
        <w:t xml:space="preserve">highlighted the need to strengthen capacity building for managing authorities and</w:t>
      </w:r>
      <w:r>
        <w:t xml:space="preserve"> </w:t>
      </w:r>
      <w:r>
        <w:t xml:space="preserve">beneficiaries, maintain people-oriented and place-based approaches, ensure that the</w:t>
      </w:r>
      <w:r>
        <w:t xml:space="preserve"> </w:t>
      </w:r>
      <w:r>
        <w:t xml:space="preserve">ESF+ is aligned with national needs, enhance synergies between ESF+ and other EU</w:t>
      </w:r>
      <w:r>
        <w:t xml:space="preserve"> </w:t>
      </w:r>
      <w:r>
        <w:t xml:space="preserve">funds, increase flexibility, and strengthen the involvement of local actors in the planning</w:t>
      </w:r>
      <w:r>
        <w:t xml:space="preserve"> </w:t>
      </w:r>
      <w:r>
        <w:t xml:space="preserve">and implementation of projects.  </w:t>
      </w:r>
      <w:r>
        <w:br/>
      </w:r>
      <w:r>
        <w:t xml:space="preserve">Consultation activities carried out related to the CAP post 2027 </w:t>
      </w:r>
      <w:r>
        <w:br/>
      </w:r>
      <w:r>
        <w:t xml:space="preserve">Launched in January 2024, a strategic dialogue on the future of EU agriculture (4)</w:t>
      </w:r>
      <w:r>
        <w:t xml:space="preserve"> </w:t>
      </w:r>
      <w:r>
        <w:t xml:space="preserve">brought together 29 major stakeholders from the European agri-food sectors, civil</w:t>
      </w:r>
      <w:r>
        <w:t xml:space="preserve"> </w:t>
      </w:r>
      <w:r>
        <w:t xml:space="preserve">society, rural communities and academia to reach a common understanding and vision</w:t>
      </w:r>
      <w:r>
        <w:t xml:space="preserve"> </w:t>
      </w:r>
      <w:r>
        <w:t xml:space="preserve">for the future of EU’s farming and food systems. On 4 September 2024, the final report of</w:t>
      </w:r>
      <w:r>
        <w:t xml:space="preserve"> </w:t>
      </w:r>
      <w:r>
        <w:t xml:space="preserve">the strategic dialogue was published presenting an assessment of challenges and</w:t>
      </w:r>
      <w:r>
        <w:t xml:space="preserve"> </w:t>
      </w:r>
      <w:r>
        <w:t xml:space="preserve">opportunities and a set of recommendations. In relation to the future CAP, the Strategic</w:t>
      </w:r>
      <w:r>
        <w:t xml:space="preserve"> </w:t>
      </w:r>
      <w:r>
        <w:t xml:space="preserve">Dialogue highlighted the need to continue providing socio-economic support targeted to</w:t>
      </w:r>
      <w:r>
        <w:t xml:space="preserve"> </w:t>
      </w:r>
      <w:r>
        <w:t xml:space="preserve">the farmers who need it most; promoting positive environmental, social, and animal</w:t>
      </w:r>
      <w:r>
        <w:t xml:space="preserve"> </w:t>
      </w:r>
      <w:r>
        <w:t xml:space="preserve">welfare outcomes for society; and invigorating enabling conditions for rural areas.</w:t>
      </w:r>
      <w:r>
        <w:t xml:space="preserve"> </w:t>
      </w:r>
      <w:r>
        <w:t xml:space="preserve">Reaching the EU’s objectives in terms of agriculture and food production, rural</w:t>
      </w:r>
      <w:r>
        <w:t xml:space="preserve"> </w:t>
      </w:r>
      <w:r>
        <w:t xml:space="preserve">development, climate neutrality, and biodiversity restoration requires a more strategic</w:t>
      </w:r>
      <w:r>
        <w:t xml:space="preserve"> </w:t>
      </w:r>
      <w:r>
        <w:t xml:space="preserve">approach to ensure that all ambitions are matched in a balanced and efficient manner.</w:t>
      </w:r>
      <w:r>
        <w:t xml:space="preserve"> </w:t>
      </w:r>
      <w:r>
        <w:t xml:space="preserve">Such principle is essential for making the transition economically profitable, promoting</w:t>
      </w:r>
      <w:r>
        <w:t xml:space="preserve"> </w:t>
      </w:r>
      <w:r>
        <w:t xml:space="preserve">generational renewal, invigorating rural areas and supporting farms at a competitive</w:t>
      </w:r>
      <w:r>
        <w:t xml:space="preserve"> </w:t>
      </w:r>
      <w:r>
        <w:t xml:space="preserve">disadvantage, yet essential for agricultural diversity in the EU.  . These topics have been</w:t>
      </w:r>
      <w:r>
        <w:t xml:space="preserve"> </w:t>
      </w:r>
      <w:r>
        <w:t xml:space="preserve">further discussed in a dedicated conference “Shaping the future of farming and the agri-</w:t>
      </w:r>
      <w:r>
        <w:t xml:space="preserve"> </w:t>
      </w:r>
      <w:r>
        <w:t xml:space="preserve">food sector” organised by the Commission on 8 May 2025, bringing together more than</w:t>
      </w:r>
      <w:r>
        <w:t xml:space="preserve"> </w:t>
      </w:r>
      <w:r>
        <w:t xml:space="preserve">one thousand participants between Member States and EU/national stakeholders.</w:t>
      </w:r>
      <w:r>
        <w:t xml:space="preserve"> </w:t>
      </w:r>
      <w:r>
        <w:t xml:space="preserve">Furthermore, in the framework of the recently established European Board for</w:t>
      </w:r>
      <w:r>
        <w:t xml:space="preserve"> </w:t>
      </w:r>
      <w:r>
        <w:t xml:space="preserve">Agriculture and Food (EBAF)38, bringing together organisations representing the</w:t>
      </w:r>
      <w:r>
        <w:t xml:space="preserve"> </w:t>
      </w:r>
      <w:r>
        <w:t xml:space="preserve">farming community, other actors of the food supply chain, and civil society, dedicated</w:t>
      </w:r>
      <w:r>
        <w:t xml:space="preserve"> </w:t>
      </w:r>
      <w:r>
        <w:t xml:space="preserve">discussions took place on 19 May 2025 and 19/20 June 2021 on how to better target</w:t>
      </w:r>
      <w:r>
        <w:t xml:space="preserve"> </w:t>
      </w:r>
      <w:r>
        <w:t xml:space="preserve">direct payments and move from conditions to incentives in the CAP post-2027.</w:t>
      </w:r>
      <w:r>
        <w:br/>
      </w:r>
      <w:r>
        <w:t xml:space="preserve">Furthermore, the Commission collected additional inputs on the future of the CAP</w:t>
      </w:r>
      <w:r>
        <w:t xml:space="preserve"> </w:t>
      </w:r>
      <w:r>
        <w:t xml:space="preserve">through dedicated meetings organized in the framework of existing EU stakeholders</w:t>
      </w:r>
      <w:r>
        <w:t xml:space="preserve"> </w:t>
      </w:r>
      <w:r>
        <w:t xml:space="preserve">platforms, including a fully dedicated Civil Dialogue Group on the future of the CAP on</w:t>
      </w:r>
      <w:r>
        <w:t xml:space="preserve"> </w:t>
      </w:r>
      <w:r>
        <w:t xml:space="preserve">the 25 June 2025.</w:t>
      </w:r>
    </w:p>
    <w:p>
      <w:pPr>
        <w:pStyle w:val="BodyText"/>
      </w:pPr>
      <w:r>
        <w:t xml:space="preserve">At the same time, two Youth dialogues chaired by the Commissioner for Agriculture and</w:t>
      </w:r>
      <w:r>
        <w:t xml:space="preserve"> </w:t>
      </w:r>
      <w:r>
        <w:t xml:space="preserve">Food (december 2024 and may 2025) stressed the need to reinforce the toolbox in favour</w:t>
      </w:r>
      <w:r>
        <w:t xml:space="preserve"> </w:t>
      </w:r>
      <w:r>
        <w:t xml:space="preserve">of generational renewal in agriculture and the first Implementation Dialogue on the</w:t>
      </w:r>
      <w:r>
        <w:t xml:space="preserve"> </w:t>
      </w:r>
      <w:r>
        <w:t xml:space="preserve">current CAP (June 2025) highlighted the need to improve existing tools to make them</w:t>
      </w:r>
      <w:r>
        <w:t xml:space="preserve"> </w:t>
      </w:r>
      <w:r>
        <w:t xml:space="preserve">more efficient and impactful.</w:t>
      </w:r>
    </w:p>
    <w:p>
      <w:pPr>
        <w:pStyle w:val="BodyText"/>
      </w:pPr>
      <w:r>
        <w:t xml:space="preserve">The Commission also carried out a series of technical workshops between December</w:t>
      </w:r>
      <w:r>
        <w:t xml:space="preserve"> </w:t>
      </w:r>
      <w:r>
        <w:t xml:space="preserve">2023 and May 2024 bringing together Member States and EU stakeholders to discuss key</w:t>
      </w:r>
      <w:r>
        <w:t xml:space="preserve"> </w:t>
      </w:r>
      <w:r>
        <w:t xml:space="preserve">strategic policy questions, taking into account ongoing and future challenges and</w:t>
      </w:r>
      <w:r>
        <w:t xml:space="preserve"> </w:t>
      </w:r>
      <w:r>
        <w:t xml:space="preserve">opportunities for EU agriculture and rural areas and possible CAP policy response. The</w:t>
      </w:r>
      <w:r>
        <w:t xml:space="preserve"> </w:t>
      </w:r>
      <w:r>
        <w:t xml:space="preserve">topics covered were resilience, food security, sustainability, CAP governance and</w:t>
      </w:r>
      <w:r>
        <w:t xml:space="preserve"> </w:t>
      </w:r>
      <w:r>
        <w:t xml:space="preserve">performance, and solidarity and rural areas and conclusions from the workshops included</w:t>
      </w:r>
      <w:r>
        <w:t xml:space="preserve"> </w:t>
      </w:r>
      <w:r>
        <w:t xml:space="preserve">calls for stability, flexibility and simplification (in particular for farmers) and support for</w:t>
      </w:r>
      <w:r>
        <w:t xml:space="preserve"> </w:t>
      </w:r>
      <w:r>
        <w:t xml:space="preserve">more integrated policy responses in view of the breadth of rural challenges.  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different policy options for this initiative propose to simplify the current landscape</w:t>
      </w:r>
      <w:r>
        <w:t xml:space="preserve"> </w:t>
      </w:r>
      <w:r>
        <w:t xml:space="preserve">of EU funds for nationally pre-allocated envelopes through a plan for each Member</w:t>
      </w:r>
      <w:r>
        <w:t xml:space="preserve"> </w:t>
      </w:r>
      <w:r>
        <w:t xml:space="preserve">State, combining a strategic agenda of reforms and investments targeted to Member</w:t>
      </w:r>
      <w:r>
        <w:t xml:space="preserve"> </w:t>
      </w:r>
      <w:r>
        <w:t xml:space="preserve">States’ needs while supporting EU priorities. With the different policy options for this</w:t>
      </w:r>
      <w:r>
        <w:t xml:space="preserve"> </w:t>
      </w:r>
      <w:r>
        <w:t xml:space="preserve">initiative, there would be one framework setting out the rules governing the plans’</w:t>
      </w:r>
      <w:r>
        <w:t xml:space="preserve"> </w:t>
      </w:r>
      <w:r>
        <w:t xml:space="preserve">funding for pre-allocated envelopes.</w:t>
      </w:r>
      <w:r>
        <w:br/>
      </w:r>
      <w:r>
        <w:t xml:space="preserve">National and regional/local administrations will be directly affected by the different</w:t>
      </w:r>
      <w:r>
        <w:t xml:space="preserve"> </w:t>
      </w:r>
      <w:r>
        <w:t xml:space="preserve">policy options for this initiative as they will have to implement the new framework and</w:t>
      </w:r>
      <w:r>
        <w:t xml:space="preserve"> </w:t>
      </w:r>
      <w:r>
        <w:t xml:space="preserve">adjust from the status quo. Recipients of EU funds (including businesses) would also</w:t>
      </w:r>
      <w:r>
        <w:t xml:space="preserve"> </w:t>
      </w:r>
      <w:r>
        <w:t xml:space="preserve">need to adjust to the new framework. Overall, the different policy options for this</w:t>
      </w:r>
      <w:r>
        <w:t xml:space="preserve"> </w:t>
      </w:r>
      <w:r>
        <w:t xml:space="preserve">initiative provide a major simplification of EU funds (one common set of rules) which is</w:t>
      </w:r>
      <w:r>
        <w:t xml:space="preserve"> </w:t>
      </w:r>
      <w:r>
        <w:t xml:space="preserve">expected, over the short to medium term, to reduce costs for national/regional/local</w:t>
      </w:r>
      <w:r>
        <w:t xml:space="preserve"> </w:t>
      </w:r>
      <w:r>
        <w:t xml:space="preserve">administrations as well as businesses (see Annex 5 on Competitiveness and Annex 6 on</w:t>
      </w:r>
      <w:r>
        <w:t xml:space="preserve"> </w:t>
      </w:r>
      <w:r>
        <w:t xml:space="preserve">SMEs).</w:t>
      </w:r>
      <w:r>
        <w:br/>
      </w:r>
      <w:r>
        <w:t xml:space="preserve">Bringing together different EU funds also provides the opportunity to increase synergies</w:t>
      </w:r>
      <w:r>
        <w:t xml:space="preserve"> </w:t>
      </w:r>
      <w:r>
        <w:t xml:space="preserve">and flexibility in the use of EU resources, which is conducive to a better allocation of</w:t>
      </w:r>
      <w:r>
        <w:t xml:space="preserve"> </w:t>
      </w:r>
      <w:r>
        <w:t xml:space="preserve">resources and a more efficient EU budget, with macroeconomic and society-wide</w:t>
      </w:r>
      <w:r>
        <w:t xml:space="preserve"> </w:t>
      </w:r>
      <w:r>
        <w:t xml:space="preserve">benefits in the long term. The focus on EU priorities, while taking into account national</w:t>
      </w:r>
      <w:r>
        <w:t xml:space="preserve"> </w:t>
      </w:r>
      <w:r>
        <w:t xml:space="preserve">and regional needs, is also expected to contribute to a more efficient use of EU resources.</w:t>
      </w:r>
      <w:r>
        <w:br/>
      </w:r>
      <w:r>
        <w:t xml:space="preserve">While one-off adjustment costs are expected for national and regional authorities and</w:t>
      </w:r>
      <w:r>
        <w:t xml:space="preserve"> </w:t>
      </w:r>
      <w:r>
        <w:t xml:space="preserve">beneficiaries (including businesses) to adjust to the new set-up, recurrent compliance and</w:t>
      </w:r>
    </w:p>
    <w:p>
      <w:pPr>
        <w:pStyle w:val="BodyText"/>
      </w:pPr>
      <w:r>
        <w:t xml:space="preserve">administrative costs are expected to be reduced compared to the status quo thanks to the</w:t>
      </w:r>
      <w:r>
        <w:t xml:space="preserve"> </w:t>
      </w:r>
      <w:r>
        <w:t xml:space="preserve">simplification efforts.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Efficiency gains of EU</w:t>
      </w:r>
      <w:r>
        <w:t xml:space="preserve"> </w:t>
      </w:r>
      <w:r>
        <w:t xml:space="preserve">budgetary resources</w:t>
      </w:r>
      <w:r>
        <w:t xml:space="preserve"> </w:t>
      </w:r>
      <w:r>
        <w:t xml:space="preserve">High</w:t>
      </w:r>
      <w:r>
        <w:t xml:space="preserve"> </w:t>
      </w:r>
      <w:r>
        <w:t xml:space="preserve">With a plan per Member State, the</w:t>
      </w:r>
      <w:r>
        <w:t xml:space="preserve"> </w:t>
      </w:r>
      <w:r>
        <w:t xml:space="preserve">proposed options enable to better support</w:t>
      </w:r>
      <w:r>
        <w:t xml:space="preserve"> </w:t>
      </w:r>
      <w:r>
        <w:t xml:space="preserve">EU priorities through a strategic agenda of</w:t>
      </w:r>
      <w:r>
        <w:t xml:space="preserve"> </w:t>
      </w:r>
      <w:r>
        <w:t xml:space="preserve">investments and reforms linking EU,</w:t>
      </w:r>
      <w:r>
        <w:t xml:space="preserve"> </w:t>
      </w:r>
      <w:r>
        <w:t xml:space="preserve">national and regional levels, to exploit</w:t>
      </w:r>
      <w:r>
        <w:t xml:space="preserve"> </w:t>
      </w:r>
      <w:r>
        <w:t xml:space="preserve">synergies across programmes currently</w:t>
      </w:r>
      <w:r>
        <w:t xml:space="preserve"> </w:t>
      </w:r>
      <w:r>
        <w:t xml:space="preserve">spread and to provide flexibility to</w:t>
      </w:r>
      <w:r>
        <w:t xml:space="preserve"> </w:t>
      </w:r>
      <w:r>
        <w:t xml:space="preserve">(re)allocate funds as needs emerge - which</w:t>
      </w:r>
      <w:r>
        <w:t xml:space="preserve"> </w:t>
      </w:r>
      <w:r>
        <w:t xml:space="preserve">are all in turn expected to provide</w:t>
      </w:r>
      <w:r>
        <w:t xml:space="preserve"> </w:t>
      </w:r>
      <w:r>
        <w:t xml:space="preserve">efficiency gains for the EU budget.</w:t>
      </w:r>
      <w:r>
        <w:t xml:space="preserve"> </w:t>
      </w:r>
      <w:r>
        <w:t xml:space="preserve">Reduction of compliance</w:t>
      </w:r>
      <w:r>
        <w:t xml:space="preserve"> </w:t>
      </w:r>
      <w:r>
        <w:t xml:space="preserve">costs to access EU funds</w:t>
      </w:r>
      <w:r>
        <w:t xml:space="preserve"> </w:t>
      </w:r>
      <w:r>
        <w:t xml:space="preserve">High</w:t>
      </w:r>
      <w:r>
        <w:t xml:space="preserve"> </w:t>
      </w:r>
      <w:r>
        <w:t xml:space="preserve">One common set of rules for pre-allocated</w:t>
      </w:r>
      <w:r>
        <w:t xml:space="preserve"> </w:t>
      </w:r>
      <w:r>
        <w:t xml:space="preserve">envelopes (instead of separate rules per</w:t>
      </w:r>
      <w:r>
        <w:t xml:space="preserve"> </w:t>
      </w:r>
      <w:r>
        <w:t xml:space="preserve">programme)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compliance costs for national and regional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Reduction of administrative</w:t>
      </w:r>
      <w:r>
        <w:t xml:space="preserve"> </w:t>
      </w:r>
      <w:r>
        <w:t xml:space="preserve">costs to access EU funds</w:t>
      </w:r>
      <w:r>
        <w:t xml:space="preserve"> </w:t>
      </w:r>
      <w:r>
        <w:t xml:space="preserve">High</w:t>
      </w:r>
      <w:r>
        <w:t xml:space="preserve"> </w:t>
      </w:r>
      <w:r>
        <w:t xml:space="preserve">One common set of rules for pre-allocated</w:t>
      </w:r>
      <w:r>
        <w:t xml:space="preserve"> </w:t>
      </w:r>
      <w:r>
        <w:t xml:space="preserve">envelopes (for example on reporting, audit,</w:t>
      </w:r>
      <w:r>
        <w:t xml:space="preserve"> </w:t>
      </w:r>
      <w:r>
        <w:t xml:space="preserve">communication) is expected to reduce</w:t>
      </w:r>
      <w:r>
        <w:t xml:space="preserve"> </w:t>
      </w:r>
      <w:r>
        <w:t xml:space="preserve">administrative costs for national and</w:t>
      </w:r>
      <w:r>
        <w:t xml:space="preserve"> </w:t>
      </w:r>
      <w:r>
        <w:t xml:space="preserve">regional administrations (cf. Annex 10).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compliance</w:t>
      </w:r>
      <w:r>
        <w:t xml:space="preserve"> </w:t>
      </w:r>
      <w:r>
        <w:t xml:space="preserve">costs to access EU funds</w:t>
      </w:r>
      <w:r>
        <w:t xml:space="preserve"> </w:t>
      </w:r>
      <w:r>
        <w:t xml:space="preserve">High</w:t>
      </w:r>
      <w:r>
        <w:t xml:space="preserve"> </w:t>
      </w:r>
      <w:r>
        <w:t xml:space="preserve">One common set of rules for pre-allocated</w:t>
      </w:r>
      <w:r>
        <w:t xml:space="preserve"> </w:t>
      </w:r>
      <w:r>
        <w:t xml:space="preserve">envelopes is expected to translate into a</w:t>
      </w:r>
      <w:r>
        <w:t xml:space="preserve"> </w:t>
      </w:r>
      <w:r>
        <w:t xml:space="preserve">simplified framework for beneficiaries</w:t>
      </w:r>
      <w:r>
        <w:t xml:space="preserve"> </w:t>
      </w:r>
      <w:r>
        <w:t xml:space="preserve">(including businesses) to access EU funds</w:t>
      </w:r>
      <w:r>
        <w:t xml:space="preserve"> </w:t>
      </w:r>
      <w:r>
        <w:t xml:space="preserve">Reduction of administrative</w:t>
      </w:r>
      <w:r>
        <w:t xml:space="preserve"> </w:t>
      </w:r>
      <w:r>
        <w:t xml:space="preserve">costs to access EU funds</w:t>
      </w:r>
      <w:r>
        <w:t xml:space="preserve"> </w:t>
      </w:r>
      <w:r>
        <w:t xml:space="preserve">Moderate</w:t>
      </w:r>
      <w:r>
        <w:t xml:space="preserve"> </w:t>
      </w:r>
      <w:r>
        <w:t xml:space="preserve">Instead of having investment opportunities</w:t>
      </w:r>
      <w:r>
        <w:t xml:space="preserve"> </w:t>
      </w:r>
      <w:r>
        <w:t xml:space="preserve">scattered across various programmes, the</w:t>
      </w:r>
      <w:r>
        <w:t xml:space="preserve"> </w:t>
      </w:r>
      <w:r>
        <w:t xml:space="preserve">plans would provide businesses with a</w:t>
      </w:r>
      <w:r>
        <w:t xml:space="preserve"> </w:t>
      </w:r>
      <w:r>
        <w:t xml:space="preserve">comprehensive overview of investment</w:t>
      </w:r>
      <w:r>
        <w:t xml:space="preserve"> </w:t>
      </w:r>
      <w:r>
        <w:t xml:space="preserve">opportunities per Member States.</w:t>
      </w:r>
      <w:r>
        <w:t xml:space="preserve"> </w:t>
      </w:r>
      <w:r>
        <w:t xml:space="preserve">Improved</w:t>
      </w:r>
      <w:r>
        <w:t xml:space="preserve"> </w:t>
      </w:r>
      <w:r>
        <w:t xml:space="preserve">framework</w:t>
      </w:r>
      <w:r>
        <w:t xml:space="preserve"> </w:t>
      </w:r>
      <w:r>
        <w:t xml:space="preserve">conditions</w:t>
      </w:r>
      <w:r>
        <w:t xml:space="preserve"> </w:t>
      </w:r>
      <w:r>
        <w:t xml:space="preserve">High</w:t>
      </w:r>
      <w:r>
        <w:t xml:space="preserve"> </w:t>
      </w:r>
      <w:r>
        <w:t xml:space="preserve">EU support for the implementation of</w:t>
      </w:r>
      <w:r>
        <w:t xml:space="preserve"> </w:t>
      </w:r>
      <w:r>
        <w:t xml:space="preserve">structural reforms tailored to Member</w:t>
      </w:r>
      <w:r>
        <w:t xml:space="preserve"> </w:t>
      </w:r>
      <w:r>
        <w:t xml:space="preserve">States’ and regional needs is expected to</w:t>
      </w:r>
      <w:r>
        <w:t xml:space="preserve"> </w:t>
      </w:r>
      <w:r>
        <w:t xml:space="preserve">benefit citizens and businesses.</w:t>
      </w:r>
    </w:p>
    <w:p>
      <w:pPr>
        <w:pStyle w:val="BodyText"/>
      </w:pPr>
      <w:r>
        <w:t xml:space="preserve">All the options proposed would trigger the benefits presented in the table above.</w:t>
      </w:r>
      <w:r>
        <w:t xml:space="preserve"> </w:t>
      </w:r>
      <w:r>
        <w:t xml:space="preserve">However, the magnitude of these benefits will depend on the extent of the plans’ scope,</w:t>
      </w:r>
      <w:r>
        <w:t xml:space="preserve"> </w:t>
      </w:r>
      <w:r>
        <w:t xml:space="preserve">as discussed in the impact assessment.</w:t>
      </w:r>
      <w:r>
        <w:t xml:space="preserve"> </w:t>
      </w:r>
      <w:r>
        <w:t xml:space="preserve">II. Overview of costs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For</w:t>
      </w:r>
      <w:r>
        <w:t xml:space="preserve"> </w:t>
      </w:r>
      <w:r>
        <w:t xml:space="preserve">the Direct adjustment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most</w:t>
      </w:r>
      <w:r>
        <w:t xml:space="preserve"> </w:t>
      </w:r>
      <w:r>
        <w:t xml:space="preserve">pertinent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br/>
      </w:r>
      <w:r>
        <w:t xml:space="preserve">costs</w:t>
      </w:r>
      <w:r>
        <w:t xml:space="preserve"> </w:t>
      </w:r>
      <w:r>
        <w:t xml:space="preserve">cost to</w:t>
      </w:r>
      <w:r>
        <w:t xml:space="preserve"> </w:t>
      </w:r>
      <w:r>
        <w:t xml:space="preserve">adapt to</w:t>
      </w:r>
      <w:r>
        <w:t xml:space="preserve"> </w:t>
      </w:r>
      <w:r>
        <w:t xml:space="preserve">new set-up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See table</w:t>
      </w:r>
      <w:r>
        <w:t xml:space="preserve"> </w:t>
      </w:r>
      <w:r>
        <w:t xml:space="preserve">below and</w:t>
      </w:r>
      <w:r>
        <w:t xml:space="preserve"> </w:t>
      </w:r>
      <w:r>
        <w:t xml:space="preserve">Annex 10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Reduction</w:t>
      </w:r>
      <w:r>
        <w:t xml:space="preserve"> </w:t>
      </w:r>
      <w:r>
        <w:t xml:space="preserve">compared to</w:t>
      </w:r>
      <w:r>
        <w:t xml:space="preserve"> </w:t>
      </w:r>
      <w:r>
        <w:t xml:space="preserve">status-quo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to adjust</w:t>
      </w:r>
      <w:r>
        <w:t xml:space="preserve"> </w:t>
      </w:r>
      <w:r>
        <w:t xml:space="preserve">to new set-up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The estimated total administrative costs for the most pertinent policy options are presented below (cf. </w:t>
      </w:r>
      <w:r>
        <w:t xml:space="preserve"> </w:t>
      </w:r>
      <w:r>
        <w:t xml:space="preserve">Annex 10). It shows that both option 1 and option 2 would massively reduce administrative costs for</w:t>
      </w:r>
      <w:r>
        <w:t xml:space="preserve"> </w:t>
      </w:r>
      <w:r>
        <w:t xml:space="preserve">Member States compared to the status quo. Options 1 and 2a would bring the biggest reduction, followed</w:t>
      </w:r>
      <w:r>
        <w:t xml:space="preserve"> </w:t>
      </w:r>
      <w:r>
        <w:t xml:space="preserve">by Option 2b.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Total administrative costs per million EUR spent</w:t>
      </w:r>
      <w:r>
        <w:t xml:space="preserve"> </w:t>
      </w:r>
      <w:r>
        <w:t xml:space="preserve">Status quo</w:t>
      </w:r>
      <w:r>
        <w:t xml:space="preserve"> </w:t>
      </w:r>
      <w:r>
        <w:t xml:space="preserve">37,968</w:t>
      </w:r>
      <w:r>
        <w:t xml:space="preserve"> </w:t>
      </w:r>
      <w:r>
        <w:t xml:space="preserve">Option 1</w:t>
      </w:r>
      <w:r>
        <w:t xml:space="preserve"> </w:t>
      </w:r>
      <w:r>
        <w:t xml:space="preserve">18,984</w:t>
      </w:r>
      <w:r>
        <w:t xml:space="preserve"> </w:t>
      </w:r>
      <w:r>
        <w:t xml:space="preserve">Option 2a</w:t>
      </w:r>
      <w:r>
        <w:t xml:space="preserve"> </w:t>
      </w:r>
      <w:r>
        <w:t xml:space="preserve">22,781</w:t>
      </w:r>
      <w:r>
        <w:t xml:space="preserve"> </w:t>
      </w:r>
      <w:r>
        <w:t xml:space="preserve">Option 2b</w:t>
      </w:r>
      <w:r>
        <w:t xml:space="preserve"> </w:t>
      </w:r>
      <w:r>
        <w:t xml:space="preserve">26,578</w:t>
      </w:r>
      <w:r>
        <w:t xml:space="preserve"> </w:t>
      </w:r>
      <w:r>
        <w:t xml:space="preserve">III. Application of the ‘one in, one out’ approach</w:t>
      </w:r>
      <w:r>
        <w:br/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Businesses will have to comply</w:t>
      </w:r>
      <w:r>
        <w:t xml:space="preserve"> </w:t>
      </w:r>
      <w:r>
        <w:t xml:space="preserve">with the framework to implement</w:t>
      </w:r>
      <w:r>
        <w:t xml:space="preserve"> </w:t>
      </w:r>
      <w:r>
        <w:t xml:space="preserve">the plans.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Businesses will no longer have to</w:t>
      </w:r>
      <w:r>
        <w:t xml:space="preserve"> </w:t>
      </w:r>
      <w:r>
        <w:t xml:space="preserve">comply with the various/diverse</w:t>
      </w:r>
      <w:r>
        <w:t xml:space="preserve"> </w:t>
      </w:r>
      <w:r>
        <w:t xml:space="preserve">frameworks set-up to implement</w:t>
      </w:r>
      <w:r>
        <w:t xml:space="preserve"> </w:t>
      </w:r>
      <w:r>
        <w:t xml:space="preserve">the current separate programmes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Reduced</w:t>
      </w:r>
      <w:r>
        <w:br/>
      </w:r>
      <w:r>
        <w:t xml:space="preserve">Reduced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Businesses will have to adjust</w:t>
      </w:r>
      <w:r>
        <w:t xml:space="preserve"> </w:t>
      </w:r>
      <w:r>
        <w:t xml:space="preserve">to the new rules to implement</w:t>
      </w:r>
      <w:r>
        <w:t xml:space="preserve"> </w:t>
      </w:r>
      <w:r>
        <w:t xml:space="preserve">the plans.</w:t>
      </w:r>
    </w:p>
    <w:p>
      <w:pPr>
        <w:pStyle w:val="BodyText"/>
      </w:pPr>
      <w:r>
        <w:t xml:space="preserve">Citizens</w:t>
      </w:r>
    </w:p>
    <w:p>
      <w:pPr>
        <w:pStyle w:val="BodyText"/>
      </w:pP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Reduced</w:t>
      </w:r>
      <w:r>
        <w:t xml:space="preserve"> </w:t>
      </w:r>
      <w:r>
        <w:t xml:space="preserve">Reduced</w:t>
      </w:r>
    </w:p>
    <w:p>
      <w:pPr>
        <w:pStyle w:val="BodyText"/>
      </w:pPr>
      <w:r>
        <w:t xml:space="preserve">All the options on the scope are relevant for the “one in, one out approach”. Compared to</w:t>
      </w:r>
      <w:r>
        <w:t xml:space="preserve"> </w:t>
      </w:r>
      <w:r>
        <w:t xml:space="preserve">the baseline (where EU funds with nationally pre-allocated envelopes are governed by</w:t>
      </w:r>
      <w:r>
        <w:t xml:space="preserve"> </w:t>
      </w:r>
      <w:r>
        <w:t xml:space="preserve">separate fund-specific regulations and implemented through different programmes), the</w:t>
      </w:r>
      <w:r>
        <w:t xml:space="preserve"> </w:t>
      </w:r>
      <w:r>
        <w:t xml:space="preserve">proposed options would replace the current multiple existing regulations with one</w:t>
      </w:r>
      <w:r>
        <w:t xml:space="preserve"> </w:t>
      </w:r>
      <w:r>
        <w:t xml:space="preserve">framework. The extent of the “one in, one out” will depend on the plans’ scope.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The proposal is expected to contribute to all Sustainable Development Goals (SDGs), as</w:t>
      </w:r>
      <w:r>
        <w:t xml:space="preserve"> </w:t>
      </w:r>
      <w:r>
        <w:t xml:space="preserve">it supports a broad spectrum of investments and reforms across the EU. These areas are</w:t>
      </w:r>
      <w:r>
        <w:t xml:space="preserve"> </w:t>
      </w:r>
      <w:r>
        <w:t xml:space="preserve">already partially covered by existing funds, each contributing to various SDGs. The final</w:t>
      </w:r>
      <w:r>
        <w:t xml:space="preserve"> </w:t>
      </w:r>
      <w:r>
        <w:t xml:space="preserve">list of SDGs to which the different policy options for this initiative will contribute will</w:t>
      </w:r>
      <w:r>
        <w:t xml:space="preserve"> </w:t>
      </w:r>
      <w:r>
        <w:t xml:space="preserve">ultimately depend on the scope of the plans.</w:t>
      </w:r>
      <w:r>
        <w:t xml:space="preserve"> </w:t>
      </w:r>
      <w:r>
        <w:t xml:space="preserve">The proposed approach integrates performance-oriented delivery within a shared</w:t>
      </w:r>
      <w:r>
        <w:t xml:space="preserve"> </w:t>
      </w:r>
      <w:r>
        <w:t xml:space="preserve">management framework, built on the partnership principle. This enhances coherence</w:t>
      </w:r>
      <w:r>
        <w:t xml:space="preserve"> </w:t>
      </w:r>
      <w:r>
        <w:t xml:space="preserve">between EU, national, and regional priorities, ensures better coordination of funding</w:t>
      </w:r>
      <w:r>
        <w:t xml:space="preserve"> </w:t>
      </w:r>
      <w:r>
        <w:t xml:space="preserve">sources, and reinforces Member States’ ownership.</w:t>
      </w:r>
      <w:r>
        <w:t xml:space="preserve"> </w:t>
      </w:r>
      <w:r>
        <w:t xml:space="preserve">Crucially, the impact on SDGs is expected to be significantly strengthened due to several</w:t>
      </w:r>
      <w:r>
        <w:t xml:space="preserve"> </w:t>
      </w:r>
      <w:r>
        <w:t xml:space="preserve">design features:</w:t>
      </w:r>
      <w:r>
        <w:t xml:space="preserve"> </w:t>
      </w:r>
      <w:r>
        <w:t xml:space="preserve">• A stronger link with SDG-relevant policy priorities, as the plan is embedded in</w:t>
      </w:r>
      <w:r>
        <w:t xml:space="preserve"> </w:t>
      </w:r>
      <w:r>
        <w:t xml:space="preserve">a unified reference framework and guided by a common steering mechanism that</w:t>
      </w:r>
      <w:r>
        <w:t xml:space="preserve"> </w:t>
      </w:r>
      <w:r>
        <w:t xml:space="preserve">aligns investments and reforms with strategic EU objectives;</w:t>
      </w:r>
      <w:r>
        <w:t xml:space="preserve"> </w:t>
      </w:r>
      <w:r>
        <w:t xml:space="preserve">• Increased support for reforms, which are essential for addressing root causes of</w:t>
      </w:r>
      <w:r>
        <w:t xml:space="preserve"> </w:t>
      </w:r>
      <w:r>
        <w:t xml:space="preserve">underperformance and for unlocking lasting impact across multiple SDGs;</w:t>
      </w:r>
      <w:r>
        <w:t xml:space="preserve"> </w:t>
      </w:r>
      <w:r>
        <w:t xml:space="preserve">• Simplified implementation rules, which enhance accessibility for a broader</w:t>
      </w:r>
      <w:r>
        <w:t xml:space="preserve"> </w:t>
      </w:r>
      <w:r>
        <w:t xml:space="preserve">range of beneficiaries, including smaller stakeholders, thereby expanding the</w:t>
      </w:r>
      <w:r>
        <w:t xml:space="preserve"> </w:t>
      </w:r>
      <w:r>
        <w:t xml:space="preserve">reach and inclusiveness of EU funding.</w:t>
      </w:r>
      <w:r>
        <w:t xml:space="preserve"> </w:t>
      </w:r>
      <w:r>
        <w:t xml:space="preserve">Together, these elements will not only facilitate monitoring of progress but—more</w:t>
      </w:r>
      <w:r>
        <w:t xml:space="preserve"> </w:t>
      </w:r>
      <w:r>
        <w:t xml:space="preserve">importantly—help accelerate the achievement of the SDGs. In particular, reforms under</w:t>
      </w:r>
      <w:r>
        <w:t xml:space="preserve"> </w:t>
      </w:r>
      <w:r>
        <w:t xml:space="preserve">the new model will serve as a critical lever to deliver tangible results and address</w:t>
      </w:r>
      <w:r>
        <w:t xml:space="preserve"> </w:t>
      </w:r>
      <w:r>
        <w:t xml:space="preserve">persistent implementation gaps.</w:t>
      </w:r>
      <w:r>
        <w:t xml:space="preserve"> </w:t>
      </w:r>
      <w:r>
        <w:t xml:space="preserve">The examples below illustrate how funding from pre-allocated envelopes can contribute</w:t>
      </w:r>
      <w:r>
        <w:t xml:space="preserve"> </w:t>
      </w:r>
      <w:r>
        <w:t xml:space="preserve">to all SDGs within this more integrated, accessible, and performance-driven framework.</w:t>
      </w:r>
    </w:p>
    <w:p>
      <w:pPr>
        <w:pStyle w:val="Compact"/>
        <w:numPr>
          <w:ilvl w:val="0"/>
          <w:numId w:val="1006"/>
        </w:numPr>
      </w:pPr>
      <w:r>
        <w:t xml:space="preserve">Overview of relevant Sustainable Development Goals</w:t>
      </w:r>
      <w:r>
        <w:br/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 (examples)</w:t>
      </w:r>
      <w:r>
        <w:t xml:space="preserve"> </w:t>
      </w:r>
      <w:r>
        <w:t xml:space="preserve">SDG 1 - End poverty in all</w:t>
      </w:r>
      <w:r>
        <w:t xml:space="preserve"> </w:t>
      </w:r>
      <w:r>
        <w:t xml:space="preserve">its forms everywhere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reforms and measures to combat poverty</w:t>
      </w:r>
      <w:r>
        <w:t xml:space="preserve"> </w:t>
      </w:r>
      <w:r>
        <w:t xml:space="preserve">and social exclusion and address material</w:t>
      </w:r>
      <w:r>
        <w:t xml:space="preserve"> </w:t>
      </w:r>
      <w:r>
        <w:t xml:space="preserve">deprivation.</w:t>
      </w:r>
      <w:r>
        <w:t xml:space="preserve"> </w:t>
      </w:r>
      <w:r>
        <w:t xml:space="preserve">SDG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07"/>
        </w:numPr>
      </w:pPr>
      <w:r>
        <w:t xml:space="preserve">End</w:t>
      </w:r>
      <w:r>
        <w:t xml:space="preserve"> </w:t>
      </w:r>
      <w:r>
        <w:t xml:space="preserve">hunger,</w:t>
      </w:r>
      <w:r>
        <w:t xml:space="preserve"> </w:t>
      </w:r>
      <w:r>
        <w:t xml:space="preserve">achieve food security and</w:t>
      </w:r>
      <w:r>
        <w:t xml:space="preserve"> </w:t>
      </w:r>
      <w:r>
        <w:t xml:space="preserve">improved</w:t>
      </w:r>
      <w:r>
        <w:t xml:space="preserve"> </w:t>
      </w:r>
      <w:r>
        <w:t xml:space="preserve">nutrition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sustainable</w:t>
      </w:r>
      <w:r>
        <w:t xml:space="preserve"> </w:t>
      </w:r>
      <w:r>
        <w:t xml:space="preserve">agriculture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reforms to support generational renewal</w:t>
      </w:r>
      <w:r>
        <w:t xml:space="preserve"> </w:t>
      </w:r>
      <w:r>
        <w:t xml:space="preserve">in the agricultural sector (e.g. to ease access</w:t>
      </w:r>
      <w:r>
        <w:t xml:space="preserve"> </w:t>
      </w:r>
      <w:r>
        <w:t xml:space="preserve">to land/capital; retirement schemes; fiscal</w:t>
      </w:r>
      <w:r>
        <w:t xml:space="preserve"> </w:t>
      </w:r>
      <w:r>
        <w:t xml:space="preserve">incentives).</w:t>
      </w:r>
      <w:r>
        <w:br/>
      </w:r>
      <w:r>
        <w:t xml:space="preserve">SDG 3 - Ensure healthy</w:t>
      </w:r>
      <w:r>
        <w:t xml:space="preserve"> </w:t>
      </w:r>
      <w:r>
        <w:t xml:space="preserve">lives and promote well-</w:t>
      </w:r>
      <w:r>
        <w:t xml:space="preserve"> </w:t>
      </w:r>
      <w:r>
        <w:t xml:space="preserve">being for all at all ages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Future national and regional partnership</w:t>
      </w:r>
      <w:r>
        <w:t xml:space="preserve"> </w:t>
      </w:r>
      <w:r>
        <w:t xml:space="preserve">plans could for example include reforms that</w:t>
      </w:r>
      <w:r>
        <w:t xml:space="preserve"> </w:t>
      </w:r>
      <w:r>
        <w:t xml:space="preserve">determines the primary care network on the</w:t>
      </w:r>
      <w:r>
        <w:t xml:space="preserve"> </w:t>
      </w:r>
      <w:r>
        <w:t xml:space="preserve">basis of availability of doctors and up-to-</w:t>
      </w:r>
      <w:r>
        <w:t xml:space="preserve"> </w:t>
      </w:r>
      <w:r>
        <w:t xml:space="preserve">date capacity needs.</w:t>
      </w:r>
      <w:r>
        <w:br/>
      </w:r>
      <w:r>
        <w:t xml:space="preserve">SDG 4 - Ensure inclusive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quality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lifelong</w:t>
      </w:r>
      <w:r>
        <w:t xml:space="preserve"> </w:t>
      </w:r>
      <w:r>
        <w:t xml:space="preserve">learning</w:t>
      </w:r>
      <w:r>
        <w:t xml:space="preserve"> </w:t>
      </w:r>
      <w:r>
        <w:t xml:space="preserve">opportunities for all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investments in skills</w:t>
      </w:r>
      <w:r>
        <w:br/>
      </w:r>
      <w:r>
        <w:t xml:space="preserve">SDG 5 - Achieve gender</w:t>
      </w:r>
      <w:r>
        <w:t xml:space="preserve"> </w:t>
      </w:r>
      <w:r>
        <w:t xml:space="preserve">equality and empower all</w:t>
      </w:r>
      <w:r>
        <w:t xml:space="preserve"> </w:t>
      </w:r>
      <w:r>
        <w:t xml:space="preserve">women and girls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As the rest of the EU budget, the plans 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gender</w:t>
      </w:r>
      <w:r>
        <w:t xml:space="preserve"> </w:t>
      </w:r>
      <w:r>
        <w:t xml:space="preserve">mainstreaming</w:t>
      </w:r>
      <w:r>
        <w:t xml:space="preserve"> </w:t>
      </w:r>
      <w:r>
        <w:t xml:space="preserve">(cf. </w:t>
      </w:r>
      <w:r>
        <w:t xml:space="preserve"> </w:t>
      </w:r>
      <w:r>
        <w:t xml:space="preserve">dedicated</w:t>
      </w:r>
      <w:r>
        <w:t xml:space="preserve"> </w:t>
      </w:r>
      <w:r>
        <w:t xml:space="preserve">IA</w:t>
      </w:r>
      <w:r>
        <w:t xml:space="preserve"> </w:t>
      </w:r>
      <w:r>
        <w:t xml:space="preserve">on</w:t>
      </w:r>
      <w:r>
        <w:t xml:space="preserve"> </w:t>
      </w:r>
      <w:r>
        <w:t xml:space="preserve">performance)</w:t>
      </w:r>
      <w:r>
        <w:br/>
      </w:r>
      <w:r>
        <w:t xml:space="preserve">SDG 6 - Ensure availability</w:t>
      </w:r>
      <w:r>
        <w:t xml:space="preserve"> </w:t>
      </w:r>
      <w:r>
        <w:t xml:space="preserve">and sustainable management</w:t>
      </w:r>
      <w:r>
        <w:t xml:space="preserve"> </w:t>
      </w:r>
      <w:r>
        <w:t xml:space="preserve">of water and sanitation for</w:t>
      </w:r>
      <w:r>
        <w:t xml:space="preserve"> </w:t>
      </w:r>
      <w:r>
        <w:t xml:space="preserve">all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investments into water management</w:t>
      </w:r>
      <w:r>
        <w:t xml:space="preserve"> </w:t>
      </w:r>
      <w:r>
        <w:t xml:space="preserve">systems to incentivise sustainable water use</w:t>
      </w:r>
      <w:r>
        <w:t xml:space="preserve"> </w:t>
      </w:r>
      <w:r>
        <w:t xml:space="preserve">in agriculture.</w:t>
      </w:r>
      <w:r>
        <w:t xml:space="preserve"> </w:t>
      </w:r>
      <w:r>
        <w:t xml:space="preserve">SDG 7 - Ensure access to</w:t>
      </w:r>
      <w:r>
        <w:t xml:space="preserve"> </w:t>
      </w:r>
      <w:r>
        <w:t xml:space="preserve">affordable,</w:t>
      </w:r>
      <w:r>
        <w:t xml:space="preserve"> </w:t>
      </w:r>
      <w:r>
        <w:t xml:space="preserve">reliable,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modern</w:t>
      </w:r>
      <w:r>
        <w:t xml:space="preserve"> </w:t>
      </w:r>
      <w:r>
        <w:t xml:space="preserve">energy for all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 investments into energy renovation in</w:t>
      </w:r>
      <w:r>
        <w:t xml:space="preserve"> </w:t>
      </w:r>
      <w:r>
        <w:t xml:space="preserve">housing</w:t>
      </w:r>
      <w:r>
        <w:t xml:space="preserve"> </w:t>
      </w:r>
      <w:r>
        <w:t xml:space="preserve">targeted</w:t>
      </w:r>
      <w:r>
        <w:t xml:space="preserve"> </w:t>
      </w:r>
      <w:r>
        <w:t xml:space="preserve">to</w:t>
      </w:r>
      <w:r>
        <w:t xml:space="preserve"> </w:t>
      </w:r>
      <w:r>
        <w:t xml:space="preserve">lower-income</w:t>
      </w:r>
      <w:r>
        <w:t xml:space="preserve"> </w:t>
      </w:r>
      <w:r>
        <w:t xml:space="preserve">households</w:t>
      </w:r>
      <w:r>
        <w:t xml:space="preserve"> </w:t>
      </w:r>
      <w:r>
        <w:t xml:space="preserve">SDG 8 - Promote 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 growth, full and</w:t>
      </w:r>
      <w:r>
        <w:t xml:space="preserve"> </w:t>
      </w:r>
      <w:r>
        <w:t xml:space="preserve">productive employment and</w:t>
      </w:r>
      <w:r>
        <w:t xml:space="preserve"> </w:t>
      </w:r>
      <w:r>
        <w:t xml:space="preserve">decent work for all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investment schemes to support the</w:t>
      </w:r>
      <w:r>
        <w:t xml:space="preserve"> </w:t>
      </w:r>
      <w:r>
        <w:t xml:space="preserve">digital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by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skills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employees.</w:t>
      </w:r>
    </w:p>
    <w:p>
      <w:pPr>
        <w:pStyle w:val="FirstParagraph"/>
      </w:pPr>
      <w:r>
        <w:t xml:space="preserve">SDG 9 - Build resilient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 and foster</w:t>
      </w:r>
      <w:r>
        <w:t xml:space="preserve"> </w:t>
      </w:r>
      <w:r>
        <w:t xml:space="preserve">innovation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schemes to support companies in in</w:t>
      </w:r>
      <w:r>
        <w:t xml:space="preserve"> </w:t>
      </w:r>
      <w:r>
        <w:t xml:space="preserve">research and development investments,</w:t>
      </w:r>
      <w:r>
        <w:t xml:space="preserve"> </w:t>
      </w:r>
      <w:r>
        <w:t xml:space="preserve">incentivising private sector innovation.</w:t>
      </w:r>
      <w:r>
        <w:br/>
      </w:r>
      <w:r>
        <w:t xml:space="preserve">SDG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Reduce</w:t>
      </w:r>
      <w:r>
        <w:t xml:space="preserve"> </w:t>
      </w:r>
      <w:r>
        <w:t xml:space="preserve">inequalities</w:t>
      </w:r>
      <w:r>
        <w:t xml:space="preserve"> </w:t>
      </w:r>
      <w:r>
        <w:t xml:space="preserve">within</w:t>
      </w:r>
      <w:r>
        <w:t xml:space="preserve"> </w:t>
      </w:r>
      <w:r>
        <w:t xml:space="preserve">and</w:t>
      </w:r>
      <w:r>
        <w:t xml:space="preserve"> </w:t>
      </w:r>
      <w:r>
        <w:t xml:space="preserve">among countries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investments to ensure adequate access to</w:t>
      </w:r>
      <w:r>
        <w:t xml:space="preserve"> </w:t>
      </w:r>
      <w:r>
        <w:t xml:space="preserve">transport services for disadvantaged and</w:t>
      </w:r>
      <w:r>
        <w:t xml:space="preserve"> </w:t>
      </w:r>
      <w:r>
        <w:t xml:space="preserve">vulnerable persons.</w:t>
      </w:r>
      <w:r>
        <w:t xml:space="preserve"> </w:t>
      </w:r>
      <w:r>
        <w:t xml:space="preserve">SDG 11 - Make cities and</w:t>
      </w:r>
      <w:r>
        <w:t xml:space="preserve"> </w:t>
      </w:r>
      <w:r>
        <w:t xml:space="preserve">human settlements inclusive,</w:t>
      </w:r>
      <w:r>
        <w:t xml:space="preserve"> </w:t>
      </w:r>
      <w:r>
        <w:t xml:space="preserve">safe,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measures establishing car free spaces</w:t>
      </w:r>
      <w:r>
        <w:t xml:space="preserve"> </w:t>
      </w:r>
      <w:r>
        <w:t xml:space="preserve">and promoting the regeneration of public</w:t>
      </w:r>
      <w:r>
        <w:t xml:space="preserve"> </w:t>
      </w:r>
      <w:r>
        <w:t xml:space="preserve">spaces of village and town cores.</w:t>
      </w:r>
      <w:r>
        <w:t xml:space="preserve"> </w:t>
      </w:r>
      <w:r>
        <w:t xml:space="preserve">SDG 12 - Ensure sustainable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patterns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measures supporting the introduction of</w:t>
      </w:r>
      <w:r>
        <w:t xml:space="preserve"> </w:t>
      </w:r>
      <w:r>
        <w:t xml:space="preserve">new, cleaner production technologies for</w:t>
      </w:r>
      <w:r>
        <w:t xml:space="preserve"> </w:t>
      </w:r>
      <w:r>
        <w:t xml:space="preserve">energy-intensive industries.</w:t>
      </w:r>
      <w:r>
        <w:t xml:space="preserve"> </w:t>
      </w:r>
      <w:r>
        <w:t xml:space="preserve">SDG 13 - Take urgent action To be determined when milestones/targets and As the rest of the EU budget, the plans are</w:t>
      </w:r>
    </w:p>
    <w:p>
      <w:pPr>
        <w:pStyle w:val="BodyText"/>
      </w:pPr>
      <w:r>
        <w:t xml:space="preserve">to combat climate change</w:t>
      </w:r>
      <w:r>
        <w:t xml:space="preserve"> </w:t>
      </w:r>
      <w:r>
        <w:t xml:space="preserve">and its impacts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mainstreaming</w:t>
      </w:r>
      <w:r>
        <w:t xml:space="preserve"> </w:t>
      </w:r>
      <w:r>
        <w:t xml:space="preserve">(cf. </w:t>
      </w:r>
      <w:r>
        <w:t xml:space="preserve"> </w:t>
      </w:r>
      <w:r>
        <w:t xml:space="preserve">dedicated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on performance)</w:t>
      </w:r>
      <w:r>
        <w:br/>
      </w:r>
      <w:r>
        <w:t xml:space="preserve">SDG 14 - Conserve and</w:t>
      </w:r>
      <w:r>
        <w:t xml:space="preserve"> </w:t>
      </w:r>
      <w:r>
        <w:t xml:space="preserve">sustainably use the oceans,</w:t>
      </w:r>
      <w:r>
        <w:t xml:space="preserve"> </w:t>
      </w:r>
      <w:r>
        <w:t xml:space="preserve">seas and marine resources</w:t>
      </w:r>
      <w:r>
        <w:t xml:space="preserve"> </w:t>
      </w:r>
      <w:r>
        <w:t xml:space="preserve">for sustainable development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</w:t>
      </w:r>
    </w:p>
    <w:p>
      <w:pPr>
        <w:pStyle w:val="BodyText"/>
      </w:pP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ecological</w:t>
      </w:r>
      <w:r>
        <w:t xml:space="preserve"> </w:t>
      </w:r>
      <w:r>
        <w:t xml:space="preserve">restoration and supporting coastal areas</w:t>
      </w:r>
      <w:r>
        <w:t xml:space="preserve"> </w:t>
      </w:r>
      <w:r>
        <w:t xml:space="preserve">SDG 15 - Protect, restore</w:t>
      </w:r>
      <w:r>
        <w:t xml:space="preserve"> </w:t>
      </w:r>
      <w:r>
        <w:t xml:space="preserve">and promote sustainable use</w:t>
      </w:r>
      <w:r>
        <w:t xml:space="preserve"> </w:t>
      </w:r>
      <w:r>
        <w:t xml:space="preserve">of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ecosystems,</w:t>
      </w:r>
      <w:r>
        <w:t xml:space="preserve"> </w:t>
      </w:r>
      <w:r>
        <w:t xml:space="preserve">sustainably manage forests,</w:t>
      </w:r>
      <w:r>
        <w:t xml:space="preserve"> </w:t>
      </w:r>
      <w:r>
        <w:t xml:space="preserve">combat desertification, and</w:t>
      </w:r>
      <w:r>
        <w:t xml:space="preserve"> </w:t>
      </w:r>
      <w:r>
        <w:t xml:space="preserve">halt</w:t>
      </w:r>
      <w:r>
        <w:t xml:space="preserve"> </w:t>
      </w:r>
      <w:r>
        <w:t xml:space="preserve">and</w:t>
      </w:r>
      <w:r>
        <w:t xml:space="preserve"> </w:t>
      </w:r>
      <w:r>
        <w:t xml:space="preserve">reverse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and</w:t>
      </w:r>
      <w:r>
        <w:t xml:space="preserve"> </w:t>
      </w:r>
      <w:r>
        <w:t xml:space="preserve">halt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measures aimed at nature restoration,</w:t>
      </w:r>
      <w:r>
        <w:t xml:space="preserve"> </w:t>
      </w:r>
      <w:r>
        <w:t xml:space="preserve">for instance in the agricultural sector</w:t>
      </w:r>
      <w:r>
        <w:br/>
      </w:r>
      <w:r>
        <w:t xml:space="preserve">SDG 16 - Promote peaceful</w:t>
      </w:r>
      <w:r>
        <w:t xml:space="preserve"> </w:t>
      </w:r>
      <w:r>
        <w:t xml:space="preserve">and inclusive societies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development,</w:t>
      </w:r>
      <w:r>
        <w:t xml:space="preserve"> </w:t>
      </w:r>
      <w:r>
        <w:t xml:space="preserve">provide access to justice for</w:t>
      </w:r>
      <w:r>
        <w:t xml:space="preserve"> </w:t>
      </w:r>
      <w:r>
        <w:t xml:space="preserve">all</w:t>
      </w:r>
      <w:r>
        <w:t xml:space="preserve"> </w:t>
      </w:r>
      <w:r>
        <w:t xml:space="preserve">and</w:t>
      </w:r>
      <w:r>
        <w:t xml:space="preserve"> </w:t>
      </w:r>
      <w:r>
        <w:t xml:space="preserve">build</w:t>
      </w:r>
      <w:r>
        <w:t xml:space="preserve"> </w:t>
      </w:r>
      <w:r>
        <w:t xml:space="preserve">effective,</w:t>
      </w:r>
      <w:r>
        <w:t xml:space="preserve"> </w:t>
      </w:r>
      <w:r>
        <w:t xml:space="preserve">accountable and inclusive</w:t>
      </w:r>
      <w:r>
        <w:t xml:space="preserve"> </w:t>
      </w:r>
      <w:r>
        <w:t xml:space="preserve">institutions at all levels</w:t>
      </w:r>
      <w:r>
        <w:t xml:space="preserve"> </w:t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reforms to improve the legal response</w:t>
      </w:r>
      <w:r>
        <w:t xml:space="preserve"> </w:t>
      </w:r>
      <w:r>
        <w:t xml:space="preserve">to corruption.</w:t>
      </w:r>
      <w:r>
        <w:br/>
      </w:r>
      <w:r>
        <w:t xml:space="preserve">SDG 17 - Strengthen the</w:t>
      </w:r>
      <w:r>
        <w:t xml:space="preserve"> </w:t>
      </w:r>
      <w:r>
        <w:t xml:space="preserve">means of implementation</w:t>
      </w:r>
      <w:r>
        <w:t xml:space="preserve"> </w:t>
      </w:r>
      <w:r>
        <w:t xml:space="preserve">and revitalize the global</w:t>
      </w:r>
      <w:r>
        <w:t xml:space="preserve"> </w:t>
      </w:r>
      <w:r>
        <w:t xml:space="preserve">partnership for sustainable</w:t>
      </w:r>
      <w:r>
        <w:t xml:space="preserve"> </w:t>
      </w:r>
      <w:r>
        <w:t xml:space="preserve">development.</w:t>
      </w:r>
      <w:r>
        <w:br/>
      </w:r>
      <w:r>
        <w:t xml:space="preserve">To be determined when milestones/targets and</w:t>
      </w:r>
      <w:r>
        <w:t xml:space="preserve"> </w:t>
      </w:r>
      <w:r>
        <w:t xml:space="preserve">indicators are set</w:t>
      </w:r>
      <w:r>
        <w:t xml:space="preserve"> </w:t>
      </w:r>
      <w:r>
        <w:t xml:space="preserve">e.g. tax reforms to improve domestic</w:t>
      </w:r>
      <w:r>
        <w:t xml:space="preserve"> </w:t>
      </w:r>
      <w:r>
        <w:t xml:space="preserve">revenue collection.</w:t>
      </w:r>
    </w:p>
    <w:p>
      <w:pPr>
        <w:pStyle w:val="BodyText"/>
      </w:pPr>
      <w:r>
        <w:t xml:space="preserve">ANNEX 4: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References to sub-sections</w:t>
      </w:r>
      <w:r>
        <w:t xml:space="preserve"> </w:t>
      </w:r>
      <w:r>
        <w:t xml:space="preserve">of the main report or</w:t>
      </w:r>
      <w:r>
        <w:t xml:space="preserve"> </w:t>
      </w:r>
      <w:r>
        <w:t xml:space="preserve">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7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Section 5.3 and section 7</w:t>
      </w:r>
      <w:r>
        <w:t xml:space="preserve"> </w:t>
      </w:r>
      <w:r>
        <w:t xml:space="preserve">SME competitiveness</w:t>
      </w:r>
      <w:r>
        <w:br/>
      </w:r>
      <w:r>
        <w:t xml:space="preserve">+</w:t>
      </w:r>
      <w:r>
        <w:t xml:space="preserve"> </w:t>
      </w:r>
      <w:r>
        <w:t xml:space="preserve">Section 7 and Annex 5 (SME</w:t>
      </w:r>
      <w:r>
        <w:t xml:space="preserve"> </w:t>
      </w:r>
      <w:r>
        <w:t xml:space="preserve">check)</w:t>
      </w:r>
    </w:p>
    <w:p>
      <w:pPr>
        <w:pStyle w:val="Compact"/>
        <w:numPr>
          <w:ilvl w:val="0"/>
          <w:numId w:val="1008"/>
        </w:numPr>
      </w:pPr>
      <w:r>
        <w:t xml:space="preserve">SYNTHETIC ASSESSMENT</w:t>
      </w:r>
      <w:r>
        <w:br/>
      </w:r>
      <w:r>
        <w:t xml:space="preserve">All options on the scope are fully in line with the Commission’s agenda to support EU</w:t>
      </w:r>
      <w:r>
        <w:t xml:space="preserve"> </w:t>
      </w:r>
      <w:r>
        <w:t xml:space="preserve">competitiveness, most notably the Competitiveness Compass for the EU39 adopted in</w:t>
      </w:r>
      <w:r>
        <w:t xml:space="preserve"> </w:t>
      </w:r>
      <w:r>
        <w:t xml:space="preserve">January 2025, which calls for action on “horizontal enablers” including simplifying the</w:t>
      </w:r>
      <w:r>
        <w:t xml:space="preserve"> </w:t>
      </w:r>
      <w:r>
        <w:t xml:space="preserve">regulatory environment, reducing burden favouring speed and flexibility, as well as a</w:t>
      </w:r>
      <w:r>
        <w:t xml:space="preserve"> </w:t>
      </w:r>
      <w:r>
        <w:t xml:space="preserve">refocused EU budget and a better coordination of policies at EU and national level.</w:t>
      </w:r>
    </w:p>
    <w:p>
      <w:pPr>
        <w:pStyle w:val="FirstParagraph"/>
      </w:pPr>
      <w:r>
        <w:t xml:space="preserve">39 A Competititive Compass for the EU</w:t>
      </w:r>
    </w:p>
    <w:p>
      <w:pPr>
        <w:pStyle w:val="BodyText"/>
      </w:pPr>
      <w:r>
        <w:t xml:space="preserve">By relying on a steering mechanism to identify the reforms and investments to be</w:t>
      </w:r>
      <w:r>
        <w:t xml:space="preserve"> </w:t>
      </w:r>
      <w:r>
        <w:t xml:space="preserve">included in each plan, this initiative helps steer the EU budget towards supporting EU</w:t>
      </w:r>
      <w:r>
        <w:t xml:space="preserve"> </w:t>
      </w:r>
      <w:r>
        <w:t xml:space="preserve">competitiveness, focusing on commonly agreed priorities, while being tailored to</w:t>
      </w:r>
      <w:r>
        <w:t xml:space="preserve"> </w:t>
      </w:r>
      <w:r>
        <w:t xml:space="preserve">Member States’ specific needs.</w:t>
      </w:r>
      <w:r>
        <w:br/>
      </w:r>
      <w:r>
        <w:t xml:space="preserve">Cost and price competitiveness: The options on the scope are not expected to have a</w:t>
      </w:r>
      <w:r>
        <w:t xml:space="preserve"> </w:t>
      </w:r>
      <w:r>
        <w:t xml:space="preserve">direct impact on the cost of inputs, capital or labour, nor on the price of outputs in the</w:t>
      </w:r>
      <w:r>
        <w:t xml:space="preserve"> </w:t>
      </w:r>
      <w:r>
        <w:t xml:space="preserve">EU. The options are, however, expected to reduce administrative and compliance costs to</w:t>
      </w:r>
      <w:r>
        <w:t xml:space="preserve"> </w:t>
      </w:r>
      <w:r>
        <w:t xml:space="preserve">access EU funds for both national/regional/local authorities and businesses by having one</w:t>
      </w:r>
      <w:r>
        <w:t xml:space="preserve"> </w:t>
      </w:r>
      <w:r>
        <w:t xml:space="preserve">framework setting out the rules governing the plans’ funding for pre-allocated envelopes</w:t>
      </w:r>
      <w:r>
        <w:t xml:space="preserve"> </w:t>
      </w:r>
      <w:r>
        <w:t xml:space="preserve">(instead of separate rules per programme). The options are also expected to have a</w:t>
      </w:r>
      <w:r>
        <w:t xml:space="preserve"> </w:t>
      </w:r>
      <w:r>
        <w:t xml:space="preserve">positive impact on cost/price competitiveness as it supports a more efficient use of EU</w:t>
      </w:r>
      <w:r>
        <w:t xml:space="preserve"> </w:t>
      </w:r>
      <w:r>
        <w:t xml:space="preserve">budgetary resources.</w:t>
      </w:r>
      <w:r>
        <w:br/>
      </w:r>
      <w:r>
        <w:t xml:space="preserve">International competitiveness: The options on the scope are not expected to have a</w:t>
      </w:r>
      <w:r>
        <w:t xml:space="preserve"> </w:t>
      </w:r>
      <w:r>
        <w:t xml:space="preserve">direct impact on EU market shares. However, they are expected have a positive impact</w:t>
      </w:r>
      <w:r>
        <w:t xml:space="preserve"> </w:t>
      </w:r>
      <w:r>
        <w:t xml:space="preserve">on EU firms with respect to non-EU competitors, through improved framework</w:t>
      </w:r>
      <w:r>
        <w:t xml:space="preserve"> </w:t>
      </w:r>
      <w:r>
        <w:t xml:space="preserve">conditions. The plans are expected to have a long-term impact on EU competitiveness by</w:t>
      </w:r>
      <w:r>
        <w:t xml:space="preserve"> </w:t>
      </w:r>
      <w:r>
        <w:t xml:space="preserve">supporting the implementation of structural reforms in Member States in diverse areas,</w:t>
      </w:r>
      <w:r>
        <w:t xml:space="preserve"> </w:t>
      </w:r>
      <w:r>
        <w:t xml:space="preserve">from reforms improving skills to labour market or tax reforms, or reforms removing</w:t>
      </w:r>
      <w:r>
        <w:t xml:space="preserve"> </w:t>
      </w:r>
      <w:r>
        <w:t xml:space="preserve">long-standing regulatory barriers. By supporting investments in key/strategic sectors</w:t>
      </w:r>
      <w:r>
        <w:t xml:space="preserve"> </w:t>
      </w:r>
      <w:r>
        <w:t xml:space="preserve">(broadband, digital technologies, R&amp;D, etc.) and favouring synergies, not only between</w:t>
      </w:r>
      <w:r>
        <w:t xml:space="preserve"> </w:t>
      </w:r>
      <w:r>
        <w:t xml:space="preserve">investments and reforms, but also between investments across different sectors, the</w:t>
      </w:r>
      <w:r>
        <w:t xml:space="preserve"> </w:t>
      </w:r>
      <w:r>
        <w:t xml:space="preserve">options on the scope are also expected to improve the competitive position of EU firms</w:t>
      </w:r>
      <w:r>
        <w:t xml:space="preserve"> </w:t>
      </w:r>
      <w:r>
        <w:t xml:space="preserve">compared to non-EU competitors in the long run.</w:t>
      </w:r>
      <w:r>
        <w:br/>
      </w:r>
      <w:r>
        <w:t xml:space="preserve">Capacity to innovate: The options on the scope are expected to have a direct impact on</w:t>
      </w:r>
      <w:r>
        <w:t xml:space="preserve"> </w:t>
      </w:r>
      <w:r>
        <w:t xml:space="preserve">the EU’s capacity to innovate, thanks to the direct support provided for both investments</w:t>
      </w:r>
      <w:r>
        <w:t xml:space="preserve"> </w:t>
      </w:r>
      <w:r>
        <w:t xml:space="preserve">and reforms in various sectors conducive to innovation, such as in R&amp;D, in digital</w:t>
      </w:r>
      <w:r>
        <w:t xml:space="preserve"> </w:t>
      </w:r>
      <w:r>
        <w:t xml:space="preserve">technologies, in decarbonisation, etc. The plans would also favour synergies between</w:t>
      </w:r>
      <w:r>
        <w:t xml:space="preserve"> </w:t>
      </w:r>
      <w:r>
        <w:t xml:space="preserve">reforms and investments in all areas and across sectors, which is expected to support</w:t>
      </w:r>
      <w:r>
        <w:t xml:space="preserve"> </w:t>
      </w:r>
      <w:r>
        <w:t xml:space="preserve">innovation/to have a positive impact on the capacity to innovate.</w:t>
      </w:r>
      <w:r>
        <w:t xml:space="preserve"> </w:t>
      </w:r>
      <w:r>
        <w:t xml:space="preserve">SME competitiveness: All options on the scope of the plans are expected to have a</w:t>
      </w:r>
      <w:r>
        <w:t xml:space="preserve"> </w:t>
      </w:r>
      <w:r>
        <w:t xml:space="preserve">positive impact on SMEs, driven by simplification. Indeed, instead of having investment</w:t>
      </w:r>
      <w:r>
        <w:t xml:space="preserve"> </w:t>
      </w:r>
      <w:r>
        <w:t xml:space="preserve">opportunities scattered across various programmes, the plans would provide a</w:t>
      </w:r>
      <w:r>
        <w:t xml:space="preserve"> </w:t>
      </w:r>
      <w:r>
        <w:t xml:space="preserve">comprehensive overview of investment opportunities per Member States. At the same</w:t>
      </w:r>
      <w:r>
        <w:t xml:space="preserve"> </w:t>
      </w:r>
      <w:r>
        <w:t xml:space="preserve">time, the plans would also propose one common set of rules (for example on audit,</w:t>
      </w:r>
      <w:r>
        <w:t xml:space="preserve"> </w:t>
      </w:r>
      <w:r>
        <w:t xml:space="preserve">eligibility, collection of data or reporting rules) to access EU funds under nationally</w:t>
      </w:r>
      <w:r>
        <w:t xml:space="preserve"> </w:t>
      </w:r>
      <w:r>
        <w:t xml:space="preserve">allocated envelopes. This simplification is expected to indirectly benefit SMEs, which</w:t>
      </w:r>
      <w:r>
        <w:t xml:space="preserve"> </w:t>
      </w:r>
      <w:r>
        <w:t xml:space="preserve">often have limited resources compared to larger companies to navigate complex,</w:t>
      </w:r>
      <w:r>
        <w:t xml:space="preserve"> </w:t>
      </w:r>
      <w:r>
        <w:t xml:space="preserve">heterogeneous programme-specific rules. However, the extent of the simplification for</w:t>
      </w:r>
      <w:r>
        <w:t xml:space="preserve"> </w:t>
      </w:r>
      <w:r>
        <w:t xml:space="preserve">SMEs will also depend on the rules that national/regional/local authorities will set. In the</w:t>
      </w:r>
      <w:r>
        <w:t xml:space="preserve"> </w:t>
      </w:r>
      <w:r>
        <w:t xml:space="preserve">short-term, SMEs may nonetheless face transition costs to adjust to the new rules (e.g. </w:t>
      </w:r>
      <w:r>
        <w:t xml:space="preserve"> </w:t>
      </w:r>
      <w:r>
        <w:t xml:space="preserve">performance-based delivery model), but their extent is expected to be limited.</w:t>
      </w:r>
      <w:r>
        <w:t xml:space="preserve"> </w:t>
      </w:r>
      <w:r>
        <w:t xml:space="preserve">SMEs will also benefit from improved framework conditions, as the plans will include</w:t>
      </w:r>
      <w:r>
        <w:t xml:space="preserve"> </w:t>
      </w:r>
      <w:r>
        <w:t xml:space="preserve">support for reforms in diverse areas that matter for SMEs, from business environment to</w:t>
      </w:r>
      <w:r>
        <w:t xml:space="preserve"> </w:t>
      </w:r>
      <w:r>
        <w:t xml:space="preserve">labour market reforms. The recent experience of the RRF (see scoreboard fiche on SME</w:t>
      </w:r>
      <w:r>
        <w:t xml:space="preserve"> </w:t>
      </w:r>
      <w:r>
        <w:t xml:space="preserve">support) has shown for example that SMEs have benefited from a wide spectrum of</w:t>
      </w:r>
      <w:r>
        <w:t xml:space="preserve"> </w:t>
      </w:r>
      <w:r>
        <w:t xml:space="preserve">reforms, from reforms improving the business environment and reducing red tape to</w:t>
      </w:r>
    </w:p>
    <w:p>
      <w:pPr>
        <w:pStyle w:val="BodyText"/>
      </w:pPr>
      <w:r>
        <w:t xml:space="preserve">reforms supporting the digitalisation of public administration. This goes beyond the</w:t>
      </w:r>
      <w:r>
        <w:t xml:space="preserve"> </w:t>
      </w:r>
      <w:r>
        <w:t xml:space="preserve">measures targeting SMEs directly (for example with investments supporting the</w:t>
      </w:r>
      <w:r>
        <w:t xml:space="preserve"> </w:t>
      </w:r>
      <w:r>
        <w:t xml:space="preserve">digitalisation of SMEs under the RRF) or the support provided for SMEs under cohesion</w:t>
      </w:r>
      <w:r>
        <w:t xml:space="preserve"> </w:t>
      </w:r>
      <w:r>
        <w:t xml:space="preserve">policy.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The options on the scope do not directly affect the competitive position of a specific</w:t>
      </w:r>
      <w:r>
        <w:t xml:space="preserve"> </w:t>
      </w:r>
      <w:r>
        <w:t xml:space="preserve">sector (nor do the other options proposed). However, the plans would bring together</w:t>
      </w:r>
      <w:r>
        <w:t xml:space="preserve"> </w:t>
      </w:r>
      <w:r>
        <w:t xml:space="preserve">various sectors that are all relevant for EU competitiveness. This would enable to better</w:t>
      </w:r>
      <w:r>
        <w:t xml:space="preserve"> </w:t>
      </w:r>
      <w:r>
        <w:t xml:space="preserve">exploit synergies between reforms and investments within and across sectors, which is</w:t>
      </w:r>
      <w:r>
        <w:t xml:space="preserve"> </w:t>
      </w:r>
      <w:r>
        <w:t xml:space="preserve">expected to have a positive impact on their competitiveness. The plans would also</w:t>
      </w:r>
      <w:r>
        <w:t xml:space="preserve"> </w:t>
      </w:r>
      <w:r>
        <w:t xml:space="preserve">provide flexibility to (re)allocate funds as needs emerge, which may be instrumental to</w:t>
      </w:r>
      <w:r>
        <w:t xml:space="preserve"> </w:t>
      </w:r>
      <w:r>
        <w:t xml:space="preserve">support the competitiveness of a specific sector in case of a shock.</w:t>
      </w:r>
    </w:p>
    <w:p>
      <w:pPr>
        <w:pStyle w:val="BodyText"/>
      </w:pPr>
      <w:r>
        <w:t xml:space="preserve">ANNEX 5: SME CHECK [FOR SME RELEVANT AND HIGHLY</w:t>
      </w:r>
      <w:r>
        <w:t xml:space="preserve"> </w:t>
      </w:r>
      <w:r>
        <w:t xml:space="preserve">RELEVANT INITIATIVES]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While this initiative does not feature in the list selected by the SME Envoy network</w:t>
      </w:r>
      <w:r>
        <w:t xml:space="preserve"> </w:t>
      </w:r>
      <w:r>
        <w:t xml:space="preserve">(SME filter) of relevant initiatives for SMEs, it can be considered to be of relevance to</w:t>
      </w:r>
      <w:r>
        <w:t xml:space="preserve"> </w:t>
      </w:r>
      <w:r>
        <w:t xml:space="preserve">SMEs for the reasons outlined below.</w:t>
      </w:r>
    </w:p>
    <w:p>
      <w:pPr>
        <w:numPr>
          <w:ilvl w:val="0"/>
          <w:numId w:val="1009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No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N/A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N/A</w:t>
      </w:r>
      <w:r>
        <w:t xml:space="preserve"> </w:t>
      </w:r>
      <w:r>
        <w:t xml:space="preserve">Are SMEs indirectly affected? (Yes/No)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Yes, in all sectors potentially. By supporting reforms and investments tailored to Member</w:t>
      </w:r>
      <w:r>
        <w:t xml:space="preserve"> </w:t>
      </w:r>
      <w:r>
        <w:t xml:space="preserve">States’ needs, all EU SMEs and their employees could potentially benefit from enhanced</w:t>
      </w:r>
      <w:r>
        <w:t xml:space="preserve"> </w:t>
      </w:r>
      <w:r>
        <w:t xml:space="preserve">simplification and improved framework conditions.</w:t>
      </w:r>
    </w:p>
    <w:p>
      <w:pPr>
        <w:numPr>
          <w:ilvl w:val="0"/>
          <w:numId w:val="1009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SMEs were consulted in the context of the public consultation, carried out between 12</w:t>
      </w:r>
      <w:r>
        <w:t xml:space="preserve"> </w:t>
      </w:r>
      <w:r>
        <w:t xml:space="preserve">February and 7 May 2025 (see annex 2).</w:t>
      </w:r>
    </w:p>
    <w:p>
      <w:pPr>
        <w:pStyle w:val="FirstParagraph"/>
      </w:pPr>
      <w:r>
        <w:t xml:space="preserve">SMEs emphasized the need for simplified access to EU funding, clearer guidance on the</w:t>
      </w:r>
      <w:r>
        <w:t xml:space="preserve"> </w:t>
      </w:r>
      <w:r>
        <w:t xml:space="preserve">application process, and greater inclusion in the co-design of EU programs. In particular,</w:t>
      </w:r>
      <w:r>
        <w:t xml:space="preserve"> </w:t>
      </w:r>
      <w:r>
        <w:t xml:space="preserve">respondents stressed that SMEs should be recognised not only as beneficiaries but also as</w:t>
      </w:r>
      <w:r>
        <w:t xml:space="preserve"> </w:t>
      </w:r>
      <w:r>
        <w:t xml:space="preserve">strategic partners in delivering EU objectives, particularly in areas such as sustainability,</w:t>
      </w:r>
      <w:r>
        <w:t xml:space="preserve"> </w:t>
      </w:r>
      <w:r>
        <w:t xml:space="preserve">innovation, and regional development. They highlighted the importance of implementation</w:t>
      </w:r>
      <w:r>
        <w:t xml:space="preserve"> </w:t>
      </w:r>
      <w:r>
        <w:t xml:space="preserve">practicality, stressing that administrative burden should be reduced, and suggesting that the</w:t>
      </w:r>
      <w:r>
        <w:t xml:space="preserve"> </w:t>
      </w:r>
      <w:r>
        <w:t xml:space="preserve">EU should prioritize the development of user-friendly tools and platforms that facilitate their</w:t>
      </w:r>
      <w:r>
        <w:t xml:space="preserve"> </w:t>
      </w:r>
      <w:r>
        <w:t xml:space="preserve">participation. The overall message delivered is that more SME-sensitive approaches are</w:t>
      </w:r>
    </w:p>
    <w:p>
      <w:pPr>
        <w:pStyle w:val="BodyText"/>
      </w:pPr>
      <w:r>
        <w:t xml:space="preserve">needed to ensure effective, inclusive, and territorially balanced access to EU funding. The</w:t>
      </w:r>
      <w:r>
        <w:t xml:space="preserve"> </w:t>
      </w:r>
      <w:r>
        <w:t xml:space="preserve">design of the plans takes into account these elements, notably the need to provide simplify</w:t>
      </w:r>
      <w:r>
        <w:t xml:space="preserve"> </w:t>
      </w:r>
      <w:r>
        <w:t xml:space="preserve">access to EU funding.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N/A</w:t>
      </w:r>
    </w:p>
    <w:p>
      <w:pPr>
        <w:numPr>
          <w:ilvl w:val="0"/>
          <w:numId w:val="1010"/>
        </w:numPr>
      </w:pPr>
      <w:r>
        <w:t xml:space="preserve">ASSESSMENT OF IMPACTS ON SMES40</w:t>
      </w:r>
      <w:r>
        <w:t xml:space="preserve"> </w:t>
      </w:r>
      <w:r>
        <w:t xml:space="preserve">What are the estimated direct costs for SMEs of the preferred policy option? (Fill in only if</w:t>
      </w:r>
      <w:r>
        <w:t xml:space="preserve"> </w:t>
      </w:r>
      <w:r>
        <w:t xml:space="preserve">step 1 flags direct impacts)</w:t>
      </w:r>
      <w:r>
        <w:t xml:space="preserve"> </w:t>
      </w:r>
      <w:r>
        <w:t xml:space="preserve">N/A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option41?</w:t>
      </w:r>
      <w:r>
        <w:t xml:space="preserve"> </w:t>
      </w:r>
      <w:r>
        <w:t xml:space="preserve">N/A</w:t>
      </w:r>
      <w:r>
        <w:t xml:space="preserve"> </w:t>
      </w:r>
      <w:r>
        <w:t xml:space="preserve">What are the indirect impacts of this initiative on SMEs? (Fill in only if step 1 flags indirect</w:t>
      </w:r>
      <w:r>
        <w:t xml:space="preserve"> </w:t>
      </w:r>
      <w:r>
        <w:t xml:space="preserve">impacts)</w:t>
      </w:r>
      <w:r>
        <w:t xml:space="preserve"> </w:t>
      </w:r>
      <w:r>
        <w:t xml:space="preserve">The plans would provide better visibility to SMEs on the various investment opportunities per</w:t>
      </w:r>
      <w:r>
        <w:t xml:space="preserve"> </w:t>
      </w:r>
      <w:r>
        <w:t xml:space="preserve">Member State. Furthermore, the plans would replace the current system made up of different set</w:t>
      </w:r>
      <w:r>
        <w:t xml:space="preserve"> </w:t>
      </w:r>
      <w:r>
        <w:t xml:space="preserve">of rules by one framework setting out the rules governing the plans’ funding for pre-allocated</w:t>
      </w:r>
      <w:r>
        <w:t xml:space="preserve"> </w:t>
      </w:r>
      <w:r>
        <w:t xml:space="preserve">envelopes (e.g. the audit, eligibility and reporting rules). In this regard, all options on the scope</w:t>
      </w:r>
      <w:r>
        <w:t xml:space="preserve"> </w:t>
      </w:r>
      <w:r>
        <w:t xml:space="preserve">are expected to indirectly benefit SMEs through simplification. At the same time, the extent of</w:t>
      </w:r>
      <w:r>
        <w:t xml:space="preserve"> </w:t>
      </w:r>
      <w:r>
        <w:t xml:space="preserve">simplification for SMEs will also depend on the rules that Member States will put in place at</w:t>
      </w:r>
      <w:r>
        <w:t xml:space="preserve"> </w:t>
      </w:r>
      <w:r>
        <w:t xml:space="preserve">national/regional/local level to access EU funds.</w:t>
      </w:r>
    </w:p>
    <w:p>
      <w:pPr>
        <w:numPr>
          <w:ilvl w:val="0"/>
          <w:numId w:val="1010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No</w:t>
      </w:r>
      <w:r>
        <w:t xml:space="preserve"> </w:t>
      </w:r>
      <w:r>
        <w:t xml:space="preserve">Have mitigating measures been included in the preferred option/proposal? (Yes/No)</w:t>
      </w:r>
      <w:r>
        <w:br/>
      </w:r>
      <w:r>
        <w:t xml:space="preserve">The analysis of the options did not identify any specific negative impacts on SMEs.</w:t>
      </w:r>
    </w:p>
    <w:p>
      <w:pPr>
        <w:pStyle w:val="FirstParagraph"/>
      </w:pPr>
      <w:r>
        <w:t xml:space="preserve">CONTRIBUTION TO THE 35% BURDEN REDUCTION TARGET FOR SMES</w:t>
      </w:r>
    </w:p>
    <w:p>
      <w:pPr>
        <w:pStyle w:val="BodyText"/>
      </w:pPr>
      <w:r>
        <w:t xml:space="preserve">40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  <w:r>
        <w:br/>
      </w:r>
      <w:r>
        <w:t xml:space="preserve">41 The direct benefits for SMEs can also be cost savings.</w:t>
      </w:r>
    </w:p>
    <w:p>
      <w:pPr>
        <w:pStyle w:val="BodyText"/>
      </w:pP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N/A</w:t>
      </w:r>
      <w:r>
        <w:t xml:space="preserve"> </w:t>
      </w:r>
      <w:r>
        <w:t xml:space="preserve">ADDITIONAL INFORMATION</w:t>
      </w:r>
      <w:r>
        <w:br/>
      </w:r>
      <w:r>
        <w:t xml:space="preserve">(See Competitiveness check - section on SME competitiveness)</w:t>
      </w:r>
      <w:r>
        <w:br/>
      </w:r>
      <w:r>
        <w:t xml:space="preserve">All options on the scope of the plans are expected to have a positive impact on SMEs,</w:t>
      </w:r>
      <w:r>
        <w:t xml:space="preserve"> </w:t>
      </w:r>
      <w:r>
        <w:t xml:space="preserve">driven by simplification. Indeed, instead of having investment opportunities scattered</w:t>
      </w:r>
      <w:r>
        <w:t xml:space="preserve"> </w:t>
      </w:r>
      <w:r>
        <w:t xml:space="preserve">across various programmes, the plans would provide a comprehensive overview of</w:t>
      </w:r>
      <w:r>
        <w:t xml:space="preserve"> </w:t>
      </w:r>
      <w:r>
        <w:t xml:space="preserve">investment opportunities per Member States. At the same time, the plans would also</w:t>
      </w:r>
      <w:r>
        <w:t xml:space="preserve"> </w:t>
      </w:r>
      <w:r>
        <w:t xml:space="preserve">propose one common set of rules (for example on audit, eligibility, collection of data or</w:t>
      </w:r>
      <w:r>
        <w:t xml:space="preserve"> </w:t>
      </w:r>
      <w:r>
        <w:t xml:space="preserve">reporting rules) to access EU funds under nationally allocated envelopes. This</w:t>
      </w:r>
      <w:r>
        <w:t xml:space="preserve"> </w:t>
      </w:r>
      <w:r>
        <w:t xml:space="preserve">simplification is expected to indirectly benefit SMEs, which often have limited resources</w:t>
      </w:r>
      <w:r>
        <w:t xml:space="preserve"> </w:t>
      </w:r>
      <w:r>
        <w:t xml:space="preserve">compared to larger companies to navigate complex, heterogeneous programme-specific</w:t>
      </w:r>
      <w:r>
        <w:t xml:space="preserve"> </w:t>
      </w:r>
      <w:r>
        <w:t xml:space="preserve">rules. However, the extent of the simplification for SMEs will also depend on the rules</w:t>
      </w:r>
      <w:r>
        <w:t xml:space="preserve"> </w:t>
      </w:r>
      <w:r>
        <w:t xml:space="preserve">that national/regional/local authorities will set. In the short-term, SMEs may nonetheless</w:t>
      </w:r>
      <w:r>
        <w:t xml:space="preserve"> </w:t>
      </w:r>
      <w:r>
        <w:t xml:space="preserve">face transition costs to adjust to the new rules (e.g. performance-based delivery model),</w:t>
      </w:r>
      <w:r>
        <w:t xml:space="preserve"> </w:t>
      </w:r>
      <w:r>
        <w:t xml:space="preserve">but their extent is expected to be limited.</w:t>
      </w:r>
      <w:r>
        <w:t xml:space="preserve"> </w:t>
      </w:r>
      <w:r>
        <w:t xml:space="preserve">SMEs will also benefit from improved framework conditions, as the plans will include</w:t>
      </w:r>
      <w:r>
        <w:t xml:space="preserve"> </w:t>
      </w:r>
      <w:r>
        <w:t xml:space="preserve">support for reforms in diverse areas that matter for SMEs, from business environment to</w:t>
      </w:r>
      <w:r>
        <w:t xml:space="preserve"> </w:t>
      </w:r>
      <w:r>
        <w:t xml:space="preserve">labour market reforms. The recent experience of the RRF (see scoreboard fiche on SME</w:t>
      </w:r>
      <w:r>
        <w:t xml:space="preserve"> </w:t>
      </w:r>
      <w:r>
        <w:t xml:space="preserve">support) has shown for example that SMEs have benefited from a wide spectrum of</w:t>
      </w:r>
      <w:r>
        <w:t xml:space="preserve"> </w:t>
      </w:r>
      <w:r>
        <w:t xml:space="preserve">reforms, from reforms improving the business environment and reducing red tape to</w:t>
      </w:r>
      <w:r>
        <w:t xml:space="preserve"> </w:t>
      </w:r>
      <w:r>
        <w:t xml:space="preserve">reforms supporting the digitalisation of public administration. This goes beyond the</w:t>
      </w:r>
      <w:r>
        <w:t xml:space="preserve"> </w:t>
      </w:r>
      <w:r>
        <w:t xml:space="preserve">measures targeting SMEs directly (for example with investments supporting the</w:t>
      </w:r>
      <w:r>
        <w:t xml:space="preserve"> </w:t>
      </w:r>
      <w:r>
        <w:t xml:space="preserve">digitalisation of SMEs under the RRF) or the support provided for SMEs under cohesion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ANNEX 6: EU FUNDS WITH NATIONALLY PRE-ALLOCATED</w:t>
      </w:r>
      <w:r>
        <w:t xml:space="preserve"> </w:t>
      </w:r>
      <w:r>
        <w:t xml:space="preserve">ENVELOPES</w:t>
      </w:r>
      <w:r>
        <w:t xml:space="preserve"> </w:t>
      </w:r>
      <w:r>
        <w:t xml:space="preserve">➢ Cohesion Policy Funds</w:t>
      </w:r>
      <w:r>
        <w:t xml:space="preserve"> </w:t>
      </w:r>
      <w:r>
        <w:t xml:space="preserve">Cohesion policy aims to reduce regional disparities and promote economic, territorial and</w:t>
      </w:r>
      <w:r>
        <w:t xml:space="preserve"> </w:t>
      </w:r>
      <w:r>
        <w:t xml:space="preserve">social cohesion as well as convergence among Member States and regions (Treaty</w:t>
      </w:r>
      <w:r>
        <w:t xml:space="preserve"> </w:t>
      </w:r>
      <w:r>
        <w:t xml:space="preserve">objective). The budget allocated to cohesion policy is close to a third of the current MFF</w:t>
      </w:r>
      <w:r>
        <w:t xml:space="preserve"> </w:t>
      </w:r>
      <w:r>
        <w:t xml:space="preserve">budget. Around two thirds of the cohesion policy budget is dedicated to less developed</w:t>
      </w:r>
      <w:r>
        <w:t xml:space="preserve"> </w:t>
      </w:r>
      <w:r>
        <w:t xml:space="preserve">regions. It also provides targeted support for areas that are geographically disadvantaged</w:t>
      </w:r>
      <w:r>
        <w:t xml:space="preserve"> </w:t>
      </w:r>
      <w:r>
        <w:t xml:space="preserve">(remote, islands, mountainous or sparsely populated areas) with dedicated financing.</w:t>
      </w:r>
      <w:r>
        <w:br/>
      </w:r>
      <w:r>
        <w:t xml:space="preserve">Over the past decades, Cohesion Policy has evolved to meet the changing socio-</w:t>
      </w:r>
      <w:r>
        <w:t xml:space="preserve"> </w:t>
      </w:r>
      <w:r>
        <w:t xml:space="preserve">economic, environmental, and the EU’s policy priorities, such as the transition towards a</w:t>
      </w:r>
      <w:r>
        <w:t xml:space="preserve"> </w:t>
      </w:r>
      <w:r>
        <w:t xml:space="preserve">smart, green, and digital Europe. The policy is also aligned with the European Semester.</w:t>
      </w:r>
      <w:r>
        <w:t xml:space="preserve"> </w:t>
      </w:r>
      <w:r>
        <w:t xml:space="preserve">In the 2021 – 2027 period, Cohesion Policy has an increased focus on achieving a</w:t>
      </w:r>
      <w:r>
        <w:t xml:space="preserve"> </w:t>
      </w:r>
      <w:r>
        <w:t xml:space="preserve">greener EU and ensuring a just transition, addressing contemporary challenges affecting</w:t>
      </w:r>
      <w:r>
        <w:t xml:space="preserve"> </w:t>
      </w:r>
      <w:r>
        <w:t xml:space="preserve">differently all regions, and supporting the EU’s broader goals of sustainable development</w:t>
      </w:r>
      <w:r>
        <w:t xml:space="preserve"> </w:t>
      </w:r>
      <w:r>
        <w:t xml:space="preserve">and inclusivity.</w:t>
      </w:r>
      <w:r>
        <w:br/>
      </w:r>
      <w:r>
        <w:t xml:space="preserve">Cohesion policy is implemented under ‘shared management’ between the Member States</w:t>
      </w:r>
      <w:r>
        <w:t xml:space="preserve"> </w:t>
      </w:r>
      <w:r>
        <w:t xml:space="preserve">and the Commission through the different funds described below, with funding mainly</w:t>
      </w:r>
      <w:r>
        <w:t xml:space="preserve"> </w:t>
      </w:r>
      <w:r>
        <w:t xml:space="preserve">disbursed based on incurred costs:</w:t>
      </w:r>
      <w:r>
        <w:br/>
      </w:r>
      <w:r>
        <w:t xml:space="preserve">• The European Regional Development Fund (ERDF) - to invest in the</w:t>
      </w:r>
      <w:r>
        <w:t xml:space="preserve"> </w:t>
      </w:r>
      <w:r>
        <w:t xml:space="preserve">economic and social development of all EU regions and cities. It also</w:t>
      </w:r>
      <w:r>
        <w:t xml:space="preserve"> </w:t>
      </w:r>
      <w:r>
        <w:t xml:space="preserve">provides funding for the European Urban Initiative and Interregional</w:t>
      </w:r>
      <w:r>
        <w:t xml:space="preserve"> </w:t>
      </w:r>
      <w:r>
        <w:t xml:space="preserve">Innovation Investments (directly managed by the Commission).</w:t>
      </w:r>
      <w:r>
        <w:t xml:space="preserve"> </w:t>
      </w:r>
      <w:r>
        <w:t xml:space="preserve">• The Cohesion Fund (CF) – to invest in environment and transport</w:t>
      </w:r>
      <w:r>
        <w:t xml:space="preserve"> </w:t>
      </w:r>
      <w:r>
        <w:t xml:space="preserve">infrastructure in the less prosperous EU countries. It supports EU</w:t>
      </w:r>
      <w:r>
        <w:t xml:space="preserve"> </w:t>
      </w:r>
      <w:r>
        <w:t xml:space="preserve">convergence by design, as the instrument focuses on Member States</w:t>
      </w:r>
      <w:r>
        <w:t xml:space="preserve"> </w:t>
      </w:r>
      <w:r>
        <w:t xml:space="preserve">with a GNI per capita below 90% of the EU average. A share of the</w:t>
      </w:r>
      <w:r>
        <w:t xml:space="preserve"> </w:t>
      </w:r>
      <w:r>
        <w:t xml:space="preserve">CF budget is transferred and implemented through the transport</w:t>
      </w:r>
      <w:r>
        <w:t xml:space="preserve"> </w:t>
      </w:r>
      <w:r>
        <w:t xml:space="preserve">strand of the Connecting Europe Facility.</w:t>
      </w:r>
      <w:r>
        <w:t xml:space="preserve"> </w:t>
      </w:r>
      <w:r>
        <w:t xml:space="preserve">• The European Social Fund+ (ESF+)– to support jobs, education,</w:t>
      </w:r>
      <w:r>
        <w:t xml:space="preserve"> </w:t>
      </w:r>
      <w:r>
        <w:t xml:space="preserve">skills and create a fair and socially inclusive society in EU countries</w:t>
      </w:r>
      <w:r>
        <w:t xml:space="preserve"> </w:t>
      </w:r>
      <w:r>
        <w:t xml:space="preserve">in line with the European Pillar of Social Rights. ESF+ also promotes</w:t>
      </w:r>
      <w:r>
        <w:t xml:space="preserve"> </w:t>
      </w:r>
      <w:r>
        <w:t xml:space="preserve">the horizontal principles of gender equality, respect for fundamental</w:t>
      </w:r>
      <w:r>
        <w:t xml:space="preserve"> </w:t>
      </w:r>
      <w:r>
        <w:t xml:space="preserve">rights, equal opportunities, and non-discrimination. The biggest part</w:t>
      </w:r>
      <w:r>
        <w:t xml:space="preserve"> </w:t>
      </w:r>
      <w:r>
        <w:t xml:space="preserve">of the ESF is implemented under shared management but there is a</w:t>
      </w:r>
      <w:r>
        <w:t xml:space="preserve"> </w:t>
      </w:r>
      <w:r>
        <w:t xml:space="preserve">small part reserved for direct and indirect management which is not</w:t>
      </w:r>
      <w:r>
        <w:t xml:space="preserve"> </w:t>
      </w:r>
      <w:r>
        <w:t xml:space="preserve">pre-allocated (the Employment and Social Innovation strand (EaSI)</w:t>
      </w:r>
      <w:r>
        <w:t xml:space="preserve"> </w:t>
      </w:r>
      <w:r>
        <w:t xml:space="preserve">and support to transnational cooperation)42.</w:t>
      </w:r>
    </w:p>
    <w:p>
      <w:pPr>
        <w:pStyle w:val="BodyText"/>
      </w:pPr>
      <w:r>
        <w:t xml:space="preserve">42 The EaSI strand does not have nationally pre-allocated envelopes.</w:t>
      </w:r>
    </w:p>
    <w:p>
      <w:pPr>
        <w:pStyle w:val="BodyText"/>
      </w:pPr>
      <w:r>
        <w:t xml:space="preserve">• The Just Transition Fund (JTF)- to mitigate the socio-economic</w:t>
      </w:r>
      <w:r>
        <w:t xml:space="preserve"> </w:t>
      </w:r>
      <w:r>
        <w:t xml:space="preserve">impact in the territories most affected by the transition towards</w:t>
      </w:r>
      <w:r>
        <w:t xml:space="preserve"> </w:t>
      </w:r>
      <w:r>
        <w:t xml:space="preserve">climate-neutrality. The fund invests in SMEs, clean energy projects,</w:t>
      </w:r>
      <w:r>
        <w:t xml:space="preserve"> </w:t>
      </w:r>
      <w:r>
        <w:t xml:space="preserve">smart and sustainable local mobility, research and innovation and</w:t>
      </w:r>
      <w:r>
        <w:t xml:space="preserve"> </w:t>
      </w:r>
      <w:r>
        <w:t xml:space="preserve">social infrastructure with a view to supporting economic</w:t>
      </w:r>
      <w:r>
        <w:t xml:space="preserve"> </w:t>
      </w:r>
      <w:r>
        <w:t xml:space="preserve">diversification, reskilling of workers, land and ecosystem restoration,</w:t>
      </w:r>
      <w:r>
        <w:t xml:space="preserve"> </w:t>
      </w:r>
      <w:r>
        <w:t xml:space="preserve">and promoting environmental sustainability.</w:t>
      </w:r>
      <w:r>
        <w:br/>
      </w:r>
      <w:r>
        <w:t xml:space="preserve">• Interreg – funded by the ERDF but with its own dedicated budget</w:t>
      </w:r>
      <w:r>
        <w:t xml:space="preserve"> </w:t>
      </w:r>
      <w:r>
        <w:t xml:space="preserve">and Regulation, Interreg aims to stimulate cooperation between</w:t>
      </w:r>
      <w:r>
        <w:t xml:space="preserve"> </w:t>
      </w:r>
      <w:r>
        <w:t xml:space="preserve">regions in and out of the European Union. Interreg is implemented</w:t>
      </w:r>
      <w:r>
        <w:t xml:space="preserve"> </w:t>
      </w:r>
      <w:r>
        <w:t xml:space="preserve">under shared management, through 86 dedicated programmes.</w:t>
      </w:r>
      <w:r>
        <w:t xml:space="preserve"> </w:t>
      </w:r>
      <w:r>
        <w:t xml:space="preserve">➢ The Recovery and Resilience Facility (RRF)</w:t>
      </w:r>
      <w:r>
        <w:t xml:space="preserve"> </w:t>
      </w:r>
      <w:r>
        <w:t xml:space="preserve">The RRF is the centrepiece of NextGenerationEU, the EU’s plan to emerge stronger and</w:t>
      </w:r>
      <w:r>
        <w:t xml:space="preserve"> </w:t>
      </w:r>
      <w:r>
        <w:t xml:space="preserve">more resilient from the COVID-19 crisis. The legal basis of the RRF is partly the same as</w:t>
      </w:r>
      <w:r>
        <w:t xml:space="preserve"> </w:t>
      </w:r>
      <w:r>
        <w:t xml:space="preserve">for Cohesion Policy (Article 175 of the TFEU). It was established in February 2021 as a</w:t>
      </w:r>
      <w:r>
        <w:t xml:space="preserve"> </w:t>
      </w:r>
      <w:r>
        <w:t xml:space="preserve">temporary instrument set to last until end 2026 to help Member States recover from the</w:t>
      </w:r>
      <w:r>
        <w:t xml:space="preserve"> </w:t>
      </w:r>
      <w:r>
        <w:t xml:space="preserve">crisis and make their economies and societies more resilient and better prepared for the</w:t>
      </w:r>
      <w:r>
        <w:t xml:space="preserve"> </w:t>
      </w:r>
      <w:r>
        <w:t xml:space="preserve">green and digital transitions. It is implemented through “direct management” by the</w:t>
      </w:r>
      <w:r>
        <w:t xml:space="preserve"> </w:t>
      </w:r>
      <w:r>
        <w:t xml:space="preserve">Commission. Furthermore, in the context of the REPowerEU plan presented by the</w:t>
      </w:r>
      <w:r>
        <w:t xml:space="preserve"> </w:t>
      </w:r>
      <w:r>
        <w:t xml:space="preserve">Commission in May 2022 to respond to the socio-economic hardships and global energy</w:t>
      </w:r>
      <w:r>
        <w:t xml:space="preserve"> </w:t>
      </w:r>
      <w:r>
        <w:t xml:space="preserve">market disruption caused by Russia’s invasion of Ukraine, Member States could benefit</w:t>
      </w:r>
      <w:r>
        <w:t xml:space="preserve"> </w:t>
      </w:r>
      <w:r>
        <w:t xml:space="preserve">from additional resources to introduce REPowerEU chapters in their RRPs. The aim of</w:t>
      </w:r>
      <w:r>
        <w:t xml:space="preserve"> </w:t>
      </w:r>
      <w:r>
        <w:t xml:space="preserve">these chapters is to boost reforms and investments that diversify the EU’s energy</w:t>
      </w:r>
      <w:r>
        <w:t xml:space="preserve"> </w:t>
      </w:r>
      <w:r>
        <w:t xml:space="preserve">supplies, accelerate the green transition and support vulnerable households.</w:t>
      </w:r>
      <w:r>
        <w:t xml:space="preserve"> </w:t>
      </w:r>
      <w:r>
        <w:t xml:space="preserve">The RRF is the EU’s first major performance-based funding programme, disbursing</w:t>
      </w:r>
      <w:r>
        <w:t xml:space="preserve"> </w:t>
      </w:r>
      <w:r>
        <w:t xml:space="preserve">funds to Member States against progress made towards both reforms and investments put</w:t>
      </w:r>
      <w:r>
        <w:t xml:space="preserve"> </w:t>
      </w:r>
      <w:r>
        <w:t xml:space="preserve">forward in their national recovery and resilience plans (RRPs). Rather than considering</w:t>
      </w:r>
      <w:r>
        <w:t xml:space="preserve"> </w:t>
      </w:r>
      <w:r>
        <w:t xml:space="preserve">the costs incurred for the implementation of projects, funds are unlocked upon the</w:t>
      </w:r>
      <w:r>
        <w:t xml:space="preserve"> </w:t>
      </w:r>
      <w:r>
        <w:t xml:space="preserve">achievement of milestones and targets, which represent concrete steps in the</w:t>
      </w:r>
      <w:r>
        <w:t xml:space="preserve"> </w:t>
      </w:r>
      <w:r>
        <w:t xml:space="preserve">implementation of reforms or investments by Member States, with a results-based or,</w:t>
      </w:r>
      <w:r>
        <w:t xml:space="preserve"> </w:t>
      </w:r>
      <w:r>
        <w:t xml:space="preserve">also-called, performance-based approach. One of the RRF’s key innovative features is its</w:t>
      </w:r>
      <w:r>
        <w:t xml:space="preserve"> </w:t>
      </w:r>
      <w:r>
        <w:t xml:space="preserve">use of financial incentives to promote reforms, including key reforms identified in the</w:t>
      </w:r>
      <w:r>
        <w:t xml:space="preserve"> </w:t>
      </w:r>
      <w:r>
        <w:t xml:space="preserve">context of the European Semester. These reforms draw on priorities highlighted in the</w:t>
      </w:r>
      <w:r>
        <w:t xml:space="preserve"> </w:t>
      </w:r>
      <w:r>
        <w:t xml:space="preserve">European Semester’s country specific recommendations endorsed by the European</w:t>
      </w:r>
      <w:r>
        <w:t xml:space="preserve"> </w:t>
      </w:r>
      <w:r>
        <w:t xml:space="preserve">Council. Overall, reforms and investments must be in line with the EU priorities</w:t>
      </w:r>
      <w:r>
        <w:t xml:space="preserve"> </w:t>
      </w:r>
      <w:r>
        <w:t xml:space="preserve">identified in the RRF Regulation and in the European Semester for economic and</w:t>
      </w:r>
      <w:r>
        <w:t xml:space="preserve"> </w:t>
      </w:r>
      <w:r>
        <w:t xml:space="preserve">employment policy coordination through addressing all or a significant subset of the</w:t>
      </w:r>
      <w:r>
        <w:t xml:space="preserve"> </w:t>
      </w:r>
      <w:r>
        <w:t xml:space="preserve">Semester’s country-specific recommendations (CSRs).</w:t>
      </w:r>
      <w:r>
        <w:br/>
      </w:r>
      <w:r>
        <w:t xml:space="preserve">➢ Common Agricultural Policy (CAP):</w:t>
      </w:r>
      <w:r>
        <w:br/>
      </w:r>
      <w:r>
        <w:t xml:space="preserve">The Common Agricultural Policy (CAP), mostly implemented in shared management,</w:t>
      </w:r>
      <w:r>
        <w:t xml:space="preserve"> </w:t>
      </w:r>
      <w:r>
        <w:t xml:space="preserve">ensures long term food security in the EU by safeguarding a fair standard of living for</w:t>
      </w:r>
      <w:r>
        <w:t xml:space="preserve"> </w:t>
      </w:r>
      <w:r>
        <w:t xml:space="preserve">farmers – as enshrined in the Treaties – through various instruments. In this context, the</w:t>
      </w:r>
      <w:r>
        <w:t xml:space="preserve"> </w:t>
      </w:r>
      <w:r>
        <w:t xml:space="preserve">CAP is a key policy for supporting the economic, environmental and social sustainability</w:t>
      </w:r>
      <w:r>
        <w:t xml:space="preserve"> </w:t>
      </w:r>
      <w:r>
        <w:t xml:space="preserve">of rural areas. Almost a third of the current EU budget is allocated to the CAP and most</w:t>
      </w:r>
      <w:r>
        <w:t xml:space="preserve"> </w:t>
      </w:r>
      <w:r>
        <w:t xml:space="preserve">of this budget is dedicated to income support, both within the first and second pillar</w:t>
      </w:r>
    </w:p>
    <w:p>
      <w:pPr>
        <w:pStyle w:val="BodyText"/>
      </w:pPr>
      <w:r>
        <w:t xml:space="preserve">funds, for which farmers are the direct beneficiaries. The CAP has evolved over the years</w:t>
      </w:r>
      <w:r>
        <w:t xml:space="preserve"> </w:t>
      </w:r>
      <w:r>
        <w:t xml:space="preserve">to address geo-political, socio-economic, environmental and climate challenges and meet</w:t>
      </w:r>
      <w:r>
        <w:t xml:space="preserve"> </w:t>
      </w:r>
      <w:r>
        <w:t xml:space="preserve">citizens’ expectations. The latest CAP reform, which came into effect in 2023, introduced</w:t>
      </w:r>
      <w:r>
        <w:t xml:space="preserve"> </w:t>
      </w:r>
      <w:r>
        <w:t xml:space="preserve">a new, more performance-based delivery model based on strategic programming, which</w:t>
      </w:r>
      <w:r>
        <w:t xml:space="preserve"> </w:t>
      </w:r>
      <w:r>
        <w:t xml:space="preserve">provided Member States with increased flexibility and responsibility in addressing</w:t>
      </w:r>
      <w:r>
        <w:t xml:space="preserve"> </w:t>
      </w:r>
      <w:r>
        <w:t xml:space="preserve">national/regional/local specificities and needs within a set of common EU rules and</w:t>
      </w:r>
      <w:r>
        <w:t xml:space="preserve"> </w:t>
      </w:r>
      <w:r>
        <w:t xml:space="preserve">objectives. The new delivery mechanism covers under the single umbrella of the CAP</w:t>
      </w:r>
      <w:r>
        <w:t xml:space="preserve"> </w:t>
      </w:r>
      <w:r>
        <w:t xml:space="preserve">Strategic Plans the funding for direct income support, rural development and support for</w:t>
      </w:r>
      <w:r>
        <w:t xml:space="preserve"> </w:t>
      </w:r>
      <w:r>
        <w:t xml:space="preserve">certain sectors.</w:t>
      </w:r>
      <w:r>
        <w:t xml:space="preserve"> </w:t>
      </w:r>
      <w:r>
        <w:t xml:space="preserve">The CAP is financed through two funds (also referred to as the first and second pillar of</w:t>
      </w:r>
      <w:r>
        <w:t xml:space="preserve"> </w:t>
      </w:r>
      <w:r>
        <w:t xml:space="preserve">the CAP):</w:t>
      </w:r>
      <w:r>
        <w:t xml:space="preserve"> </w:t>
      </w:r>
      <w:r>
        <w:t xml:space="preserve">• The European Agricultural Guarantee Fund (EAGF), which provides,</w:t>
      </w:r>
      <w:r>
        <w:t xml:space="preserve"> </w:t>
      </w:r>
      <w:r>
        <w:t xml:space="preserve">inter alia, direct payments to farmers as well as measures to support</w:t>
      </w:r>
      <w:r>
        <w:t xml:space="preserve"> </w:t>
      </w:r>
      <w:r>
        <w:t xml:space="preserve">and stabilise agricultural markets, including in crisis/exceptional</w:t>
      </w:r>
      <w:r>
        <w:t xml:space="preserve"> </w:t>
      </w:r>
      <w:r>
        <w:t xml:space="preserve">situations through the agricultural reserve.</w:t>
      </w:r>
      <w:r>
        <w:br/>
      </w:r>
      <w:r>
        <w:t xml:space="preserve">• The European Agricultural Fund for Rural Development (EAFRD),</w:t>
      </w:r>
      <w:r>
        <w:t xml:space="preserve"> </w:t>
      </w:r>
      <w:r>
        <w:t xml:space="preserve">which provides support to farmers’ incomes through a series of</w:t>
      </w:r>
      <w:r>
        <w:t xml:space="preserve"> </w:t>
      </w:r>
      <w:r>
        <w:t xml:space="preserve">interventions (such as remuneration for environmental and climate</w:t>
      </w:r>
      <w:r>
        <w:t xml:space="preserve"> </w:t>
      </w:r>
      <w:r>
        <w:t xml:space="preserve">services, support for on-farm investments, risk management tools,</w:t>
      </w:r>
      <w:r>
        <w:t xml:space="preserve"> </w:t>
      </w:r>
      <w:r>
        <w:t xml:space="preserve">young farmers and farmers operating in areas with natural</w:t>
      </w:r>
      <w:r>
        <w:t xml:space="preserve"> </w:t>
      </w:r>
      <w:r>
        <w:t xml:space="preserve">constraints, knowledge exchange) and supports investments in rural</w:t>
      </w:r>
      <w:r>
        <w:t xml:space="preserve"> </w:t>
      </w:r>
      <w:r>
        <w:t xml:space="preserve">areas as well as cooperative approaches (LEADER43).</w:t>
      </w:r>
      <w:r>
        <w:t xml:space="preserve"> </w:t>
      </w:r>
      <w:r>
        <w:t xml:space="preserve">➢ European Maritime, Fisheries and Aquaculture Fund (EMFAF):</w:t>
      </w:r>
      <w:r>
        <w:t xml:space="preserve"> </w:t>
      </w:r>
      <w:r>
        <w:t xml:space="preserve">It supports the EU common fisheries policy (CFP), and the EU agenda for international</w:t>
      </w:r>
      <w:r>
        <w:t xml:space="preserve"> </w:t>
      </w:r>
      <w:r>
        <w:t xml:space="preserve">ocean governance. It provides support for ensuring sustainable fisheries, aquaculture,</w:t>
      </w:r>
      <w:r>
        <w:t xml:space="preserve"> </w:t>
      </w:r>
      <w:r>
        <w:t xml:space="preserve">processing and the wider blue economy. This includes for example, developing</w:t>
      </w:r>
      <w:r>
        <w:t xml:space="preserve"> </w:t>
      </w:r>
      <w:r>
        <w:t xml:space="preserve">innovative projects for more selective fishing and sustainable aquaculture, delivering the</w:t>
      </w:r>
      <w:r>
        <w:t xml:space="preserve"> </w:t>
      </w:r>
      <w:r>
        <w:t xml:space="preserve">energy transition of the sector, and providing support for closure periods for the</w:t>
      </w:r>
      <w:r>
        <w:t xml:space="preserve"> </w:t>
      </w:r>
      <w:r>
        <w:t xml:space="preserve">protection of biodiversity, and ensuring that coastal and rural communities dependent on</w:t>
      </w:r>
      <w:r>
        <w:t xml:space="preserve"> </w:t>
      </w:r>
      <w:r>
        <w:t xml:space="preserve">fisheries can go from strength to strength. Support from the fund also ensures that</w:t>
      </w:r>
      <w:r>
        <w:t xml:space="preserve"> </w:t>
      </w:r>
      <w:r>
        <w:t xml:space="preserve">appropriate levels of controls and data collection are in place to inform policy decisions,</w:t>
      </w:r>
      <w:r>
        <w:t xml:space="preserve"> </w:t>
      </w:r>
      <w:r>
        <w:t xml:space="preserve">notably to the deliver on the protection of marine biological resources – an exclusive</w:t>
      </w:r>
      <w:r>
        <w:t xml:space="preserve"> </w:t>
      </w:r>
      <w:r>
        <w:t xml:space="preserve">competence of the EU The majority of the programme is implemented under shared</w:t>
      </w:r>
      <w:r>
        <w:t xml:space="preserve"> </w:t>
      </w:r>
      <w:r>
        <w:t xml:space="preserve">management, through national programmes, for which the CPR 2021-2027 is applicable.</w:t>
      </w:r>
      <w:r>
        <w:t xml:space="preserve"> </w:t>
      </w:r>
      <w:r>
        <w:t xml:space="preserve">The Commission also directly manages a part of the programme, by supporting, amongst</w:t>
      </w:r>
      <w:r>
        <w:t xml:space="preserve"> </w:t>
      </w:r>
      <w:r>
        <w:t xml:space="preserve">others, interventions relating to the blue economy, scientific advice, fisheries control and</w:t>
      </w:r>
      <w:r>
        <w:t xml:space="preserve"> </w:t>
      </w:r>
      <w:r>
        <w:t xml:space="preserve">enforcement, market intelligence and provides financing to the activities of regional</w:t>
      </w:r>
      <w:r>
        <w:t xml:space="preserve"> </w:t>
      </w:r>
      <w:r>
        <w:t xml:space="preserve">fisheries management organisations.</w:t>
      </w:r>
      <w:r>
        <w:br/>
      </w:r>
      <w:r>
        <w:t xml:space="preserve">➢ Home Affairs Funds:</w:t>
      </w:r>
    </w:p>
    <w:p>
      <w:pPr>
        <w:pStyle w:val="BodyText"/>
      </w:pPr>
      <w:r>
        <w:t xml:space="preserve">43 LEADER involves local actors in rural areas in the development of their own regions by forming Local Actions Groups (LAGs)</w:t>
      </w:r>
      <w:r>
        <w:t xml:space="preserve"> </w:t>
      </w:r>
      <w:r>
        <w:t xml:space="preserve">and designing and implementing strategies.</w:t>
      </w:r>
    </w:p>
    <w:p>
      <w:pPr>
        <w:pStyle w:val="BodyText"/>
      </w:pPr>
      <w:r>
        <w:t xml:space="preserve">There are three EU funds in the field of home affairs:</w:t>
      </w:r>
      <w:r>
        <w:t xml:space="preserve"> </w:t>
      </w:r>
      <w:r>
        <w:t xml:space="preserve">• the Asylum, Migration and Integration Fund (AMIF) – contribute to</w:t>
      </w:r>
      <w:r>
        <w:t xml:space="preserve"> </w:t>
      </w:r>
      <w:r>
        <w:t xml:space="preserve">the efficient management of migration flows and to the</w:t>
      </w:r>
      <w:r>
        <w:t xml:space="preserve"> </w:t>
      </w:r>
      <w:r>
        <w:t xml:space="preserve">implementation, strengthening and development of the common</w:t>
      </w:r>
      <w:r>
        <w:t xml:space="preserve"> </w:t>
      </w:r>
      <w:r>
        <w:t xml:space="preserve">policy on asylum and the common immigration policy.</w:t>
      </w:r>
      <w:r>
        <w:br/>
      </w:r>
      <w:r>
        <w:t xml:space="preserve">• the Border Management and Visa Instrument (BMVI) – to ensure a</w:t>
      </w:r>
      <w:r>
        <w:t xml:space="preserve"> </w:t>
      </w:r>
      <w:r>
        <w:t xml:space="preserve">strong and effective European integrated border management at the</w:t>
      </w:r>
      <w:r>
        <w:t xml:space="preserve"> </w:t>
      </w:r>
      <w:r>
        <w:t xml:space="preserve">Union’s external borders, thereby contributing to ensuring a high</w:t>
      </w:r>
      <w:r>
        <w:t xml:space="preserve"> </w:t>
      </w:r>
      <w:r>
        <w:t xml:space="preserve">level of internal security within the Union while safeguarding the</w:t>
      </w:r>
      <w:r>
        <w:t xml:space="preserve"> </w:t>
      </w:r>
      <w:r>
        <w:t xml:space="preserve">free movement of persons within it;</w:t>
      </w:r>
      <w:r>
        <w:t xml:space="preserve"> </w:t>
      </w:r>
      <w:r>
        <w:t xml:space="preserve">• the Internal Security Fund (ISF) – to contribute to ensuring a high</w:t>
      </w:r>
      <w:r>
        <w:t xml:space="preserve"> </w:t>
      </w:r>
      <w:r>
        <w:t xml:space="preserve">level of security in the EU, in particular by preventing and combating</w:t>
      </w:r>
      <w:r>
        <w:t xml:space="preserve"> </w:t>
      </w:r>
      <w:r>
        <w:t xml:space="preserve">terrorism and radicalisation, serious and organised crime, corruption</w:t>
      </w:r>
      <w:r>
        <w:t xml:space="preserve"> </w:t>
      </w:r>
      <w:r>
        <w:t xml:space="preserve">and cybercrime, by assisting and protecting victims of crime, as well</w:t>
      </w:r>
      <w:r>
        <w:t xml:space="preserve"> </w:t>
      </w:r>
      <w:r>
        <w:t xml:space="preserve">as by preparing for, protecting against and effectively managing</w:t>
      </w:r>
      <w:r>
        <w:t xml:space="preserve"> </w:t>
      </w:r>
      <w:r>
        <w:t xml:space="preserve">security-related incidents, risks and crises.</w:t>
      </w:r>
      <w:r>
        <w:br/>
      </w:r>
      <w:r>
        <w:t xml:space="preserve">The three Home Affairs Funds combine all management modes. More than half of the</w:t>
      </w:r>
      <w:r>
        <w:t xml:space="preserve"> </w:t>
      </w:r>
      <w:r>
        <w:t xml:space="preserve">total funding for all three Funds is implemented under shared management, through</w:t>
      </w:r>
      <w:r>
        <w:t xml:space="preserve"> </w:t>
      </w:r>
      <w:r>
        <w:t xml:space="preserve">national programmes (one per fund for each Member State) under the rules of the CPR.</w:t>
      </w:r>
      <w:r>
        <w:t xml:space="preserve"> </w:t>
      </w:r>
      <w:r>
        <w:t xml:space="preserve">Under each Fund an amount is to be allocated following a mid-term review. That amount</w:t>
      </w:r>
      <w:r>
        <w:t xml:space="preserve"> </w:t>
      </w:r>
      <w:r>
        <w:t xml:space="preserve">corresponds to approx. 10 % of the total budget and will be distributed to Member States</w:t>
      </w:r>
      <w:r>
        <w:t xml:space="preserve"> </w:t>
      </w:r>
      <w:r>
        <w:t xml:space="preserve">based on the same allocation criteria as the initial allocations but on the basis of updated</w:t>
      </w:r>
      <w:r>
        <w:t xml:space="preserve"> </w:t>
      </w:r>
      <w:r>
        <w:t xml:space="preserve">statistical data (covering years 2021-2023). Those mid-term allocations for 2025-2025</w:t>
      </w:r>
      <w:r>
        <w:t xml:space="preserve"> </w:t>
      </w:r>
      <w:r>
        <w:t xml:space="preserve">will be allocated only to the Member States that by end 2024 fulfilled specific conditions</w:t>
      </w:r>
      <w:r>
        <w:t xml:space="preserve"> </w:t>
      </w:r>
      <w:r>
        <w:t xml:space="preserve">and will go to their national programmes.</w:t>
      </w:r>
      <w:r>
        <w:br/>
      </w:r>
      <w:r>
        <w:t xml:space="preserve">The remaining part of the financial envelope of each Home Affairs Fund is not pre-</w:t>
      </w:r>
      <w:r>
        <w:t xml:space="preserve"> </w:t>
      </w:r>
      <w:r>
        <w:t xml:space="preserve">allocated and is centrally managed by the Commission through multiannual work</w:t>
      </w:r>
      <w:r>
        <w:t xml:space="preserve"> </w:t>
      </w:r>
      <w:r>
        <w:t xml:space="preserve">programmes under the form of a Thematic Facility (in total, there are three – one for each</w:t>
      </w:r>
      <w:r>
        <w:t xml:space="preserve"> </w:t>
      </w:r>
      <w:r>
        <w:t xml:space="preserve">Fund). Funding can be implemented under all management modes – direct, shared,</w:t>
      </w:r>
      <w:r>
        <w:t xml:space="preserve"> </w:t>
      </w:r>
      <w:r>
        <w:t xml:space="preserve">indirect.</w:t>
      </w:r>
      <w:r>
        <w:br/>
      </w:r>
      <w:r>
        <w:t xml:space="preserve">➢ LIFE Programme</w:t>
      </w:r>
      <w:r>
        <w:t xml:space="preserve"> </w:t>
      </w:r>
      <w:r>
        <w:t xml:space="preserve">The LIFE programme is the Commission’s dedicated funding for environment, climate</w:t>
      </w:r>
      <w:r>
        <w:t xml:space="preserve"> </w:t>
      </w:r>
      <w:r>
        <w:t xml:space="preserve">action and the transition to clean energy.</w:t>
      </w:r>
      <w:r>
        <w:br/>
      </w:r>
      <w:r>
        <w:t xml:space="preserve">Approximately one-third of the LIFE budget, is pre-allocated to Member States on an</w:t>
      </w:r>
      <w:r>
        <w:t xml:space="preserve"> </w:t>
      </w:r>
      <w:r>
        <w:t xml:space="preserve">indicative basis for the implementation of</w:t>
      </w:r>
      <w:r>
        <w:t xml:space="preserve"> </w:t>
      </w:r>
      <w:r>
        <w:t xml:space="preserve">‘strategic nature projects’44 and ’strategic</w:t>
      </w:r>
      <w:r>
        <w:t xml:space="preserve"> </w:t>
      </w:r>
      <w:r>
        <w:t xml:space="preserve">integrated projects’</w:t>
      </w:r>
      <w:r>
        <w:t xml:space="preserve"> </w:t>
      </w:r>
      <w:r>
        <w:t xml:space="preserve">45, as outlined in the LIFE Multiannual Work Programme46. This</w:t>
      </w:r>
    </w:p>
    <w:p>
      <w:pPr>
        <w:pStyle w:val="BodyText"/>
      </w:pPr>
      <w:r>
        <w:t xml:space="preserve">44 ‘Strategic nature projects’ are initiatives that help achieve the EU’s nature and biodiversity goals by implementing coordinated</w:t>
      </w:r>
      <w:r>
        <w:t xml:space="preserve"> </w:t>
      </w:r>
      <w:r>
        <w:t xml:space="preserve">programmes of actions in Member States, integrating these objectives into other policies and funding.</w:t>
      </w:r>
      <w:r>
        <w:t xml:space="preserve"> </w:t>
      </w:r>
      <w:r>
        <w:t xml:space="preserve">45 ‘Strategic integrated projects’ are large-scale projects that implement environmental or climate strategies, required by EU law,</w:t>
      </w:r>
      <w:r>
        <w:t xml:space="preserve"> </w:t>
      </w:r>
      <w:r>
        <w:t xml:space="preserve">across regions or countries, involving stakeholders and combining multiple funding sources.</w:t>
      </w:r>
    </w:p>
    <w:p>
      <w:pPr>
        <w:pStyle w:val="BodyText"/>
      </w:pPr>
      <w:r>
        <w:t xml:space="preserve">pre-allocation reinforces the programme’s commitment to implementing environmental</w:t>
      </w:r>
      <w:r>
        <w:t xml:space="preserve"> </w:t>
      </w:r>
      <w:r>
        <w:t xml:space="preserve">law in the Member States. Beyond the indicatively pre-allocated envelopes for strategic</w:t>
      </w:r>
      <w:r>
        <w:t xml:space="preserve"> </w:t>
      </w:r>
      <w:r>
        <w:t xml:space="preserve">nature and integrated projects, other LIFE projects address EU priorities by promoting</w:t>
      </w:r>
      <w:r>
        <w:t xml:space="preserve"> </w:t>
      </w:r>
      <w:r>
        <w:t xml:space="preserve">innovation and stakeholder involvement.</w:t>
      </w:r>
      <w:r>
        <w:t xml:space="preserve"> </w:t>
      </w:r>
      <w:r>
        <w:t xml:space="preserve">➢ Connecting Europe Facility</w:t>
      </w:r>
      <w:r>
        <w:t xml:space="preserve"> </w:t>
      </w:r>
      <w:r>
        <w:t xml:space="preserve">The Connecting Europe Facility (CEF) is a key EU funding instrument to promote</w:t>
      </w:r>
      <w:r>
        <w:t xml:space="preserve"> </w:t>
      </w:r>
      <w:r>
        <w:t xml:space="preserve">growth, jobs and competitiveness through targeted infrastructure investment at European</w:t>
      </w:r>
      <w:r>
        <w:t xml:space="preserve"> </w:t>
      </w:r>
      <w:r>
        <w:t xml:space="preserve">level. It is a centrally managed programme that supports the development of high</w:t>
      </w:r>
      <w:r>
        <w:t xml:space="preserve"> </w:t>
      </w:r>
      <w:r>
        <w:t xml:space="preserve">performing, sustainable and efficiently interconnected trans-European networks in the</w:t>
      </w:r>
      <w:r>
        <w:t xml:space="preserve"> </w:t>
      </w:r>
      <w:r>
        <w:t xml:space="preserve">fields of transport, energy and digital services. For transport, an amount has been</w:t>
      </w:r>
      <w:r>
        <w:t xml:space="preserve"> </w:t>
      </w:r>
      <w:r>
        <w:t xml:space="preserve">transferred from the Cohesion Fund to the CEF. During the first three years of</w:t>
      </w:r>
      <w:r>
        <w:t xml:space="preserve"> </w:t>
      </w:r>
      <w:r>
        <w:t xml:space="preserve">implementation, the selection of projects supported from that transfer had to respect the</w:t>
      </w:r>
      <w:r>
        <w:t xml:space="preserve"> </w:t>
      </w:r>
      <w:r>
        <w:t xml:space="preserve">national allocations under the Cohesion Fund with regard to 70% of the resources</w:t>
      </w:r>
      <w:r>
        <w:t xml:space="preserve"> </w:t>
      </w:r>
      <w:r>
        <w:t xml:space="preserve">transferred; the remaining amount has been made available on a competitive basis</w:t>
      </w:r>
      <w:r>
        <w:t xml:space="preserve"> </w:t>
      </w:r>
      <w:r>
        <w:t xml:space="preserve">amongst cohesion Member States.</w:t>
      </w:r>
      <w:r>
        <w:br/>
      </w:r>
      <w:r>
        <w:t xml:space="preserve">➢ Food safety strand of the Single Market Programme:</w:t>
      </w:r>
      <w:r>
        <w:t xml:space="preserve"> </w:t>
      </w:r>
      <w:r>
        <w:t xml:space="preserve">The food safety strand of the Single Market Programme covers food safety, animal and</w:t>
      </w:r>
      <w:r>
        <w:t xml:space="preserve"> </w:t>
      </w:r>
      <w:r>
        <w:t xml:space="preserve">plant health, antimicrobial resistance, reduction of food waste, official controls, food</w:t>
      </w:r>
      <w:r>
        <w:t xml:space="preserve"> </w:t>
      </w:r>
      <w:r>
        <w:t xml:space="preserve">fraud, animal welfare and sustainability. Funding is provided via direct and indirect</w:t>
      </w:r>
      <w:r>
        <w:t xml:space="preserve"> </w:t>
      </w:r>
      <w:r>
        <w:t xml:space="preserve">management, mainly through grants and procurement, but also via contribution</w:t>
      </w:r>
      <w:r>
        <w:t xml:space="preserve"> </w:t>
      </w:r>
      <w:r>
        <w:t xml:space="preserve">agreements, administrative arrangements and service level agreements. While it does not</w:t>
      </w:r>
      <w:r>
        <w:t xml:space="preserve"> </w:t>
      </w:r>
      <w:r>
        <w:t xml:space="preserve">have any funding pre-allocated nationally, the main beneficiaries are Member States’</w:t>
      </w:r>
      <w:r>
        <w:t xml:space="preserve"> </w:t>
      </w:r>
      <w:r>
        <w:t xml:space="preserve">competent authorities. Furthermore, there are strong synergies in terms of scope with the</w:t>
      </w:r>
      <w:r>
        <w:t xml:space="preserve"> </w:t>
      </w:r>
      <w:r>
        <w:t xml:space="preserve">Common Agricultural Policy.</w:t>
      </w:r>
      <w:r>
        <w:br/>
      </w:r>
      <w:r>
        <w:t xml:space="preserve">Instruments funded by revenues from the auctioning of emission allowances under</w:t>
      </w:r>
      <w:r>
        <w:t xml:space="preserve"> </w:t>
      </w:r>
      <w:r>
        <w:t xml:space="preserve">the EU Emissions Trading System (EU ETS):</w:t>
      </w:r>
      <w:r>
        <w:t xml:space="preserve"> </w:t>
      </w:r>
      <w:r>
        <w:t xml:space="preserve">• The Modernisation Fund is an off-budget instrument for Member</w:t>
      </w:r>
      <w:r>
        <w:t xml:space="preserve"> </w:t>
      </w:r>
      <w:r>
        <w:t xml:space="preserve">States to spend earmarked national ETS revenues for the</w:t>
      </w:r>
      <w:r>
        <w:t xml:space="preserve"> </w:t>
      </w:r>
      <w:r>
        <w:t xml:space="preserve">modernisation of their energy sector from 2021 to 2030. A small</w:t>
      </w:r>
      <w:r>
        <w:t xml:space="preserve"> </w:t>
      </w:r>
      <w:r>
        <w:t xml:space="preserve">percentage of ETS1 allowances are auctioned to support 13 lower-</w:t>
      </w:r>
      <w:r>
        <w:t xml:space="preserve"> </w:t>
      </w:r>
      <w:r>
        <w:t xml:space="preserve">income Member States in the energy transition. The Modernisation</w:t>
      </w:r>
      <w:r>
        <w:t xml:space="preserve"> </w:t>
      </w:r>
      <w:r>
        <w:t xml:space="preserve">Fund operates under the responsibility of the beneficiary Member</w:t>
      </w:r>
      <w:r>
        <w:t xml:space="preserve"> </w:t>
      </w:r>
      <w:r>
        <w:t xml:space="preserve">States, who work in close cooperation with the European Investment</w:t>
      </w:r>
      <w:r>
        <w:t xml:space="preserve"> </w:t>
      </w:r>
      <w:r>
        <w:t xml:space="preserve">Bank (EIB) and the Commission. The disbursement of funds is based</w:t>
      </w:r>
      <w:r>
        <w:t xml:space="preserve"> </w:t>
      </w:r>
      <w:r>
        <w:t xml:space="preserve">on an ad hoc procedure, including EIB assessment and Commission</w:t>
      </w:r>
      <w:r>
        <w:t xml:space="preserve"> </w:t>
      </w:r>
      <w:r>
        <w:t xml:space="preserve">approval (and State aid clearance).</w:t>
      </w:r>
      <w:r>
        <w:br/>
      </w:r>
      <w:r>
        <w:t xml:space="preserve">• The forthcoming Social Climate Fund (SCF) will provide, as of 2026</w:t>
      </w:r>
      <w:r>
        <w:t xml:space="preserve"> </w:t>
      </w:r>
      <w:r>
        <w:t xml:space="preserve">until 2032, Member States with dedicated funding so that the most</w:t>
      </w:r>
      <w:r>
        <w:t xml:space="preserve"> </w:t>
      </w:r>
      <w:r>
        <w:t xml:space="preserve">affected vulnerable groups, such as households in energy or transport</w:t>
      </w:r>
      <w:r>
        <w:t xml:space="preserve"> </w:t>
      </w:r>
      <w:r>
        <w:t xml:space="preserve">poverty, are directly supported and not left behind during the green</w:t>
      </w:r>
    </w:p>
    <w:p>
      <w:pPr>
        <w:pStyle w:val="BodyText"/>
      </w:pPr>
      <w:r>
        <w:t xml:space="preserve">46 LIFE Multiannual Work Programme 2021-2024</w:t>
      </w:r>
    </w:p>
    <w:p>
      <w:pPr>
        <w:pStyle w:val="BodyText"/>
      </w:pPr>
      <w:r>
        <w:t xml:space="preserve">transition. The SCF, will be funded from the revenues sourcing from</w:t>
      </w:r>
      <w:r>
        <w:t xml:space="preserve"> </w:t>
      </w:r>
      <w:r>
        <w:t xml:space="preserve">the auctioning of ETS2 allowances, and will be directly managed by</w:t>
      </w:r>
      <w:r>
        <w:t xml:space="preserve"> </w:t>
      </w:r>
      <w:r>
        <w:t xml:space="preserve">the Commission, and funding will be disbursed to Member States on</w:t>
      </w:r>
      <w:r>
        <w:t xml:space="preserve"> </w:t>
      </w:r>
      <w:r>
        <w:t xml:space="preserve">a performance basis. The SCF Regulation foresees the integration of</w:t>
      </w:r>
      <w:r>
        <w:t xml:space="preserve"> </w:t>
      </w:r>
      <w:r>
        <w:t xml:space="preserve">the fund in the next multiannual financial framework in the event</w:t>
      </w:r>
      <w:r>
        <w:t xml:space="preserve"> </w:t>
      </w:r>
      <w:r>
        <w:t xml:space="preserve">revenue generated from the auctioning the ETS2 allowances is</w:t>
      </w:r>
      <w:r>
        <w:t xml:space="preserve"> </w:t>
      </w:r>
      <w:r>
        <w:t xml:space="preserve">established as an own resource.</w:t>
      </w:r>
    </w:p>
    <w:p>
      <w:pPr>
        <w:pStyle w:val="BodyText"/>
      </w:pPr>
      <w:r>
        <w:t xml:space="preserve">ANNEX 7: FURTHER ANALYSIS SUPPORTING THE</w:t>
      </w:r>
      <w:r>
        <w:t xml:space="preserve"> </w:t>
      </w:r>
      <w:r>
        <w:t xml:space="preserve">IDENTIFICATION OF PROBLEM DRIVERS</w:t>
      </w:r>
      <w:r>
        <w:t xml:space="preserve"> </w:t>
      </w:r>
      <w:r>
        <w:t xml:space="preserve">Problem driver 1: Some programmes overlap or have a similar scope</w:t>
      </w:r>
      <w:r>
        <w:t xml:space="preserve"> </w:t>
      </w:r>
      <w:r>
        <w:t xml:space="preserve">Table X: Objectives covered by the different EU instruments with nationally pre-allocated envelopes.</w:t>
      </w:r>
      <w:r>
        <w:t xml:space="preserve"> </w:t>
      </w:r>
      <w:r>
        <w:t xml:space="preserve">Objectives*/</w:t>
      </w:r>
      <w:r>
        <w:t xml:space="preserve"> </w:t>
      </w:r>
      <w:r>
        <w:t xml:space="preserve">funds</w:t>
      </w:r>
      <w:r>
        <w:t xml:space="preserve"> </w:t>
      </w:r>
      <w:r>
        <w:t xml:space="preserve">ERDF CF ESF+ JTF CAP EMFAF AMIFBMVIISFRRF</w:t>
      </w:r>
      <w:r>
        <w:t xml:space="preserve"> </w:t>
      </w:r>
      <w:r>
        <w:t xml:space="preserve">Modern-</w:t>
      </w:r>
      <w:r>
        <w:t xml:space="preserve"> </w:t>
      </w:r>
      <w:r>
        <w:t xml:space="preserve">isation</w:t>
      </w:r>
      <w:r>
        <w:t xml:space="preserve"> </w:t>
      </w:r>
      <w:r>
        <w:t xml:space="preserve">fund</w:t>
      </w:r>
      <w:r>
        <w:t xml:space="preserve"> </w:t>
      </w:r>
      <w:r>
        <w:t xml:space="preserve">SCFCEF</w:t>
      </w:r>
      <w:r>
        <w:t xml:space="preserve"> </w:t>
      </w:r>
      <w:r>
        <w:t xml:space="preserve">LIFE</w:t>
      </w:r>
    </w:p>
    <w:p>
      <w:pPr>
        <w:pStyle w:val="BodyText"/>
      </w:pPr>
      <w:r>
        <w:t xml:space="preserve">Economic,</w:t>
      </w:r>
      <w:r>
        <w:t xml:space="preserve"> </w:t>
      </w:r>
      <w:r>
        <w:t xml:space="preserve">social and</w:t>
      </w:r>
      <w:r>
        <w:t xml:space="preserve"> </w:t>
      </w:r>
      <w:r>
        <w:t xml:space="preserve">territorial</w:t>
      </w:r>
      <w:r>
        <w:t xml:space="preserve"> </w:t>
      </w:r>
      <w:r>
        <w:t xml:space="preserve">cohesion</w:t>
      </w:r>
      <w:r>
        <w:br/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 *</w:t>
      </w:r>
    </w:p>
    <w:p>
      <w:pPr>
        <w:pStyle w:val="FirstParagraph"/>
      </w:pPr>
      <w:r>
        <w:t xml:space="preserve">Employment,</w:t>
      </w:r>
      <w:r>
        <w:t xml:space="preserve"> </w:t>
      </w:r>
      <w:r>
        <w:t xml:space="preserve">and social</w:t>
      </w:r>
      <w:r>
        <w:t xml:space="preserve"> </w:t>
      </w:r>
      <w:r>
        <w:t xml:space="preserve">affairs</w:t>
      </w:r>
      <w:r>
        <w:br/>
      </w:r>
      <w:r>
        <w:t xml:space="preserve">*</w:t>
      </w:r>
    </w:p>
    <w:p>
      <w:pPr>
        <w:pStyle w:val="Compact"/>
        <w:numPr>
          <w:ilvl w:val="0"/>
          <w:numId w:val="1012"/>
        </w:numPr>
      </w:pPr>
    </w:p>
    <w:p>
      <w:pPr>
        <w:pStyle w:val="FirstParagraph"/>
      </w:pPr>
      <w:r>
        <w:t xml:space="preserve">Education and</w:t>
      </w:r>
      <w:r>
        <w:t xml:space="preserve"> </w:t>
      </w:r>
      <w:r>
        <w:t xml:space="preserve">skills</w:t>
      </w:r>
      <w:r>
        <w:t xml:space="preserve"> </w:t>
      </w:r>
      <w:r>
        <w:t xml:space="preserve">*</w:t>
      </w:r>
    </w:p>
    <w:p>
      <w:pPr>
        <w:pStyle w:val="FirstParagraph"/>
      </w:pPr>
      <w:r>
        <w:t xml:space="preserve">Climate action</w:t>
      </w:r>
      <w:r>
        <w:br/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 * *</w:t>
      </w:r>
      <w:r>
        <w:t xml:space="preserve"> </w:t>
      </w:r>
      <w:r>
        <w:t xml:space="preserve">*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Agriculture,</w:t>
      </w:r>
      <w:r>
        <w:t xml:space="preserve"> </w:t>
      </w:r>
      <w:r>
        <w:t xml:space="preserve">food and rural</w:t>
      </w:r>
      <w:r>
        <w:t xml:space="preserve"> </w:t>
      </w:r>
      <w:r>
        <w:t xml:space="preserve">development</w:t>
      </w:r>
      <w:r>
        <w:br/>
      </w:r>
    </w:p>
    <w:p>
      <w:pPr>
        <w:pStyle w:val="FirstParagraph"/>
      </w:pPr>
      <w:r>
        <w:t xml:space="preserve">Research and</w:t>
      </w:r>
      <w:r>
        <w:t xml:space="preserve"> </w:t>
      </w:r>
      <w:r>
        <w:t xml:space="preserve">innovation</w:t>
      </w:r>
      <w:r>
        <w:br/>
      </w:r>
      <w:r>
        <w:t xml:space="preserve">*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16"/>
        </w:numPr>
      </w:pPr>
    </w:p>
    <w:p>
      <w:pPr>
        <w:pStyle w:val="FirstParagraph"/>
      </w:pPr>
      <w:r>
        <w:t xml:space="preserve">Health</w:t>
      </w:r>
      <w:r>
        <w:br/>
      </w:r>
      <w:r>
        <w:t xml:space="preserve">*</w:t>
      </w:r>
    </w:p>
    <w:p>
      <w:pPr>
        <w:pStyle w:val="Compact"/>
        <w:numPr>
          <w:ilvl w:val="0"/>
          <w:numId w:val="1018"/>
        </w:numPr>
      </w:pPr>
    </w:p>
    <w:p>
      <w:pPr>
        <w:pStyle w:val="FirstParagraph"/>
      </w:pPr>
      <w:r>
        <w:t xml:space="preserve">Digital</w:t>
      </w:r>
      <w:r>
        <w:t xml:space="preserve"> </w:t>
      </w:r>
      <w:r>
        <w:t xml:space="preserve">connectivity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</w:p>
    <w:p>
      <w:pPr>
        <w:pStyle w:val="FirstParagraph"/>
      </w:pPr>
      <w:r>
        <w:t xml:space="preserve">Sustainable</w:t>
      </w:r>
      <w:r>
        <w:t xml:space="preserve"> </w:t>
      </w:r>
      <w:r>
        <w:t xml:space="preserve">energy</w:t>
      </w:r>
      <w:r>
        <w:t xml:space="preserve"> </w:t>
      </w:r>
      <w:r>
        <w:t xml:space="preserve">infrastructures *</w:t>
      </w:r>
      <w:r>
        <w:t xml:space="preserve"> </w:t>
      </w:r>
      <w:r>
        <w:t xml:space="preserve">*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1"/>
        </w:numPr>
      </w:pPr>
      <w:r>
        <w:t xml:space="preserve">Transport</w:t>
      </w:r>
      <w:r>
        <w:t xml:space="preserve"> </w:t>
      </w:r>
      <w:r>
        <w:t xml:space="preserve">infrastructures</w:t>
      </w:r>
    </w:p>
    <w:p>
      <w:pPr>
        <w:pStyle w:val="FirstParagraph"/>
      </w:pPr>
      <w:r>
        <w:t xml:space="preserve">Environment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t xml:space="preserve">Tourism and</w:t>
      </w:r>
      <w:r>
        <w:t xml:space="preserve"> </w:t>
      </w:r>
      <w:r>
        <w:t xml:space="preserve">local</w:t>
      </w:r>
      <w:r>
        <w:t xml:space="preserve"> </w:t>
      </w:r>
      <w:r>
        <w:t xml:space="preserve">development</w:t>
      </w:r>
      <w:r>
        <w:br/>
      </w:r>
    </w:p>
    <w:p>
      <w:pPr>
        <w:pStyle w:val="FirstParagraph"/>
      </w:pPr>
      <w:r>
        <w:t xml:space="preserve">Migration</w:t>
      </w:r>
    </w:p>
    <w:p>
      <w:pPr>
        <w:pStyle w:val="FirstParagraph"/>
      </w:pPr>
      <w:r>
        <w:t xml:space="preserve">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*</w:t>
      </w:r>
    </w:p>
    <w:p>
      <w:pPr>
        <w:pStyle w:val="FirstParagraph"/>
      </w:pPr>
      <w:r>
        <w:t xml:space="preserve">Security</w:t>
      </w:r>
      <w:r>
        <w:br/>
      </w:r>
      <w:r>
        <w:t xml:space="preserve">*</w:t>
      </w:r>
    </w:p>
    <w:p>
      <w:pPr>
        <w:pStyle w:val="FirstParagraph"/>
      </w:pPr>
      <w:r>
        <w:t xml:space="preserve">Problem driver 2: The programming of EU funds with nationally pre-</w:t>
      </w:r>
      <w:r>
        <w:t xml:space="preserve"> </w:t>
      </w:r>
      <w:r>
        <w:t xml:space="preserve">allocated envelopes is too fragmented</w:t>
      </w:r>
      <w:r>
        <w:t xml:space="preserve"> </w:t>
      </w:r>
      <w:r>
        <w:t xml:space="preserve">Looking only at those EU funds jointly managed by the Commission and Member</w:t>
      </w:r>
      <w:r>
        <w:t xml:space="preserve"> </w:t>
      </w:r>
      <w:r>
        <w:t xml:space="preserve">States, the number of programmes amounts to 511 programmes of which 232 national</w:t>
      </w:r>
      <w:r>
        <w:t xml:space="preserve"> </w:t>
      </w:r>
      <w:r>
        <w:t xml:space="preserve">programmes, 194 regional programmes and 85 Interreg ones.</w:t>
      </w:r>
    </w:p>
    <w:p>
      <w:pPr>
        <w:pStyle w:val="BodyText"/>
      </w:pPr>
      <w:r>
        <w:t xml:space="preserve">➢ Cohesion policy</w:t>
      </w:r>
    </w:p>
    <w:p>
      <w:pPr>
        <w:pStyle w:val="BodyText"/>
      </w:pPr>
      <w:r>
        <w:t xml:space="preserve">At the start of the programming period, Member States must first prepare a partnership</w:t>
      </w:r>
      <w:r>
        <w:t xml:space="preserve"> </w:t>
      </w:r>
      <w:r>
        <w:t xml:space="preserve">agreement (which also covers other policy areas; the EAFRD and EMFAF in 2014-2020</w:t>
      </w:r>
      <w:r>
        <w:t xml:space="preserve"> </w:t>
      </w:r>
      <w:r>
        <w:t xml:space="preserve">and only the latter in 2021-2027). Partnership agreements are overarching documents in</w:t>
      </w:r>
      <w:r>
        <w:t xml:space="preserve"> </w:t>
      </w:r>
      <w:r>
        <w:t xml:space="preserve">which the Member States describe how coordination, demarcation and complementarities</w:t>
      </w:r>
      <w:r>
        <w:t xml:space="preserve"> </w:t>
      </w:r>
      <w:r>
        <w:t xml:space="preserve">are ensured between the funds programmes the policy objectives of their funds or the</w:t>
      </w:r>
      <w:r>
        <w:t xml:space="preserve"> </w:t>
      </w:r>
      <w:r>
        <w:t xml:space="preserve">preliminary financial allocation of each of the funds. These are strategic documents</w:t>
      </w:r>
      <w:r>
        <w:t xml:space="preserve"> </w:t>
      </w:r>
      <w:r>
        <w:t xml:space="preserve">which set out the broad orientations but do not specify in detail what types of actions and</w:t>
      </w:r>
      <w:r>
        <w:t xml:space="preserve"> </w:t>
      </w:r>
      <w:r>
        <w:t xml:space="preserve">investments are to be undertaken.</w:t>
      </w:r>
      <w:r>
        <w:br/>
      </w:r>
      <w:r>
        <w:t xml:space="preserve">Together with the partnership agreements, Member States can start submitting</w:t>
      </w:r>
      <w:r>
        <w:t xml:space="preserve"> </w:t>
      </w:r>
      <w:r>
        <w:t xml:space="preserve">programmes, setting out a strategy to achieve the objectives and identifying the types of</w:t>
      </w:r>
      <w:r>
        <w:t xml:space="preserve"> </w:t>
      </w:r>
      <w:r>
        <w:t xml:space="preserve">planned activities and investments. They are free to choose the number of programmes</w:t>
      </w:r>
      <w:r>
        <w:t xml:space="preserve"> </w:t>
      </w:r>
      <w:r>
        <w:t xml:space="preserve">they want to have and whether they prefer national or regional programmes (or a</w:t>
      </w:r>
      <w:r>
        <w:t xml:space="preserve"> </w:t>
      </w:r>
      <w:r>
        <w:t xml:space="preserve">combination of both). Additionally, Interreg programmes pursuing the European</w:t>
      </w:r>
      <w:r>
        <w:t xml:space="preserve"> </w:t>
      </w:r>
      <w:r>
        <w:t xml:space="preserve">Territorial Cooperation goal are also implemented. For the period 2021-2027, the</w:t>
      </w:r>
      <w:r>
        <w:t xml:space="preserve"> </w:t>
      </w:r>
      <w:r>
        <w:t xml:space="preserve">cohesion policy funds are delivered through 379 programmes. The involvement of</w:t>
      </w:r>
      <w:r>
        <w:t xml:space="preserve"> </w:t>
      </w:r>
      <w:r>
        <w:t xml:space="preserve">regional and local authorities and other stakeholders is strong throughout programming</w:t>
      </w:r>
      <w:r>
        <w:t xml:space="preserve"> </w:t>
      </w:r>
      <w:r>
        <w:t xml:space="preserve">and implementation due to the long-standing partnership and multi-level governance</w:t>
      </w:r>
      <w:r>
        <w:t xml:space="preserve"> </w:t>
      </w:r>
      <w:r>
        <w:t xml:space="preserve">arrangements under the policy.</w:t>
      </w:r>
      <w:r>
        <w:t xml:space="preserve"> </w:t>
      </w:r>
      <w:r>
        <w:t xml:space="preserve">➢ The Common Agricultural Policy</w:t>
      </w:r>
      <w:r>
        <w:t xml:space="preserve"> </w:t>
      </w:r>
      <w:r>
        <w:t xml:space="preserve">The move towards single programming is one of the main novelties of the new CAP,</w:t>
      </w:r>
      <w:r>
        <w:t xml:space="preserve"> </w:t>
      </w:r>
      <w:r>
        <w:t xml:space="preserve">which has entrusted each Member State with the drafting of a national strategic plan,</w:t>
      </w:r>
      <w:r>
        <w:t xml:space="preserve"> </w:t>
      </w:r>
      <w:r>
        <w:t xml:space="preserve">combining funding for direct payments, rural development and market measures, all of</w:t>
      </w:r>
      <w:r>
        <w:t xml:space="preserve"> </w:t>
      </w:r>
      <w:r>
        <w:t xml:space="preserve">which contribute to providing income support to farmers. This allowed for strategic</w:t>
      </w:r>
      <w:r>
        <w:t xml:space="preserve"> </w:t>
      </w:r>
      <w:r>
        <w:t xml:space="preserve">planning under a single plan, both for the EAGF – which before did not have a specific</w:t>
      </w:r>
      <w:r>
        <w:t xml:space="preserve"> </w:t>
      </w:r>
      <w:r>
        <w:t xml:space="preserve">plan – and for the EAFRD – where the previous 115 national and many regional</w:t>
      </w:r>
      <w:r>
        <w:t xml:space="preserve"> </w:t>
      </w:r>
      <w:r>
        <w:t xml:space="preserve">programmes are now combined under one single umbrella.47</w:t>
      </w:r>
      <w:r>
        <w:br/>
      </w:r>
      <w:r>
        <w:t xml:space="preserve">➢ EMFAF</w:t>
      </w:r>
      <w:r>
        <w:t xml:space="preserve"> </w:t>
      </w:r>
      <w:r>
        <w:t xml:space="preserve">EMFAF funding is implemented through a single national programme at Member State</w:t>
      </w:r>
      <w:r>
        <w:t xml:space="preserve"> </w:t>
      </w:r>
      <w:r>
        <w:t xml:space="preserve">level. The programme is negotiated under the partnership agreement, as set out above</w:t>
      </w:r>
      <w:r>
        <w:t xml:space="preserve"> </w:t>
      </w:r>
      <w:r>
        <w:t xml:space="preserve">under cohesion policy.</w:t>
      </w:r>
      <w:r>
        <w:br/>
      </w:r>
      <w:r>
        <w:t xml:space="preserve">➢ Home Affairs Funds</w:t>
      </w:r>
      <w:r>
        <w:t xml:space="preserve"> </w:t>
      </w:r>
      <w:r>
        <w:t xml:space="preserve">When it comes to the Home Affairs Funds for migration, border management and</w:t>
      </w:r>
      <w:r>
        <w:t xml:space="preserve"> </w:t>
      </w:r>
      <w:r>
        <w:t xml:space="preserve">internal security, programming is done per Fund, with one national programme per Fund.</w:t>
      </w:r>
      <w:r>
        <w:t xml:space="preserve"> </w:t>
      </w:r>
      <w:r>
        <w:t xml:space="preserve">Yet, these programmes are often managed by the same managing authorities in each</w:t>
      </w:r>
      <w:r>
        <w:t xml:space="preserve"> </w:t>
      </w:r>
      <w:r>
        <w:t xml:space="preserve">Member State.</w:t>
      </w:r>
      <w:r>
        <w:t xml:space="preserve"> </w:t>
      </w:r>
      <w:r>
        <w:t xml:space="preserve">➢ Recovery and Resilience Facility</w:t>
      </w:r>
      <w:r>
        <w:t xml:space="preserve"> </w:t>
      </w:r>
      <w:r>
        <w:t xml:space="preserve">To access financial support under the Facility, Member States had to prepare RRPs</w:t>
      </w:r>
      <w:r>
        <w:t xml:space="preserve"> </w:t>
      </w:r>
      <w:r>
        <w:t xml:space="preserve">setting out a national agenda of reforms and investments to be implemented gradually</w:t>
      </w:r>
      <w:r>
        <w:t xml:space="preserve"> </w:t>
      </w:r>
      <w:r>
        <w:t xml:space="preserve">until 31 August 2026. The selected reforms and investments are in line with their</w:t>
      </w:r>
    </w:p>
    <w:p>
      <w:pPr>
        <w:pStyle w:val="BodyText"/>
      </w:pPr>
      <w:r>
        <w:t xml:space="preserve">47 With the exception of BE, which has two CAP Strategic Plans – one for Wallonia and one for Flanders.</w:t>
      </w:r>
    </w:p>
    <w:p>
      <w:pPr>
        <w:pStyle w:val="BodyText"/>
      </w:pPr>
      <w:r>
        <w:t xml:space="preserve">priorities and needs, ensuring a targeted country-specific approach while supporting EU</w:t>
      </w:r>
      <w:r>
        <w:t xml:space="preserve"> </w:t>
      </w:r>
      <w:r>
        <w:t xml:space="preserve">common policies. Once a RRP is approved by the Council upon proposal by the</w:t>
      </w:r>
      <w:r>
        <w:t xml:space="preserve"> </w:t>
      </w:r>
      <w:r>
        <w:t xml:space="preserve">Commission, the plan’s content becomes a legally binding act that includes the</w:t>
      </w:r>
      <w:r>
        <w:t xml:space="preserve"> </w:t>
      </w:r>
      <w:r>
        <w:t xml:space="preserve">milestones and targets against the fulfilment of which payments should be made. While</w:t>
      </w:r>
      <w:r>
        <w:t xml:space="preserve"> </w:t>
      </w:r>
      <w:r>
        <w:t xml:space="preserve">the RRF Regulation sets out overarching criteria that the plans need to comply with,</w:t>
      </w:r>
      <w:r>
        <w:t xml:space="preserve"> </w:t>
      </w:r>
      <w:r>
        <w:t xml:space="preserve">Member States are responsible for designing their plans and deciding on the reforms and</w:t>
      </w:r>
      <w:r>
        <w:t xml:space="preserve"> </w:t>
      </w:r>
      <w:r>
        <w:t xml:space="preserve">investments to put forward, creating a sense of ownership, commitment, and</w:t>
      </w:r>
      <w:r>
        <w:t xml:space="preserve"> </w:t>
      </w:r>
      <w:r>
        <w:t xml:space="preserve">accountability, which facilitates implementation.</w:t>
      </w:r>
      <w:r>
        <w:br/>
      </w:r>
      <w:r>
        <w:t xml:space="preserve">Problem driver 3: Heterogeneous programme-specific rules may lead to a</w:t>
      </w:r>
      <w:r>
        <w:t xml:space="preserve"> </w:t>
      </w:r>
      <w:r>
        <w:t xml:space="preserve">suboptimal use of resources</w:t>
      </w:r>
      <w:r>
        <w:t xml:space="preserve"> </w:t>
      </w:r>
      <w:r>
        <w:t xml:space="preserve">Two of the areas where rules differ amongst programmes are co-financing rates and</w:t>
      </w:r>
      <w:r>
        <w:t xml:space="preserve"> </w:t>
      </w:r>
      <w:r>
        <w:t xml:space="preserve">conditionality, which are further explained below.</w:t>
      </w:r>
      <w:r>
        <w:br/>
      </w:r>
      <w:r>
        <w:t xml:space="preserve">Example 1: Co-financing rules</w:t>
      </w:r>
      <w:r>
        <w:t xml:space="preserve"> </w:t>
      </w:r>
      <w:r>
        <w:t xml:space="preserve">Different funds have different co-financing rates, which in specific cases are further</w:t>
      </w:r>
      <w:r>
        <w:t xml:space="preserve"> </w:t>
      </w:r>
      <w:r>
        <w:t xml:space="preserve">differentiated within the funds and programmes according to the level of regional</w:t>
      </w:r>
      <w:r>
        <w:t xml:space="preserve"> </w:t>
      </w:r>
      <w:r>
        <w:t xml:space="preserve">development or for specific actions. While this allows targeting interventions to achieve</w:t>
      </w:r>
      <w:r>
        <w:t xml:space="preserve"> </w:t>
      </w:r>
      <w:r>
        <w:t xml:space="preserve">specific policy objectives, the current system of co-financing is complex and may lead to</w:t>
      </w:r>
      <w:r>
        <w:t xml:space="preserve"> </w:t>
      </w:r>
      <w:r>
        <w:t xml:space="preserve">“subsidy-shopping” and inefficiencies in the allocation of resources in situations where</w:t>
      </w:r>
      <w:r>
        <w:t xml:space="preserve"> </w:t>
      </w:r>
      <w:r>
        <w:t xml:space="preserve">Member States have the choice of implementing certain actions under several</w:t>
      </w:r>
      <w:r>
        <w:t xml:space="preserve"> </w:t>
      </w:r>
      <w:r>
        <w:t xml:space="preserve">programmes. While co-financing rates are defined in the CPR for cohesion policy funds,</w:t>
      </w:r>
      <w:r>
        <w:t xml:space="preserve"> </w:t>
      </w:r>
      <w:r>
        <w:t xml:space="preserve">this is not the case for other EU funds under the CPR such as the Home Affairs Funds or</w:t>
      </w:r>
      <w:r>
        <w:t xml:space="preserve"> </w:t>
      </w:r>
      <w:r>
        <w:t xml:space="preserve">EMFAF, where co-financing rules are defined in sectoral legislation. Other EU funds do</w:t>
      </w:r>
      <w:r>
        <w:t xml:space="preserve"> </w:t>
      </w:r>
      <w:r>
        <w:t xml:space="preserve">not require co-financing, such as direct payments under the CAP or support through the</w:t>
      </w:r>
      <w:r>
        <w:t xml:space="preserve"> </w:t>
      </w:r>
      <w:r>
        <w:t xml:space="preserve">RRF. The Social Climate Fund will rely on co-financing at the level of the plan, based on</w:t>
      </w:r>
      <w:r>
        <w:t xml:space="preserve"> </w:t>
      </w:r>
      <w:r>
        <w:t xml:space="preserve">the ex-ante costing of the interventions planned by Member States.</w:t>
      </w:r>
      <w:r>
        <w:br/>
      </w:r>
      <w:r>
        <w:t xml:space="preserve">Table X: Overview of co-financing rates in EU programmes with nationally pre-</w:t>
      </w:r>
      <w:r>
        <w:t xml:space="preserve"> </w:t>
      </w:r>
      <w:r>
        <w:t xml:space="preserve">allocated envelopes</w:t>
      </w:r>
      <w:r>
        <w:t xml:space="preserve"> </w:t>
      </w:r>
      <w:r>
        <w:t xml:space="preserve">EU fund with</w:t>
      </w:r>
      <w:r>
        <w:t xml:space="preserve"> </w:t>
      </w:r>
      <w:r>
        <w:t xml:space="preserve">nationally</w:t>
      </w:r>
      <w:r>
        <w:t xml:space="preserve"> </w:t>
      </w:r>
      <w:r>
        <w:t xml:space="preserve">pre-allocated</w:t>
      </w:r>
      <w:r>
        <w:t xml:space="preserve"> </w:t>
      </w:r>
      <w:r>
        <w:t xml:space="preserve">envelopes</w:t>
      </w:r>
      <w:r>
        <w:t xml:space="preserve"> </w:t>
      </w:r>
      <w:r>
        <w:t xml:space="preserve">Co-financing</w:t>
      </w:r>
      <w:r>
        <w:t xml:space="preserve"> </w:t>
      </w:r>
      <w:r>
        <w:t xml:space="preserve">(yes/no &amp; where it is</w:t>
      </w:r>
      <w:r>
        <w:t xml:space="preserve"> </w:t>
      </w:r>
      <w:r>
        <w:t xml:space="preserve">defined)</w:t>
      </w:r>
      <w:r>
        <w:t xml:space="preserve"> </w:t>
      </w:r>
      <w:r>
        <w:t xml:space="preserve">Co-financing rates (if applicable)48</w:t>
      </w:r>
      <w:r>
        <w:t xml:space="preserve"> </w:t>
      </w:r>
      <w:r>
        <w:t xml:space="preserve">ERDF</w:t>
      </w:r>
      <w:r>
        <w:t xml:space="preserve"> </w:t>
      </w:r>
      <w:r>
        <w:t xml:space="preserve">Yes – CPR</w:t>
      </w:r>
      <w:r>
        <w:t xml:space="preserve"> </w:t>
      </w:r>
      <w:r>
        <w:t xml:space="preserve">From 40 to 85%, depending on the</w:t>
      </w:r>
      <w:r>
        <w:t xml:space="preserve"> </w:t>
      </w:r>
      <w:r>
        <w:t xml:space="preserve">category of regions; 80% for Interreg.</w:t>
      </w:r>
      <w:r>
        <w:t xml:space="preserve"> </w:t>
      </w:r>
      <w:r>
        <w:t xml:space="preserve">Several derogations have been introduced,</w:t>
      </w:r>
      <w:r>
        <w:t xml:space="preserve"> </w:t>
      </w:r>
      <w:r>
        <w:t xml:space="preserve">which allow for a co-financing rate of up to</w:t>
      </w:r>
      <w:r>
        <w:t xml:space="preserve"> </w:t>
      </w:r>
      <w:r>
        <w:t xml:space="preserve">100% (e.g. STEP)</w:t>
      </w:r>
      <w:r>
        <w:t xml:space="preserve"> </w:t>
      </w:r>
      <w:r>
        <w:t xml:space="preserve">CF</w:t>
      </w:r>
      <w:r>
        <w:t xml:space="preserve"> </w:t>
      </w:r>
      <w:r>
        <w:t xml:space="preserve">Yes – CPR</w:t>
      </w:r>
      <w:r>
        <w:t xml:space="preserve"> </w:t>
      </w:r>
      <w:r>
        <w:t xml:space="preserve">Up to 85% depending on the category of</w:t>
      </w:r>
    </w:p>
    <w:p>
      <w:pPr>
        <w:pStyle w:val="BodyText"/>
      </w:pPr>
      <w:r>
        <w:t xml:space="preserve">48 In certain cases to address crises situations or pursue STEP objectives it is possible to</w:t>
      </w:r>
      <w:r>
        <w:t xml:space="preserve"> </w:t>
      </w:r>
      <w:r>
        <w:t xml:space="preserve">increase the EU co-financing rates to 100% under cohesion policy.</w:t>
      </w:r>
    </w:p>
    <w:p>
      <w:pPr>
        <w:pStyle w:val="BodyText"/>
      </w:pPr>
      <w:r>
        <w:t xml:space="preserve">regions</w:t>
      </w:r>
      <w:r>
        <w:t xml:space="preserve"> </w:t>
      </w:r>
      <w:r>
        <w:t xml:space="preserve">JTF</w:t>
      </w:r>
      <w:r>
        <w:t xml:space="preserve"> </w:t>
      </w:r>
      <w:r>
        <w:t xml:space="preserve">Yes – CPR</w:t>
      </w:r>
      <w:r>
        <w:t xml:space="preserve"> </w:t>
      </w:r>
      <w:r>
        <w:t xml:space="preserve">From 50 to 85%, depending on the</w:t>
      </w:r>
      <w:r>
        <w:t xml:space="preserve"> </w:t>
      </w:r>
      <w:r>
        <w:t xml:space="preserve">category of regions</w:t>
      </w:r>
      <w:r>
        <w:t xml:space="preserve"> </w:t>
      </w:r>
      <w:r>
        <w:t xml:space="preserve">ESF+</w:t>
      </w:r>
      <w:r>
        <w:t xml:space="preserve"> </w:t>
      </w:r>
      <w:r>
        <w:t xml:space="preserve">Yes – CPR and sectoral</w:t>
      </w:r>
      <w:r>
        <w:t xml:space="preserve"> </w:t>
      </w:r>
      <w:r>
        <w:t xml:space="preserve">legislation, which may set</w:t>
      </w:r>
      <w:r>
        <w:t xml:space="preserve"> </w:t>
      </w:r>
      <w:r>
        <w:t xml:space="preserve">higher co-financing rates</w:t>
      </w:r>
      <w:r>
        <w:t xml:space="preserve"> </w:t>
      </w:r>
      <w:r>
        <w:t xml:space="preserve">From 40 to 95%</w:t>
      </w:r>
      <w:r>
        <w:t xml:space="preserve"> </w:t>
      </w:r>
      <w:r>
        <w:t xml:space="preserve">EMFAF</w:t>
      </w:r>
      <w:r>
        <w:t xml:space="preserve"> </w:t>
      </w:r>
      <w:r>
        <w:t xml:space="preserve">Yes – CPR and sectoral</w:t>
      </w:r>
      <w:r>
        <w:t xml:space="preserve"> </w:t>
      </w:r>
      <w:r>
        <w:t xml:space="preserve">legislation</w:t>
      </w:r>
      <w:r>
        <w:t xml:space="preserve"> </w:t>
      </w:r>
      <w:r>
        <w:t xml:space="preserve">Up to 70% (100% of additional costs for</w:t>
      </w:r>
      <w:r>
        <w:t xml:space="preserve"> </w:t>
      </w:r>
      <w:r>
        <w:t xml:space="preserve">Outermost Regions)</w:t>
      </w:r>
      <w:r>
        <w:t xml:space="preserve"> </w:t>
      </w:r>
      <w:r>
        <w:t xml:space="preserve">EAGF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EAFRD</w:t>
      </w:r>
      <w:r>
        <w:t xml:space="preserve"> </w:t>
      </w:r>
      <w:r>
        <w:t xml:space="preserve">Yes – established in the</w:t>
      </w:r>
      <w:r>
        <w:t xml:space="preserve"> </w:t>
      </w:r>
      <w:r>
        <w:t xml:space="preserve">CAP</w:t>
      </w:r>
      <w:r>
        <w:t xml:space="preserve"> </w:t>
      </w:r>
      <w:r>
        <w:t xml:space="preserve">Strategic</w:t>
      </w:r>
      <w:r>
        <w:t xml:space="preserve"> </w:t>
      </w:r>
      <w:r>
        <w:t xml:space="preserve">Plan</w:t>
      </w:r>
      <w:r>
        <w:t xml:space="preserve"> </w:t>
      </w:r>
      <w:r>
        <w:t xml:space="preserve">Regulation</w:t>
      </w:r>
      <w:r>
        <w:t xml:space="preserve"> </w:t>
      </w:r>
      <w:r>
        <w:t xml:space="preserve">From 20% up to 80-100%</w:t>
      </w:r>
      <w:r>
        <w:t xml:space="preserve"> </w:t>
      </w:r>
      <w:r>
        <w:t xml:space="preserve">AMIF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From 75% to 90-100%</w:t>
      </w:r>
      <w:r>
        <w:t xml:space="preserve"> </w:t>
      </w:r>
      <w:r>
        <w:t xml:space="preserve">BMVI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From 75% to 90-100%</w:t>
      </w:r>
      <w:r>
        <w:t xml:space="preserve"> </w:t>
      </w:r>
      <w:r>
        <w:t xml:space="preserve">ISF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From 75% to 90-100%</w:t>
      </w:r>
      <w:r>
        <w:t xml:space="preserve"> </w:t>
      </w:r>
      <w:r>
        <w:t xml:space="preserve">RRF</w:t>
      </w:r>
      <w:r>
        <w:t xml:space="preserve"> </w:t>
      </w:r>
      <w:r>
        <w:t xml:space="preserve">No</w:t>
      </w:r>
      <w:r>
        <w:t xml:space="preserve"> </w:t>
      </w:r>
      <w:r>
        <w:t xml:space="preserve">100% EU funded (and interest payments on</w:t>
      </w:r>
      <w:r>
        <w:t xml:space="preserve"> </w:t>
      </w:r>
      <w:r>
        <w:t xml:space="preserve">loans are excluded from net expenditure)</w:t>
      </w:r>
      <w:r>
        <w:t xml:space="preserve"> </w:t>
      </w:r>
      <w:r>
        <w:t xml:space="preserve">LIFE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60% for strategic nature projects and</w:t>
      </w:r>
      <w:r>
        <w:t xml:space="preserve"> </w:t>
      </w:r>
      <w:r>
        <w:t xml:space="preserve">strategic integrated projects</w:t>
      </w:r>
      <w:r>
        <w:br/>
      </w:r>
      <w:r>
        <w:t xml:space="preserve">SCF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Member States shall “contribute at least to</w:t>
      </w:r>
      <w:r>
        <w:t xml:space="preserve"> </w:t>
      </w:r>
      <w:r>
        <w:t xml:space="preserve">25% of the estimated total costs of their</w:t>
      </w:r>
      <w:r>
        <w:t xml:space="preserve"> </w:t>
      </w:r>
      <w:r>
        <w:t xml:space="preserve">plans”</w:t>
      </w:r>
      <w:r>
        <w:t xml:space="preserve"> </w:t>
      </w:r>
      <w:r>
        <w:t xml:space="preserve">CEF</w:t>
      </w:r>
      <w:r>
        <w:t xml:space="preserve"> </w:t>
      </w:r>
      <w:r>
        <w:t xml:space="preserve">Yes – sectoral legislation</w:t>
      </w:r>
      <w:r>
        <w:t xml:space="preserve"> </w:t>
      </w:r>
      <w:r>
        <w:t xml:space="preserve">CEF</w:t>
      </w:r>
      <w:r>
        <w:t xml:space="preserve"> </w:t>
      </w:r>
      <w:r>
        <w:t xml:space="preserve">Transport:</w:t>
      </w:r>
      <w:r>
        <w:t xml:space="preserve"> </w:t>
      </w:r>
      <w:r>
        <w:t xml:space="preserve">30-50%</w:t>
      </w:r>
      <w:r>
        <w:t xml:space="preserve"> </w:t>
      </w:r>
      <w:r>
        <w:t xml:space="preserve">in</w:t>
      </w:r>
      <w:r>
        <w:t xml:space="preserve"> </w:t>
      </w:r>
      <w:r>
        <w:t xml:space="preserve">general</w:t>
      </w:r>
      <w:r>
        <w:t xml:space="preserve"> </w:t>
      </w:r>
      <w:r>
        <w:t xml:space="preserve">envelope; up to 85% for projects funded</w:t>
      </w:r>
      <w:r>
        <w:t xml:space="preserve"> </w:t>
      </w:r>
      <w:r>
        <w:t xml:space="preserve">from the transfer from the Cohesion Fund.</w:t>
      </w:r>
      <w:r>
        <w:t xml:space="preserve"> </w:t>
      </w:r>
      <w:r>
        <w:t xml:space="preserve">CEF Energy: up to 50% of eligible costs as</w:t>
      </w:r>
      <w:r>
        <w:t xml:space="preserve"> </w:t>
      </w:r>
      <w:r>
        <w:t xml:space="preserve">a general rule (and up to 75% in</w:t>
      </w:r>
      <w:r>
        <w:t xml:space="preserve"> </w:t>
      </w:r>
      <w:r>
        <w:t xml:space="preserve">exceptional cases of projects scoring high</w:t>
      </w:r>
      <w:r>
        <w:t xml:space="preserve"> </w:t>
      </w:r>
      <w:r>
        <w:t xml:space="preserve">in terms of security of supply, solidarity or</w:t>
      </w:r>
      <w:r>
        <w:t xml:space="preserve"> </w:t>
      </w:r>
      <w:r>
        <w:t xml:space="preserve">innovation)</w:t>
      </w:r>
    </w:p>
    <w:p>
      <w:pPr>
        <w:pStyle w:val="BodyText"/>
      </w:pPr>
      <w:r>
        <w:t xml:space="preserve">Example 2: Conditionality</w:t>
      </w:r>
      <w:r>
        <w:br/>
      </w:r>
      <w:r>
        <w:t xml:space="preserve">The sound financial management of the Union budget is protected, among others, by</w:t>
      </w:r>
      <w:r>
        <w:t xml:space="preserve"> </w:t>
      </w:r>
      <w:r>
        <w:t xml:space="preserve">imposing certain conditions that must be respected for the disbursement of EU funds to</w:t>
      </w:r>
      <w:r>
        <w:t xml:space="preserve"> </w:t>
      </w:r>
      <w:r>
        <w:t xml:space="preserve">be used, usually referred to as the ‘conditionality’ mechanisms. The conditionalities in</w:t>
      </w:r>
      <w:r>
        <w:t xml:space="preserve"> </w:t>
      </w:r>
      <w:r>
        <w:t xml:space="preserve">the current Multiannual Financial Framework can be divided between those that are</w:t>
      </w:r>
    </w:p>
    <w:p>
      <w:pPr>
        <w:pStyle w:val="BodyText"/>
      </w:pPr>
      <w:r>
        <w:t xml:space="preserve">applicable to all programmes of the EU budget and those additional requirements that are</w:t>
      </w:r>
      <w:r>
        <w:t xml:space="preserve"> </w:t>
      </w:r>
      <w:r>
        <w:t xml:space="preserve">programme-specific. On the former, while the Conditionality Regulation applies to all</w:t>
      </w:r>
      <w:r>
        <w:t xml:space="preserve"> </w:t>
      </w:r>
      <w:r>
        <w:t xml:space="preserve">programmes of the current multiannual financial framework, regardless of the</w:t>
      </w:r>
      <w:r>
        <w:t xml:space="preserve"> </w:t>
      </w:r>
      <w:r>
        <w:t xml:space="preserve">management mode, it does not apply to the Modernisation Fund – an off-budget</w:t>
      </w:r>
      <w:r>
        <w:t xml:space="preserve"> </w:t>
      </w:r>
      <w:r>
        <w:t xml:space="preserve">programme. This can create reputational risks for the Commission. On the latter, there</w:t>
      </w:r>
      <w:r>
        <w:t xml:space="preserve"> </w:t>
      </w:r>
      <w:r>
        <w:t xml:space="preserve">are significant divergences in the application of conditionality between EU spending</w:t>
      </w:r>
      <w:r>
        <w:t xml:space="preserve"> </w:t>
      </w:r>
      <w:r>
        <w:t xml:space="preserve">programmes with nationally pre-allocated envelopes, which brings additional complexity</w:t>
      </w:r>
      <w:r>
        <w:t xml:space="preserve"> </w:t>
      </w:r>
      <w:r>
        <w:t xml:space="preserve">for the Commission and Member States’ authorities. Furthermore, the effectiveness of</w:t>
      </w:r>
      <w:r>
        <w:t xml:space="preserve"> </w:t>
      </w:r>
      <w:r>
        <w:t xml:space="preserve">the different programme-specific requirements needs to be assessed – for example, the</w:t>
      </w:r>
      <w:r>
        <w:t xml:space="preserve"> </w:t>
      </w:r>
      <w:r>
        <w:t xml:space="preserve">macro-economic conditionality in cohesion has never been triggered.</w:t>
      </w:r>
      <w:r>
        <w:t xml:space="preserve"> </w:t>
      </w:r>
      <w:r>
        <w:t xml:space="preserve">At the same time, while there are no conditionality rules linked to EU values or Rule of</w:t>
      </w:r>
      <w:r>
        <w:t xml:space="preserve"> </w:t>
      </w:r>
      <w:r>
        <w:t xml:space="preserve">Law in the CAP, a dedicated system of conditionality rules links CAP support to the</w:t>
      </w:r>
      <w:r>
        <w:t xml:space="preserve"> </w:t>
      </w:r>
      <w:r>
        <w:t xml:space="preserve">compliance of farmers with basic standards concerning the environment, climate change,</w:t>
      </w:r>
      <w:r>
        <w:t xml:space="preserve"> </w:t>
      </w:r>
      <w:r>
        <w:t xml:space="preserve">public health, plant health and animal welfare, as well as working and employment</w:t>
      </w:r>
      <w:r>
        <w:t xml:space="preserve"> </w:t>
      </w:r>
      <w:r>
        <w:t xml:space="preserve">conditions for farm workers and occupational safety and health. The same applies to the</w:t>
      </w:r>
      <w:r>
        <w:t xml:space="preserve"> </w:t>
      </w:r>
      <w:r>
        <w:t xml:space="preserve">EMFAF and the admissibility rules based on compliance with Common Fisheries Policy</w:t>
      </w:r>
      <w:r>
        <w:t xml:space="preserve"> </w:t>
      </w:r>
      <w:r>
        <w:t xml:space="preserve">and environmental legislation.</w:t>
      </w:r>
      <w:r>
        <w:t xml:space="preserve"> </w:t>
      </w:r>
      <w:r>
        <w:t xml:space="preserve">Applicable across all programmes of the EU budget</w:t>
      </w:r>
      <w:r>
        <w:t xml:space="preserve"> </w:t>
      </w:r>
      <w:r>
        <w:t xml:space="preserve">Legal basis</w:t>
      </w:r>
      <w:r>
        <w:t xml:space="preserve"> </w:t>
      </w:r>
      <w:r>
        <w:t xml:space="preserve">Condition</w:t>
      </w:r>
      <w:r>
        <w:t xml:space="preserve"> </w:t>
      </w:r>
      <w:r>
        <w:t xml:space="preserve">Conditionality</w:t>
      </w:r>
      <w:r>
        <w:t xml:space="preserve"> </w:t>
      </w:r>
      <w:r>
        <w:t xml:space="preserve">regulation</w:t>
      </w:r>
      <w:r>
        <w:t xml:space="preserve"> </w:t>
      </w:r>
      <w:r>
        <w:t xml:space="preserve">Not applicable to the</w:t>
      </w:r>
      <w:r>
        <w:t xml:space="preserve"> </w:t>
      </w:r>
      <w:r>
        <w:t xml:space="preserve">Modernisation Fund</w:t>
      </w:r>
      <w:r>
        <w:br/>
      </w:r>
      <w:r>
        <w:t xml:space="preserve">It will apply to the</w:t>
      </w:r>
      <w:r>
        <w:t xml:space="preserve"> </w:t>
      </w:r>
      <w:r>
        <w:t xml:space="preserve">Social Climate Fund</w:t>
      </w:r>
      <w:r>
        <w:t xml:space="preserve"> </w:t>
      </w:r>
      <w:r>
        <w:t xml:space="preserve">• Breaches of the rule of law principles directly affect or</w:t>
      </w:r>
      <w:r>
        <w:t xml:space="preserve"> </w:t>
      </w:r>
      <w:r>
        <w:t xml:space="preserve">seriously</w:t>
      </w:r>
      <w:r>
        <w:t xml:space="preserve"> </w:t>
      </w:r>
      <w:r>
        <w:t xml:space="preserve">risk</w:t>
      </w:r>
      <w:r>
        <w:t xml:space="preserve"> </w:t>
      </w:r>
      <w:r>
        <w:t xml:space="preserve">affecting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financial</w:t>
      </w:r>
      <w:r>
        <w:t xml:space="preserve"> </w:t>
      </w:r>
      <w:r>
        <w:t xml:space="preserve">management of the Union budget or of the financial</w:t>
      </w:r>
      <w:r>
        <w:t xml:space="preserve"> </w:t>
      </w:r>
      <w:r>
        <w:t xml:space="preserve">interests of the Union in a sufficiently direct way.</w:t>
      </w:r>
    </w:p>
    <w:p>
      <w:pPr>
        <w:pStyle w:val="BodyText"/>
      </w:pPr>
      <w:r>
        <w:t xml:space="preserve">Applicable to certain programmes of the EU budget</w:t>
      </w:r>
      <w:r>
        <w:t xml:space="preserve"> </w:t>
      </w:r>
      <w:r>
        <w:t xml:space="preserve">Legal base</w:t>
      </w:r>
      <w:r>
        <w:t xml:space="preserve"> </w:t>
      </w:r>
      <w:r>
        <w:t xml:space="preserve">Condition</w:t>
      </w:r>
      <w:r>
        <w:t xml:space="preserve"> </w:t>
      </w:r>
      <w:r>
        <w:t xml:space="preserve">CPR applicable to:</w:t>
      </w:r>
      <w:r>
        <w:t xml:space="preserve"> </w:t>
      </w:r>
      <w:r>
        <w:t xml:space="preserve">• Cohesion policy</w:t>
      </w:r>
      <w:r>
        <w:t xml:space="preserve"> </w:t>
      </w:r>
      <w:r>
        <w:t xml:space="preserve">programmes</w:t>
      </w:r>
      <w:r>
        <w:t xml:space="preserve"> </w:t>
      </w:r>
      <w:r>
        <w:t xml:space="preserve">(ERDF,</w:t>
      </w:r>
      <w:r>
        <w:t xml:space="preserve"> </w:t>
      </w:r>
      <w:r>
        <w:t xml:space="preserve">ESF+,</w:t>
      </w:r>
      <w:r>
        <w:t xml:space="preserve"> </w:t>
      </w:r>
      <w:r>
        <w:t xml:space="preserve">CF, JTF)</w:t>
      </w:r>
      <w:r>
        <w:t xml:space="preserve"> </w:t>
      </w:r>
      <w:r>
        <w:t xml:space="preserve">• European</w:t>
      </w:r>
      <w:r>
        <w:t xml:space="preserve"> </w:t>
      </w:r>
      <w:r>
        <w:t xml:space="preserve">maritime,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fund</w:t>
      </w:r>
      <w:r>
        <w:t xml:space="preserve"> </w:t>
      </w:r>
      <w:r>
        <w:t xml:space="preserve">(EMFAF)</w:t>
      </w:r>
      <w:r>
        <w:t xml:space="preserve"> </w:t>
      </w:r>
      <w:r>
        <w:t xml:space="preserve">• Home</w:t>
      </w:r>
      <w:r>
        <w:t xml:space="preserve"> </w:t>
      </w:r>
      <w:r>
        <w:t xml:space="preserve">Affairs</w:t>
      </w:r>
      <w:r>
        <w:t xml:space="preserve"> </w:t>
      </w:r>
      <w:r>
        <w:t xml:space="preserve">Horizontal enabling conditions (Article 15 and Annex III):</w:t>
      </w:r>
      <w:r>
        <w:t xml:space="preserve"> </w:t>
      </w:r>
      <w:r>
        <w:t xml:space="preserve">• Effective monitoring mechanisms of the public</w:t>
      </w:r>
      <w:r>
        <w:t xml:space="preserve"> </w:t>
      </w:r>
      <w:r>
        <w:t xml:space="preserve">procurement market</w:t>
      </w:r>
      <w:r>
        <w:t xml:space="preserve"> </w:t>
      </w:r>
      <w:r>
        <w:t xml:space="preserve">• Tools and capacity for effective application of State</w:t>
      </w:r>
      <w:r>
        <w:t xml:space="preserve"> </w:t>
      </w:r>
      <w:r>
        <w:t xml:space="preserve">aid rules (not applicable to the home affairs funds)</w:t>
      </w:r>
      <w:r>
        <w:t xml:space="preserve"> </w:t>
      </w:r>
      <w:r>
        <w:t xml:space="preserve">• Effective application and implementation of the</w:t>
      </w:r>
      <w:r>
        <w:t xml:space="preserve"> </w:t>
      </w:r>
      <w:r>
        <w:t xml:space="preserve">Charter of Fundamental Rights</w:t>
      </w:r>
      <w:r>
        <w:t xml:space="preserve"> </w:t>
      </w:r>
      <w:r>
        <w:t xml:space="preserve">• Implementation and application of the UN Convention</w:t>
      </w:r>
      <w:r>
        <w:t xml:space="preserve"> </w:t>
      </w:r>
      <w:r>
        <w:t xml:space="preserve">on the rights of persons with disabilities</w:t>
      </w:r>
    </w:p>
    <w:p>
      <w:pPr>
        <w:pStyle w:val="BodyText"/>
      </w:pPr>
      <w:r>
        <w:t xml:space="preserve">Funds</w:t>
      </w:r>
      <w:r>
        <w:t xml:space="preserve"> </w:t>
      </w:r>
      <w:r>
        <w:t xml:space="preserve">(AMIF,</w:t>
      </w:r>
      <w:r>
        <w:t xml:space="preserve"> </w:t>
      </w:r>
      <w:r>
        <w:t xml:space="preserve">ISF, BMVI)</w:t>
      </w:r>
      <w:r>
        <w:t xml:space="preserve"> </w:t>
      </w:r>
      <w:r>
        <w:t xml:space="preserve">Thematic enabling conditions (Article 15 and Annex IV,</w:t>
      </w:r>
      <w:r>
        <w:t xml:space="preserve"> </w:t>
      </w:r>
      <w:r>
        <w:t xml:space="preserve">applicable to ERDF, ESF+ and CF), such as the obligation</w:t>
      </w:r>
      <w:r>
        <w:t xml:space="preserve"> </w:t>
      </w:r>
      <w:r>
        <w:t xml:space="preserve">to have a national or regional broadband plan, or a</w:t>
      </w:r>
      <w:r>
        <w:t xml:space="preserve"> </w:t>
      </w:r>
      <w:r>
        <w:t xml:space="preserve">comprehensive transport planning at the appropriate level.</w:t>
      </w:r>
      <w:r>
        <w:br/>
      </w:r>
      <w:r>
        <w:t xml:space="preserve">Macro-economic conditionality – applies to ERDF (except</w:t>
      </w:r>
      <w:r>
        <w:t xml:space="preserve"> </w:t>
      </w:r>
      <w:r>
        <w:t xml:space="preserve">Interreg), Cohesion Fund, JTF (not to ESF+, EMFAF or</w:t>
      </w:r>
      <w:r>
        <w:br/>
      </w:r>
      <w:r>
        <w:t xml:space="preserve">HOME funds)</w:t>
      </w:r>
      <w:r>
        <w:t xml:space="preserve"> </w:t>
      </w:r>
      <w:r>
        <w:t xml:space="preserve">CAP Regulation</w:t>
      </w:r>
      <w:r>
        <w:br/>
      </w:r>
      <w:r>
        <w:t xml:space="preserve">Statutory management requirements (SMRs) (Article 12 and</w:t>
      </w:r>
      <w:r>
        <w:t xml:space="preserve"> </w:t>
      </w:r>
      <w:r>
        <w:t xml:space="preserve">Annex III) – compliance with relevant provisions of EU</w:t>
      </w:r>
      <w:r>
        <w:t xml:space="preserve"> </w:t>
      </w:r>
      <w:r>
        <w:t xml:space="preserve">legislation such as the Directive on water policy.</w:t>
      </w:r>
      <w:r>
        <w:br/>
      </w:r>
      <w:r>
        <w:t xml:space="preserve">Standard for good agricultural and environmental conditions</w:t>
      </w:r>
      <w:r>
        <w:t xml:space="preserve"> </w:t>
      </w:r>
      <w:r>
        <w:t xml:space="preserve">(GAECs) (Article 12 and Annex III) such as protect wetlands</w:t>
      </w:r>
      <w:r>
        <w:t xml:space="preserve"> </w:t>
      </w:r>
      <w:r>
        <w:t xml:space="preserve">and peatlands or crop rotation in arable land.</w:t>
      </w:r>
      <w:r>
        <w:t xml:space="preserve"> </w:t>
      </w:r>
      <w:r>
        <w:t xml:space="preserve">Social conditionality (Article 14 and Annex IV) – compliance</w:t>
      </w:r>
      <w:r>
        <w:t xml:space="preserve"> </w:t>
      </w:r>
      <w:r>
        <w:t xml:space="preserve">with relevant provisions of EU Directives, such as the</w:t>
      </w:r>
      <w:r>
        <w:t xml:space="preserve"> </w:t>
      </w:r>
      <w:r>
        <w:t xml:space="preserve">Directive on minimum safety and health requirements for use</w:t>
      </w:r>
      <w:r>
        <w:t xml:space="preserve"> </w:t>
      </w:r>
      <w:r>
        <w:t xml:space="preserve">of work equipment by workers.</w:t>
      </w:r>
      <w:r>
        <w:t xml:space="preserve"> </w:t>
      </w:r>
      <w:r>
        <w:t xml:space="preserve">RRF Regulation</w:t>
      </w:r>
      <w:r>
        <w:t xml:space="preserve"> </w:t>
      </w:r>
      <w:r>
        <w:t xml:space="preserve">Possibility to include ‘super milestones’ as a prerequisite for</w:t>
      </w:r>
      <w:r>
        <w:t xml:space="preserve"> </w:t>
      </w:r>
      <w:r>
        <w:t xml:space="preserve">any payment under the RRF, ensuring that disbursements are</w:t>
      </w:r>
      <w:r>
        <w:t xml:space="preserve"> </w:t>
      </w:r>
      <w:r>
        <w:t xml:space="preserve">contingent upon the fulfilment of adequate measures related</w:t>
      </w:r>
      <w:r>
        <w:t xml:space="preserve"> </w:t>
      </w:r>
      <w:r>
        <w:t xml:space="preserve">to the protection of the Union’s financial interests.</w:t>
      </w:r>
      <w:r>
        <w:t xml:space="preserve"> </w:t>
      </w:r>
      <w:r>
        <w:t xml:space="preserve">Macro-economic conditionality applies to RRF funds</w:t>
      </w:r>
    </w:p>
    <w:p>
      <w:pPr>
        <w:pStyle w:val="BodyText"/>
      </w:pPr>
      <w:r>
        <w:t xml:space="preserve">Problem driver 4: Persistent weak administrative capacity and governance</w:t>
      </w:r>
      <w:r>
        <w:t xml:space="preserve"> </w:t>
      </w:r>
      <w:r>
        <w:t xml:space="preserve">at national, regional and local levels</w:t>
      </w:r>
      <w:r>
        <w:br/>
      </w:r>
      <w:r>
        <w:t xml:space="preserve">Technical assistance</w:t>
      </w:r>
      <w:r>
        <w:t xml:space="preserve"> </w:t>
      </w:r>
      <w:r>
        <w:t xml:space="preserve">In the 2021-2027 programming period, Member States have access to a significant</w:t>
      </w:r>
      <w:r>
        <w:t xml:space="preserve"> </w:t>
      </w:r>
      <w:r>
        <w:t xml:space="preserve">amount of technical assistance. Estimates suggest at least EUR 14 billion in pre-</w:t>
      </w:r>
      <w:r>
        <w:t xml:space="preserve"> </w:t>
      </w:r>
      <w:r>
        <w:t xml:space="preserve">allocated technical assistance, along with an additional EUR 1.8 billion in public reform</w:t>
      </w:r>
      <w:r>
        <w:t xml:space="preserve"> </w:t>
      </w:r>
      <w:r>
        <w:t xml:space="preserve">support from the RRF. This brings the total estimated technical assistance as a share of</w:t>
      </w:r>
      <w:r>
        <w:t xml:space="preserve"> </w:t>
      </w:r>
      <w:r>
        <w:t xml:space="preserve">pre-allocated national envelopes to at least EUR 15 billion.</w:t>
      </w:r>
      <w:r>
        <w:br/>
      </w:r>
      <w:r>
        <w:t xml:space="preserve">The scope of technical assistance varies across funds and is covered by different</w:t>
      </w:r>
      <w:r>
        <w:t xml:space="preserve"> </w:t>
      </w:r>
      <w:r>
        <w:t xml:space="preserve">rules across EU programmes with nationally pre-allocated envelopes. Different funds</w:t>
      </w:r>
      <w:r>
        <w:t xml:space="preserve"> </w:t>
      </w:r>
      <w:r>
        <w:t xml:space="preserve">have varying maximum thresholds, co-financing rates, forms of the EU contribution (flat-</w:t>
      </w:r>
      <w:r>
        <w:t xml:space="preserve"> </w:t>
      </w:r>
      <w:r>
        <w:t xml:space="preserve">rate or eligible costs), and eligible scope (administrative costs only, capacity building</w:t>
      </w:r>
      <w:r>
        <w:t xml:space="preserve"> </w:t>
      </w:r>
      <w:r>
        <w:t xml:space="preserve">included, beneficiary/partner assistance included). In addition to the complexity in</w:t>
      </w:r>
      <w:r>
        <w:t xml:space="preserve"> </w:t>
      </w:r>
      <w:r>
        <w:t xml:space="preserve">implementing the rules, this undermines visibility of what is financed by each</w:t>
      </w:r>
      <w:r>
        <w:t xml:space="preserve"> </w:t>
      </w:r>
      <w:r>
        <w:t xml:space="preserve">programme.</w:t>
      </w:r>
      <w:r>
        <w:br/>
      </w:r>
      <w:r>
        <w:t xml:space="preserve">Furthermore, today, the bulk of technical assistance of the Member States consists</w:t>
      </w:r>
      <w:r>
        <w:t xml:space="preserve"> </w:t>
      </w:r>
      <w:r>
        <w:t xml:space="preserve">mostly of administrative costs for the management of EU funds and focus on capacity-</w:t>
      </w:r>
    </w:p>
    <w:p>
      <w:pPr>
        <w:pStyle w:val="BodyText"/>
      </w:pPr>
      <w:r>
        <w:t xml:space="preserve">building or knowledge transfer is limited. Hence, the technical assistance is not designed</w:t>
      </w:r>
      <w:r>
        <w:t xml:space="preserve"> </w:t>
      </w:r>
      <w:r>
        <w:t xml:space="preserve">to address gaps related to administrative capacity and implement the necessary measures</w:t>
      </w:r>
      <w:r>
        <w:t xml:space="preserve"> </w:t>
      </w:r>
      <w:r>
        <w:t xml:space="preserve">to address them.</w:t>
      </w:r>
      <w:r>
        <w:t xml:space="preserve"> </w:t>
      </w:r>
      <w:r>
        <w:t xml:space="preserve">Technical support</w:t>
      </w:r>
      <w:r>
        <w:t xml:space="preserve"> </w:t>
      </w:r>
      <w:r>
        <w:t xml:space="preserve">The technical support provided by the Commission, directly by its services or via</w:t>
      </w:r>
      <w:r>
        <w:t xml:space="preserve"> </w:t>
      </w:r>
      <w:r>
        <w:t xml:space="preserve">external consultants, faces several issues that hinder its ability to effectively</w:t>
      </w:r>
      <w:r>
        <w:t xml:space="preserve"> </w:t>
      </w:r>
      <w:r>
        <w:t xml:space="preserve">strengthen the administrative capacities of Member State administrations.</w:t>
      </w:r>
      <w:r>
        <w:t xml:space="preserve"> </w:t>
      </w:r>
      <w:r>
        <w:t xml:space="preserve">In the current period, the EU budget provides technical support to public</w:t>
      </w:r>
      <w:r>
        <w:t xml:space="preserve"> </w:t>
      </w:r>
      <w:r>
        <w:t xml:space="preserve">administrations through at least 14 different internal policy programmes. These</w:t>
      </w:r>
      <w:r>
        <w:t xml:space="preserve"> </w:t>
      </w:r>
      <w:r>
        <w:t xml:space="preserve">programmes offer assistance either directly or through external consultants but operate</w:t>
      </w:r>
      <w:r>
        <w:t xml:space="preserve"> </w:t>
      </w:r>
      <w:r>
        <w:t xml:space="preserve">with varying procedures and rules, often addressing overlapping sectors. The fragmented</w:t>
      </w:r>
      <w:r>
        <w:t xml:space="preserve"> </w:t>
      </w:r>
      <w:r>
        <w:t xml:space="preserve">structure makes it difficult for administrations to fully understand and access the</w:t>
      </w:r>
      <w:r>
        <w:t xml:space="preserve"> </w:t>
      </w:r>
      <w:r>
        <w:t xml:space="preserve">available support. This limits the visibility of these resources and disperses the financial</w:t>
      </w:r>
      <w:r>
        <w:t xml:space="preserve"> </w:t>
      </w:r>
      <w:r>
        <w:t xml:space="preserve">means dedicated to technical support, ultimately preventing the programmes from</w:t>
      </w:r>
      <w:r>
        <w:t xml:space="preserve"> </w:t>
      </w:r>
      <w:r>
        <w:t xml:space="preserve">reaching their full potential impact.</w:t>
      </w:r>
      <w:r>
        <w:br/>
      </w:r>
      <w:r>
        <w:t xml:space="preserve">The demand-driven nature of the TSI also entails some limitations to the potential</w:t>
      </w:r>
      <w:r>
        <w:t xml:space="preserve"> </w:t>
      </w:r>
      <w:r>
        <w:t xml:space="preserve">for fully aligning technical support with EU priorities. Efforts such as the introduction</w:t>
      </w:r>
      <w:r>
        <w:t xml:space="preserve"> </w:t>
      </w:r>
      <w:r>
        <w:t xml:space="preserve">of flagship projects49 and the inclusion of Country Specific Recommendations relevance</w:t>
      </w:r>
      <w:r>
        <w:t xml:space="preserve"> </w:t>
      </w:r>
      <w:r>
        <w:t xml:space="preserve">as part of the assessment for selecting TSI projects aim to strengthen this alignment with</w:t>
      </w:r>
      <w:r>
        <w:t xml:space="preserve"> </w:t>
      </w:r>
      <w:r>
        <w:t xml:space="preserve">key EU priorities. However, these mechanisms face limitations, as Member State</w:t>
      </w:r>
      <w:r>
        <w:t xml:space="preserve"> </w:t>
      </w:r>
      <w:r>
        <w:t xml:space="preserve">requests do not always correspond to reforms identified at the EU level as critical.</w:t>
      </w:r>
      <w:r>
        <w:br/>
      </w:r>
      <w:r>
        <w:t xml:space="preserve">Finally, it is difficult to follow-up on the results of technical support and assistance</w:t>
      </w:r>
      <w:r>
        <w:t xml:space="preserve"> </w:t>
      </w:r>
      <w:r>
        <w:t xml:space="preserve">and to complete the reform efforts. In particular, the instrument providing technical</w:t>
      </w:r>
      <w:r>
        <w:t xml:space="preserve"> </w:t>
      </w:r>
      <w:r>
        <w:t xml:space="preserve">support in the research domain, i.e. the Horizon Policy Support Facility’s (PSF) had its</w:t>
      </w:r>
      <w:r>
        <w:t xml:space="preserve"> </w:t>
      </w:r>
      <w:r>
        <w:t xml:space="preserve">ability to induce changes in national systems constrained because Member States were</w:t>
      </w:r>
      <w:r>
        <w:t xml:space="preserve"> </w:t>
      </w:r>
      <w:r>
        <w:t xml:space="preserve">free to decide the extent to which they would implement the reforms identified in the</w:t>
      </w:r>
      <w:r>
        <w:t xml:space="preserve"> </w:t>
      </w:r>
      <w:r>
        <w:t xml:space="preserve">context of the Facility. Similarly, as indicated in the supporting external study of TSI</w:t>
      </w:r>
      <w:r>
        <w:t xml:space="preserve"> </w:t>
      </w:r>
      <w:r>
        <w:t xml:space="preserve">mid-term evaluation, changes in government and political agendas may have a negative</w:t>
      </w:r>
      <w:r>
        <w:t xml:space="preserve"> </w:t>
      </w:r>
      <w:r>
        <w:t xml:space="preserve">effect on the sustainability of technical support.</w:t>
      </w:r>
      <w:r>
        <w:t xml:space="preserve"> </w:t>
      </w:r>
      <w:r>
        <w:t xml:space="preserve">Problem driver 5: Budgetary allocations are too rigid</w:t>
      </w:r>
      <w:r>
        <w:t xml:space="preserve"> </w:t>
      </w:r>
      <w:r>
        <w:t xml:space="preserve">Categories of regions &amp; financial and thematic concentrations</w:t>
      </w:r>
      <w:r>
        <w:t xml:space="preserve"> </w:t>
      </w:r>
      <w:r>
        <w:t xml:space="preserve">In order to ensure that resources are spent to deliver on the Treaty objective for</w:t>
      </w:r>
      <w:r>
        <w:t xml:space="preserve"> </w:t>
      </w:r>
      <w:r>
        <w:t xml:space="preserve">economic, social and territorial cohesion and effectively reduce interregional</w:t>
      </w:r>
      <w:r>
        <w:t xml:space="preserve"> </w:t>
      </w:r>
      <w:r>
        <w:t xml:space="preserve">disparities, regions have been differentiated based on their level of development</w:t>
      </w:r>
      <w:r>
        <w:t xml:space="preserve"> </w:t>
      </w:r>
      <w:r>
        <w:t xml:space="preserve">since 1988. The current three categories (less developed, transition and more developed)</w:t>
      </w:r>
      <w:r>
        <w:t xml:space="preserve"> </w:t>
      </w:r>
      <w:r>
        <w:t xml:space="preserve">were introduced for 2014-2020 and have been maintained (with different thresholds).</w:t>
      </w:r>
      <w:r>
        <w:br/>
      </w:r>
      <w:r>
        <w:t xml:space="preserve">The level of development of the regions, along with other indicators, plays an</w:t>
      </w:r>
      <w:r>
        <w:t xml:space="preserve"> </w:t>
      </w:r>
      <w:r>
        <w:t xml:space="preserve">important role in the allocation methodology of cohesion policy funds – the policy</w:t>
      </w:r>
    </w:p>
    <w:p>
      <w:pPr>
        <w:pStyle w:val="BodyText"/>
      </w:pPr>
      <w:r>
        <w:t xml:space="preserve">49 For example, the 2025 flagship ’Supporting the Resilience of Natural Resources’.</w:t>
      </w:r>
    </w:p>
    <w:p>
      <w:pPr>
        <w:pStyle w:val="BodyText"/>
      </w:pPr>
      <w:r>
        <w:t xml:space="preserve">rationale being that the poorer need more support. Allocations are aggregated at the</w:t>
      </w:r>
      <w:r>
        <w:t xml:space="preserve"> </w:t>
      </w:r>
      <w:r>
        <w:t xml:space="preserve">level of the categories of regions and need to be spent for the corresponding category of</w:t>
      </w:r>
      <w:r>
        <w:t xml:space="preserve"> </w:t>
      </w:r>
      <w:r>
        <w:t xml:space="preserve">region. However, Member States are free to decide which regions of a same category</w:t>
      </w:r>
      <w:r>
        <w:t xml:space="preserve"> </w:t>
      </w:r>
      <w:r>
        <w:t xml:space="preserve">receive how much of the resources.</w:t>
      </w:r>
      <w:r>
        <w:br/>
      </w:r>
      <w:r>
        <w:t xml:space="preserve">The categories of regions’ system have been made more flexible over the past</w:t>
      </w:r>
      <w:r>
        <w:t xml:space="preserve"> </w:t>
      </w:r>
      <w:r>
        <w:t xml:space="preserve">programming periods, with higher level of transfers between categories enabled,</w:t>
      </w:r>
      <w:r>
        <w:t xml:space="preserve"> </w:t>
      </w:r>
      <w:r>
        <w:t xml:space="preserve">removing restrictions on the location of the operations, among others. Yet, it still comes</w:t>
      </w:r>
      <w:r>
        <w:t xml:space="preserve"> </w:t>
      </w:r>
      <w:r>
        <w:t xml:space="preserve">with some complexity in the management of the programmes. Finally, the lack of</w:t>
      </w:r>
      <w:r>
        <w:t xml:space="preserve"> </w:t>
      </w:r>
      <w:r>
        <w:t xml:space="preserve">alignment between EU and national funding also deserves to be analysed. Other EU</w:t>
      </w:r>
      <w:r>
        <w:t xml:space="preserve"> </w:t>
      </w:r>
      <w:r>
        <w:t xml:space="preserve">programmes with a territorial dimension follow a similar approach as under cohesion</w:t>
      </w:r>
      <w:r>
        <w:t xml:space="preserve"> </w:t>
      </w:r>
      <w:r>
        <w:t xml:space="preserve">policy funds – for instance, in the EAFRD, where categories of regions are not applied,</w:t>
      </w:r>
      <w:r>
        <w:t xml:space="preserve"> </w:t>
      </w:r>
      <w:r>
        <w:t xml:space="preserve">but different co-financing rates are used depending on the level of development.</w:t>
      </w:r>
      <w:r>
        <w:br/>
      </w:r>
      <w:r>
        <w:t xml:space="preserve">Other requirements are imposed via various thematic concentration mechanisms.</w:t>
      </w:r>
      <w:r>
        <w:t xml:space="preserve"> </w:t>
      </w:r>
      <w:r>
        <w:t xml:space="preserve">For example, while these have proven useful to make sure cohesion policy funds</w:t>
      </w:r>
      <w:r>
        <w:t xml:space="preserve"> </w:t>
      </w:r>
      <w:r>
        <w:t xml:space="preserve">contribute to specific policy objectives in the context of already pre-allocated budgets by</w:t>
      </w:r>
      <w:r>
        <w:t xml:space="preserve"> </w:t>
      </w:r>
      <w:r>
        <w:t xml:space="preserve">fund, some Member States argue that the rigidity introduced by this approach may</w:t>
      </w:r>
      <w:r>
        <w:t xml:space="preserve"> </w:t>
      </w:r>
      <w:r>
        <w:t xml:space="preserve">undermine their capacity to address strategic issues and emerging needs relevant to</w:t>
      </w:r>
      <w:r>
        <w:t xml:space="preserve"> </w:t>
      </w:r>
      <w:r>
        <w:t xml:space="preserve">economic, social and territorial cohesion. When combined altogether, the possibilities for</w:t>
      </w:r>
      <w:r>
        <w:t xml:space="preserve"> </w:t>
      </w:r>
      <w:r>
        <w:t xml:space="preserve">the Commission, Member States and regions to redirect funding to tackle existing and</w:t>
      </w:r>
      <w:r>
        <w:t xml:space="preserve"> </w:t>
      </w:r>
      <w:r>
        <w:t xml:space="preserve">emerging new needs and priorities outside these areas are limited. The current detailed</w:t>
      </w:r>
      <w:r>
        <w:t xml:space="preserve"> </w:t>
      </w:r>
      <w:r>
        <w:t xml:space="preserve">rules at EU level also limit the degree to which the specificities and diversity of regions</w:t>
      </w:r>
      <w:r>
        <w:t xml:space="preserve"> </w:t>
      </w:r>
      <w:r>
        <w:t xml:space="preserve">can be considered, and hence undermine the place-based approach of cohesion policy.</w:t>
      </w:r>
      <w:r>
        <w:br/>
      </w:r>
      <w:r>
        <w:t xml:space="preserve">Limited use of budgetary flexibilities</w:t>
      </w:r>
      <w:r>
        <w:t xml:space="preserve"> </w:t>
      </w:r>
      <w:r>
        <w:t xml:space="preserve">Most EU funds allocate national envelopes upfront at the start of the programming</w:t>
      </w:r>
      <w:r>
        <w:t xml:space="preserve"> </w:t>
      </w:r>
      <w:r>
        <w:t xml:space="preserve">period. This leaves little room to allocate funding to account for new needs (without</w:t>
      </w:r>
      <w:r>
        <w:t xml:space="preserve"> </w:t>
      </w:r>
      <w:r>
        <w:t xml:space="preserve">reopening the regulatory framework) or to those Member States achieving better results.</w:t>
      </w:r>
      <w:r>
        <w:br/>
      </w:r>
      <w:r>
        <w:t xml:space="preserve">Efforts have been made in the current programming period to address emerging</w:t>
      </w:r>
      <w:r>
        <w:t xml:space="preserve"> </w:t>
      </w:r>
      <w:r>
        <w:t xml:space="preserve">needs. The mid-term review of cohesion policy seeks to cater for Member States’ new</w:t>
      </w:r>
      <w:r>
        <w:t xml:space="preserve"> </w:t>
      </w:r>
      <w:r>
        <w:t xml:space="preserve">needs but without reallocating funding across Member States. For the 2021-2027</w:t>
      </w:r>
      <w:r>
        <w:t xml:space="preserve"> </w:t>
      </w:r>
      <w:r>
        <w:t xml:space="preserve">programming period, this mid-term review will be carried out by each Member State by</w:t>
      </w:r>
      <w:r>
        <w:t xml:space="preserve"> </w:t>
      </w:r>
      <w:r>
        <w:t xml:space="preserve">31 March 2025 and will include a definitive commitment of the flexibility amounts (50%</w:t>
      </w:r>
      <w:r>
        <w:t xml:space="preserve"> </w:t>
      </w:r>
      <w:r>
        <w:t xml:space="preserve">of the amounts for 2026 and 2027). Compared to the 2014-2020 period, the financial</w:t>
      </w:r>
      <w:r>
        <w:t xml:space="preserve"> </w:t>
      </w:r>
      <w:r>
        <w:t xml:space="preserve">resources associated have increased (14% compared to 6% of total allocations) and the</w:t>
      </w:r>
      <w:r>
        <w:t xml:space="preserve"> </w:t>
      </w:r>
      <w:r>
        <w:t xml:space="preserve">review will follow a more qualitative approach, which should better reflect the low levels</w:t>
      </w:r>
      <w:r>
        <w:t xml:space="preserve"> </w:t>
      </w:r>
      <w:r>
        <w:t xml:space="preserve">of implementation in many Member States and ensure a better link to EU policy</w:t>
      </w:r>
      <w:r>
        <w:t xml:space="preserve"> </w:t>
      </w:r>
      <w:r>
        <w:t xml:space="preserve">priorities, and the Semester in particular.</w:t>
      </w:r>
      <w:r>
        <w:t xml:space="preserve"> </w:t>
      </w:r>
      <w:r>
        <w:t xml:space="preserve">The CAP strategic plans allow, within limits, for budgetary transfers between the</w:t>
      </w:r>
      <w:r>
        <w:t xml:space="preserve"> </w:t>
      </w:r>
      <w:r>
        <w:t xml:space="preserve">two pillars of the CAP as well as for revisions of the Member States’ planning to</w:t>
      </w:r>
      <w:r>
        <w:t xml:space="preserve"> </w:t>
      </w:r>
      <w:r>
        <w:t xml:space="preserve">take new developments and priorities into account. However, stakeholders and</w:t>
      </w:r>
      <w:r>
        <w:t xml:space="preserve"> </w:t>
      </w:r>
      <w:r>
        <w:t xml:space="preserve">Member States demand increasing flexibility to shift budgetary allocations within the</w:t>
      </w:r>
      <w:r>
        <w:t xml:space="preserve"> </w:t>
      </w:r>
      <w:r>
        <w:t xml:space="preserve">CAP plans to respond to current geopolitical uncertainties and the increased level of risks</w:t>
      </w:r>
      <w:r>
        <w:t xml:space="preserve"> </w:t>
      </w:r>
      <w:r>
        <w:t xml:space="preserve">and shocks that agricultural activity is confronted with, while also emphasizing the needs</w:t>
      </w:r>
      <w:r>
        <w:t xml:space="preserve"> </w:t>
      </w:r>
      <w:r>
        <w:t xml:space="preserve">for long-term predictability and stability of overall CAP funding for the final</w:t>
      </w:r>
    </w:p>
    <w:p>
      <w:pPr>
        <w:pStyle w:val="BodyText"/>
      </w:pPr>
      <w:r>
        <w:t xml:space="preserve">beneficiaries50- a concern also echoed in cohesion policy, given the long-term nature of</w:t>
      </w:r>
      <w:r>
        <w:t xml:space="preserve"> </w:t>
      </w:r>
      <w:r>
        <w:t xml:space="preserve">investments.</w:t>
      </w:r>
      <w:r>
        <w:br/>
      </w:r>
      <w:r>
        <w:t xml:space="preserve">The mid-term review of the Home Affairs Funds follows a different approach: it</w:t>
      </w:r>
      <w:r>
        <w:t xml:space="preserve"> </w:t>
      </w:r>
      <w:r>
        <w:t xml:space="preserve">provides an additional financial allocation to Member States fulfilling a specific</w:t>
      </w:r>
      <w:r>
        <w:t xml:space="preserve"> </w:t>
      </w:r>
      <w:r>
        <w:t xml:space="preserve">requirement at the mid-term stage, based on the same allocation criteria as the initial</w:t>
      </w:r>
      <w:r>
        <w:t xml:space="preserve"> </w:t>
      </w:r>
      <w:r>
        <w:t xml:space="preserve">allocations but with an updated statistical data. As such, it will aim to provide additional</w:t>
      </w:r>
      <w:r>
        <w:t xml:space="preserve"> </w:t>
      </w:r>
      <w:r>
        <w:t xml:space="preserve">funding to Member States taking into account changes in needs.</w:t>
      </w:r>
      <w:r>
        <w:t xml:space="preserve"> </w:t>
      </w:r>
      <w:r>
        <w:t xml:space="preserve">Furthermore, programming the entirety of Member States’ allocations prevents</w:t>
      </w:r>
      <w:r>
        <w:t xml:space="preserve"> </w:t>
      </w:r>
      <w:r>
        <w:t xml:space="preserve">effectively addressing new needs or priorities both in the Member State but also</w:t>
      </w:r>
      <w:r>
        <w:t xml:space="preserve"> </w:t>
      </w:r>
      <w:r>
        <w:t xml:space="preserve">from the Commission’s perspective. In this regard, the three Thematic Facilities under</w:t>
      </w:r>
      <w:r>
        <w:t xml:space="preserve"> </w:t>
      </w:r>
      <w:r>
        <w:t xml:space="preserve">the Home Affairs Funds are an innovation, with their multiannual scope (allowing to</w:t>
      </w:r>
      <w:r>
        <w:t xml:space="preserve"> </w:t>
      </w:r>
      <w:r>
        <w:t xml:space="preserve">cater for both short and long-term needs), mix of actions (ranging from Emergency</w:t>
      </w:r>
      <w:r>
        <w:t xml:space="preserve"> </w:t>
      </w:r>
      <w:r>
        <w:t xml:space="preserve">Assistance to support for strategic priorities such as resettlement) and because they</w:t>
      </w:r>
      <w:r>
        <w:t xml:space="preserve"> </w:t>
      </w:r>
      <w:r>
        <w:t xml:space="preserve">combine all three management modes (direct/indirect/shared). The combination of these</w:t>
      </w:r>
      <w:r>
        <w:t xml:space="preserve"> </w:t>
      </w:r>
      <w:r>
        <w:t xml:space="preserve">elements has allowed the Commission to optimise the use of EU funds when having to</w:t>
      </w:r>
      <w:r>
        <w:t xml:space="preserve"> </w:t>
      </w:r>
      <w:r>
        <w:t xml:space="preserve">address both structural needs triggered by e.g. a new security situation or new legislation,</w:t>
      </w:r>
      <w:r>
        <w:t xml:space="preserve"> </w:t>
      </w:r>
      <w:r>
        <w:t xml:space="preserve">and emergencies such as providing support to Member States most impacted by the</w:t>
      </w:r>
      <w:r>
        <w:t xml:space="preserve"> </w:t>
      </w:r>
      <w:r>
        <w:t xml:space="preserve">influx of displaced persons from Ukraine. Overall, stakeholders find that the Thematic</w:t>
      </w:r>
      <w:r>
        <w:t xml:space="preserve"> </w:t>
      </w:r>
      <w:r>
        <w:t xml:space="preserve">Facilities provide flexibility, focus on the key priority needs and key target populations</w:t>
      </w:r>
      <w:r>
        <w:t xml:space="preserve"> </w:t>
      </w:r>
      <w:r>
        <w:t xml:space="preserve">and make it possible to address emergency situations. However, flexibility has also come</w:t>
      </w:r>
      <w:r>
        <w:t xml:space="preserve"> </w:t>
      </w:r>
      <w:r>
        <w:t xml:space="preserve">at the expense of higher administration burden, including for the Commission, with</w:t>
      </w:r>
      <w:r>
        <w:t xml:space="preserve"> </w:t>
      </w:r>
      <w:r>
        <w:t xml:space="preserve">dozens of Common Implementing Decisions adopted every year to approve amendments</w:t>
      </w:r>
      <w:r>
        <w:t xml:space="preserve"> </w:t>
      </w:r>
      <w:r>
        <w:t xml:space="preserve">to the national programmes.</w:t>
      </w:r>
      <w:r>
        <w:t xml:space="preserve"> </w:t>
      </w:r>
      <w:r>
        <w:t xml:space="preserve">The agricultural reserve is one of the main novelties of the current CAP, aiming to</w:t>
      </w:r>
      <w:r>
        <w:t xml:space="preserve"> </w:t>
      </w:r>
      <w:r>
        <w:t xml:space="preserve">provide additional support to farmers in the event of unforeseen crises. While</w:t>
      </w:r>
      <w:r>
        <w:t xml:space="preserve"> </w:t>
      </w:r>
      <w:r>
        <w:t xml:space="preserve">resources in the reserve were exhausted in the first year of implementation of the CAP</w:t>
      </w:r>
      <w:r>
        <w:t xml:space="preserve"> </w:t>
      </w:r>
      <w:r>
        <w:t xml:space="preserve">(2023), allocations were not exhausted to their full extent in 2024, reflecting the</w:t>
      </w:r>
      <w:r>
        <w:t xml:space="preserve"> </w:t>
      </w:r>
      <w:r>
        <w:t xml:space="preserve">unpredictability of crises affecting the agricultural sector. While Member States agree on</w:t>
      </w:r>
      <w:r>
        <w:t xml:space="preserve"> </w:t>
      </w:r>
      <w:r>
        <w:t xml:space="preserve">the need for better crisis management, many call for a stronger focus on prevention rather</w:t>
      </w:r>
      <w:r>
        <w:t xml:space="preserve"> </w:t>
      </w:r>
      <w:r>
        <w:t xml:space="preserve">than ad-hoc crisis management and for more transparent criteria in the management of</w:t>
      </w:r>
      <w:r>
        <w:t xml:space="preserve"> </w:t>
      </w:r>
      <w:r>
        <w:t xml:space="preserve">the agricultural reserve.</w:t>
      </w:r>
      <w:r>
        <w:br/>
      </w:r>
      <w:r>
        <w:t xml:space="preserve">Limited use of transfers</w:t>
      </w:r>
      <w:r>
        <w:t xml:space="preserve"> </w:t>
      </w:r>
      <w:r>
        <w:t xml:space="preserve">Transfers can be requested up to 20% of the initial allocation by fund between the ERDF,</w:t>
      </w:r>
      <w:r>
        <w:t xml:space="preserve"> </w:t>
      </w:r>
      <w:r>
        <w:t xml:space="preserve">the ESF+ or the Cohesion Fund (or up to 25% for Member States with unemployment</w:t>
      </w:r>
      <w:r>
        <w:t xml:space="preserve"> </w:t>
      </w:r>
      <w:r>
        <w:t xml:space="preserve">rate below 3%). 18 Member States have used this flexibility to a certain extent, however,</w:t>
      </w:r>
      <w:r>
        <w:t xml:space="preserve"> </w:t>
      </w:r>
      <w:r>
        <w:t xml:space="preserve">the negotiations on some of these were very lengthy and complicated. Transfers do not</w:t>
      </w:r>
      <w:r>
        <w:t xml:space="preserve"> </w:t>
      </w:r>
      <w:r>
        <w:t xml:space="preserve">exceed 3% of the EU allocation of ERDF and ESF+ funds, with the notable exception of</w:t>
      </w:r>
      <w:r>
        <w:t xml:space="preserve"> </w:t>
      </w:r>
      <w:r>
        <w:t xml:space="preserve">Belgium, which transferred 8% of its funds from ERDF to ESF+.</w:t>
      </w:r>
      <w:r>
        <w:br/>
      </w:r>
      <w:r>
        <w:t xml:space="preserve">On the other hand, Member States may request to transfer up to 5% of the initial national</w:t>
      </w:r>
      <w:r>
        <w:t xml:space="preserve"> </w:t>
      </w:r>
      <w:r>
        <w:t xml:space="preserve">allocation of each fund to any other instrument under direct or indirect management</w:t>
      </w:r>
      <w:r>
        <w:t xml:space="preserve"> </w:t>
      </w:r>
      <w:r>
        <w:t xml:space="preserve">where a landing clause exists. Only two Member States decided to transfer financial</w:t>
      </w:r>
    </w:p>
    <w:p>
      <w:pPr>
        <w:pStyle w:val="BodyText"/>
      </w:pPr>
      <w:r>
        <w:t xml:space="preserve">50 Council conclusions on a farmer-focused post 2027 Common Agricultural Policy. Link:</w:t>
      </w:r>
      <w:r>
        <w:t xml:space="preserve"> </w:t>
      </w:r>
      <w:r>
        <w:t xml:space="preserve">https://data.consilium.europa.eu/doc/document/ST-16694-2024-INIT/en/pdf</w:t>
      </w:r>
    </w:p>
    <w:p>
      <w:pPr>
        <w:pStyle w:val="BodyText"/>
      </w:pPr>
      <w:r>
        <w:t xml:space="preserve">allocations between CPR funds and EU funds and instruments in their Partnership</w:t>
      </w:r>
      <w:r>
        <w:t xml:space="preserve"> </w:t>
      </w:r>
      <w:r>
        <w:t xml:space="preserve">Agreements; amounts are therefore marginal.</w:t>
      </w:r>
      <w:r>
        <w:br/>
      </w:r>
      <w:r>
        <w:t xml:space="preserve">Hence, while transfers of resources between the two CAP funds or among cohesion</w:t>
      </w:r>
      <w:r>
        <w:t xml:space="preserve"> </w:t>
      </w:r>
      <w:r>
        <w:t xml:space="preserve">policy funds seem to be working quite well, there continues to be very little appetite</w:t>
      </w:r>
      <w:r>
        <w:t xml:space="preserve"> </w:t>
      </w:r>
      <w:r>
        <w:t xml:space="preserve">from Member States to transfer resources to other EU programmes, even if these</w:t>
      </w:r>
      <w:r>
        <w:t xml:space="preserve"> </w:t>
      </w:r>
      <w:r>
        <w:t xml:space="preserve">share similar policy objectives or concern policy areas with higher needs. Several</w:t>
      </w:r>
      <w:r>
        <w:t xml:space="preserve"> </w:t>
      </w:r>
      <w:r>
        <w:t xml:space="preserve">reasons have been given to account for this low uptake of transfer flexibilities:</w:t>
      </w:r>
      <w:r>
        <w:br/>
      </w:r>
      <w:r>
        <w:t xml:space="preserve">• the limited budget available in the programme concerned to achieve the</w:t>
      </w:r>
      <w:r>
        <w:t xml:space="preserve"> </w:t>
      </w:r>
      <w:r>
        <w:t xml:space="preserve">increasing set of objectives, coupled with a growing concern that transfers could</w:t>
      </w:r>
      <w:r>
        <w:t xml:space="preserve"> </w:t>
      </w:r>
      <w:r>
        <w:t xml:space="preserve">undermine the programme’s objectives as well as the stability and predictability</w:t>
      </w:r>
      <w:r>
        <w:t xml:space="preserve"> </w:t>
      </w:r>
      <w:r>
        <w:t xml:space="preserve">for beneficiaries;</w:t>
      </w:r>
      <w:r>
        <w:br/>
      </w:r>
      <w:r>
        <w:t xml:space="preserve">• the lack of flexibility at national level to move resources once they have been</w:t>
      </w:r>
      <w:r>
        <w:t xml:space="preserve"> </w:t>
      </w:r>
      <w:r>
        <w:t xml:space="preserve">divided between authorities, coupled with the preference of Member State to</w:t>
      </w:r>
      <w:r>
        <w:t xml:space="preserve"> </w:t>
      </w:r>
      <w:r>
        <w:t xml:space="preserve">exploit the flexibilities available within the national programmes themselves;</w:t>
      </w:r>
      <w:r>
        <w:br/>
      </w:r>
      <w:r>
        <w:t xml:space="preserve">• the lack of experience of managing authorities with transfers – for example,</w:t>
      </w:r>
      <w:r>
        <w:t xml:space="preserve"> </w:t>
      </w:r>
      <w:r>
        <w:t xml:space="preserve">although several Member States were facing challenges in their migration and</w:t>
      </w:r>
      <w:r>
        <w:t xml:space="preserve"> </w:t>
      </w:r>
      <w:r>
        <w:t xml:space="preserve">border management systems at the time of establishing their initial Home Affairs</w:t>
      </w:r>
      <w:r>
        <w:t xml:space="preserve"> </w:t>
      </w:r>
      <w:r>
        <w:t xml:space="preserve">programmes, and have subsequently requested additional support for these</w:t>
      </w:r>
      <w:r>
        <w:t xml:space="preserve"> </w:t>
      </w:r>
      <w:r>
        <w:t xml:space="preserve">systems, only one Member State (EL) used the opportunity offered by the CPR</w:t>
      </w:r>
      <w:r>
        <w:t xml:space="preserve"> </w:t>
      </w:r>
      <w:r>
        <w:t xml:space="preserve">to transfer funds from the Cohesion policy Funds to the Home Affairs Funds</w:t>
      </w:r>
      <w:r>
        <w:t xml:space="preserve"> </w:t>
      </w:r>
      <w:r>
        <w:t xml:space="preserve">when establishing its initial programmes.</w:t>
      </w:r>
      <w:r>
        <w:br/>
      </w:r>
      <w:r>
        <w:t xml:space="preserve">• Misalignment in the type of instruments used by different programmes (for e.g.,</w:t>
      </w:r>
      <w:r>
        <w:t xml:space="preserve"> </w:t>
      </w:r>
      <w:r>
        <w:t xml:space="preserve">InvestEU focuses on guarantees, while many CAP-supported financial</w:t>
      </w:r>
      <w:r>
        <w:t xml:space="preserve"> </w:t>
      </w:r>
      <w:r>
        <w:t xml:space="preserve">instruments are loans).</w:t>
      </w:r>
      <w:r>
        <w:br/>
      </w:r>
      <w:r>
        <w:t xml:space="preserve">• The lack of motivation for transfers from programmes under shared management</w:t>
      </w:r>
      <w:r>
        <w:t xml:space="preserve"> </w:t>
      </w:r>
      <w:r>
        <w:t xml:space="preserve">to programmes directly managed by the Commission, linked to the preference of</w:t>
      </w:r>
      <w:r>
        <w:t xml:space="preserve"> </w:t>
      </w:r>
      <w:r>
        <w:t xml:space="preserve">Member States’ administrations to focus on projects of national relevance (which</w:t>
      </w:r>
      <w:r>
        <w:t xml:space="preserve"> </w:t>
      </w:r>
      <w:r>
        <w:t xml:space="preserve">they can select themselves ) rather than EU-level projects such as cross-border</w:t>
      </w:r>
      <w:r>
        <w:t xml:space="preserve"> </w:t>
      </w:r>
      <w:r>
        <w:t xml:space="preserve">projects, where the benefits are shared with other Member States (and which</w:t>
      </w:r>
      <w:r>
        <w:t xml:space="preserve"> </w:t>
      </w:r>
      <w:r>
        <w:t xml:space="preserve">depend on the selection from the Commission).</w:t>
      </w:r>
      <w:r>
        <w:br/>
      </w:r>
      <w:r>
        <w:t xml:space="preserve">Low uptake of financial instruments</w:t>
      </w:r>
      <w:r>
        <w:t xml:space="preserve"> </w:t>
      </w:r>
      <w:r>
        <w:t xml:space="preserve">Financial instruments help to trigger investments on the ground for revenue-</w:t>
      </w:r>
      <w:r>
        <w:t xml:space="preserve"> </w:t>
      </w:r>
      <w:r>
        <w:t xml:space="preserve">generating and cost-saving activities while maximising private investment with</w:t>
      </w:r>
      <w:r>
        <w:t xml:space="preserve"> </w:t>
      </w:r>
      <w:r>
        <w:t xml:space="preserve">minimum public support. Financial instruments can provide support for investment in</w:t>
      </w:r>
      <w:r>
        <w:t xml:space="preserve"> </w:t>
      </w:r>
      <w:r>
        <w:t xml:space="preserve">the form of loans, guarantees, equity and other risk-sharing mechanisms.</w:t>
      </w:r>
      <w:r>
        <w:br/>
      </w:r>
      <w:r>
        <w:t xml:space="preserve">In cohesion policy, financial instruments play an important role in advancing</w:t>
      </w:r>
      <w:r>
        <w:t xml:space="preserve"> </w:t>
      </w:r>
      <w:r>
        <w:t xml:space="preserve">payments to the Member States, providing a performance-based financing, as their</w:t>
      </w:r>
      <w:r>
        <w:t xml:space="preserve"> </w:t>
      </w:r>
      <w:r>
        <w:t xml:space="preserve">management fees are exclusively performance-based. In a context of scarce EU</w:t>
      </w:r>
      <w:r>
        <w:t xml:space="preserve"> </w:t>
      </w:r>
      <w:r>
        <w:t xml:space="preserve">resources, their use can better leverage investments and enhance the effectiveness of the</w:t>
      </w:r>
      <w:r>
        <w:t xml:space="preserve"> </w:t>
      </w:r>
      <w:r>
        <w:t xml:space="preserve">EU budget. While their uptake has slightly increased over time, their use remains</w:t>
      </w:r>
      <w:r>
        <w:t xml:space="preserve"> </w:t>
      </w:r>
      <w:r>
        <w:t xml:space="preserve">limited. For the sake of comparison, in the 2021-2027 programming period, more than</w:t>
      </w:r>
      <w:r>
        <w:t xml:space="preserve"> </w:t>
      </w:r>
      <w:r>
        <w:t xml:space="preserve">EUR 17.8 billion (constant prices – 2018 (tbc)) from the EU budget is allocated under the</w:t>
      </w:r>
    </w:p>
    <w:p>
      <w:pPr>
        <w:pStyle w:val="BodyText"/>
      </w:pPr>
      <w:r>
        <w:t xml:space="preserve">ERDF and CF to financial instruments, representing around 7.3% of the ERDF and CF.</w:t>
      </w:r>
      <w:r>
        <w:t xml:space="preserve"> </w:t>
      </w:r>
      <w:r>
        <w:t xml:space="preserve">This is more than in 2014-2020, when EUR 16.7 billion or 6.7% of the ERDF and CF</w:t>
      </w:r>
      <w:r>
        <w:t xml:space="preserve"> </w:t>
      </w:r>
      <w:r>
        <w:t xml:space="preserve">was allocated but remains still very limited. Looking at cohesion policy more broadly, in</w:t>
      </w:r>
      <w:r>
        <w:t xml:space="preserve"> </w:t>
      </w:r>
      <w:r>
        <w:t xml:space="preserve">the 2021-2027 programming period, only about EUR 19 billion (in constant prices –</w:t>
      </w:r>
      <w:r>
        <w:t xml:space="preserve"> </w:t>
      </w:r>
      <w:r>
        <w:t xml:space="preserve">2018 (tbc) will be allocated via financial instruments, representing only around 6% of the</w:t>
      </w:r>
      <w:r>
        <w:t xml:space="preserve"> </w:t>
      </w:r>
      <w:r>
        <w:t xml:space="preserve">total resources of ERDF, CF, JTF and ESF+.</w:t>
      </w:r>
      <w:r>
        <w:br/>
      </w:r>
      <w:r>
        <w:t xml:space="preserve">The uptake in Member States is also very uneven:</w:t>
      </w:r>
    </w:p>
    <w:p>
      <w:pPr>
        <w:pStyle w:val="BodyText"/>
      </w:pPr>
      <w:r>
        <w:t xml:space="preserve">Financial instruments under cohesion policy 2021-2027 | Cohesion Open Data</w:t>
      </w:r>
      <w:r>
        <w:t xml:space="preserve"> </w:t>
      </w:r>
      <w:r>
        <w:t xml:space="preserve">Several factors account for the limited uptake of financial instruments:</w:t>
      </w:r>
      <w:r>
        <w:br/>
      </w:r>
      <w:r>
        <w:t xml:space="preserve">-</w:t>
      </w:r>
      <w:r>
        <w:t xml:space="preserve"> </w:t>
      </w:r>
      <w:r>
        <w:t xml:space="preserve">availability of grants in all areas and sectors even where financial instruments</w:t>
      </w:r>
      <w:r>
        <w:t xml:space="preserve"> </w:t>
      </w:r>
      <w:r>
        <w:t xml:space="preserve">proved to be efficient and impactful like support to SMEs or energy efficiency.</w:t>
      </w:r>
      <w:r>
        <w:t xml:space="preserve"> </w:t>
      </w:r>
      <w:r>
        <w:t xml:space="preserve">Grants are still the most desired form of support, although some positive</w:t>
      </w:r>
      <w:r>
        <w:t xml:space="preserve"> </w:t>
      </w:r>
      <w:r>
        <w:t xml:space="preserve">experience is in place when it concerns combining grants and financial</w:t>
      </w:r>
      <w:r>
        <w:t xml:space="preserve"> </w:t>
      </w:r>
      <w:r>
        <w:t xml:space="preserve">instruments in a single financial instrument operation, as for example the</w:t>
      </w:r>
      <w:r>
        <w:t xml:space="preserve"> </w:t>
      </w:r>
      <w:r>
        <w:t xml:space="preserve">Alternative Fuels Infrastructure Facility under the Connecting Europe Facility</w:t>
      </w:r>
      <w:r>
        <w:t xml:space="preserve"> </w:t>
      </w:r>
      <w:r>
        <w:t xml:space="preserve">combining grants with financial support from financing institutions for the</w:t>
      </w:r>
      <w:r>
        <w:t xml:space="preserve"> </w:t>
      </w:r>
      <w:r>
        <w:t xml:space="preserve">development of charging/refuelling points for alternative fuels.</w:t>
      </w:r>
      <w:r>
        <w:br/>
      </w:r>
      <w:r>
        <w:t xml:space="preserve">-</w:t>
      </w:r>
      <w:r>
        <w:t xml:space="preserve"> </w:t>
      </w:r>
      <w:r>
        <w:t xml:space="preserve">Detailed rules set out in the CPR. Although some aspects were simplified in the</w:t>
      </w:r>
      <w:r>
        <w:t xml:space="preserve"> </w:t>
      </w:r>
      <w:r>
        <w:t xml:space="preserve">2021-2027 programming period, over-regulation and complexity of rules still lead</w:t>
      </w:r>
      <w:r>
        <w:t xml:space="preserve"> </w:t>
      </w:r>
      <w:r>
        <w:t xml:space="preserve">to inflexible and inefficient use of funds, also stemming from avoiding any risk</w:t>
      </w:r>
      <w:r>
        <w:t xml:space="preserve"> </w:t>
      </w:r>
      <w:r>
        <w:t xml:space="preserve">linked to the audit procedures51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States’ lack of administrative capacity especially in Member States with</w:t>
      </w:r>
      <w:r>
        <w:t xml:space="preserve"> </w:t>
      </w:r>
      <w:r>
        <w:t xml:space="preserve">weaker institutions such as national promotional banks can still hinder greater use</w:t>
      </w:r>
      <w:r>
        <w:t xml:space="preserve"> </w:t>
      </w:r>
      <w:r>
        <w:t xml:space="preserve">of financial instruments, especially those tailor-made which require expertise,</w:t>
      </w:r>
      <w:r>
        <w:t xml:space="preserve"> </w:t>
      </w:r>
      <w:r>
        <w:t xml:space="preserve">skills and administrative capacity not only in the area of EU funds management</w:t>
      </w:r>
      <w:r>
        <w:t xml:space="preserve"> </w:t>
      </w:r>
      <w:r>
        <w:t xml:space="preserve">but also banking sector;</w:t>
      </w:r>
    </w:p>
    <w:p>
      <w:pPr>
        <w:pStyle w:val="BodyText"/>
      </w:pPr>
      <w:r>
        <w:t xml:space="preserve">51 European Parliamentary Research Service, Briefing, Financial instruments in cohesion policy, October</w:t>
      </w:r>
      <w:r>
        <w:t xml:space="preserve"> </w:t>
      </w:r>
      <w:r>
        <w:t xml:space="preserve">2019, p. 7.</w:t>
      </w:r>
    </w:p>
    <w:p>
      <w:pPr>
        <w:pStyle w:val="Compact"/>
        <w:numPr>
          <w:ilvl w:val="0"/>
          <w:numId w:val="1027"/>
        </w:numPr>
      </w:pPr>
      <w:r>
        <w:t xml:space="preserve">Institutions such as the European Investment Bank (EIB), which has a 50%</w:t>
      </w:r>
      <w:r>
        <w:t xml:space="preserve"> </w:t>
      </w:r>
      <w:r>
        <w:t xml:space="preserve">climate expenditure target, and the European Investment Fund (EIF) play a</w:t>
      </w:r>
      <w:r>
        <w:t xml:space="preserve"> </w:t>
      </w:r>
      <w:r>
        <w:t xml:space="preserve">crucial role in supporting EU priorities through financial instruments. However,</w:t>
      </w:r>
      <w:r>
        <w:t xml:space="preserve"> </w:t>
      </w:r>
      <w:r>
        <w:t xml:space="preserve">their capacity to manage an increasing number of instruments will have to be</w:t>
      </w:r>
      <w:r>
        <w:t xml:space="preserve"> </w:t>
      </w:r>
      <w:r>
        <w:t xml:space="preserve">strengthened to avoid delays in negotiating setups, processing applications and</w:t>
      </w:r>
      <w:r>
        <w:t xml:space="preserve"> </w:t>
      </w:r>
      <w:r>
        <w:t xml:space="preserve">disbursing funds.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Although tailor-made instruments are more popular among national or regional</w:t>
      </w:r>
      <w:r>
        <w:t xml:space="preserve"> </w:t>
      </w:r>
      <w:r>
        <w:t xml:space="preserve">managing authorities, they are more complex than the off-the-shelf ones or those</w:t>
      </w:r>
      <w:r>
        <w:t xml:space="preserve"> </w:t>
      </w:r>
      <w:r>
        <w:t xml:space="preserve">implemented by the EIB group. On one hand, it is linked to the fact of different,</w:t>
      </w:r>
      <w:r>
        <w:t xml:space="preserve"> </w:t>
      </w:r>
      <w:r>
        <w:t xml:space="preserve">simpler rules linked to state aid or public procurement that are required in case of</w:t>
      </w:r>
      <w:r>
        <w:t xml:space="preserve"> </w:t>
      </w:r>
      <w:r>
        <w:t xml:space="preserve">EIB-led instrument. On the other hand, decentralisation of implementation has led</w:t>
      </w:r>
      <w:r>
        <w:t xml:space="preserve"> </w:t>
      </w:r>
      <w:r>
        <w:t xml:space="preserve">in some Member States to compartmentalisation of the offer of financial</w:t>
      </w:r>
      <w:r>
        <w:t xml:space="preserve"> </w:t>
      </w:r>
      <w:r>
        <w:t xml:space="preserve">instruments which are too small, too differentiated in order to bring economies of</w:t>
      </w:r>
      <w:r>
        <w:t xml:space="preserve"> </w:t>
      </w:r>
      <w:r>
        <w:t xml:space="preserve">scale and attract more private capital.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On the other hand, as experienced in the RRF, Member States sometimes used the</w:t>
      </w:r>
      <w:r>
        <w:t xml:space="preserve"> </w:t>
      </w:r>
      <w:r>
        <w:t xml:space="preserve">flexibility of the rules on financial instruments strategically - to temporarily</w:t>
      </w:r>
      <w:r>
        <w:t xml:space="preserve"> </w:t>
      </w:r>
      <w:r>
        <w:t xml:space="preserve">allocate funds which enabled them to meet the timeline requirements of various</w:t>
      </w:r>
      <w:r>
        <w:t xml:space="preserve"> </w:t>
      </w:r>
      <w:r>
        <w:t xml:space="preserve">EU programmes While this approach provides flexibility and helps avoid the risk</w:t>
      </w:r>
      <w:r>
        <w:t xml:space="preserve"> </w:t>
      </w:r>
      <w:r>
        <w:t xml:space="preserve">of losing allocated funds, it can delay high-impact investments and contributes to</w:t>
      </w:r>
      <w:r>
        <w:t xml:space="preserve"> </w:t>
      </w:r>
      <w:r>
        <w:t xml:space="preserve">lower transparency regarding the absorption at the level of final recipient ,</w:t>
      </w:r>
      <w:r>
        <w:t xml:space="preserve"> </w:t>
      </w:r>
      <w:r>
        <w:t xml:space="preserve">potentially undermining the effectiveness of EU funding in achieving long-term</w:t>
      </w:r>
      <w:r>
        <w:t xml:space="preserve"> </w:t>
      </w:r>
      <w:r>
        <w:t xml:space="preserve">goals.</w:t>
      </w:r>
      <w:r>
        <w:t xml:space="preserve"> </w:t>
      </w:r>
      <w:r>
        <w:t xml:space="preserve">Some sectors, such as nature, have to rely on grants due to difficulties in attracting</w:t>
      </w:r>
      <w:r>
        <w:t xml:space="preserve"> </w:t>
      </w:r>
      <w:r>
        <w:t xml:space="preserve">private investment, and their small scale can also deter larger financing institutions52. On</w:t>
      </w:r>
      <w:r>
        <w:t xml:space="preserve"> </w:t>
      </w:r>
      <w:r>
        <w:t xml:space="preserve">a smaller scale, financial instruments are also used under the EAFRD and the EMFAF or</w:t>
      </w:r>
      <w:r>
        <w:t xml:space="preserve"> </w:t>
      </w:r>
      <w:r>
        <w:t xml:space="preserve">are being piloted under the Home Affairs Funds. For instance, the EMFAF mid-term</w:t>
      </w:r>
      <w:r>
        <w:t xml:space="preserve"> </w:t>
      </w:r>
      <w:r>
        <w:t xml:space="preserve">evaluation showed that the uptake of financial instruments has been undermined by the</w:t>
      </w:r>
      <w:r>
        <w:t xml:space="preserve"> </w:t>
      </w:r>
      <w:r>
        <w:t xml:space="preserve">complexity of the rules and small scale of the fisheries sector. Other, larger sectors with</w:t>
      </w:r>
      <w:r>
        <w:t xml:space="preserve"> </w:t>
      </w:r>
      <w:r>
        <w:t xml:space="preserve">less complexity are easier to cater for by financial instruments. Under the EAFRD,</w:t>
      </w:r>
      <w:r>
        <w:t xml:space="preserve"> </w:t>
      </w:r>
      <w:r>
        <w:t xml:space="preserve">compared with the past, support for financial instruments (EUR 1 billion) has increased -</w:t>
      </w:r>
      <w:r>
        <w:t xml:space="preserve"> </w:t>
      </w:r>
      <w:r>
        <w:t xml:space="preserve">facilitating access to investments, with a focus on small and young farmers as well as on</w:t>
      </w:r>
      <w:r>
        <w:t xml:space="preserve"> </w:t>
      </w:r>
      <w:r>
        <w:t xml:space="preserve">cooperatives and producer organisations, but their uptake is still relatively limited.</w:t>
      </w:r>
      <w:r>
        <w:t xml:space="preserve"> </w:t>
      </w:r>
      <w:r>
        <w:t xml:space="preserve">Overall, Member States and beneficiaries showed limited interest, calling for further</w:t>
      </w:r>
      <w:r>
        <w:t xml:space="preserve"> </w:t>
      </w:r>
      <w:r>
        <w:t xml:space="preserve">simplification to ensure a stronger uptake of financial instruments.</w:t>
      </w:r>
      <w:r>
        <w:br/>
      </w:r>
      <w:r>
        <w:t xml:space="preserve">Problem driver 6: The delivery models are too complex</w:t>
      </w:r>
      <w:r>
        <w:t xml:space="preserve"> </w:t>
      </w:r>
      <w:r>
        <w:t xml:space="preserve">The implementation of EU funds with nationally pre-allocated envelopes is often</w:t>
      </w:r>
      <w:r>
        <w:t xml:space="preserve"> </w:t>
      </w:r>
      <w:r>
        <w:t xml:space="preserve">hindered by gold plating practices in Member States particularly on management and</w:t>
      </w:r>
      <w:r>
        <w:t xml:space="preserve"> </w:t>
      </w:r>
      <w:r>
        <w:t xml:space="preserve">control practices, a lack of mature project pipelines against the backdrop of multiple</w:t>
      </w:r>
      <w:r>
        <w:t xml:space="preserve"> </w:t>
      </w:r>
      <w:r>
        <w:t xml:space="preserve">funding sources and weak administrative capacity. The complexity of EU funding</w:t>
      </w:r>
      <w:r>
        <w:t xml:space="preserve"> </w:t>
      </w:r>
      <w:r>
        <w:t xml:space="preserve">programmes and governance models also often hinders the smooth implementation of EU</w:t>
      </w:r>
    </w:p>
    <w:p>
      <w:pPr>
        <w:pStyle w:val="FirstParagraph"/>
      </w:pPr>
      <w:r>
        <w:t xml:space="preserve">projects. This has resulted in bottlenecks in absorbing allocated funds effectively and on</w:t>
      </w:r>
      <w:r>
        <w:t xml:space="preserve"> </w:t>
      </w:r>
      <w:r>
        <w:t xml:space="preserve">time or in an increased estimated level of error in spending from the EU budget.</w:t>
      </w:r>
      <w:r>
        <w:t xml:space="preserve"> </w:t>
      </w:r>
      <w:r>
        <w:t xml:space="preserve">Simplification measures in in the CPR are not fully exploited</w:t>
      </w:r>
      <w:r>
        <w:br/>
      </w:r>
      <w:r>
        <w:t xml:space="preserve">Currently, most payments in EU spending programmes under the CPR umbrella</w:t>
      </w:r>
      <w:r>
        <w:t xml:space="preserve"> </w:t>
      </w:r>
      <w:r>
        <w:t xml:space="preserve">policy continue to be based on real costs – i.e. Member States are reimbursed on the</w:t>
      </w:r>
      <w:r>
        <w:t xml:space="preserve"> </w:t>
      </w:r>
      <w:r>
        <w:t xml:space="preserve">basis of beneficiaries´ expenditure. Relying on real costs brings complexity and burden</w:t>
      </w:r>
      <w:r>
        <w:t xml:space="preserve"> </w:t>
      </w:r>
      <w:r>
        <w:t xml:space="preserve">for Member States’ authorities and beneficiaries and is also more prone to errors.</w:t>
      </w:r>
      <w:r>
        <w:t xml:space="preserve"> </w:t>
      </w:r>
      <w:r>
        <w:t xml:space="preserve">Furthermore, the focus is on managing invoices rather than the results achieved by EU</w:t>
      </w:r>
      <w:r>
        <w:t xml:space="preserve"> </w:t>
      </w:r>
      <w:r>
        <w:t xml:space="preserve">funding. The use of simplified cost options (SCOs) – unit costs, lump sums and flat rates</w:t>
      </w:r>
      <w:r>
        <w:t xml:space="preserve"> </w:t>
      </w:r>
      <w:r>
        <w:t xml:space="preserve">– has increased but remains limited. Unit costs and lump sums retain a link to costs of the</w:t>
      </w:r>
      <w:r>
        <w:t xml:space="preserve"> </w:t>
      </w:r>
      <w:r>
        <w:t xml:space="preserve">particular action because the amounts are calculated ex-ante as an approximation of the</w:t>
      </w:r>
      <w:r>
        <w:t xml:space="preserve"> </w:t>
      </w:r>
      <w:r>
        <w:t xml:space="preserve">actual costs. However, these costs are not checked afterwards, and the pre-defined</w:t>
      </w:r>
      <w:r>
        <w:t xml:space="preserve"> </w:t>
      </w:r>
      <w:r>
        <w:t xml:space="preserve">amount is paid once the output is delivered. The impact on performance is indirect,</w:t>
      </w:r>
      <w:r>
        <w:t xml:space="preserve"> </w:t>
      </w:r>
      <w:r>
        <w:t xml:space="preserve">driven by simplification – instead of managing invoices, beneficiaries can focus on the</w:t>
      </w:r>
      <w:r>
        <w:t xml:space="preserve"> </w:t>
      </w:r>
      <w:r>
        <w:t xml:space="preserve">implementation of investments. As a rule, mandatory use of SCOs applies to all</w:t>
      </w:r>
      <w:r>
        <w:t xml:space="preserve"> </w:t>
      </w:r>
      <w:r>
        <w:t xml:space="preserve">operations below EUR 200,000. 13% of the ERDF expenditure (supplemented by 3% of</w:t>
      </w:r>
      <w:r>
        <w:t xml:space="preserve"> </w:t>
      </w:r>
      <w:r>
        <w:t xml:space="preserve">CF expenditure and close to 12% of JTF expenditure) is reimbursed via SCOs at Member</w:t>
      </w:r>
      <w:r>
        <w:t xml:space="preserve"> </w:t>
      </w:r>
      <w:r>
        <w:t xml:space="preserve">State/beneficiary level. While take-up is still low, overall, the amount of expenditure</w:t>
      </w:r>
      <w:r>
        <w:t xml:space="preserve"> </w:t>
      </w:r>
      <w:r>
        <w:t xml:space="preserve">covered is steadily increasing with the pace of programme implementation and has</w:t>
      </w:r>
      <w:r>
        <w:t xml:space="preserve"> </w:t>
      </w:r>
      <w:r>
        <w:t xml:space="preserve">almost doubled compared to the 2014 – 2020 period. Interreg cross-border cooperation</w:t>
      </w:r>
      <w:r>
        <w:t xml:space="preserve"> </w:t>
      </w:r>
      <w:r>
        <w:t xml:space="preserve">programmes are obliged to use simplified cost options when supporting small projects</w:t>
      </w:r>
      <w:r>
        <w:t xml:space="preserve"> </w:t>
      </w:r>
      <w:r>
        <w:t xml:space="preserve">where the public contribution from the EU or national funds does not exceed EUR</w:t>
      </w:r>
      <w:r>
        <w:t xml:space="preserve"> </w:t>
      </w:r>
      <w:r>
        <w:t xml:space="preserve">100,000. This is largely perceived as a major simplification for beneficiaries.</w:t>
      </w:r>
      <w:r>
        <w:br/>
      </w:r>
      <w:r>
        <w:t xml:space="preserve">ESF+ is the frontrunner in the use of simplified cost options. While one-third of the</w:t>
      </w:r>
      <w:r>
        <w:t xml:space="preserve"> </w:t>
      </w:r>
      <w:r>
        <w:t xml:space="preserve">ESF budget was implemented through SCOs during 2014-2020, at the time of writing,</w:t>
      </w:r>
      <w:r>
        <w:t xml:space="preserve"> </w:t>
      </w:r>
      <w:r>
        <w:t xml:space="preserve">some 40% of the 2021-2027 ESF+ budget is implemented through SCOs and FNLC.</w:t>
      </w:r>
      <w:r>
        <w:t xml:space="preserve"> </w:t>
      </w:r>
      <w:r>
        <w:t xml:space="preserve">Stakeholders consider that the use of SCOs reduces administrative burden for</w:t>
      </w:r>
      <w:r>
        <w:t xml:space="preserve"> </w:t>
      </w:r>
      <w:r>
        <w:t xml:space="preserve">beneficiaries and managing authorities, simplifies management process and facilitates</w:t>
      </w:r>
      <w:r>
        <w:t xml:space="preserve"> </w:t>
      </w:r>
      <w:r>
        <w:t xml:space="preserve">payments, and is less error prone. Member States represented in the ESF Simplification</w:t>
      </w:r>
      <w:r>
        <w:t xml:space="preserve"> </w:t>
      </w:r>
      <w:r>
        <w:t xml:space="preserve">Transnational Network have adopted an opinion calling for abandoning real costs.</w:t>
      </w:r>
      <w:r>
        <w:br/>
      </w:r>
      <w:r>
        <w:t xml:space="preserve">Under Financing Not Linked to Costs (FNLC), payments are conditional upon the</w:t>
      </w:r>
      <w:r>
        <w:t xml:space="preserve"> </w:t>
      </w:r>
      <w:r>
        <w:t xml:space="preserve">achievement of results and the fulfilment of conditions. The use of FNLC at micro-</w:t>
      </w:r>
      <w:r>
        <w:t xml:space="preserve"> </w:t>
      </w:r>
      <w:r>
        <w:t xml:space="preserve">level remains sporadic. Despite the simpler payments and delivery it offers, only 12</w:t>
      </w:r>
      <w:r>
        <w:t xml:space="preserve"> </w:t>
      </w:r>
      <w:r>
        <w:t xml:space="preserve">FNLC schemes (mostly in the ESF+) have been approved by the Commission in 9</w:t>
      </w:r>
      <w:r>
        <w:t xml:space="preserve"> </w:t>
      </w:r>
      <w:r>
        <w:t xml:space="preserve">Member States, amounting to EUR 4.5 billion and additional 5 FNLC schemes in 5</w:t>
      </w:r>
      <w:r>
        <w:t xml:space="preserve"> </w:t>
      </w:r>
      <w:r>
        <w:t xml:space="preserve">Member States are currently under preparation for EUR 0.7 billion. Another recent</w:t>
      </w:r>
      <w:r>
        <w:t xml:space="preserve"> </w:t>
      </w:r>
      <w:r>
        <w:t xml:space="preserve">example of FNLC for specific actions was the almost EUR 400 million made available</w:t>
      </w:r>
      <w:r>
        <w:t xml:space="preserve"> </w:t>
      </w:r>
      <w:r>
        <w:t xml:space="preserve">under the Asylum, Migration and Integration Fund (AMIF) and the BMVI to support</w:t>
      </w:r>
      <w:r>
        <w:t xml:space="preserve"> </w:t>
      </w:r>
      <w:r>
        <w:t xml:space="preserve">Member States in welcoming Ukrainian refugees. Payments were linked to the</w:t>
      </w:r>
      <w:r>
        <w:t xml:space="preserve"> </w:t>
      </w:r>
      <w:r>
        <w:t xml:space="preserve">achievement of pre-defined targets (e.g. number of additional “first capacity” places</w:t>
      </w:r>
      <w:r>
        <w:t xml:space="preserve"> </w:t>
      </w:r>
      <w:r>
        <w:t xml:space="preserve">created for refugees from Ukraine) to allow Member States to receive EU funds quickly</w:t>
      </w:r>
      <w:r>
        <w:t xml:space="preserve"> </w:t>
      </w:r>
      <w:r>
        <w:t xml:space="preserve">and flexibly – without needing to develop projects with detailed cost estimates.</w:t>
      </w:r>
      <w:r>
        <w:t xml:space="preserve"> </w:t>
      </w:r>
      <w:r>
        <w:t xml:space="preserve">Overall, the lack of experience and/or capacity in Member States’ managing</w:t>
      </w:r>
      <w:r>
        <w:t xml:space="preserve"> </w:t>
      </w:r>
      <w:r>
        <w:t xml:space="preserve">authorities, coupled with the difficulties in accessing relevant, quality data to define</w:t>
      </w:r>
      <w:r>
        <w:t xml:space="preserve"> </w:t>
      </w:r>
      <w:r>
        <w:t xml:space="preserve">the appropriate performance indicators, continue to be seen as bottlenecks in</w:t>
      </w:r>
      <w:r>
        <w:t xml:space="preserve"> </w:t>
      </w:r>
      <w:r>
        <w:t xml:space="preserve">implementing simplified forms of funding. Time constraints related to implementation</w:t>
      </w:r>
      <w:r>
        <w:t xml:space="preserve"> </w:t>
      </w:r>
      <w:r>
        <w:t xml:space="preserve">of parallel EU funds and programmes and divergent legal interpretations among relevant</w:t>
      </w:r>
    </w:p>
    <w:p>
      <w:pPr>
        <w:pStyle w:val="BodyText"/>
      </w:pPr>
      <w:r>
        <w:t xml:space="preserve">actors – from the Commission to Member States’ managing authorities or the European</w:t>
      </w:r>
      <w:r>
        <w:t xml:space="preserve"> </w:t>
      </w:r>
      <w:r>
        <w:t xml:space="preserve">Court of Auditors – further complicate their uptake.</w:t>
      </w:r>
      <w:r>
        <w:br/>
      </w:r>
      <w:r>
        <w:t xml:space="preserve">The CAP: a delivery model based on performance and costs</w:t>
      </w:r>
      <w:r>
        <w:t xml:space="preserve"> </w:t>
      </w:r>
      <w:r>
        <w:t xml:space="preserve">The Common Agricultural Policy has moved closer to a performance-based delivery</w:t>
      </w:r>
      <w:r>
        <w:t xml:space="preserve"> </w:t>
      </w:r>
      <w:r>
        <w:t xml:space="preserve">model, whereby all interventions are planned ex-ante and linked to specific output</w:t>
      </w:r>
      <w:r>
        <w:t xml:space="preserve"> </w:t>
      </w:r>
      <w:r>
        <w:t xml:space="preserve">and result indicators in the CAP Strategic Plans. The CAP retains elements of a cost-</w:t>
      </w:r>
      <w:r>
        <w:t xml:space="preserve"> </w:t>
      </w:r>
      <w:r>
        <w:t xml:space="preserve">based delivery model as the amounts reimbursed are the actual costs incurred by Member</w:t>
      </w:r>
      <w:r>
        <w:t xml:space="preserve"> </w:t>
      </w:r>
      <w:r>
        <w:t xml:space="preserve">States when reimbursing beneficiaries. These costs can be based on costs incurred by the</w:t>
      </w:r>
      <w:r>
        <w:t xml:space="preserve"> </w:t>
      </w:r>
      <w:r>
        <w:t xml:space="preserve">beneficiary, unit costs or lump sums implemented by Member States.</w:t>
      </w:r>
      <w:r>
        <w:br/>
      </w:r>
      <w:r>
        <w:t xml:space="preserve">The move towards a more performance-based delivery model has been welcomed</w:t>
      </w:r>
      <w:r>
        <w:t xml:space="preserve"> </w:t>
      </w:r>
      <w:r>
        <w:t xml:space="preserve">by stakeholders but came with high transition costs and a steep learning curve.</w:t>
      </w:r>
      <w:r>
        <w:t xml:space="preserve"> </w:t>
      </w:r>
      <w:r>
        <w:t xml:space="preserve">Furthermore, it did not always translate into simplification for Member States authorities</w:t>
      </w:r>
      <w:r>
        <w:t xml:space="preserve"> </w:t>
      </w:r>
      <w:r>
        <w:t xml:space="preserve">or farmers. For instance, Member States still need to ensure the regularity and legality of</w:t>
      </w:r>
      <w:r>
        <w:t xml:space="preserve"> </w:t>
      </w:r>
      <w:r>
        <w:t xml:space="preserve">EU funds spending at beneficiary level. The challenge has been even greater for</w:t>
      </w:r>
      <w:r>
        <w:t xml:space="preserve"> </w:t>
      </w:r>
      <w:r>
        <w:t xml:space="preserve">regionalised Member States who needed to redefine the cooperation mechanisms</w:t>
      </w:r>
      <w:r>
        <w:t xml:space="preserve"> </w:t>
      </w:r>
      <w:r>
        <w:t xml:space="preserve">between the regional and national levels.</w:t>
      </w:r>
      <w:r>
        <w:br/>
      </w:r>
      <w:r>
        <w:t xml:space="preserve">In this context, the Commission launched a simplification exercise in 2024 to</w:t>
      </w:r>
      <w:r>
        <w:t xml:space="preserve"> </w:t>
      </w:r>
      <w:r>
        <w:t xml:space="preserve">provide more flexibility for Member States’ authorities and farmers. Other actions to</w:t>
      </w:r>
      <w:r>
        <w:t xml:space="preserve"> </w:t>
      </w:r>
      <w:r>
        <w:t xml:space="preserve">reduce the administrative burden are under way and include, among others, reducing</w:t>
      </w:r>
      <w:r>
        <w:t xml:space="preserve"> </w:t>
      </w:r>
      <w:r>
        <w:t xml:space="preserve">reporting obligations, as well as removing the annual performance clearance, while the</w:t>
      </w:r>
      <w:r>
        <w:t xml:space="preserve"> </w:t>
      </w:r>
      <w:r>
        <w:t xml:space="preserve">outcomes of two studies on the administrative burden for farmers and on the new</w:t>
      </w:r>
      <w:r>
        <w:t xml:space="preserve"> </w:t>
      </w:r>
      <w:r>
        <w:t xml:space="preserve">delivery model will help identify further actions to simplify policies for farmers</w:t>
      </w:r>
      <w:r>
        <w:t xml:space="preserve"> </w:t>
      </w:r>
      <w:r>
        <w:t xml:space="preserve">(expected in 2025).</w:t>
      </w:r>
      <w:r>
        <w:t xml:space="preserve"> </w:t>
      </w:r>
      <w:r>
        <w:t xml:space="preserve">RRF: faster disbursements but administrative burden remains high</w:t>
      </w:r>
      <w:r>
        <w:br/>
      </w:r>
      <w:r>
        <w:t xml:space="preserve">The RRF is the first large-scale programme with a performance-based delivery</w:t>
      </w:r>
      <w:r>
        <w:t xml:space="preserve"> </w:t>
      </w:r>
      <w:r>
        <w:t xml:space="preserve">model. Under the Facility, the justification for receiving payments is not directly related</w:t>
      </w:r>
      <w:r>
        <w:t xml:space="preserve"> </w:t>
      </w:r>
      <w:r>
        <w:t xml:space="preserve">to the costs incurred on the ground: it depends on the satisfactory fulfilment of pre-</w:t>
      </w:r>
      <w:r>
        <w:t xml:space="preserve"> </w:t>
      </w:r>
      <w:r>
        <w:t xml:space="preserve">defined milestones (e.g. adoption of a law) and targets (e.g. number of people trained)</w:t>
      </w:r>
      <w:r>
        <w:t xml:space="preserve"> </w:t>
      </w:r>
      <w:r>
        <w:t xml:space="preserve">capturing the key implementation stages of the investments and reforms laid down in the</w:t>
      </w:r>
      <w:r>
        <w:t xml:space="preserve"> </w:t>
      </w:r>
      <w:r>
        <w:t xml:space="preserve">national RRPs. Costs have been estimated once ex-ante but are not reassessed at the time</w:t>
      </w:r>
      <w:r>
        <w:t xml:space="preserve"> </w:t>
      </w:r>
      <w:r>
        <w:t xml:space="preserve">of payments. In this delivery mechanism, the milestones and targets included in the plans</w:t>
      </w:r>
      <w:r>
        <w:t xml:space="preserve"> </w:t>
      </w:r>
      <w:r>
        <w:t xml:space="preserve">can cover the full lifespan of the supported measure and may cover interim steps (e.g. </w:t>
      </w:r>
      <w:r>
        <w:t xml:space="preserve"> </w:t>
      </w:r>
      <w:r>
        <w:t xml:space="preserve">launch of calls, completion of half of the projects). As noted in the mid-term evaluation</w:t>
      </w:r>
      <w:r>
        <w:t xml:space="preserve"> </w:t>
      </w:r>
      <w:r>
        <w:t xml:space="preserve">on the RRF, this allows for faster disbursements and can help Member States get funds</w:t>
      </w:r>
      <w:r>
        <w:t xml:space="preserve"> </w:t>
      </w:r>
      <w:r>
        <w:t xml:space="preserve">upfront to finance some of their investments. The fulfilment of milestones linked to</w:t>
      </w:r>
      <w:r>
        <w:t xml:space="preserve"> </w:t>
      </w:r>
      <w:r>
        <w:t xml:space="preserve">reforms – which do not necessarily involve costs as such – also impacts the level and</w:t>
      </w:r>
      <w:r>
        <w:t xml:space="preserve"> </w:t>
      </w:r>
      <w:r>
        <w:t xml:space="preserve">timing of disbursements that have been negotiated with Member States with the view to</w:t>
      </w:r>
      <w:r>
        <w:t xml:space="preserve"> </w:t>
      </w:r>
      <w:r>
        <w:t xml:space="preserve">provide a strong incentive to frontload reforms.</w:t>
      </w:r>
      <w:r>
        <w:br/>
      </w:r>
      <w:r>
        <w:t xml:space="preserve">However, in the same evaluation some national authorities also found the definition</w:t>
      </w:r>
      <w:r>
        <w:t xml:space="preserve"> </w:t>
      </w:r>
      <w:r>
        <w:t xml:space="preserve">of milestones and targets too detailed and the fixed composition of groups of</w:t>
      </w:r>
      <w:r>
        <w:t xml:space="preserve"> </w:t>
      </w:r>
      <w:r>
        <w:t xml:space="preserve">milestones and targets for each instalment too rigid. While subsequent revisions of</w:t>
      </w:r>
      <w:r>
        <w:t xml:space="preserve"> </w:t>
      </w:r>
      <w:r>
        <w:t xml:space="preserve">the plans made milestones and targets more focused and simpler to implement, and the</w:t>
      </w:r>
      <w:r>
        <w:t xml:space="preserve"> </w:t>
      </w:r>
      <w:r>
        <w:t xml:space="preserve">broader use of partial suspension mechanisms improved the delivery model’s flexibility,</w:t>
      </w:r>
      <w:r>
        <w:t xml:space="preserve"> </w:t>
      </w:r>
      <w:r>
        <w:t xml:space="preserve">these adjustments came at a high resource cost, and significant challenges persist.</w:t>
      </w:r>
      <w:r>
        <w:t xml:space="preserve"> </w:t>
      </w:r>
      <w:r>
        <w:t xml:space="preserve">Moreover, in most Member States, the disbursement from Member States’ authorities to</w:t>
      </w:r>
    </w:p>
    <w:p>
      <w:pPr>
        <w:pStyle w:val="BodyText"/>
      </w:pPr>
      <w:r>
        <w:t xml:space="preserve">beneficiaries for measures supported by the RRF in the Member States is almost</w:t>
      </w:r>
      <w:r>
        <w:t xml:space="preserve"> </w:t>
      </w:r>
      <w:r>
        <w:t xml:space="preserve">exclusively done based on expenditure which strongly limits the simplification for</w:t>
      </w:r>
      <w:r>
        <w:t xml:space="preserve"> </w:t>
      </w:r>
      <w:r>
        <w:t xml:space="preserve">beneficiaries.</w:t>
      </w:r>
    </w:p>
    <w:p>
      <w:pPr>
        <w:pStyle w:val="BodyText"/>
      </w:pPr>
      <w:r>
        <w:t xml:space="preserve">The analysis of problem driver 7 is fully covered within the main body of this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ANNEX 8: OVERVIEW OF THE DELIVERY MODEL AND</w:t>
      </w:r>
      <w:r>
        <w:t xml:space="preserve"> </w:t>
      </w:r>
      <w:r>
        <w:t xml:space="preserve">MANAGEMENT FUNDS OF CURRENT EU FUNDS WITH</w:t>
      </w:r>
      <w:r>
        <w:t xml:space="preserve"> </w:t>
      </w:r>
      <w:r>
        <w:t xml:space="preserve">NATIONALLY PRE-ALLOCATED ENVELOPES</w:t>
      </w:r>
      <w:r>
        <w:t xml:space="preserve"> </w:t>
      </w:r>
      <w:r>
        <w:t xml:space="preserve">Delivery model</w:t>
      </w:r>
      <w:r>
        <w:t xml:space="preserve"> </w:t>
      </w:r>
      <w:r>
        <w:t xml:space="preserve">Name of the fund</w:t>
      </w:r>
      <w:r>
        <w:br/>
      </w:r>
      <w:r>
        <w:t xml:space="preserve">Delivery system</w:t>
      </w:r>
      <w:r>
        <w:br/>
      </w:r>
      <w:r>
        <w:t xml:space="preserve">Cost-based</w:t>
      </w:r>
      <w:r>
        <w:br/>
      </w:r>
      <w:r>
        <w:t xml:space="preserve">Performance-based</w:t>
      </w:r>
      <w:r>
        <w:br/>
      </w:r>
      <w:r>
        <w:t xml:space="preserve">Cohesion policy (ERDF, CF, ESF+, JTF, Interreg)</w:t>
      </w:r>
      <w:r>
        <w:t xml:space="preserve"> </w:t>
      </w:r>
      <w:r>
        <w:t xml:space="preserve">X</w:t>
      </w:r>
      <w:r>
        <w:br/>
      </w:r>
      <w:r>
        <w:t xml:space="preserve">X*</w:t>
      </w:r>
      <w:r>
        <w:t xml:space="preserve"> </w:t>
      </w:r>
      <w:r>
        <w:t xml:space="preserve">European Maritime, Fisheries and Aquaculture Fund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Social Climate Fund</w:t>
      </w:r>
    </w:p>
    <w:p>
      <w:pPr>
        <w:pStyle w:val="BodyText"/>
      </w:pPr>
      <w:r>
        <w:t xml:space="preserve">X</w:t>
      </w:r>
      <w:r>
        <w:br/>
      </w:r>
      <w:r>
        <w:t xml:space="preserve">Modernisation Fund</w:t>
      </w:r>
      <w:r>
        <w:br/>
      </w:r>
      <w:r>
        <w:t xml:space="preserve">Sui generis</w:t>
      </w:r>
      <w:r>
        <w:br/>
      </w:r>
      <w:r>
        <w:t xml:space="preserve">CAP (European Agricultural Fund for Rural</w:t>
      </w:r>
      <w:r>
        <w:t xml:space="preserve"> </w:t>
      </w:r>
      <w:r>
        <w:t xml:space="preserve">Development &amp; European Agricultural Guarantee</w:t>
      </w:r>
      <w:r>
        <w:t xml:space="preserve"> </w:t>
      </w:r>
      <w:r>
        <w:t xml:space="preserve">Fund)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br/>
      </w:r>
      <w:r>
        <w:t xml:space="preserve">Home affairs funds (AMIF, BMVI, ISF)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X</w:t>
      </w:r>
      <w:r>
        <w:t xml:space="preserve"> </w:t>
      </w:r>
      <w:r>
        <w:t xml:space="preserve">CEF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28"/>
        </w:numPr>
      </w:pPr>
      <w:r>
        <w:t xml:space="preserve">A number of Member States receive funding based on performance achieved and</w:t>
      </w:r>
      <w:r>
        <w:t xml:space="preserve"> </w:t>
      </w:r>
      <w:r>
        <w:t xml:space="preserve">conditions fulfilled on the ground (FNLC), especially under the ESF+.</w:t>
      </w:r>
    </w:p>
    <w:p>
      <w:pPr>
        <w:pStyle w:val="FirstParagraph"/>
      </w:pPr>
      <w:r>
        <w:t xml:space="preserve">Management mode</w:t>
      </w:r>
      <w:r>
        <w:t xml:space="preserve"> </w:t>
      </w:r>
      <w:r>
        <w:t xml:space="preserve">Name of the fund</w:t>
      </w:r>
      <w:r>
        <w:br/>
      </w:r>
      <w:r>
        <w:t xml:space="preserve">Management mode</w:t>
      </w:r>
      <w:r>
        <w:br/>
      </w:r>
      <w:r>
        <w:t xml:space="preserve">Shared53</w:t>
      </w:r>
      <w:r>
        <w:br/>
      </w:r>
      <w:r>
        <w:t xml:space="preserve">Direct</w:t>
      </w:r>
      <w:r>
        <w:br/>
      </w:r>
      <w:r>
        <w:t xml:space="preserve">Cohesion policy (ERDF, CF, ESF+, JTF, Interreg)</w:t>
      </w:r>
      <w:r>
        <w:t xml:space="preserve"> </w:t>
      </w:r>
      <w:r>
        <w:t xml:space="preserve">X</w:t>
      </w:r>
      <w:r>
        <w:br/>
      </w:r>
      <w:r>
        <w:t xml:space="preserve">European Maritime, Fisheries and Aquaculture Fund</w:t>
      </w:r>
      <w:r>
        <w:t xml:space="preserve"> </w:t>
      </w:r>
      <w:r>
        <w:t xml:space="preserve">X</w:t>
      </w:r>
      <w:r>
        <w:br/>
      </w:r>
      <w:r>
        <w:t xml:space="preserve">Social Climate Fund</w:t>
      </w:r>
    </w:p>
    <w:p>
      <w:pPr>
        <w:pStyle w:val="BodyText"/>
      </w:pPr>
      <w:r>
        <w:t xml:space="preserve">X</w:t>
      </w:r>
      <w:r>
        <w:br/>
      </w:r>
      <w:r>
        <w:t xml:space="preserve">Modernisation Fund</w:t>
      </w:r>
      <w:r>
        <w:br/>
      </w:r>
      <w:r>
        <w:t xml:space="preserve">Sui generis</w:t>
      </w:r>
      <w:r>
        <w:t xml:space="preserve"> </w:t>
      </w:r>
      <w:r>
        <w:t xml:space="preserve">CAP (European Agricultural Fund for Rural Development</w:t>
      </w:r>
      <w:r>
        <w:t xml:space="preserve"> </w:t>
      </w:r>
      <w:r>
        <w:t xml:space="preserve">&amp; European Agricultural Guarantee Fund)</w:t>
      </w:r>
      <w:r>
        <w:br/>
      </w:r>
      <w:r>
        <w:t xml:space="preserve">X</w:t>
      </w:r>
    </w:p>
    <w:p>
      <w:pPr>
        <w:pStyle w:val="BodyText"/>
      </w:pPr>
      <w:r>
        <w:t xml:space="preserve">Home affairs funds</w:t>
      </w:r>
      <w:r>
        <w:br/>
      </w:r>
      <w:r>
        <w:t xml:space="preserve">X</w:t>
      </w:r>
      <w:r>
        <w:br/>
      </w:r>
      <w:r>
        <w:t xml:space="preserve">X</w:t>
      </w:r>
      <w:r>
        <w:br/>
      </w:r>
      <w:r>
        <w:t xml:space="preserve">LIFE</w:t>
      </w:r>
      <w:r>
        <w:t xml:space="preserve"> </w:t>
      </w:r>
      <w:r>
        <w:t xml:space="preserve">X</w:t>
      </w:r>
      <w:r>
        <w:t xml:space="preserve"> </w:t>
      </w:r>
      <w:r>
        <w:t xml:space="preserve">CEF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53 Many of the programmes that are mainly implemented under shared management also include strands</w:t>
      </w:r>
      <w:r>
        <w:t xml:space="preserve"> </w:t>
      </w:r>
      <w:r>
        <w:t xml:space="preserve">that are directly managed by the Commission (e.g. EaSI strand in ESF+; directly managed funding under</w:t>
      </w:r>
      <w:r>
        <w:t xml:space="preserve"> </w:t>
      </w:r>
      <w:r>
        <w:t xml:space="preserve">EMFAF). However, since these only represent a minor part of the total budget of the programmes, the table</w:t>
      </w:r>
      <w:r>
        <w:t xml:space="preserve"> </w:t>
      </w:r>
      <w:r>
        <w:t xml:space="preserve">only focuses on the main type of management mode.</w:t>
      </w:r>
    </w:p>
    <w:p>
      <w:pPr>
        <w:pStyle w:val="BodyText"/>
      </w:pPr>
      <w:r>
        <w:t xml:space="preserve">ANNEX 9: SUMMARY OF THE IMPACT OF COHESION POLICY</w:t>
      </w:r>
      <w:r>
        <w:t xml:space="preserve"> </w:t>
      </w:r>
      <w:r>
        <w:t xml:space="preserve">INTERVENTIONS</w:t>
      </w:r>
      <w:r>
        <w:t xml:space="preserve"> </w:t>
      </w:r>
      <w:r>
        <w:t xml:space="preserve">Europe has experienced a significant dynamic of upward convergence over the last 20</w:t>
      </w:r>
      <w:r>
        <w:t xml:space="preserve"> </w:t>
      </w:r>
      <w:r>
        <w:t xml:space="preserve">years as GDP per capita growth has often been higher in the less developed regions of the</w:t>
      </w:r>
      <w:r>
        <w:t xml:space="preserve"> </w:t>
      </w:r>
      <w:r>
        <w:t xml:space="preserve">EU. In 2000, GDP per capita (PPS) in the less developed regions was around 51% of the</w:t>
      </w:r>
      <w:r>
        <w:t xml:space="preserve"> </w:t>
      </w:r>
      <w:r>
        <w:t xml:space="preserve">EU average while by 2022, it had increased to more than 64% of the EU average.</w:t>
      </w:r>
      <w:r>
        <w:br/>
      </w:r>
      <w:r>
        <w:t xml:space="preserve">However, growth and development seem to stagnate in a number of EU regions. A group</w:t>
      </w:r>
      <w:r>
        <w:t xml:space="preserve"> </w:t>
      </w:r>
      <w:r>
        <w:t xml:space="preserve">of transition (middle income) regions even started diverging from the EU average after</w:t>
      </w:r>
      <w:r>
        <w:t xml:space="preserve"> </w:t>
      </w:r>
      <w:r>
        <w:t xml:space="preserve">2008, mostly in Southern Europe (e.g. Italy and Greece) but also in North-Western</w:t>
      </w:r>
      <w:r>
        <w:t xml:space="preserve"> </w:t>
      </w:r>
      <w:r>
        <w:t xml:space="preserve">Europe (France or Germany). In 2022, GDP per capita in the transition regions had</w:t>
      </w:r>
      <w:r>
        <w:t xml:space="preserve"> </w:t>
      </w:r>
      <w:r>
        <w:t xml:space="preserve">declined to around 85% of the EU average, from 91% in 2000.</w:t>
      </w:r>
      <w:r>
        <w:t xml:space="preserve"> </w:t>
      </w:r>
      <w:r>
        <w:t xml:space="preserve">Overall, disparities remain high in the EU. In 2002, GDP per capita in the most</w:t>
      </w:r>
      <w:r>
        <w:t xml:space="preserve"> </w:t>
      </w:r>
      <w:r>
        <w:t xml:space="preserve">developed region is almost 10 times as high as in the least developed regions. It is 3.3</w:t>
      </w:r>
      <w:r>
        <w:t xml:space="preserve"> </w:t>
      </w:r>
      <w:r>
        <w:t xml:space="preserve">times higher in the 10% most developed regions of the EU than in the 10% least</w:t>
      </w:r>
      <w:r>
        <w:t xml:space="preserve"> </w:t>
      </w:r>
      <w:r>
        <w:t xml:space="preserve">developed regions. Fostering economic, social and territorial cohesion is therefore</w:t>
      </w:r>
      <w:r>
        <w:t xml:space="preserve"> </w:t>
      </w:r>
      <w:r>
        <w:t xml:space="preserve">important as ever. It is a key condition to keep the citizens’ support to the European</w:t>
      </w:r>
      <w:r>
        <w:t xml:space="preserve"> </w:t>
      </w:r>
      <w:r>
        <w:t xml:space="preserve">values and avoid the polarization of EU societies and several studies (e.g. Dijkstra et al.,</w:t>
      </w:r>
      <w:r>
        <w:t xml:space="preserve"> </w:t>
      </w:r>
      <w:r>
        <w:t xml:space="preserve">2020) have demonstrated how Eurosceptic voting is linked to so-called “regional</w:t>
      </w:r>
      <w:r>
        <w:t xml:space="preserve"> </w:t>
      </w:r>
      <w:r>
        <w:t xml:space="preserve">development trap” and how places which feel left behind are faced with disengagement</w:t>
      </w:r>
      <w:r>
        <w:t xml:space="preserve"> </w:t>
      </w:r>
      <w:r>
        <w:t xml:space="preserve">and discontent in the long term.</w:t>
      </w:r>
      <w:r>
        <w:br/>
      </w:r>
      <w:r>
        <w:t xml:space="preserve">Place based policies are best suited to tackle disparities and enhance cohesion. Indeed, as</w:t>
      </w:r>
      <w:r>
        <w:t xml:space="preserve"> </w:t>
      </w:r>
      <w:r>
        <w:t xml:space="preserve">emphasized by numerous analyses, interventions aiming at boosting economic</w:t>
      </w:r>
      <w:r>
        <w:t xml:space="preserve"> </w:t>
      </w:r>
      <w:r>
        <w:t xml:space="preserve">performance, competitiveness and development must be tailored to the local context to be</w:t>
      </w:r>
      <w:r>
        <w:t xml:space="preserve"> </w:t>
      </w:r>
      <w:r>
        <w:t xml:space="preserve">successful. The EU cohesion policy has often been put forward as exemplifying such</w:t>
      </w:r>
      <w:r>
        <w:t xml:space="preserve"> </w:t>
      </w:r>
      <w:r>
        <w:t xml:space="preserve">kind of policies, notably for addressing fundamental market failures that prevent</w:t>
      </w:r>
      <w:r>
        <w:t xml:space="preserve"> </w:t>
      </w:r>
      <w:r>
        <w:t xml:space="preserve">adjustment mechanisms from working effectively, so that disparities may be persistent</w:t>
      </w:r>
      <w:r>
        <w:t xml:space="preserve"> </w:t>
      </w:r>
      <w:r>
        <w:t xml:space="preserve">(Venables, 2023). Sub-national levels of government (regions or localities) have been</w:t>
      </w:r>
      <w:r>
        <w:t xml:space="preserve"> </w:t>
      </w:r>
      <w:r>
        <w:t xml:space="preserve">shown to play a critical role for economic development (Barca, 2009; Barca et al., 2012;</w:t>
      </w:r>
      <w:r>
        <w:t xml:space="preserve"> </w:t>
      </w:r>
      <w:r>
        <w:t xml:space="preserve">Beer et al., 2020; McCann, 2015). In particular, subnational tiers of government are key</w:t>
      </w:r>
      <w:r>
        <w:t xml:space="preserve"> </w:t>
      </w:r>
      <w:r>
        <w:t xml:space="preserve">stakeholders in the design and the implementation of contextually tailored economic</w:t>
      </w:r>
      <w:r>
        <w:t xml:space="preserve"> </w:t>
      </w:r>
      <w:r>
        <w:t xml:space="preserve">development strategies that reflect local socioeconomic, institutional characteristics,</w:t>
      </w:r>
      <w:r>
        <w:t xml:space="preserve"> </w:t>
      </w:r>
      <w:r>
        <w:t xml:space="preserve">conditions, and realities (Rodrigues-Posé and Wilkie, 2017). At the same time, this has</w:t>
      </w:r>
      <w:r>
        <w:t xml:space="preserve"> </w:t>
      </w:r>
      <w:r>
        <w:t xml:space="preserve">not prevented cohesion policy to mainstream some key EU priorities in the Member</w:t>
      </w:r>
      <w:r>
        <w:t xml:space="preserve"> </w:t>
      </w:r>
      <w:r>
        <w:t xml:space="preserve">States and their regions by earmarking investments to fields of interventions aligned with</w:t>
      </w:r>
      <w:r>
        <w:t xml:space="preserve"> </w:t>
      </w:r>
      <w:r>
        <w:t xml:space="preserve">those priorities.</w:t>
      </w:r>
      <w:r>
        <w:br/>
      </w:r>
      <w:r>
        <w:t xml:space="preserve">The recent ex-post evaluation of the 2014-2020 programmes has gathered a wealth of</w:t>
      </w:r>
      <w:r>
        <w:t xml:space="preserve"> </w:t>
      </w:r>
      <w:r>
        <w:t xml:space="preserve">evidence demonstrating the capacity of cohesion policy to boost economic performance,</w:t>
      </w:r>
      <w:r>
        <w:t xml:space="preserve"> </w:t>
      </w:r>
      <w:r>
        <w:t xml:space="preserve">improve social cohesion and reduce development gaps.</w:t>
      </w:r>
      <w:r>
        <w:br/>
      </w:r>
      <w:r>
        <w:t xml:space="preserve">Some achievements of the 2014-2020 programmes:</w:t>
      </w:r>
      <w:r>
        <w:br/>
      </w:r>
      <w:r>
        <w:t xml:space="preserve">-</w:t>
      </w:r>
      <w:r>
        <w:t xml:space="preserve"> </w:t>
      </w:r>
      <w:r>
        <w:t xml:space="preserve">Over 2.36 million enterprises had received support by the end of 2022;</w:t>
      </w:r>
      <w:r>
        <w:br/>
      </w:r>
      <w:r>
        <w:t xml:space="preserve">-</w:t>
      </w:r>
      <w:r>
        <w:t xml:space="preserve"> </w:t>
      </w:r>
      <w:r>
        <w:t xml:space="preserve">228 000 new enterprises were created and 84 000 enterprises developed new-to-</w:t>
      </w:r>
      <w:r>
        <w:t xml:space="preserve"> </w:t>
      </w:r>
      <w:r>
        <w:t xml:space="preserve">market or new-to-firm-products/services;</w:t>
      </w:r>
    </w:p>
    <w:p>
      <w:pPr>
        <w:pStyle w:val="Compact"/>
        <w:numPr>
          <w:ilvl w:val="0"/>
          <w:numId w:val="1029"/>
        </w:numPr>
      </w:pPr>
      <w:r>
        <w:t xml:space="preserve">7.88 million additional households had access to broadband;</w:t>
      </w:r>
    </w:p>
    <w:p>
      <w:pPr>
        <w:pStyle w:val="Compact"/>
        <w:numPr>
          <w:ilvl w:val="0"/>
          <w:numId w:val="1029"/>
        </w:numPr>
      </w:pPr>
      <w:r>
        <w:t xml:space="preserve">17.3 million people benefiting from the flood protection measures supported;</w:t>
      </w:r>
    </w:p>
    <w:p>
      <w:pPr>
        <w:pStyle w:val="Compact"/>
        <w:numPr>
          <w:ilvl w:val="0"/>
          <w:numId w:val="1029"/>
        </w:numPr>
      </w:pPr>
      <w:r>
        <w:t xml:space="preserve">Nearly 6 000 megawatts of renewable energy capacity created;</w:t>
      </w:r>
    </w:p>
    <w:p>
      <w:pPr>
        <w:pStyle w:val="Compact"/>
        <w:numPr>
          <w:ilvl w:val="0"/>
          <w:numId w:val="1029"/>
        </w:numPr>
      </w:pPr>
      <w:r>
        <w:t xml:space="preserve">3 560 km of new roads being constructed by the end of 2020, mostly on the</w:t>
      </w:r>
      <w:r>
        <w:t xml:space="preserve"> </w:t>
      </w:r>
      <w:r>
        <w:t xml:space="preserve">TEN-T network, with another 8 400 km of road being renovated and 2 100 km of</w:t>
      </w:r>
      <w:r>
        <w:t xml:space="preserve"> </w:t>
      </w:r>
      <w:r>
        <w:t xml:space="preserve">rail being reconstructed again mostly on the TEN-T network;</w:t>
      </w:r>
    </w:p>
    <w:p>
      <w:pPr>
        <w:pStyle w:val="Compact"/>
        <w:numPr>
          <w:ilvl w:val="0"/>
          <w:numId w:val="1029"/>
        </w:numPr>
      </w:pPr>
      <w:r>
        <w:t xml:space="preserve">7.4 million participants in EU-funded schemes targeting employment and labour</w:t>
      </w:r>
      <w:r>
        <w:t xml:space="preserve"> </w:t>
      </w:r>
      <w:r>
        <w:t xml:space="preserve">market integration, education, and social inclusion had found a job and 10.2</w:t>
      </w:r>
      <w:r>
        <w:t xml:space="preserve"> </w:t>
      </w:r>
      <w:r>
        <w:t xml:space="preserve">million had obtained a qualification;</w:t>
      </w:r>
    </w:p>
    <w:p>
      <w:pPr>
        <w:pStyle w:val="Compact"/>
        <w:numPr>
          <w:ilvl w:val="0"/>
          <w:numId w:val="1029"/>
        </w:numPr>
      </w:pPr>
      <w:r>
        <w:t xml:space="preserve">24.6 million children and young people had benefited from the childcare</w:t>
      </w:r>
      <w:r>
        <w:t xml:space="preserve"> </w:t>
      </w:r>
      <w:r>
        <w:t xml:space="preserve">facilities and education infrastructure that had been built.</w:t>
      </w:r>
      <w:r>
        <w:br/>
      </w:r>
      <w:r>
        <w:t xml:space="preserve">At the macroeconomic level, results of model simulations suggest that cohesion policy</w:t>
      </w:r>
      <w:r>
        <w:t xml:space="preserve"> </w:t>
      </w:r>
      <w:r>
        <w:t xml:space="preserve">interventions have positive effects on the EU economy and has good value for money.</w:t>
      </w:r>
      <w:r>
        <w:t xml:space="preserve"> </w:t>
      </w:r>
      <w:r>
        <w:t xml:space="preserve">The potential impact of 2014-2020 programmes could be to raise EU GDP by up to 0.6%</w:t>
      </w:r>
      <w:r>
        <w:t xml:space="preserve"> </w:t>
      </w:r>
      <w:r>
        <w:t xml:space="preserve">by the end of their implementation. The policy enhances the structure of the EU</w:t>
      </w:r>
      <w:r>
        <w:t xml:space="preserve"> </w:t>
      </w:r>
      <w:r>
        <w:t xml:space="preserve">economies and its impact are still felt in the long run. Analysis suggests that 25 years</w:t>
      </w:r>
      <w:r>
        <w:t xml:space="preserve"> </w:t>
      </w:r>
      <w:r>
        <w:t xml:space="preserve">after the end of the programming period, each euro affected to the policy could generate</w:t>
      </w:r>
      <w:r>
        <w:t xml:space="preserve"> </w:t>
      </w:r>
      <w:r>
        <w:t xml:space="preserve">around 3 euro of additional GDP in the EU, the equivalent of a yearly rate of return of</w:t>
      </w:r>
      <w:r>
        <w:t xml:space="preserve"> </w:t>
      </w:r>
      <w:r>
        <w:t xml:space="preserve">about 4%.</w:t>
      </w:r>
      <w:r>
        <w:br/>
      </w:r>
      <w:r>
        <w:t xml:space="preserve">The impact of the policy is particularly high in the less developed regions of the EU,</w:t>
      </w:r>
      <w:r>
        <w:t xml:space="preserve"> </w:t>
      </w:r>
      <w:r>
        <w:t xml:space="preserve">which are its main beneficiaries (Eastern Member States and regions as well as Portugal</w:t>
      </w:r>
      <w:r>
        <w:t xml:space="preserve"> </w:t>
      </w:r>
      <w:r>
        <w:t xml:space="preserve">and Greece). By the end of the implementation period, GDP in the less developed regions</w:t>
      </w:r>
      <w:r>
        <w:t xml:space="preserve"> </w:t>
      </w:r>
      <w:r>
        <w:t xml:space="preserve">will be 3.4% higher in 2023 thanks to cohesion policy investments. Cohesion policy</w:t>
      </w:r>
      <w:r>
        <w:t xml:space="preserve"> </w:t>
      </w:r>
      <w:r>
        <w:t xml:space="preserve">therefore contributes to reduce disparities in the levels of development between EU</w:t>
      </w:r>
      <w:r>
        <w:t xml:space="preserve"> </w:t>
      </w:r>
      <w:r>
        <w:t xml:space="preserve">regions, both across the Union and within Member States. For instance, at the end of the</w:t>
      </w:r>
      <w:r>
        <w:t xml:space="preserve"> </w:t>
      </w:r>
      <w:r>
        <w:t xml:space="preserve">implementation period, the 2014-2020 programmes are estimated to have reduced the</w:t>
      </w:r>
      <w:r>
        <w:t xml:space="preserve"> </w:t>
      </w:r>
      <w:r>
        <w:t xml:space="preserve">gap between the 10% top and bottom regions in terms of GDP per head by more than</w:t>
      </w:r>
      <w:r>
        <w:t xml:space="preserve"> </w:t>
      </w:r>
      <w:r>
        <w:t xml:space="preserve">3.5%.</w:t>
      </w:r>
      <w:r>
        <w:br/>
      </w:r>
      <w:r>
        <w:t xml:space="preserve">To enhance cohesion and keep reducing disparities, investing in the less</w:t>
      </w:r>
      <w:r>
        <w:t xml:space="preserve"> </w:t>
      </w:r>
      <w:r>
        <w:t xml:space="preserve">developed regions of the EU must remain a priority. It is sometimes argued that</w:t>
      </w:r>
      <w:r>
        <w:t xml:space="preserve"> </w:t>
      </w:r>
      <w:r>
        <w:t xml:space="preserve">growth created by investing in more developed regions would trickle down to less</w:t>
      </w:r>
      <w:r>
        <w:t xml:space="preserve"> </w:t>
      </w:r>
      <w:r>
        <w:t xml:space="preserve">developed regions and hence indirectly foster convergence, but recent analysis</w:t>
      </w:r>
      <w:r>
        <w:t xml:space="preserve"> </w:t>
      </w:r>
      <w:r>
        <w:t xml:space="preserve">(Barbero et al., 2024) has shown that, if indeed less developed regions may</w:t>
      </w:r>
      <w:r>
        <w:t xml:space="preserve"> </w:t>
      </w:r>
      <w:r>
        <w:t xml:space="preserve">benefit from spillovers originating from more developed regions, these are not</w:t>
      </w:r>
      <w:r>
        <w:t xml:space="preserve"> </w:t>
      </w:r>
      <w:r>
        <w:t xml:space="preserve">strong enough to actually reduce the extent of regional disparities.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Barca, F. (2009), “An Agenda for A Reformed Cohesion Policy: A Place-Based</w:t>
      </w:r>
      <w:r>
        <w:t xml:space="preserve"> </w:t>
      </w:r>
      <w:r>
        <w:t xml:space="preserve">Approach to Meeting European Union Challenges and Expectations”, Independent</w:t>
      </w:r>
      <w:r>
        <w:t xml:space="preserve"> </w:t>
      </w:r>
      <w:r>
        <w:t xml:space="preserve">Report prepared at the Request of the European Commissioner for Regional Policy,</w:t>
      </w:r>
      <w:r>
        <w:t xml:space="preserve"> </w:t>
      </w:r>
      <w:r>
        <w:t xml:space="preserve">Danuta Hübner, European Commission, Brussels.</w:t>
      </w:r>
      <w:r>
        <w:t xml:space="preserve"> </w:t>
      </w:r>
      <w:r>
        <w:t xml:space="preserve">Barca, F., McCann, P. and Rodríguez-Pose, A. (2012), The Case for Regional</w:t>
      </w:r>
      <w:r>
        <w:t xml:space="preserve"> </w:t>
      </w:r>
      <w:r>
        <w:t xml:space="preserve">Development Intervention: Place-Based versus Place Neutral Approaches, Journal of</w:t>
      </w:r>
      <w:r>
        <w:t xml:space="preserve"> </w:t>
      </w:r>
      <w:r>
        <w:t xml:space="preserve">Regional Science, 52: 134-152.</w:t>
      </w:r>
    </w:p>
    <w:p>
      <w:pPr>
        <w:pStyle w:val="BodyText"/>
      </w:pPr>
      <w:r>
        <w:t xml:space="preserve">Barbero, J., Christou, T., Crucitti, F., Rodríguez, A. G., Lazarou, N. J., Monfort, P. and</w:t>
      </w:r>
      <w:r>
        <w:t xml:space="preserve"> </w:t>
      </w:r>
      <w:r>
        <w:t xml:space="preserve">Salotti, S. (2024), A spatial macroeconomic analysis of the equity-efficiency trade-off of</w:t>
      </w:r>
      <w:r>
        <w:t xml:space="preserve"> </w:t>
      </w:r>
      <w:r>
        <w:t xml:space="preserve">the European cohesion policy, Spatial Economic Analysis, 1–17.</w:t>
      </w:r>
      <w:r>
        <w:t xml:space="preserve"> </w:t>
      </w:r>
      <w:r>
        <w:t xml:space="preserve">Beer, A., McKenzie, F., Blazek, J., Sotarauta, M. and Ayrez, S. (2020), Every place</w:t>
      </w:r>
      <w:r>
        <w:t xml:space="preserve"> </w:t>
      </w:r>
      <w:r>
        <w:t xml:space="preserve">matters: Toward effective place-based policy, Regional Studies Policy Impact Books,</w:t>
      </w:r>
      <w:r>
        <w:t xml:space="preserve"> </w:t>
      </w:r>
      <w:r>
        <w:t xml:space="preserve">Routledge.</w:t>
      </w:r>
      <w:r>
        <w:t xml:space="preserve"> </w:t>
      </w:r>
      <w:r>
        <w:t xml:space="preserve">Casas, P., Christou, T., García Rodríguez, A., Heidelk, T., Lazarou, N., Monfort, Ph.,</w:t>
      </w:r>
      <w:r>
        <w:t xml:space="preserve"> </w:t>
      </w:r>
      <w:r>
        <w:t xml:space="preserve">Salotti, S. (2024), The updated RHOMOLO impact assessment of the 2014-2020</w:t>
      </w:r>
      <w:r>
        <w:t xml:space="preserve"> </w:t>
      </w:r>
      <w:r>
        <w:t xml:space="preserve">European cohesion policy (including REACT-EU), Munich Personal RePEc, Archive</w:t>
      </w:r>
      <w:r>
        <w:t xml:space="preserve"> </w:t>
      </w:r>
      <w:r>
        <w:t xml:space="preserve">paper 122873.</w:t>
      </w:r>
      <w:r>
        <w:t xml:space="preserve"> </w:t>
      </w:r>
      <w:r>
        <w:t xml:space="preserve">Dijkstra, L., Poelman, H. and Rodríguez-Pose A. (2020), The geography of EU</w:t>
      </w:r>
      <w:r>
        <w:t xml:space="preserve"> </w:t>
      </w:r>
      <w:r>
        <w:t xml:space="preserve">discontent, Regional Studies, 54:6, 737-753.</w:t>
      </w:r>
      <w:r>
        <w:t xml:space="preserve"> </w:t>
      </w:r>
      <w:r>
        <w:t xml:space="preserve">McCann, P. (2015), The Regional and Urban Policy of the European Union: Cohesion,</w:t>
      </w:r>
      <w:r>
        <w:t xml:space="preserve"> </w:t>
      </w:r>
      <w:r>
        <w:t xml:space="preserve">Results-Orientation and Smart Specialisation, 2015, Edward Elgar, Cheltenham.</w:t>
      </w:r>
      <w:r>
        <w:t xml:space="preserve"> </w:t>
      </w:r>
      <w:r>
        <w:t xml:space="preserve">Rodríguez-pose, A. and Wilkie, C. (2017), Revamping Local and Regional Development</w:t>
      </w:r>
      <w:r>
        <w:t xml:space="preserve"> </w:t>
      </w:r>
      <w:r>
        <w:t xml:space="preserve">Through Place-Based Strategies, Cityscape: A Journal of Policy Development and</w:t>
      </w:r>
      <w:r>
        <w:t xml:space="preserve"> </w:t>
      </w:r>
      <w:r>
        <w:t xml:space="preserve">Research, 19(1), 151–170.</w:t>
      </w:r>
      <w:r>
        <w:t xml:space="preserve"> </w:t>
      </w:r>
      <w:r>
        <w:t xml:space="preserve">Venables, T. (2023), The case for place-based policies, Paper prepared for the Group of</w:t>
      </w:r>
      <w:r>
        <w:t xml:space="preserve"> </w:t>
      </w:r>
      <w:r>
        <w:t xml:space="preserve">high-level specialists on the future of Cohesion Policy.</w:t>
      </w:r>
    </w:p>
    <w:p>
      <w:pPr>
        <w:pStyle w:val="BodyText"/>
      </w:pPr>
      <w:r>
        <w:t xml:space="preserve">ANNEX 10: IMPACTS ON ADMINISTRATIVE COSTS OF THE</w:t>
      </w:r>
      <w:r>
        <w:t xml:space="preserve"> </w:t>
      </w:r>
      <w:r>
        <w:t xml:space="preserve">OPTIONS ON THE SCOPE OF THE PLANS</w:t>
      </w:r>
      <w:r>
        <w:t xml:space="preserve"> </w:t>
      </w:r>
      <w:r>
        <w:t xml:space="preserve">Context</w:t>
      </w:r>
      <w:r>
        <w:t xml:space="preserve"> </w:t>
      </w:r>
      <w:r>
        <w:t xml:space="preserve">The study on the assessment of the administrative costs and administrative burden in the</w:t>
      </w:r>
      <w:r>
        <w:t xml:space="preserve"> </w:t>
      </w:r>
      <w:r>
        <w:t xml:space="preserve">management of the CPR funds 2021-2027 (DG REGIO) shows that the administrative</w:t>
      </w:r>
      <w:r>
        <w:t xml:space="preserve"> </w:t>
      </w:r>
      <w:r>
        <w:t xml:space="preserve">costs varies significantly across the CPR funds and Member States, with differences</w:t>
      </w:r>
      <w:r>
        <w:t xml:space="preserve"> </w:t>
      </w:r>
      <w:r>
        <w:t xml:space="preserve">in time, staffing and outsourcing costs.</w:t>
      </w:r>
    </w:p>
    <w:p>
      <w:pPr>
        <w:pStyle w:val="BodyText"/>
      </w:pPr>
      <w:r>
        <w:t xml:space="preserve">There seems to be a negative correlation between the size of the programme and the</w:t>
      </w:r>
      <w:r>
        <w:t xml:space="preserve"> </w:t>
      </w:r>
      <w:r>
        <w:t xml:space="preserve">level of administrative costs within a programme. In fact, Interreg programme</w:t>
      </w:r>
      <w:r>
        <w:t xml:space="preserve"> </w:t>
      </w:r>
      <w:r>
        <w:t xml:space="preserve">authorities reported the highest administrative costs, reflected in significant time</w:t>
      </w:r>
      <w:r>
        <w:t xml:space="preserve"> </w:t>
      </w:r>
      <w:r>
        <w:t xml:space="preserve">requirements and high outsourcing costs. BMVI beneficiaries also reported high</w:t>
      </w:r>
      <w:r>
        <w:t xml:space="preserve"> </w:t>
      </w:r>
      <w:r>
        <w:t xml:space="preserve">outsourcing costs but lower time requirements, suggesting that external support is used</w:t>
      </w:r>
      <w:r>
        <w:t xml:space="preserve"> </w:t>
      </w:r>
      <w:r>
        <w:t xml:space="preserve">for specific administrative tasks. In contrast, multi-fund programmes, as well as ERDF</w:t>
      </w:r>
      <w:r>
        <w:t xml:space="preserve"> </w:t>
      </w:r>
      <w:r>
        <w:t xml:space="preserve">and ESFF+ have lower time and outsourcing costs, suggesting more streamlined</w:t>
      </w:r>
      <w:r>
        <w:t xml:space="preserve"> </w:t>
      </w:r>
      <w:r>
        <w:t xml:space="preserve">application processes.</w:t>
      </w:r>
      <w:r>
        <w:br/>
      </w:r>
      <w:r>
        <w:t xml:space="preserve">• Interreg exhibits the highest median cost of 68 894 EUR per million EUR spent;</w:t>
      </w:r>
      <w:r>
        <w:t xml:space="preserve"> </w:t>
      </w:r>
      <w:r>
        <w:t xml:space="preserve">• Programmes under the ERDF, have a median cost of 21 214 EUR per million</w:t>
      </w:r>
      <w:r>
        <w:t xml:space="preserve"> </w:t>
      </w:r>
      <w:r>
        <w:t xml:space="preserve">EUR spent. The results suggests that the distribution of administrative costs is</w:t>
      </w:r>
      <w:r>
        <w:t xml:space="preserve"> </w:t>
      </w:r>
      <w:r>
        <w:t xml:space="preserve">relatively compact, with most programmes experiencing low costs and minimal</w:t>
      </w:r>
      <w:r>
        <w:t xml:space="preserve"> </w:t>
      </w:r>
      <w:r>
        <w:t xml:space="preserve">variation;</w:t>
      </w:r>
      <w:r>
        <w:t xml:space="preserve"> </w:t>
      </w:r>
      <w:r>
        <w:t xml:space="preserve">• Cohesion Policy funds have a median cost of 34 571 EUR per million EUR</w:t>
      </w:r>
      <w:r>
        <w:t xml:space="preserve"> </w:t>
      </w:r>
      <w:r>
        <w:t xml:space="preserve">spent;</w:t>
      </w:r>
      <w:r>
        <w:t xml:space="preserve"> </w:t>
      </w:r>
      <w:r>
        <w:t xml:space="preserve">• The JTF has a median cost of 30 939 EUR per million EUR spent, but the plot</w:t>
      </w:r>
      <w:r>
        <w:t xml:space="preserve"> </w:t>
      </w:r>
      <w:r>
        <w:t xml:space="preserve">reveals even tighter variability compared to ERDF;</w:t>
      </w:r>
      <w:r>
        <w:t xml:space="preserve"> </w:t>
      </w:r>
      <w:r>
        <w:t xml:space="preserve">• The median costs of EMFAF programmes are 62 228 EUR per million EUR</w:t>
      </w:r>
      <w:r>
        <w:t xml:space="preserve"> </w:t>
      </w:r>
      <w:r>
        <w:t xml:space="preserve">spent;</w:t>
      </w:r>
      <w:r>
        <w:t xml:space="preserve"> </w:t>
      </w:r>
      <w:r>
        <w:t xml:space="preserve">• The HOME-funds also has relatively high administrative costs, with a median of</w:t>
      </w:r>
      <w:r>
        <w:t xml:space="preserve"> </w:t>
      </w:r>
      <w:r>
        <w:t xml:space="preserve">53 802 EUR.</w:t>
      </w:r>
      <w:r>
        <w:br/>
      </w:r>
      <w:r>
        <w:t xml:space="preserve">• The ESF+ has the lowest median cost per EUR million spent (EUR 18 625 per</w:t>
      </w:r>
      <w:r>
        <w:t xml:space="preserve"> </w:t>
      </w:r>
      <w:r>
        <w:t xml:space="preserve">EUR million spent).</w:t>
      </w:r>
    </w:p>
    <w:p>
      <w:pPr>
        <w:pStyle w:val="BodyText"/>
      </w:pPr>
      <w:r>
        <w:t xml:space="preserve">Source: Assessment of the administrative costs in the management of the Common</w:t>
      </w:r>
      <w:r>
        <w:t xml:space="preserve"> </w:t>
      </w:r>
      <w:r>
        <w:t xml:space="preserve">Provisions Regulation Funds 2021-27 (Second interim report), March 2025.</w:t>
      </w:r>
    </w:p>
    <w:p>
      <w:pPr>
        <w:pStyle w:val="BodyText"/>
      </w:pPr>
      <w:r>
        <w:t xml:space="preserve">Likewise, FTEs have considerably lower variability in the ERDF, JTF, ESF+ and</w:t>
      </w:r>
      <w:r>
        <w:t xml:space="preserve"> </w:t>
      </w:r>
      <w:r>
        <w:t xml:space="preserve">Multi-fund programmes compared to HOME-fund, EMFAF and Interreg</w:t>
      </w:r>
      <w:r>
        <w:t xml:space="preserve"> </w:t>
      </w:r>
      <w:r>
        <w:t xml:space="preserve">programmes. Especially HOME- and Interreg programmes show very long upper</w:t>
      </w:r>
      <w:r>
        <w:t xml:space="preserve"> </w:t>
      </w:r>
      <w:r>
        <w:t xml:space="preserve">whiskers, suggesting the existence of strong outlier programmes with considerably more</w:t>
      </w:r>
      <w:r>
        <w:t xml:space="preserve"> </w:t>
      </w:r>
      <w:r>
        <w:t xml:space="preserve">FTEs per million EUR spent. Similarly, median values for the CPR funds range between</w:t>
      </w:r>
      <w:r>
        <w:t xml:space="preserve"> </w:t>
      </w:r>
      <w:r>
        <w:t xml:space="preserve">0,3 – 0,4 FTEs per million EUR spent, while programmes of other funds have higher</w:t>
      </w:r>
      <w:r>
        <w:t xml:space="preserve"> </w:t>
      </w:r>
      <w:r>
        <w:t xml:space="preserve">median values ranging from 0,84 (EMFAF) – 1,15 (Interreg)</w:t>
      </w:r>
    </w:p>
    <w:p>
      <w:pPr>
        <w:pStyle w:val="BodyText"/>
      </w:pPr>
      <w:r>
        <w:t xml:space="preserve">The external study supporting the mid-term evaluation of the RRF states that the</w:t>
      </w:r>
      <w:r>
        <w:t xml:space="preserve"> </w:t>
      </w:r>
      <w:r>
        <w:t xml:space="preserve">administrative costs sustained by the European Commission for the RRF were budgeted</w:t>
      </w:r>
      <w:r>
        <w:t xml:space="preserve"> </w:t>
      </w:r>
      <w:r>
        <w:t xml:space="preserve">at EUR 88.2 million. These encompassed costs related to the setup, RRP preparation and</w:t>
      </w:r>
      <w:r>
        <w:t xml:space="preserve"> </w:t>
      </w:r>
      <w:r>
        <w:t xml:space="preserve">amendments, audit and control, payment claim, communication and performance</w:t>
      </w:r>
      <w:r>
        <w:t xml:space="preserve"> </w:t>
      </w:r>
      <w:r>
        <w:t xml:space="preserve">management. At Member State level, administrative costs comprise staff costs and costs</w:t>
      </w:r>
      <w:r>
        <w:t xml:space="preserve"> </w:t>
      </w:r>
      <w:r>
        <w:t xml:space="preserve">related to setting up the governance structure, drafting and amending RRPs, stakeholder</w:t>
      </w:r>
      <w:r>
        <w:t xml:space="preserve"> </w:t>
      </w:r>
      <w:r>
        <w:t xml:space="preserve">consultations, and informal and formal processes related to the plan submission. Since</w:t>
      </w:r>
      <w:r>
        <w:t xml:space="preserve"> </w:t>
      </w:r>
      <w:r>
        <w:t xml:space="preserve">the assessment of milestones and targets is the Commission’s responsibility, the related</w:t>
      </w:r>
      <w:r>
        <w:t xml:space="preserve"> </w:t>
      </w:r>
      <w:r>
        <w:t xml:space="preserve">costs are not borne by the Member States. When comparing administrative costs to the</w:t>
      </w:r>
      <w:r>
        <w:t xml:space="preserve"> </w:t>
      </w:r>
      <w:r>
        <w:t xml:space="preserve">total planned funding (for both grants and loans), variations per Member State are not</w:t>
      </w:r>
      <w:r>
        <w:t xml:space="preserve"> </w:t>
      </w:r>
      <w:r>
        <w:t xml:space="preserve">very pronounced. For all countries, the administrative costs per EUR million are less</w:t>
      </w:r>
      <w:r>
        <w:t xml:space="preserve"> </w:t>
      </w:r>
      <w:r>
        <w:t xml:space="preserve">than EUR 2,500, which is considerably lower than the figures reported in the CPR 2021-</w:t>
      </w:r>
      <w:r>
        <w:t xml:space="preserve"> </w:t>
      </w:r>
      <w:r>
        <w:t xml:space="preserve">2027 study. It should be taken into account that in implementing their plans Member</w:t>
      </w:r>
      <w:r>
        <w:t xml:space="preserve"> </w:t>
      </w:r>
      <w:r>
        <w:t xml:space="preserve">States largely relied on existing governance arrangements and structures in place for</w:t>
      </w:r>
      <w:r>
        <w:t xml:space="preserve"> </w:t>
      </w:r>
      <w:r>
        <w:t xml:space="preserve">shared management which were not considered additional costs in the RRF study.</w:t>
      </w:r>
    </w:p>
    <w:p>
      <w:pPr>
        <w:pStyle w:val="BodyText"/>
      </w:pPr>
      <w:r>
        <w:t xml:space="preserve">While the figures of this supporting study and the ongoing study on the second interim</w:t>
      </w:r>
      <w:r>
        <w:t xml:space="preserve"> </w:t>
      </w:r>
      <w:r>
        <w:t xml:space="preserve">report on the administrative costs in the management of the CPR funds 2021-2027 are</w:t>
      </w:r>
      <w:r>
        <w:t xml:space="preserve"> </w:t>
      </w:r>
      <w:r>
        <w:t xml:space="preserve">not directly comparable given their different methodologies and management modes,</w:t>
      </w:r>
      <w:r>
        <w:t xml:space="preserve"> </w:t>
      </w:r>
      <w:r>
        <w:t xml:space="preserve">they provide a starting point to make assumptions for the quantification of the impacts on</w:t>
      </w:r>
      <w:r>
        <w:t xml:space="preserve"> </w:t>
      </w:r>
      <w:r>
        <w:t xml:space="preserve">administrative burden. Indeed, it is possible to assume that moving to one plan, with a</w:t>
      </w:r>
      <w:r>
        <w:t xml:space="preserve"> </w:t>
      </w:r>
      <w:r>
        <w:t xml:space="preserve">wide eligibility scope and the same rules would lead to a substantial reduction in</w:t>
      </w:r>
      <w:r>
        <w:t xml:space="preserve"> </w:t>
      </w:r>
      <w:r>
        <w:t xml:space="preserve">administrative costs over time.</w:t>
      </w:r>
    </w:p>
    <w:p>
      <w:pPr>
        <w:pStyle w:val="BodyText"/>
      </w:pPr>
      <w:r>
        <w:t xml:space="preserve">Two studies are ongoing regarding the CAP – one on the administrative burden for</w:t>
      </w:r>
      <w:r>
        <w:t xml:space="preserve"> </w:t>
      </w:r>
      <w:r>
        <w:t xml:space="preserve">farmers and one on the new delivery model of the CAP. However, neither study was</w:t>
      </w:r>
      <w:r>
        <w:t xml:space="preserve"> </w:t>
      </w:r>
      <w:r>
        <w:t xml:space="preserve">mature enough to be taken into account in the impact assessment.</w:t>
      </w:r>
    </w:p>
    <w:p>
      <w:pPr>
        <w:pStyle w:val="BodyText"/>
      </w:pPr>
      <w:r>
        <w:t xml:space="preserve">Approach: baseline scenario and assumptions</w:t>
      </w:r>
    </w:p>
    <w:p>
      <w:pPr>
        <w:pStyle w:val="BodyText"/>
      </w:pPr>
      <w:r>
        <w:t xml:space="preserve">In the absence of a dedicated analysis of costs, this quantitative analysis is based on the</w:t>
      </w:r>
      <w:r>
        <w:t xml:space="preserve"> </w:t>
      </w:r>
      <w:r>
        <w:t xml:space="preserve">data of the second interim report on the assessment of the administrative costs and</w:t>
      </w:r>
      <w:r>
        <w:t xml:space="preserve"> </w:t>
      </w:r>
      <w:r>
        <w:t xml:space="preserve">administrative burden in the management of the CPR funds 2021-2027. It should be</w:t>
      </w:r>
      <w:r>
        <w:t xml:space="preserve"> </w:t>
      </w:r>
      <w:r>
        <w:t xml:space="preserve">noted that the data used is therefore not final, as the study has not been published yet.</w:t>
      </w:r>
    </w:p>
    <w:p>
      <w:pPr>
        <w:pStyle w:val="BodyText"/>
      </w:pPr>
      <w:r>
        <w:t xml:space="preserve">A reduction factor is applied to Options 1 and 2, reflecting the expected simplification</w:t>
      </w:r>
      <w:r>
        <w:t xml:space="preserve"> </w:t>
      </w:r>
      <w:r>
        <w:t xml:space="preserve">from integrating the concerned spending programmes into the plans which follow the</w:t>
      </w:r>
      <w:r>
        <w:t xml:space="preserve"> </w:t>
      </w:r>
      <w:r>
        <w:t xml:space="preserve">same rules (e.g. delivery model; management mode; financial management, etc.). The</w:t>
      </w:r>
      <w:r>
        <w:t xml:space="preserve"> </w:t>
      </w:r>
      <w:r>
        <w:t xml:space="preserve">reduction factor varies between Options:</w:t>
      </w:r>
      <w:r>
        <w:t xml:space="preserve"> </w:t>
      </w:r>
      <w:r>
        <w:t xml:space="preserve">-</w:t>
      </w:r>
      <w:r>
        <w:t xml:space="preserve"> </w:t>
      </w:r>
      <w:r>
        <w:t xml:space="preserve">It is higher for Option 1 (50%) considering the similarities that already exist</w:t>
      </w:r>
      <w:r>
        <w:t xml:space="preserve"> </w:t>
      </w:r>
      <w:r>
        <w:t xml:space="preserve">between these funds which are covered by the CPR;</w:t>
      </w:r>
      <w:r>
        <w:t xml:space="preserve"> </w:t>
      </w:r>
      <w:r>
        <w:t xml:space="preserve">-</w:t>
      </w:r>
      <w:r>
        <w:t xml:space="preserve"> </w:t>
      </w:r>
      <w:r>
        <w:t xml:space="preserve">Option 2 also assumes a 40% reduction factor given the similarities that already</w:t>
      </w:r>
      <w:r>
        <w:t xml:space="preserve"> </w:t>
      </w:r>
      <w:r>
        <w:t xml:space="preserve">exist between Pillar II of the CAP and cohesion policy.</w:t>
      </w:r>
      <w:r>
        <w:t xml:space="preserve"> </w:t>
      </w:r>
      <w:r>
        <w:t xml:space="preserve">-</w:t>
      </w:r>
      <w:r>
        <w:t xml:space="preserve"> </w:t>
      </w:r>
      <w:r>
        <w:t xml:space="preserve">Option 2b assumes a 30% reduction factor, considering the need to cater for the</w:t>
      </w:r>
      <w:r>
        <w:t xml:space="preserve"> </w:t>
      </w:r>
      <w:r>
        <w:t xml:space="preserve">specificities of direct payments.</w:t>
      </w:r>
    </w:p>
    <w:p>
      <w:pPr>
        <w:pStyle w:val="BodyText"/>
      </w:pPr>
      <w:r>
        <w:t xml:space="preserve">Setting a reduction factor is inherently difficult and represents a methodological</w:t>
      </w:r>
      <w:r>
        <w:t xml:space="preserve"> </w:t>
      </w:r>
      <w:r>
        <w:t xml:space="preserve">assumption. However these factors rely on the existing data, in particular the fact that the</w:t>
      </w:r>
      <w:r>
        <w:t xml:space="preserve"> </w:t>
      </w:r>
      <w:r>
        <w:t xml:space="preserve">differences that exist per fund within the CPR have large differences between</w:t>
      </w:r>
      <w:r>
        <w:t xml:space="preserve"> </w:t>
      </w:r>
      <w:r>
        <w:t xml:space="preserve">themselves, showing the potential for simplification: EUR 37 968 per EUR million spent</w:t>
      </w:r>
      <w:r>
        <w:t xml:space="preserve"> </w:t>
      </w:r>
      <w:r>
        <w:t xml:space="preserve">for the total CPR funds vs EUR 18 625 per EUR million spent for the ESF+, the lowest</w:t>
      </w:r>
      <w:r>
        <w:t xml:space="preserve"> </w:t>
      </w:r>
      <w:r>
        <w:t xml:space="preserve">figure for a fund in the category (a reduction factor of around 50%). While the ESF+ has</w:t>
      </w:r>
      <w:r>
        <w:t xml:space="preserve"> </w:t>
      </w:r>
      <w:r>
        <w:t xml:space="preserve">a much stronger homogeneity in terms of interventions than other funds (e.g. ERDF), this</w:t>
      </w:r>
      <w:r>
        <w:t xml:space="preserve"> </w:t>
      </w:r>
      <w:r>
        <w:t xml:space="preserve">does not seem to be the driving factor behind the lower administrative costs since other</w:t>
      </w:r>
      <w:r>
        <w:t xml:space="preserve"> </w:t>
      </w:r>
      <w:r>
        <w:t xml:space="preserve">funds with a reduced scope (e.g. home funds) also report high administrative costs.</w:t>
      </w:r>
    </w:p>
    <w:p>
      <w:pPr>
        <w:pStyle w:val="BodyText"/>
      </w:pPr>
      <w:r>
        <w:t xml:space="preserve">To make sure these reduction factors are as realistic as possible, they are not based on the</w:t>
      </w:r>
      <w:r>
        <w:t xml:space="preserve"> </w:t>
      </w:r>
      <w:r>
        <w:t xml:space="preserve">figures calculated in the RRF mid-term evaluations as the methodologies were not</w:t>
      </w:r>
      <w:r>
        <w:t xml:space="preserve"> </w:t>
      </w:r>
      <w:r>
        <w:t xml:space="preserve">equivalent (CPR funds set at EUR 37,968 per EUR million spent and RRF with EUR</w:t>
      </w:r>
      <w:r>
        <w:t xml:space="preserve"> </w:t>
      </w:r>
      <w:r>
        <w:t xml:space="preserve">2,500 per EUR million spent) and also because the future plans will continue to rely on a</w:t>
      </w:r>
      <w:r>
        <w:t xml:space="preserve"> </w:t>
      </w:r>
      <w:r>
        <w:t xml:space="preserve">multi-level governance structure and shared management.</w:t>
      </w:r>
    </w:p>
    <w:p>
      <w:pPr>
        <w:pStyle w:val="BodyText"/>
      </w:pPr>
      <w:r>
        <w:t xml:space="preserve">Option 3 is not included in the quantitative analysis as the integration of the</w:t>
      </w:r>
      <w:r>
        <w:t xml:space="preserve"> </w:t>
      </w:r>
      <w:r>
        <w:t xml:space="preserve">Modernisation Fund would bring additional adjustment costs to Member States (which</w:t>
      </w:r>
      <w:r>
        <w:t xml:space="preserve"> </w:t>
      </w:r>
      <w:r>
        <w:t xml:space="preserve">currently only need to comply with simpler rules).</w:t>
      </w:r>
    </w:p>
    <w:p>
      <w:pPr>
        <w:pStyle w:val="BodyText"/>
      </w:pPr>
      <w:r>
        <w:t xml:space="preserve">Estimates</w:t>
      </w:r>
      <w:r>
        <w:t xml:space="preserve"> </w:t>
      </w:r>
      <w:r>
        <w:t xml:space="preserve">Option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per million EUR spent</w:t>
      </w:r>
      <w:r>
        <w:t xml:space="preserve"> </w:t>
      </w:r>
      <w:r>
        <w:t xml:space="preserve">Status quo</w:t>
      </w:r>
      <w:r>
        <w:t xml:space="preserve"> </w:t>
      </w:r>
      <w:r>
        <w:t xml:space="preserve">37,968</w:t>
      </w:r>
      <w:r>
        <w:t xml:space="preserve"> </w:t>
      </w:r>
      <w:r>
        <w:t xml:space="preserve">Option 1</w:t>
      </w:r>
      <w:r>
        <w:t xml:space="preserve"> </w:t>
      </w:r>
      <w:r>
        <w:t xml:space="preserve">18,984</w:t>
      </w:r>
      <w:r>
        <w:t xml:space="preserve"> </w:t>
      </w:r>
      <w:r>
        <w:t xml:space="preserve">Option 2a</w:t>
      </w:r>
      <w:r>
        <w:t xml:space="preserve"> </w:t>
      </w:r>
      <w:r>
        <w:t xml:space="preserve">22,781</w:t>
      </w:r>
      <w:r>
        <w:t xml:space="preserve"> </w:t>
      </w:r>
      <w:r>
        <w:t xml:space="preserve">Option 2b</w:t>
      </w:r>
      <w:r>
        <w:t xml:space="preserve"> </w:t>
      </w:r>
      <w:r>
        <w:t xml:space="preserve">26,578</w:t>
      </w:r>
    </w:p>
    <w:p>
      <w:pPr>
        <w:pStyle w:val="BodyText"/>
      </w:pPr>
      <w:r>
        <w:t xml:space="preserve">From the above, it seems that both Option 1 and Option 2 would massively reduce</w:t>
      </w:r>
      <w:r>
        <w:t xml:space="preserve"> </w:t>
      </w:r>
      <w:r>
        <w:t xml:space="preserve">administrative costs for Member States compared to the status quo. Options 1 and 2a</w:t>
      </w:r>
      <w:r>
        <w:t xml:space="preserve"> </w:t>
      </w:r>
      <w:r>
        <w:t xml:space="preserve">would bring the biggest reduction, followed by Option 2b.</w:t>
      </w:r>
    </w:p>
    <w:p>
      <w:pPr>
        <w:pStyle w:val="BodyText"/>
      </w:pPr>
      <w:r>
        <w:t xml:space="preserve">ANNEX 11: RHOMOLO ANALYSIS OF THE THREE OPTIONS ON</w:t>
      </w:r>
      <w:r>
        <w:t xml:space="preserve"> </w:t>
      </w:r>
      <w:r>
        <w:t xml:space="preserve">THE DELIVERY MODEL</w:t>
      </w:r>
      <w:r>
        <w:t xml:space="preserve"> </w:t>
      </w:r>
      <w:r>
        <w:t xml:space="preserve">The options analysed here regarding the delivery model of the pre-allocated envelopes</w:t>
      </w:r>
      <w:r>
        <w:t xml:space="preserve"> </w:t>
      </w:r>
      <w:r>
        <w:t xml:space="preserve">post-2027 are the following:</w:t>
      </w:r>
    </w:p>
    <w:p>
      <w:pPr>
        <w:pStyle w:val="Compact"/>
        <w:numPr>
          <w:ilvl w:val="0"/>
          <w:numId w:val="1030"/>
        </w:numPr>
      </w:pPr>
      <w:r>
        <w:t xml:space="preserve">Cost-based finance model with the possibility to disburse funds based on performance</w:t>
      </w:r>
      <w:r>
        <w:t xml:space="preserve"> </w:t>
      </w:r>
      <w:r>
        <w:t xml:space="preserve">(basically business-as-usual);</w:t>
      </w:r>
    </w:p>
    <w:p>
      <w:pPr>
        <w:pStyle w:val="Compact"/>
        <w:numPr>
          <w:ilvl w:val="0"/>
          <w:numId w:val="1030"/>
        </w:numPr>
      </w:pPr>
      <w:r>
        <w:t xml:space="preserve">Delivery against pre-agreed objectives (payments made only upon fulfilment of</w:t>
      </w:r>
      <w:r>
        <w:t xml:space="preserve"> </w:t>
      </w:r>
      <w:r>
        <w:t xml:space="preserve">milestones and targets);</w:t>
      </w:r>
    </w:p>
    <w:p>
      <w:pPr>
        <w:pStyle w:val="Compact"/>
        <w:numPr>
          <w:ilvl w:val="0"/>
          <w:numId w:val="1030"/>
        </w:numPr>
      </w:pPr>
      <w:r>
        <w:t xml:space="preserve">Hybrid model (payments largely made only upon fulfilment of milestones and targets,</w:t>
      </w:r>
      <w:r>
        <w:t xml:space="preserve"> </w:t>
      </w:r>
      <w:r>
        <w:t xml:space="preserve">but allowing for payments based on expenditure in some cases).</w:t>
      </w:r>
      <w:r>
        <w:t xml:space="preserve"> </w:t>
      </w:r>
      <w:r>
        <w:t xml:space="preserve">On this basis, the modelling analysis has been carried out as follows.</w:t>
      </w:r>
      <w:r>
        <w:br/>
      </w:r>
      <w:r>
        <w:t xml:space="preserve">The RHOMOLO model (Barbero et al., 202454) has been used to simulate the impact of</w:t>
      </w:r>
      <w:r>
        <w:t xml:space="preserve"> </w:t>
      </w:r>
      <w:r>
        <w:t xml:space="preserve">cohesion policy interventions for the period 2021–2027 in all scenarios. In the absence of</w:t>
      </w:r>
      <w:r>
        <w:t xml:space="preserve"> </w:t>
      </w:r>
      <w:r>
        <w:t xml:space="preserve">information on the budget assigned to the Funds for the next programming period and the</w:t>
      </w:r>
      <w:r>
        <w:t xml:space="preserve"> </w:t>
      </w:r>
      <w:r>
        <w:t xml:space="preserve">geographical and sectoral distribution of investments, as well as the nature of the</w:t>
      </w:r>
      <w:r>
        <w:t xml:space="preserve"> </w:t>
      </w:r>
      <w:r>
        <w:t xml:space="preserve">investments themselves, this analysis is based on the evaluation of the impact of</w:t>
      </w:r>
      <w:r>
        <w:t xml:space="preserve"> </w:t>
      </w:r>
      <w:r>
        <w:t xml:space="preserve">Cohesion Policy 2021-2027 presented by Christou et al. (202355).</w:t>
      </w:r>
      <w:r>
        <w:br/>
      </w:r>
      <w:r>
        <w:t xml:space="preserve">Therefore, in all scenarios, the policy interventions are introduced into the model with a</w:t>
      </w:r>
      <w:r>
        <w:t xml:space="preserve"> </w:t>
      </w:r>
      <w:r>
        <w:t xml:space="preserve">combination of demand-side and supply-side shocks (as in Crucitti et al., 202456). Lump-</w:t>
      </w:r>
      <w:r>
        <w:t xml:space="preserve"> </w:t>
      </w:r>
      <w:r>
        <w:t xml:space="preserve">sum contributions proportional to the GDP weights in the EU are also introduced to</w:t>
      </w:r>
      <w:r>
        <w:t xml:space="preserve"> </w:t>
      </w:r>
      <w:r>
        <w:t xml:space="preserve">mimic the financing of the policy via the EU budget. The differences between the three</w:t>
      </w:r>
      <w:r>
        <w:t xml:space="preserve"> </w:t>
      </w:r>
      <w:r>
        <w:t xml:space="preserve">scenarios lie in the time profile of the interventions and in the assumed efficiency of the</w:t>
      </w:r>
      <w:r>
        <w:t xml:space="preserve"> </w:t>
      </w:r>
      <w:r>
        <w:t xml:space="preserve">supply-side effects.</w:t>
      </w:r>
      <w:r>
        <w:t xml:space="preserve"> </w:t>
      </w:r>
      <w:r>
        <w:t xml:space="preserve">In particular, the supply-side effects are increased by 10% in Scenario B compared to</w:t>
      </w:r>
      <w:r>
        <w:t xml:space="preserve"> </w:t>
      </w:r>
      <w:r>
        <w:t xml:space="preserve">Scenario A, and by 5% in Scenario C (due to the focus on results rather than spending).</w:t>
      </w:r>
      <w:r>
        <w:t xml:space="preserve"> </w:t>
      </w:r>
      <w:r>
        <w:t xml:space="preserve">The time profiles of the spending in the three scenarios are as follows:</w:t>
      </w:r>
      <w:r>
        <w:t xml:space="preserve"> </w:t>
      </w:r>
      <w:r>
        <w:t xml:space="preserve">Year à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Option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Option</w:t>
      </w:r>
      <w:r>
        <w:t xml:space="preserve"> </w:t>
      </w:r>
      <w:r>
        <w:t xml:space="preserve">B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Option</w:t>
      </w:r>
      <w:r>
        <w:t xml:space="preserve"> </w:t>
      </w:r>
      <w:r>
        <w:t xml:space="preserve">C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Source: European Commission’s Directorate-General for Budget (DG BUDG).</w:t>
      </w:r>
    </w:p>
    <w:p>
      <w:pPr>
        <w:pStyle w:val="FirstParagraph"/>
      </w:pPr>
      <w:r>
        <w:t xml:space="preserve">54 Barbero, J., Christou, T., Crucitti, F., García Rodríguez, A., Lazarou, N.J., Monfort, P., and Salotti, S.</w:t>
      </w:r>
      <w:r>
        <w:t xml:space="preserve"> </w:t>
      </w:r>
      <w:r>
        <w:t xml:space="preserve">(2024). A spatial macroeconomic analysis of the equity-efficiency trade-off of the European cohesion</w:t>
      </w:r>
      <w:r>
        <w:t xml:space="preserve"> </w:t>
      </w:r>
      <w:r>
        <w:t xml:space="preserve">policy. Spatial Economic Analysis 19(3), 394-410.</w:t>
      </w:r>
      <w:r>
        <w:t xml:space="preserve"> </w:t>
      </w:r>
      <w:r>
        <w:t xml:space="preserve">55 Christou, T., Crucitti, F., Garcia Rodríguez, A., Lazarou, N., Monfort, P., and Salotti, S. (2023). The</w:t>
      </w:r>
      <w:r>
        <w:t xml:space="preserve"> </w:t>
      </w:r>
      <w:r>
        <w:t xml:space="preserve">RHOMOLO ex-ante impact assessment of 2021-2027 cohesion policy. Territorial Development Insights</w:t>
      </w:r>
      <w:r>
        <w:t xml:space="preserve"> </w:t>
      </w:r>
      <w:r>
        <w:t xml:space="preserve">Series no. JRC133844, European Commission, Joint Research Centre Seville.</w:t>
      </w:r>
      <w:r>
        <w:t xml:space="preserve"> </w:t>
      </w:r>
      <w:r>
        <w:t xml:space="preserve">56 Crucitti, F., Lazarou, N.J., Monfort, P., and Salotti, S. (2024). The impact of the 2014-2020 European</w:t>
      </w:r>
      <w:r>
        <w:t xml:space="preserve"> </w:t>
      </w:r>
      <w:r>
        <w:t xml:space="preserve">Structural Funds on territorial cohesion. Regional Studies 58(8), 1568-1582.</w:t>
      </w:r>
    </w:p>
    <w:p>
      <w:pPr>
        <w:pStyle w:val="BodyText"/>
      </w:pPr>
      <w:r>
        <w:t xml:space="preserve">The interventions are deployed over a ten-year period in all three cases. However,</w:t>
      </w:r>
      <w:r>
        <w:t xml:space="preserve"> </w:t>
      </w:r>
      <w:r>
        <w:t xml:space="preserve">Scenario B (and, to a lesser extent, Scenario C) involves faster disbursement</w:t>
      </w:r>
      <w:r>
        <w:t xml:space="preserve"> </w:t>
      </w:r>
      <w:r>
        <w:t xml:space="preserve">(frontloading) than Scenario A, the latter of which is based on the 2014–2020 payment</w:t>
      </w:r>
      <w:r>
        <w:t xml:space="preserve"> </w:t>
      </w:r>
      <w:r>
        <w:t xml:space="preserve">profile of Cohesion Policy.</w:t>
      </w:r>
      <w:r>
        <w:t xml:space="preserve"> </w:t>
      </w:r>
      <w:r>
        <w:t xml:space="preserve">The modelling results presented here are expressed as differences from the cumulative</w:t>
      </w:r>
      <w:r>
        <w:t xml:space="preserve"> </w:t>
      </w:r>
      <w:r>
        <w:t xml:space="preserve">15-year GDP multiplier of Scenario a). The GDP multiplier is a figure that can be</w:t>
      </w:r>
      <w:r>
        <w:t xml:space="preserve"> </w:t>
      </w:r>
      <w:r>
        <w:t xml:space="preserve">interpreted as the number of euros of GDP generated over a given period for each euro</w:t>
      </w:r>
      <w:r>
        <w:t xml:space="preserve"> </w:t>
      </w:r>
      <w:r>
        <w:t xml:space="preserve">spent on the policy. For example, a 15-year multiplier of 3 means that 15 years after the</w:t>
      </w:r>
      <w:r>
        <w:t xml:space="preserve"> </w:t>
      </w:r>
      <w:r>
        <w:t xml:space="preserve">start of the policy, GDP has increased by 3 euro for every euro invested in the policy. As</w:t>
      </w:r>
      <w:r>
        <w:t xml:space="preserve"> </w:t>
      </w:r>
      <w:r>
        <w:t xml:space="preserve">Scenario A represents the status quo, its specific GDP multiplier is not relevant and may</w:t>
      </w:r>
      <w:r>
        <w:t xml:space="preserve"> </w:t>
      </w:r>
      <w:r>
        <w:t xml:space="preserve">correspond to the multiplier of one of the current EU policy programmes.</w:t>
      </w:r>
      <w:r>
        <w:br/>
      </w:r>
      <w:r>
        <w:t xml:space="preserve">The 15-year cumulative GDP multiplier for Scenario B is 29.5% higher than for Scenario</w:t>
      </w:r>
      <w:r>
        <w:t xml:space="preserve"> </w:t>
      </w:r>
      <w:r>
        <w:t xml:space="preserve">A; 70% of this difference is due to frontloading investment and the remaining 30% is due</w:t>
      </w:r>
      <w:r>
        <w:t xml:space="preserve"> </w:t>
      </w:r>
      <w:r>
        <w:t xml:space="preserve">to additional supply-side effects of 10%.</w:t>
      </w:r>
      <w:r>
        <w:t xml:space="preserve"> </w:t>
      </w:r>
      <w:r>
        <w:t xml:space="preserve">Similarly, the 15-year cumulative GDP multiplier of Scenario C is 19.5% higher than</w:t>
      </w:r>
      <w:r>
        <w:t xml:space="preserve"> </w:t>
      </w:r>
      <w:r>
        <w:t xml:space="preserve">that of Scenario A, with 79% of this difference being attributable to frontloading</w:t>
      </w:r>
      <w:r>
        <w:t xml:space="preserve"> </w:t>
      </w:r>
      <w:r>
        <w:t xml:space="preserve">investment and the remaining 21% to the additional 5% supply-side effects.</w:t>
      </w:r>
      <w:r>
        <w:t xml:space="preserve"> </w:t>
      </w:r>
      <w:r>
        <w:t xml:space="preserve">Therefore, frontloading investments means the benefits to GDP of the interventions start</w:t>
      </w:r>
      <w:r>
        <w:t xml:space="preserve"> </w:t>
      </w:r>
      <w:r>
        <w:t xml:space="preserve">to materialise earlier, leading to larger cumulative GDP gains over time. Furthermore,</w:t>
      </w:r>
      <w:r>
        <w:t xml:space="preserve"> </w:t>
      </w:r>
      <w:r>
        <w:t xml:space="preserve">larger supply-side effects lead to higher GDP multipliers.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2026-07-31T16:48:35Z</dcterms:created>
  <dcterms:modified xsi:type="dcterms:W3CDTF">2026-07-31T16:48:35Z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